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61433CC">
      <w:pPr>
        <w:shd w:val="clear"/>
        <w:spacing w:before="165" w:beforeLines="50" w:line="360" w:lineRule="auto"/>
        <w:jc w:val="center"/>
        <w:rPr>
          <w:rFonts w:hint="eastAsia" w:ascii="宋体" w:hAnsi="宋体" w:eastAsia="宋体" w:cs="宋体"/>
          <w:color w:val="auto"/>
          <w:sz w:val="52"/>
          <w:szCs w:val="52"/>
          <w:highlight w:val="none"/>
        </w:rPr>
      </w:pPr>
    </w:p>
    <w:p w14:paraId="4F5E3A45">
      <w:pPr>
        <w:shd w:val="clear"/>
        <w:spacing w:before="165" w:beforeLines="50" w:line="360" w:lineRule="auto"/>
        <w:jc w:val="center"/>
        <w:rPr>
          <w:rFonts w:hint="eastAsia" w:ascii="宋体" w:hAnsi="宋体" w:eastAsia="宋体" w:cs="宋体"/>
          <w:color w:val="auto"/>
          <w:sz w:val="56"/>
          <w:szCs w:val="56"/>
          <w:highlight w:val="none"/>
        </w:rPr>
      </w:pPr>
      <w:r>
        <w:rPr>
          <w:rFonts w:hint="eastAsia" w:ascii="宋体" w:hAnsi="宋体" w:eastAsia="宋体" w:cs="宋体"/>
          <w:color w:val="auto"/>
          <w:sz w:val="56"/>
          <w:szCs w:val="56"/>
          <w:highlight w:val="none"/>
        </w:rPr>
        <w:t>公开招标文件（服务类）</w:t>
      </w:r>
    </w:p>
    <w:p w14:paraId="0975CD05">
      <w:pPr>
        <w:shd w:val="clear"/>
        <w:spacing w:before="165" w:beforeLines="50" w:line="360" w:lineRule="auto"/>
        <w:jc w:val="center"/>
        <w:rPr>
          <w:rFonts w:hint="eastAsia" w:ascii="宋体" w:hAnsi="宋体" w:eastAsia="宋体" w:cs="宋体"/>
          <w:b/>
          <w:color w:val="auto"/>
          <w:sz w:val="48"/>
          <w:szCs w:val="48"/>
          <w:highlight w:val="none"/>
        </w:rPr>
      </w:pPr>
    </w:p>
    <w:p w14:paraId="7E66534A">
      <w:pPr>
        <w:shd w:val="clear"/>
        <w:snapToGrid w:val="0"/>
        <w:spacing w:before="165" w:beforeLines="50" w:line="360" w:lineRule="auto"/>
        <w:jc w:val="center"/>
        <w:rPr>
          <w:rFonts w:hint="eastAsia" w:ascii="宋体" w:hAnsi="宋体" w:eastAsia="宋体" w:cs="宋体"/>
          <w:color w:val="auto"/>
          <w:sz w:val="72"/>
          <w:szCs w:val="72"/>
          <w:highlight w:val="none"/>
        </w:rPr>
      </w:pPr>
      <w:r>
        <w:rPr>
          <w:rFonts w:hint="eastAsia" w:ascii="宋体" w:hAnsi="宋体" w:eastAsia="宋体" w:cs="宋体"/>
          <w:color w:val="auto"/>
          <w:sz w:val="72"/>
          <w:szCs w:val="72"/>
          <w:highlight w:val="none"/>
        </w:rPr>
        <w:t>招 标 文 件</w:t>
      </w:r>
    </w:p>
    <w:p w14:paraId="7E295840">
      <w:pPr>
        <w:shd w:val="clear"/>
        <w:snapToGrid w:val="0"/>
        <w:spacing w:before="165" w:beforeLines="50" w:line="360" w:lineRule="auto"/>
        <w:jc w:val="center"/>
        <w:rPr>
          <w:rFonts w:hint="eastAsia" w:ascii="宋体" w:hAnsi="宋体" w:eastAsia="宋体" w:cs="宋体"/>
          <w:color w:val="auto"/>
          <w:sz w:val="30"/>
          <w:szCs w:val="72"/>
          <w:highlight w:val="none"/>
        </w:rPr>
      </w:pPr>
      <w:r>
        <w:rPr>
          <w:rFonts w:hint="eastAsia" w:ascii="宋体" w:hAnsi="宋体" w:eastAsia="宋体" w:cs="宋体"/>
          <w:color w:val="auto"/>
          <w:sz w:val="30"/>
          <w:szCs w:val="72"/>
          <w:highlight w:val="none"/>
        </w:rPr>
        <w:t>（全流程电子化评标）</w:t>
      </w:r>
    </w:p>
    <w:p w14:paraId="7FB66921">
      <w:pPr>
        <w:shd w:val="clear"/>
        <w:snapToGrid w:val="0"/>
        <w:spacing w:before="165" w:beforeLines="50" w:line="360" w:lineRule="auto"/>
        <w:rPr>
          <w:rFonts w:hint="eastAsia" w:ascii="宋体" w:hAnsi="宋体" w:eastAsia="宋体" w:cs="宋体"/>
          <w:color w:val="auto"/>
          <w:sz w:val="30"/>
          <w:szCs w:val="72"/>
          <w:highlight w:val="none"/>
        </w:rPr>
      </w:pPr>
    </w:p>
    <w:p w14:paraId="6C662A9E">
      <w:pPr>
        <w:pStyle w:val="12"/>
        <w:shd w:val="clear"/>
        <w:snapToGrid w:val="0"/>
        <w:spacing w:before="50" w:after="120" w:line="360" w:lineRule="auto"/>
        <w:ind w:firstLine="2711" w:firstLineChars="900"/>
        <w:jc w:val="both"/>
        <w:rPr>
          <w:rFonts w:hint="eastAsia" w:ascii="宋体" w:hAnsi="宋体" w:eastAsia="宋体" w:cs="宋体"/>
          <w:b/>
          <w:bCs/>
          <w:color w:val="auto"/>
          <w:sz w:val="30"/>
          <w:szCs w:val="30"/>
          <w:highlight w:val="none"/>
        </w:rPr>
      </w:pPr>
    </w:p>
    <w:p w14:paraId="486F20BA">
      <w:pPr>
        <w:pStyle w:val="12"/>
        <w:shd w:val="clear"/>
        <w:snapToGrid w:val="0"/>
        <w:spacing w:before="50" w:after="120" w:line="360" w:lineRule="auto"/>
        <w:ind w:firstLine="1205" w:firstLineChars="400"/>
        <w:jc w:val="both"/>
        <w:rPr>
          <w:rFonts w:hint="eastAsia" w:ascii="宋体" w:hAnsi="宋体" w:eastAsia="宋体" w:cs="宋体"/>
          <w:b w:val="0"/>
          <w:bCs w:val="0"/>
          <w:color w:val="auto"/>
          <w:sz w:val="30"/>
          <w:szCs w:val="30"/>
          <w:highlight w:val="none"/>
          <w:lang w:eastAsia="zh-CN"/>
        </w:rPr>
      </w:pPr>
      <w:r>
        <w:rPr>
          <w:rFonts w:hint="eastAsia" w:ascii="宋体" w:hAnsi="宋体" w:eastAsia="宋体" w:cs="宋体"/>
          <w:b/>
          <w:bCs/>
          <w:color w:val="auto"/>
          <w:sz w:val="30"/>
          <w:szCs w:val="30"/>
          <w:highlight w:val="none"/>
        </w:rPr>
        <w:t>项目</w:t>
      </w:r>
      <w:r>
        <w:rPr>
          <w:rFonts w:hint="eastAsia" w:ascii="宋体" w:hAnsi="宋体" w:eastAsia="宋体" w:cs="宋体"/>
          <w:b/>
          <w:bCs/>
          <w:color w:val="auto"/>
          <w:w w:val="95"/>
          <w:sz w:val="30"/>
          <w:szCs w:val="30"/>
          <w:highlight w:val="none"/>
        </w:rPr>
        <w:t>名称</w:t>
      </w:r>
      <w:r>
        <w:rPr>
          <w:rFonts w:hint="eastAsia" w:ascii="宋体" w:hAnsi="宋体" w:eastAsia="宋体" w:cs="宋体"/>
          <w:b/>
          <w:bCs/>
          <w:color w:val="auto"/>
          <w:sz w:val="30"/>
          <w:szCs w:val="30"/>
          <w:highlight w:val="none"/>
        </w:rPr>
        <w:t>：</w:t>
      </w:r>
      <w:r>
        <w:rPr>
          <w:rFonts w:hint="eastAsia" w:hAnsi="宋体" w:cs="宋体"/>
          <w:b/>
          <w:bCs/>
          <w:color w:val="auto"/>
          <w:sz w:val="30"/>
          <w:szCs w:val="30"/>
          <w:highlight w:val="none"/>
          <w:lang w:eastAsia="zh-CN"/>
        </w:rPr>
        <w:t>2025年“双优”项目建设</w:t>
      </w:r>
    </w:p>
    <w:p w14:paraId="1D1076A3">
      <w:pPr>
        <w:pStyle w:val="12"/>
        <w:shd w:val="clear"/>
        <w:snapToGrid w:val="0"/>
        <w:spacing w:before="50" w:after="120" w:line="360" w:lineRule="auto"/>
        <w:ind w:firstLine="1205" w:firstLineChars="400"/>
        <w:jc w:val="both"/>
        <w:rPr>
          <w:rFonts w:hint="eastAsia" w:ascii="宋体" w:hAnsi="宋体" w:eastAsia="宋体" w:cs="宋体"/>
          <w:b/>
          <w:bCs/>
          <w:color w:val="auto"/>
          <w:w w:val="95"/>
          <w:sz w:val="30"/>
          <w:szCs w:val="30"/>
          <w:highlight w:val="none"/>
          <w:lang w:eastAsia="zh-CN"/>
        </w:rPr>
      </w:pPr>
      <w:r>
        <w:rPr>
          <w:rFonts w:hint="eastAsia" w:ascii="宋体" w:hAnsi="宋体" w:eastAsia="宋体" w:cs="宋体"/>
          <w:b/>
          <w:bCs/>
          <w:color w:val="auto"/>
          <w:w w:val="100"/>
          <w:sz w:val="30"/>
          <w:szCs w:val="30"/>
          <w:highlight w:val="none"/>
          <w:lang w:eastAsia="zh-CN"/>
        </w:rPr>
        <w:t>项目编号：QZZC2025-G3-220271-ZSZB</w:t>
      </w:r>
    </w:p>
    <w:p w14:paraId="40F7DCCE">
      <w:pPr>
        <w:widowControl w:val="0"/>
        <w:shd w:val="clear"/>
        <w:snapToGrid w:val="0"/>
        <w:spacing w:before="50" w:after="120" w:line="360" w:lineRule="auto"/>
        <w:ind w:firstLine="2576" w:firstLineChars="900"/>
        <w:jc w:val="both"/>
        <w:rPr>
          <w:rFonts w:hint="eastAsia" w:ascii="宋体" w:hAnsi="宋体" w:eastAsia="宋体" w:cs="宋体"/>
          <w:b/>
          <w:bCs/>
          <w:color w:val="auto"/>
          <w:w w:val="95"/>
          <w:kern w:val="2"/>
          <w:sz w:val="30"/>
          <w:szCs w:val="30"/>
          <w:highlight w:val="none"/>
          <w:lang w:val="en-US" w:eastAsia="zh-CN" w:bidi="ar-SA"/>
        </w:rPr>
      </w:pPr>
    </w:p>
    <w:p w14:paraId="1C8B9A04">
      <w:pPr>
        <w:widowControl w:val="0"/>
        <w:shd w:val="clear"/>
        <w:snapToGrid w:val="0"/>
        <w:spacing w:before="50" w:after="120" w:line="360" w:lineRule="auto"/>
        <w:ind w:firstLine="1145" w:firstLineChars="400"/>
        <w:jc w:val="both"/>
        <w:rPr>
          <w:rFonts w:hint="eastAsia" w:ascii="宋体" w:hAnsi="宋体" w:eastAsia="宋体" w:cs="宋体"/>
          <w:b/>
          <w:bCs/>
          <w:color w:val="auto"/>
          <w:w w:val="95"/>
          <w:kern w:val="2"/>
          <w:sz w:val="30"/>
          <w:szCs w:val="30"/>
          <w:highlight w:val="none"/>
          <w:lang w:val="en-US" w:eastAsia="zh-CN" w:bidi="ar-SA"/>
        </w:rPr>
      </w:pPr>
      <w:r>
        <w:rPr>
          <w:rFonts w:hint="eastAsia" w:ascii="宋体" w:hAnsi="宋体" w:eastAsia="宋体" w:cs="宋体"/>
          <w:b/>
          <w:bCs/>
          <w:color w:val="auto"/>
          <w:w w:val="95"/>
          <w:kern w:val="2"/>
          <w:sz w:val="30"/>
          <w:szCs w:val="30"/>
          <w:highlight w:val="none"/>
          <w:lang w:val="en-US" w:eastAsia="zh-CN" w:bidi="ar-SA"/>
        </w:rPr>
        <w:t>采购人：</w:t>
      </w:r>
      <w:r>
        <w:rPr>
          <w:rFonts w:hint="eastAsia" w:ascii="宋体" w:hAnsi="宋体" w:cs="宋体"/>
          <w:b/>
          <w:bCs/>
          <w:color w:val="auto"/>
          <w:w w:val="95"/>
          <w:kern w:val="2"/>
          <w:sz w:val="30"/>
          <w:szCs w:val="30"/>
          <w:highlight w:val="none"/>
          <w:lang w:val="en-US" w:eastAsia="zh-CN" w:bidi="ar-SA"/>
        </w:rPr>
        <w:t>浦北县第一职业技术学校</w:t>
      </w:r>
    </w:p>
    <w:p w14:paraId="10CFA3AE">
      <w:pPr>
        <w:widowControl w:val="0"/>
        <w:shd w:val="clear"/>
        <w:snapToGrid w:val="0"/>
        <w:spacing w:before="50" w:after="120" w:line="360" w:lineRule="auto"/>
        <w:ind w:firstLine="1145" w:firstLineChars="400"/>
        <w:jc w:val="both"/>
        <w:rPr>
          <w:rFonts w:hint="eastAsia" w:ascii="宋体" w:hAnsi="宋体" w:eastAsia="宋体" w:cs="宋体"/>
          <w:b/>
          <w:bCs/>
          <w:color w:val="auto"/>
          <w:w w:val="95"/>
          <w:kern w:val="2"/>
          <w:sz w:val="30"/>
          <w:szCs w:val="30"/>
          <w:highlight w:val="none"/>
          <w:lang w:val="en-US" w:eastAsia="zh-CN" w:bidi="ar-SA"/>
        </w:rPr>
      </w:pPr>
      <w:r>
        <w:rPr>
          <w:rFonts w:hint="eastAsia" w:ascii="宋体" w:hAnsi="宋体" w:eastAsia="宋体" w:cs="宋体"/>
          <w:b/>
          <w:bCs/>
          <w:color w:val="auto"/>
          <w:w w:val="95"/>
          <w:kern w:val="2"/>
          <w:sz w:val="30"/>
          <w:szCs w:val="30"/>
          <w:highlight w:val="none"/>
          <w:lang w:val="en-US" w:eastAsia="zh-CN" w:bidi="ar-SA"/>
        </w:rPr>
        <w:t>采购代理机构：广西至胜招标有限公司</w:t>
      </w:r>
    </w:p>
    <w:p w14:paraId="4F3BEA06">
      <w:pPr>
        <w:pStyle w:val="12"/>
        <w:shd w:val="clear"/>
        <w:snapToGrid w:val="0"/>
        <w:spacing w:before="50" w:after="120" w:line="360" w:lineRule="auto"/>
        <w:ind w:firstLine="4293" w:firstLineChars="1500"/>
        <w:jc w:val="both"/>
        <w:rPr>
          <w:rFonts w:hint="eastAsia" w:ascii="宋体" w:hAnsi="宋体" w:eastAsia="宋体" w:cs="宋体"/>
          <w:b/>
          <w:bCs/>
          <w:color w:val="auto"/>
          <w:w w:val="95"/>
          <w:kern w:val="2"/>
          <w:sz w:val="30"/>
          <w:szCs w:val="30"/>
          <w:highlight w:val="none"/>
          <w:lang w:val="en-US" w:eastAsia="zh-CN" w:bidi="ar-SA"/>
        </w:rPr>
      </w:pPr>
    </w:p>
    <w:p w14:paraId="2E541868">
      <w:pPr>
        <w:pStyle w:val="12"/>
        <w:shd w:val="clear"/>
        <w:snapToGrid w:val="0"/>
        <w:spacing w:before="50" w:after="120" w:line="360" w:lineRule="auto"/>
        <w:jc w:val="center"/>
        <w:rPr>
          <w:rFonts w:hint="eastAsia" w:ascii="宋体" w:hAnsi="宋体" w:eastAsia="宋体" w:cs="宋体"/>
          <w:b/>
          <w:bCs/>
          <w:color w:val="auto"/>
          <w:w w:val="95"/>
          <w:kern w:val="2"/>
          <w:sz w:val="30"/>
          <w:szCs w:val="30"/>
          <w:highlight w:val="none"/>
          <w:lang w:val="en-US" w:eastAsia="zh-CN" w:bidi="ar-SA"/>
        </w:rPr>
      </w:pPr>
      <w:r>
        <w:rPr>
          <w:rFonts w:hint="eastAsia" w:hAnsi="宋体" w:cs="宋体"/>
          <w:b/>
          <w:bCs/>
          <w:color w:val="auto"/>
          <w:w w:val="95"/>
          <w:kern w:val="2"/>
          <w:sz w:val="30"/>
          <w:szCs w:val="30"/>
          <w:highlight w:val="none"/>
          <w:lang w:val="en-US" w:eastAsia="zh-CN" w:bidi="ar-SA"/>
        </w:rPr>
        <w:t>2026</w:t>
      </w:r>
      <w:r>
        <w:rPr>
          <w:rFonts w:hint="eastAsia" w:ascii="宋体" w:hAnsi="宋体" w:eastAsia="宋体" w:cs="宋体"/>
          <w:b/>
          <w:bCs/>
          <w:color w:val="auto"/>
          <w:w w:val="95"/>
          <w:kern w:val="2"/>
          <w:sz w:val="30"/>
          <w:szCs w:val="30"/>
          <w:highlight w:val="none"/>
          <w:lang w:val="en-US" w:eastAsia="zh-CN" w:bidi="ar-SA"/>
        </w:rPr>
        <w:t>年</w:t>
      </w:r>
      <w:r>
        <w:rPr>
          <w:rFonts w:hint="eastAsia" w:hAnsi="宋体" w:cs="宋体"/>
          <w:b/>
          <w:bCs/>
          <w:color w:val="auto"/>
          <w:w w:val="95"/>
          <w:kern w:val="2"/>
          <w:sz w:val="30"/>
          <w:szCs w:val="30"/>
          <w:highlight w:val="none"/>
          <w:lang w:val="en-US" w:eastAsia="zh-CN" w:bidi="ar-SA"/>
        </w:rPr>
        <w:t>01</w:t>
      </w:r>
      <w:r>
        <w:rPr>
          <w:rFonts w:hint="eastAsia" w:ascii="宋体" w:hAnsi="宋体" w:eastAsia="宋体" w:cs="宋体"/>
          <w:b/>
          <w:bCs/>
          <w:color w:val="auto"/>
          <w:w w:val="95"/>
          <w:kern w:val="2"/>
          <w:sz w:val="30"/>
          <w:szCs w:val="30"/>
          <w:highlight w:val="none"/>
          <w:lang w:val="en-US" w:eastAsia="zh-CN" w:bidi="ar-SA"/>
        </w:rPr>
        <w:t>月</w:t>
      </w:r>
      <w:r>
        <w:rPr>
          <w:rFonts w:hint="eastAsia" w:hAnsi="宋体" w:cs="宋体"/>
          <w:b/>
          <w:bCs/>
          <w:color w:val="auto"/>
          <w:w w:val="95"/>
          <w:kern w:val="2"/>
          <w:sz w:val="30"/>
          <w:szCs w:val="30"/>
          <w:highlight w:val="none"/>
          <w:lang w:val="en-US" w:eastAsia="zh-CN" w:bidi="ar-SA"/>
        </w:rPr>
        <w:t>09</w:t>
      </w:r>
      <w:r>
        <w:rPr>
          <w:rFonts w:hint="eastAsia" w:ascii="宋体" w:hAnsi="宋体" w:eastAsia="宋体" w:cs="宋体"/>
          <w:b/>
          <w:bCs/>
          <w:color w:val="auto"/>
          <w:w w:val="95"/>
          <w:kern w:val="2"/>
          <w:sz w:val="30"/>
          <w:szCs w:val="30"/>
          <w:highlight w:val="none"/>
          <w:lang w:val="en-US" w:eastAsia="zh-CN" w:bidi="ar-SA"/>
        </w:rPr>
        <w:t>日</w:t>
      </w:r>
    </w:p>
    <w:p w14:paraId="573867A1">
      <w:pPr>
        <w:widowControl/>
        <w:shd w:val="clear"/>
        <w:spacing w:line="360" w:lineRule="auto"/>
        <w:jc w:val="both"/>
        <w:rPr>
          <w:rFonts w:hint="eastAsia" w:ascii="宋体" w:hAnsi="宋体" w:eastAsia="宋体" w:cs="宋体"/>
          <w:b/>
          <w:bCs/>
          <w:color w:val="auto"/>
          <w:w w:val="95"/>
          <w:sz w:val="30"/>
          <w:szCs w:val="30"/>
          <w:highlight w:val="none"/>
        </w:rPr>
        <w:sectPr>
          <w:headerReference r:id="rId3" w:type="default"/>
          <w:pgSz w:w="11905" w:h="16838"/>
          <w:pgMar w:top="1134" w:right="1134" w:bottom="1134" w:left="1134" w:header="850" w:footer="850" w:gutter="0"/>
          <w:pgNumType w:fmt="decimal" w:start="1"/>
          <w:cols w:space="0" w:num="1"/>
          <w:titlePg/>
          <w:rtlGutter w:val="0"/>
          <w:docGrid w:linePitch="331" w:charSpace="0"/>
        </w:sectPr>
      </w:pPr>
    </w:p>
    <w:p w14:paraId="25BAC0F7">
      <w:pPr>
        <w:pStyle w:val="12"/>
        <w:shd w:val="clear"/>
        <w:jc w:val="center"/>
        <w:rPr>
          <w:rFonts w:hint="eastAsia" w:ascii="宋体" w:hAnsi="宋体" w:eastAsia="宋体" w:cs="宋体"/>
          <w:b/>
          <w:color w:val="auto"/>
          <w:sz w:val="48"/>
          <w:szCs w:val="48"/>
          <w:highlight w:val="none"/>
        </w:rPr>
      </w:pPr>
      <w:r>
        <w:rPr>
          <w:rFonts w:hint="eastAsia" w:ascii="宋体" w:hAnsi="宋体" w:eastAsia="宋体" w:cs="宋体"/>
          <w:b/>
          <w:color w:val="auto"/>
          <w:sz w:val="48"/>
          <w:szCs w:val="48"/>
          <w:highlight w:val="none"/>
        </w:rPr>
        <w:t>目     录</w:t>
      </w:r>
    </w:p>
    <w:p w14:paraId="685FE9B8">
      <w:pPr>
        <w:pStyle w:val="15"/>
        <w:shd w:val="clear"/>
        <w:tabs>
          <w:tab w:val="right" w:leader="dot" w:pos="9637"/>
        </w:tabs>
        <w:rPr>
          <w:rFonts w:hint="eastAsia" w:ascii="宋体" w:hAnsi="宋体" w:eastAsia="宋体" w:cs="宋体"/>
          <w:color w:val="auto"/>
          <w:highlight w:val="none"/>
        </w:rPr>
      </w:pPr>
    </w:p>
    <w:p w14:paraId="471C990F">
      <w:pPr>
        <w:pStyle w:val="15"/>
        <w:shd w:val="clear"/>
        <w:tabs>
          <w:tab w:val="right" w:leader="dot" w:pos="9637"/>
        </w:tabs>
        <w:rPr>
          <w:rFonts w:hint="eastAsia" w:ascii="宋体" w:hAnsi="宋体" w:eastAsia="宋体" w:cs="宋体"/>
          <w:color w:val="auto"/>
          <w:sz w:val="24"/>
          <w:szCs w:val="24"/>
          <w:highlight w:val="none"/>
          <w:u w:val="none"/>
        </w:rPr>
      </w:pPr>
      <w:r>
        <w:rPr>
          <w:rFonts w:hint="eastAsia" w:ascii="宋体" w:hAnsi="宋体" w:eastAsia="宋体" w:cs="宋体"/>
          <w:color w:val="auto"/>
          <w:highlight w:val="none"/>
          <w:u w:val="none"/>
        </w:rPr>
        <w:fldChar w:fldCharType="begin"/>
      </w:r>
      <w:r>
        <w:rPr>
          <w:rFonts w:hint="eastAsia" w:ascii="宋体" w:hAnsi="宋体" w:eastAsia="宋体" w:cs="宋体"/>
          <w:color w:val="auto"/>
          <w:highlight w:val="none"/>
          <w:u w:val="none"/>
        </w:rPr>
        <w:instrText xml:space="preserve">TOC \o "1-1" \h \u </w:instrText>
      </w:r>
      <w:r>
        <w:rPr>
          <w:rFonts w:hint="eastAsia" w:ascii="宋体" w:hAnsi="宋体" w:eastAsia="宋体" w:cs="宋体"/>
          <w:color w:val="auto"/>
          <w:highlight w:val="none"/>
          <w:u w:val="none"/>
        </w:rPr>
        <w:fldChar w:fldCharType="separate"/>
      </w:r>
      <w:r>
        <w:rPr>
          <w:rFonts w:hint="eastAsia" w:ascii="宋体" w:hAnsi="宋体" w:eastAsia="宋体" w:cs="宋体"/>
          <w:color w:val="auto"/>
          <w:sz w:val="24"/>
          <w:szCs w:val="24"/>
          <w:highlight w:val="none"/>
          <w:u w:val="none"/>
        </w:rPr>
        <w:fldChar w:fldCharType="begin"/>
      </w:r>
      <w:r>
        <w:rPr>
          <w:rFonts w:hint="eastAsia" w:ascii="宋体" w:hAnsi="宋体" w:eastAsia="宋体" w:cs="宋体"/>
          <w:color w:val="auto"/>
          <w:sz w:val="24"/>
          <w:szCs w:val="24"/>
          <w:highlight w:val="none"/>
          <w:u w:val="none"/>
        </w:rPr>
        <w:instrText xml:space="preserve"> HYPERLINK \l _Toc16222 </w:instrText>
      </w:r>
      <w:r>
        <w:rPr>
          <w:rFonts w:hint="eastAsia" w:ascii="宋体" w:hAnsi="宋体" w:eastAsia="宋体" w:cs="宋体"/>
          <w:color w:val="auto"/>
          <w:sz w:val="24"/>
          <w:szCs w:val="24"/>
          <w:highlight w:val="none"/>
          <w:u w:val="none"/>
        </w:rPr>
        <w:fldChar w:fldCharType="separate"/>
      </w:r>
      <w:r>
        <w:rPr>
          <w:rFonts w:hint="eastAsia" w:ascii="宋体" w:hAnsi="宋体" w:eastAsia="宋体" w:cs="宋体"/>
          <w:color w:val="auto"/>
          <w:sz w:val="24"/>
          <w:szCs w:val="24"/>
          <w:highlight w:val="none"/>
          <w:u w:val="none"/>
        </w:rPr>
        <w:t>第一章  招标公告</w:t>
      </w:r>
      <w:r>
        <w:rPr>
          <w:rFonts w:hint="eastAsia" w:ascii="宋体" w:hAnsi="宋体" w:eastAsia="宋体" w:cs="宋体"/>
          <w:color w:val="auto"/>
          <w:sz w:val="24"/>
          <w:szCs w:val="24"/>
          <w:highlight w:val="none"/>
          <w:u w:val="none"/>
        </w:rPr>
        <w:tab/>
      </w:r>
      <w:r>
        <w:rPr>
          <w:rFonts w:hint="eastAsia" w:ascii="宋体" w:hAnsi="宋体" w:eastAsia="宋体" w:cs="宋体"/>
          <w:color w:val="auto"/>
          <w:sz w:val="24"/>
          <w:szCs w:val="24"/>
          <w:highlight w:val="none"/>
          <w:u w:val="none"/>
        </w:rPr>
        <w:fldChar w:fldCharType="begin"/>
      </w:r>
      <w:r>
        <w:rPr>
          <w:rFonts w:hint="eastAsia" w:ascii="宋体" w:hAnsi="宋体" w:eastAsia="宋体" w:cs="宋体"/>
          <w:color w:val="auto"/>
          <w:sz w:val="24"/>
          <w:szCs w:val="24"/>
          <w:highlight w:val="none"/>
          <w:u w:val="none"/>
        </w:rPr>
        <w:instrText xml:space="preserve"> PAGEREF _Toc16222 </w:instrText>
      </w:r>
      <w:r>
        <w:rPr>
          <w:rFonts w:hint="eastAsia" w:ascii="宋体" w:hAnsi="宋体" w:eastAsia="宋体" w:cs="宋体"/>
          <w:color w:val="auto"/>
          <w:sz w:val="24"/>
          <w:szCs w:val="24"/>
          <w:highlight w:val="none"/>
          <w:u w:val="none"/>
        </w:rPr>
        <w:fldChar w:fldCharType="separate"/>
      </w:r>
      <w:r>
        <w:rPr>
          <w:rFonts w:hint="eastAsia" w:ascii="宋体" w:hAnsi="宋体" w:eastAsia="宋体" w:cs="宋体"/>
          <w:color w:val="auto"/>
          <w:sz w:val="24"/>
          <w:szCs w:val="24"/>
          <w:highlight w:val="none"/>
          <w:u w:val="none"/>
        </w:rPr>
        <w:t>2</w:t>
      </w:r>
      <w:r>
        <w:rPr>
          <w:rFonts w:hint="eastAsia" w:ascii="宋体" w:hAnsi="宋体" w:eastAsia="宋体" w:cs="宋体"/>
          <w:color w:val="auto"/>
          <w:sz w:val="24"/>
          <w:szCs w:val="24"/>
          <w:highlight w:val="none"/>
          <w:u w:val="none"/>
        </w:rPr>
        <w:fldChar w:fldCharType="end"/>
      </w:r>
      <w:r>
        <w:rPr>
          <w:rFonts w:hint="eastAsia" w:ascii="宋体" w:hAnsi="宋体" w:eastAsia="宋体" w:cs="宋体"/>
          <w:color w:val="auto"/>
          <w:sz w:val="24"/>
          <w:szCs w:val="24"/>
          <w:highlight w:val="none"/>
          <w:u w:val="none"/>
        </w:rPr>
        <w:fldChar w:fldCharType="end"/>
      </w:r>
    </w:p>
    <w:p w14:paraId="6A5EC791">
      <w:pPr>
        <w:pStyle w:val="15"/>
        <w:shd w:val="clear"/>
        <w:tabs>
          <w:tab w:val="right" w:leader="dot" w:pos="9637"/>
        </w:tabs>
        <w:rPr>
          <w:rFonts w:hint="eastAsia" w:ascii="宋体" w:hAnsi="宋体" w:eastAsia="宋体" w:cs="宋体"/>
          <w:color w:val="auto"/>
          <w:sz w:val="24"/>
          <w:szCs w:val="24"/>
          <w:highlight w:val="none"/>
          <w:u w:val="none"/>
        </w:rPr>
      </w:pPr>
      <w:r>
        <w:rPr>
          <w:rFonts w:hint="eastAsia" w:ascii="宋体" w:hAnsi="宋体" w:eastAsia="宋体" w:cs="宋体"/>
          <w:color w:val="auto"/>
          <w:sz w:val="24"/>
          <w:szCs w:val="24"/>
          <w:highlight w:val="none"/>
          <w:u w:val="none"/>
        </w:rPr>
        <w:fldChar w:fldCharType="begin"/>
      </w:r>
      <w:r>
        <w:rPr>
          <w:rFonts w:hint="eastAsia" w:ascii="宋体" w:hAnsi="宋体" w:eastAsia="宋体" w:cs="宋体"/>
          <w:color w:val="auto"/>
          <w:sz w:val="24"/>
          <w:szCs w:val="24"/>
          <w:highlight w:val="none"/>
          <w:u w:val="none"/>
        </w:rPr>
        <w:instrText xml:space="preserve"> HYPERLINK \l _Toc8382 </w:instrText>
      </w:r>
      <w:r>
        <w:rPr>
          <w:rFonts w:hint="eastAsia" w:ascii="宋体" w:hAnsi="宋体" w:eastAsia="宋体" w:cs="宋体"/>
          <w:color w:val="auto"/>
          <w:sz w:val="24"/>
          <w:szCs w:val="24"/>
          <w:highlight w:val="none"/>
          <w:u w:val="none"/>
        </w:rPr>
        <w:fldChar w:fldCharType="separate"/>
      </w:r>
      <w:r>
        <w:rPr>
          <w:rFonts w:hint="eastAsia" w:ascii="宋体" w:hAnsi="宋体" w:eastAsia="宋体" w:cs="宋体"/>
          <w:color w:val="auto"/>
          <w:sz w:val="24"/>
          <w:szCs w:val="24"/>
          <w:highlight w:val="none"/>
          <w:u w:val="none"/>
        </w:rPr>
        <w:t>第二章  采购需求</w:t>
      </w:r>
      <w:r>
        <w:rPr>
          <w:rFonts w:hint="eastAsia" w:ascii="宋体" w:hAnsi="宋体" w:eastAsia="宋体" w:cs="宋体"/>
          <w:color w:val="auto"/>
          <w:sz w:val="24"/>
          <w:szCs w:val="24"/>
          <w:highlight w:val="none"/>
          <w:u w:val="none"/>
        </w:rPr>
        <w:tab/>
      </w:r>
      <w:r>
        <w:rPr>
          <w:rFonts w:hint="eastAsia" w:ascii="宋体" w:hAnsi="宋体" w:eastAsia="宋体" w:cs="宋体"/>
          <w:color w:val="auto"/>
          <w:sz w:val="24"/>
          <w:szCs w:val="24"/>
          <w:highlight w:val="none"/>
          <w:u w:val="none"/>
        </w:rPr>
        <w:fldChar w:fldCharType="begin"/>
      </w:r>
      <w:r>
        <w:rPr>
          <w:rFonts w:hint="eastAsia" w:ascii="宋体" w:hAnsi="宋体" w:eastAsia="宋体" w:cs="宋体"/>
          <w:color w:val="auto"/>
          <w:sz w:val="24"/>
          <w:szCs w:val="24"/>
          <w:highlight w:val="none"/>
          <w:u w:val="none"/>
        </w:rPr>
        <w:instrText xml:space="preserve"> PAGEREF _Toc8382 </w:instrText>
      </w:r>
      <w:r>
        <w:rPr>
          <w:rFonts w:hint="eastAsia" w:ascii="宋体" w:hAnsi="宋体" w:eastAsia="宋体" w:cs="宋体"/>
          <w:color w:val="auto"/>
          <w:sz w:val="24"/>
          <w:szCs w:val="24"/>
          <w:highlight w:val="none"/>
          <w:u w:val="none"/>
        </w:rPr>
        <w:fldChar w:fldCharType="separate"/>
      </w:r>
      <w:r>
        <w:rPr>
          <w:rFonts w:hint="eastAsia" w:ascii="宋体" w:hAnsi="宋体" w:eastAsia="宋体" w:cs="宋体"/>
          <w:color w:val="auto"/>
          <w:sz w:val="24"/>
          <w:szCs w:val="24"/>
          <w:highlight w:val="none"/>
          <w:u w:val="none"/>
        </w:rPr>
        <w:t>6</w:t>
      </w:r>
      <w:r>
        <w:rPr>
          <w:rFonts w:hint="eastAsia" w:ascii="宋体" w:hAnsi="宋体" w:eastAsia="宋体" w:cs="宋体"/>
          <w:color w:val="auto"/>
          <w:sz w:val="24"/>
          <w:szCs w:val="24"/>
          <w:highlight w:val="none"/>
          <w:u w:val="none"/>
        </w:rPr>
        <w:fldChar w:fldCharType="end"/>
      </w:r>
      <w:r>
        <w:rPr>
          <w:rFonts w:hint="eastAsia" w:ascii="宋体" w:hAnsi="宋体" w:eastAsia="宋体" w:cs="宋体"/>
          <w:color w:val="auto"/>
          <w:sz w:val="24"/>
          <w:szCs w:val="24"/>
          <w:highlight w:val="none"/>
          <w:u w:val="none"/>
        </w:rPr>
        <w:fldChar w:fldCharType="end"/>
      </w:r>
    </w:p>
    <w:p w14:paraId="65777D08">
      <w:pPr>
        <w:pStyle w:val="15"/>
        <w:shd w:val="clear"/>
        <w:tabs>
          <w:tab w:val="right" w:leader="dot" w:pos="9637"/>
        </w:tabs>
        <w:rPr>
          <w:rFonts w:hint="eastAsia" w:ascii="宋体" w:hAnsi="宋体" w:eastAsia="宋体" w:cs="宋体"/>
          <w:color w:val="auto"/>
          <w:sz w:val="24"/>
          <w:szCs w:val="24"/>
          <w:highlight w:val="none"/>
          <w:u w:val="none"/>
        </w:rPr>
      </w:pPr>
      <w:r>
        <w:rPr>
          <w:rFonts w:hint="eastAsia" w:ascii="宋体" w:hAnsi="宋体" w:eastAsia="宋体" w:cs="宋体"/>
          <w:color w:val="auto"/>
          <w:sz w:val="24"/>
          <w:szCs w:val="24"/>
          <w:highlight w:val="none"/>
          <w:u w:val="none"/>
        </w:rPr>
        <w:fldChar w:fldCharType="begin"/>
      </w:r>
      <w:r>
        <w:rPr>
          <w:rFonts w:hint="eastAsia" w:ascii="宋体" w:hAnsi="宋体" w:eastAsia="宋体" w:cs="宋体"/>
          <w:color w:val="auto"/>
          <w:sz w:val="24"/>
          <w:szCs w:val="24"/>
          <w:highlight w:val="none"/>
          <w:u w:val="none"/>
        </w:rPr>
        <w:instrText xml:space="preserve"> HYPERLINK \l _Toc15364 </w:instrText>
      </w:r>
      <w:r>
        <w:rPr>
          <w:rFonts w:hint="eastAsia" w:ascii="宋体" w:hAnsi="宋体" w:eastAsia="宋体" w:cs="宋体"/>
          <w:color w:val="auto"/>
          <w:sz w:val="24"/>
          <w:szCs w:val="24"/>
          <w:highlight w:val="none"/>
          <w:u w:val="none"/>
        </w:rPr>
        <w:fldChar w:fldCharType="separate"/>
      </w:r>
      <w:r>
        <w:rPr>
          <w:rFonts w:hint="eastAsia" w:ascii="宋体" w:hAnsi="宋体" w:eastAsia="宋体" w:cs="宋体"/>
          <w:color w:val="auto"/>
          <w:sz w:val="24"/>
          <w:szCs w:val="24"/>
          <w:highlight w:val="none"/>
          <w:u w:val="none"/>
        </w:rPr>
        <w:t>第三章  投标人须知</w:t>
      </w:r>
      <w:r>
        <w:rPr>
          <w:rFonts w:hint="eastAsia" w:ascii="宋体" w:hAnsi="宋体" w:eastAsia="宋体" w:cs="宋体"/>
          <w:color w:val="auto"/>
          <w:sz w:val="24"/>
          <w:szCs w:val="24"/>
          <w:highlight w:val="none"/>
          <w:u w:val="none"/>
        </w:rPr>
        <w:tab/>
      </w:r>
      <w:r>
        <w:rPr>
          <w:rFonts w:hint="eastAsia" w:ascii="宋体" w:hAnsi="宋体" w:eastAsia="宋体" w:cs="宋体"/>
          <w:color w:val="auto"/>
          <w:sz w:val="24"/>
          <w:szCs w:val="24"/>
          <w:highlight w:val="none"/>
          <w:u w:val="none"/>
        </w:rPr>
        <w:fldChar w:fldCharType="begin"/>
      </w:r>
      <w:r>
        <w:rPr>
          <w:rFonts w:hint="eastAsia" w:ascii="宋体" w:hAnsi="宋体" w:eastAsia="宋体" w:cs="宋体"/>
          <w:color w:val="auto"/>
          <w:sz w:val="24"/>
          <w:szCs w:val="24"/>
          <w:highlight w:val="none"/>
          <w:u w:val="none"/>
        </w:rPr>
        <w:instrText xml:space="preserve"> PAGEREF _Toc15364 </w:instrText>
      </w:r>
      <w:r>
        <w:rPr>
          <w:rFonts w:hint="eastAsia" w:ascii="宋体" w:hAnsi="宋体" w:eastAsia="宋体" w:cs="宋体"/>
          <w:color w:val="auto"/>
          <w:sz w:val="24"/>
          <w:szCs w:val="24"/>
          <w:highlight w:val="none"/>
          <w:u w:val="none"/>
        </w:rPr>
        <w:fldChar w:fldCharType="separate"/>
      </w:r>
      <w:r>
        <w:rPr>
          <w:rFonts w:hint="eastAsia" w:ascii="宋体" w:hAnsi="宋体" w:eastAsia="宋体" w:cs="宋体"/>
          <w:color w:val="auto"/>
          <w:sz w:val="24"/>
          <w:szCs w:val="24"/>
          <w:highlight w:val="none"/>
          <w:u w:val="none"/>
        </w:rPr>
        <w:t>42</w:t>
      </w:r>
      <w:r>
        <w:rPr>
          <w:rFonts w:hint="eastAsia" w:ascii="宋体" w:hAnsi="宋体" w:eastAsia="宋体" w:cs="宋体"/>
          <w:color w:val="auto"/>
          <w:sz w:val="24"/>
          <w:szCs w:val="24"/>
          <w:highlight w:val="none"/>
          <w:u w:val="none"/>
        </w:rPr>
        <w:fldChar w:fldCharType="end"/>
      </w:r>
      <w:r>
        <w:rPr>
          <w:rFonts w:hint="eastAsia" w:ascii="宋体" w:hAnsi="宋体" w:eastAsia="宋体" w:cs="宋体"/>
          <w:color w:val="auto"/>
          <w:sz w:val="24"/>
          <w:szCs w:val="24"/>
          <w:highlight w:val="none"/>
          <w:u w:val="none"/>
        </w:rPr>
        <w:fldChar w:fldCharType="end"/>
      </w:r>
    </w:p>
    <w:p w14:paraId="0186186F">
      <w:pPr>
        <w:pStyle w:val="15"/>
        <w:shd w:val="clear"/>
        <w:tabs>
          <w:tab w:val="right" w:leader="dot" w:pos="9637"/>
        </w:tabs>
        <w:rPr>
          <w:rFonts w:hint="eastAsia" w:ascii="宋体" w:hAnsi="宋体" w:eastAsia="宋体" w:cs="宋体"/>
          <w:color w:val="auto"/>
          <w:sz w:val="24"/>
          <w:szCs w:val="24"/>
          <w:highlight w:val="none"/>
          <w:u w:val="none"/>
        </w:rPr>
      </w:pPr>
      <w:r>
        <w:rPr>
          <w:rFonts w:hint="eastAsia" w:ascii="宋体" w:hAnsi="宋体" w:eastAsia="宋体" w:cs="宋体"/>
          <w:color w:val="auto"/>
          <w:sz w:val="24"/>
          <w:szCs w:val="24"/>
          <w:highlight w:val="none"/>
          <w:u w:val="none"/>
        </w:rPr>
        <w:fldChar w:fldCharType="begin"/>
      </w:r>
      <w:r>
        <w:rPr>
          <w:rFonts w:hint="eastAsia" w:ascii="宋体" w:hAnsi="宋体" w:eastAsia="宋体" w:cs="宋体"/>
          <w:color w:val="auto"/>
          <w:sz w:val="24"/>
          <w:szCs w:val="24"/>
          <w:highlight w:val="none"/>
          <w:u w:val="none"/>
        </w:rPr>
        <w:instrText xml:space="preserve"> HYPERLINK \l _Toc10034 </w:instrText>
      </w:r>
      <w:r>
        <w:rPr>
          <w:rFonts w:hint="eastAsia" w:ascii="宋体" w:hAnsi="宋体" w:eastAsia="宋体" w:cs="宋体"/>
          <w:color w:val="auto"/>
          <w:sz w:val="24"/>
          <w:szCs w:val="24"/>
          <w:highlight w:val="none"/>
          <w:u w:val="none"/>
        </w:rPr>
        <w:fldChar w:fldCharType="separate"/>
      </w:r>
      <w:r>
        <w:rPr>
          <w:rFonts w:hint="eastAsia" w:ascii="宋体" w:hAnsi="宋体" w:eastAsia="宋体" w:cs="宋体"/>
          <w:color w:val="auto"/>
          <w:sz w:val="24"/>
          <w:szCs w:val="24"/>
          <w:highlight w:val="none"/>
          <w:u w:val="none"/>
        </w:rPr>
        <w:t xml:space="preserve">第四章  </w:t>
      </w:r>
      <w:r>
        <w:rPr>
          <w:rFonts w:hint="eastAsia" w:ascii="宋体" w:hAnsi="宋体" w:eastAsia="宋体" w:cs="宋体"/>
          <w:color w:val="auto"/>
          <w:sz w:val="24"/>
          <w:szCs w:val="24"/>
          <w:highlight w:val="none"/>
          <w:u w:val="none"/>
          <w:lang w:eastAsia="zh-CN"/>
        </w:rPr>
        <w:t>评标方法和评标标准</w:t>
      </w:r>
      <w:r>
        <w:rPr>
          <w:rFonts w:hint="eastAsia" w:ascii="宋体" w:hAnsi="宋体" w:eastAsia="宋体" w:cs="宋体"/>
          <w:color w:val="auto"/>
          <w:sz w:val="24"/>
          <w:szCs w:val="24"/>
          <w:highlight w:val="none"/>
          <w:u w:val="none"/>
        </w:rPr>
        <w:tab/>
      </w:r>
      <w:r>
        <w:rPr>
          <w:rFonts w:hint="eastAsia" w:ascii="宋体" w:hAnsi="宋体" w:eastAsia="宋体" w:cs="宋体"/>
          <w:color w:val="auto"/>
          <w:sz w:val="24"/>
          <w:szCs w:val="24"/>
          <w:highlight w:val="none"/>
          <w:u w:val="none"/>
        </w:rPr>
        <w:fldChar w:fldCharType="begin"/>
      </w:r>
      <w:r>
        <w:rPr>
          <w:rFonts w:hint="eastAsia" w:ascii="宋体" w:hAnsi="宋体" w:eastAsia="宋体" w:cs="宋体"/>
          <w:color w:val="auto"/>
          <w:sz w:val="24"/>
          <w:szCs w:val="24"/>
          <w:highlight w:val="none"/>
          <w:u w:val="none"/>
        </w:rPr>
        <w:instrText xml:space="preserve"> PAGEREF _Toc10034 </w:instrText>
      </w:r>
      <w:r>
        <w:rPr>
          <w:rFonts w:hint="eastAsia" w:ascii="宋体" w:hAnsi="宋体" w:eastAsia="宋体" w:cs="宋体"/>
          <w:color w:val="auto"/>
          <w:sz w:val="24"/>
          <w:szCs w:val="24"/>
          <w:highlight w:val="none"/>
          <w:u w:val="none"/>
        </w:rPr>
        <w:fldChar w:fldCharType="separate"/>
      </w:r>
      <w:r>
        <w:rPr>
          <w:rFonts w:hint="eastAsia" w:ascii="宋体" w:hAnsi="宋体" w:eastAsia="宋体" w:cs="宋体"/>
          <w:color w:val="auto"/>
          <w:sz w:val="24"/>
          <w:szCs w:val="24"/>
          <w:highlight w:val="none"/>
          <w:u w:val="none"/>
        </w:rPr>
        <w:t>65</w:t>
      </w:r>
      <w:r>
        <w:rPr>
          <w:rFonts w:hint="eastAsia" w:ascii="宋体" w:hAnsi="宋体" w:eastAsia="宋体" w:cs="宋体"/>
          <w:color w:val="auto"/>
          <w:sz w:val="24"/>
          <w:szCs w:val="24"/>
          <w:highlight w:val="none"/>
          <w:u w:val="none"/>
        </w:rPr>
        <w:fldChar w:fldCharType="end"/>
      </w:r>
      <w:r>
        <w:rPr>
          <w:rFonts w:hint="eastAsia" w:ascii="宋体" w:hAnsi="宋体" w:eastAsia="宋体" w:cs="宋体"/>
          <w:color w:val="auto"/>
          <w:sz w:val="24"/>
          <w:szCs w:val="24"/>
          <w:highlight w:val="none"/>
          <w:u w:val="none"/>
        </w:rPr>
        <w:fldChar w:fldCharType="end"/>
      </w:r>
    </w:p>
    <w:p w14:paraId="52FBA8D1">
      <w:pPr>
        <w:pStyle w:val="15"/>
        <w:shd w:val="clear"/>
        <w:tabs>
          <w:tab w:val="right" w:leader="dot" w:pos="9637"/>
        </w:tabs>
        <w:rPr>
          <w:rFonts w:hint="eastAsia" w:ascii="宋体" w:hAnsi="宋体" w:eastAsia="宋体" w:cs="宋体"/>
          <w:color w:val="auto"/>
          <w:sz w:val="24"/>
          <w:szCs w:val="24"/>
          <w:highlight w:val="none"/>
          <w:u w:val="none"/>
        </w:rPr>
      </w:pPr>
      <w:r>
        <w:rPr>
          <w:rFonts w:hint="eastAsia" w:ascii="宋体" w:hAnsi="宋体" w:eastAsia="宋体" w:cs="宋体"/>
          <w:color w:val="auto"/>
          <w:sz w:val="24"/>
          <w:szCs w:val="24"/>
          <w:highlight w:val="none"/>
          <w:u w:val="none"/>
        </w:rPr>
        <w:fldChar w:fldCharType="begin"/>
      </w:r>
      <w:r>
        <w:rPr>
          <w:rFonts w:hint="eastAsia" w:ascii="宋体" w:hAnsi="宋体" w:eastAsia="宋体" w:cs="宋体"/>
          <w:color w:val="auto"/>
          <w:sz w:val="24"/>
          <w:szCs w:val="24"/>
          <w:highlight w:val="none"/>
          <w:u w:val="none"/>
        </w:rPr>
        <w:instrText xml:space="preserve"> HYPERLINK \l _Toc32021 </w:instrText>
      </w:r>
      <w:r>
        <w:rPr>
          <w:rFonts w:hint="eastAsia" w:ascii="宋体" w:hAnsi="宋体" w:eastAsia="宋体" w:cs="宋体"/>
          <w:color w:val="auto"/>
          <w:sz w:val="24"/>
          <w:szCs w:val="24"/>
          <w:highlight w:val="none"/>
          <w:u w:val="none"/>
        </w:rPr>
        <w:fldChar w:fldCharType="separate"/>
      </w:r>
      <w:r>
        <w:rPr>
          <w:rFonts w:hint="eastAsia" w:ascii="宋体" w:hAnsi="宋体" w:eastAsia="宋体" w:cs="宋体"/>
          <w:color w:val="auto"/>
          <w:sz w:val="24"/>
          <w:szCs w:val="24"/>
          <w:highlight w:val="none"/>
          <w:u w:val="none"/>
        </w:rPr>
        <w:t>第五章 拟签订的合同文本</w:t>
      </w:r>
      <w:r>
        <w:rPr>
          <w:rFonts w:hint="eastAsia" w:ascii="宋体" w:hAnsi="宋体" w:eastAsia="宋体" w:cs="宋体"/>
          <w:color w:val="auto"/>
          <w:sz w:val="24"/>
          <w:szCs w:val="24"/>
          <w:highlight w:val="none"/>
          <w:u w:val="none"/>
        </w:rPr>
        <w:tab/>
      </w:r>
      <w:r>
        <w:rPr>
          <w:rFonts w:hint="eastAsia" w:ascii="宋体" w:hAnsi="宋体" w:eastAsia="宋体" w:cs="宋体"/>
          <w:color w:val="auto"/>
          <w:sz w:val="24"/>
          <w:szCs w:val="24"/>
          <w:highlight w:val="none"/>
          <w:u w:val="none"/>
        </w:rPr>
        <w:fldChar w:fldCharType="begin"/>
      </w:r>
      <w:r>
        <w:rPr>
          <w:rFonts w:hint="eastAsia" w:ascii="宋体" w:hAnsi="宋体" w:eastAsia="宋体" w:cs="宋体"/>
          <w:color w:val="auto"/>
          <w:sz w:val="24"/>
          <w:szCs w:val="24"/>
          <w:highlight w:val="none"/>
          <w:u w:val="none"/>
        </w:rPr>
        <w:instrText xml:space="preserve"> PAGEREF _Toc32021 </w:instrText>
      </w:r>
      <w:r>
        <w:rPr>
          <w:rFonts w:hint="eastAsia" w:ascii="宋体" w:hAnsi="宋体" w:eastAsia="宋体" w:cs="宋体"/>
          <w:color w:val="auto"/>
          <w:sz w:val="24"/>
          <w:szCs w:val="24"/>
          <w:highlight w:val="none"/>
          <w:u w:val="none"/>
        </w:rPr>
        <w:fldChar w:fldCharType="separate"/>
      </w:r>
      <w:r>
        <w:rPr>
          <w:rFonts w:hint="eastAsia" w:ascii="宋体" w:hAnsi="宋体" w:eastAsia="宋体" w:cs="宋体"/>
          <w:color w:val="auto"/>
          <w:sz w:val="24"/>
          <w:szCs w:val="24"/>
          <w:highlight w:val="none"/>
          <w:u w:val="none"/>
        </w:rPr>
        <w:t>72</w:t>
      </w:r>
      <w:r>
        <w:rPr>
          <w:rFonts w:hint="eastAsia" w:ascii="宋体" w:hAnsi="宋体" w:eastAsia="宋体" w:cs="宋体"/>
          <w:color w:val="auto"/>
          <w:sz w:val="24"/>
          <w:szCs w:val="24"/>
          <w:highlight w:val="none"/>
          <w:u w:val="none"/>
        </w:rPr>
        <w:fldChar w:fldCharType="end"/>
      </w:r>
      <w:r>
        <w:rPr>
          <w:rFonts w:hint="eastAsia" w:ascii="宋体" w:hAnsi="宋体" w:eastAsia="宋体" w:cs="宋体"/>
          <w:color w:val="auto"/>
          <w:sz w:val="24"/>
          <w:szCs w:val="24"/>
          <w:highlight w:val="none"/>
          <w:u w:val="none"/>
        </w:rPr>
        <w:fldChar w:fldCharType="end"/>
      </w:r>
    </w:p>
    <w:p w14:paraId="27F6B854">
      <w:pPr>
        <w:pStyle w:val="15"/>
        <w:shd w:val="clear"/>
        <w:tabs>
          <w:tab w:val="right" w:leader="dot" w:pos="9637"/>
        </w:tabs>
        <w:rPr>
          <w:rFonts w:hint="eastAsia" w:ascii="宋体" w:hAnsi="宋体" w:eastAsia="宋体" w:cs="宋体"/>
          <w:color w:val="auto"/>
          <w:sz w:val="24"/>
          <w:szCs w:val="24"/>
          <w:highlight w:val="none"/>
          <w:u w:val="none"/>
        </w:rPr>
      </w:pPr>
      <w:r>
        <w:rPr>
          <w:rFonts w:hint="eastAsia" w:ascii="宋体" w:hAnsi="宋体" w:eastAsia="宋体" w:cs="宋体"/>
          <w:color w:val="auto"/>
          <w:sz w:val="24"/>
          <w:szCs w:val="24"/>
          <w:highlight w:val="none"/>
          <w:u w:val="none"/>
        </w:rPr>
        <w:fldChar w:fldCharType="begin"/>
      </w:r>
      <w:r>
        <w:rPr>
          <w:rFonts w:hint="eastAsia" w:ascii="宋体" w:hAnsi="宋体" w:eastAsia="宋体" w:cs="宋体"/>
          <w:color w:val="auto"/>
          <w:sz w:val="24"/>
          <w:szCs w:val="24"/>
          <w:highlight w:val="none"/>
          <w:u w:val="none"/>
        </w:rPr>
        <w:instrText xml:space="preserve"> HYPERLINK \l _Toc2517 </w:instrText>
      </w:r>
      <w:r>
        <w:rPr>
          <w:rFonts w:hint="eastAsia" w:ascii="宋体" w:hAnsi="宋体" w:eastAsia="宋体" w:cs="宋体"/>
          <w:color w:val="auto"/>
          <w:sz w:val="24"/>
          <w:szCs w:val="24"/>
          <w:highlight w:val="none"/>
          <w:u w:val="none"/>
        </w:rPr>
        <w:fldChar w:fldCharType="separate"/>
      </w:r>
      <w:r>
        <w:rPr>
          <w:rFonts w:hint="eastAsia" w:ascii="宋体" w:hAnsi="宋体" w:eastAsia="宋体" w:cs="宋体"/>
          <w:color w:val="auto"/>
          <w:sz w:val="24"/>
          <w:szCs w:val="24"/>
          <w:highlight w:val="none"/>
          <w:u w:val="none"/>
        </w:rPr>
        <w:t>第六章 投标文件格式</w:t>
      </w:r>
      <w:r>
        <w:rPr>
          <w:rFonts w:hint="eastAsia" w:ascii="宋体" w:hAnsi="宋体" w:eastAsia="宋体" w:cs="宋体"/>
          <w:color w:val="auto"/>
          <w:sz w:val="24"/>
          <w:szCs w:val="24"/>
          <w:highlight w:val="none"/>
          <w:u w:val="none"/>
        </w:rPr>
        <w:tab/>
      </w:r>
      <w:r>
        <w:rPr>
          <w:rFonts w:hint="eastAsia" w:ascii="宋体" w:hAnsi="宋体" w:eastAsia="宋体" w:cs="宋体"/>
          <w:color w:val="auto"/>
          <w:sz w:val="24"/>
          <w:szCs w:val="24"/>
          <w:highlight w:val="none"/>
          <w:u w:val="none"/>
        </w:rPr>
        <w:fldChar w:fldCharType="begin"/>
      </w:r>
      <w:r>
        <w:rPr>
          <w:rFonts w:hint="eastAsia" w:ascii="宋体" w:hAnsi="宋体" w:eastAsia="宋体" w:cs="宋体"/>
          <w:color w:val="auto"/>
          <w:sz w:val="24"/>
          <w:szCs w:val="24"/>
          <w:highlight w:val="none"/>
          <w:u w:val="none"/>
        </w:rPr>
        <w:instrText xml:space="preserve"> PAGEREF _Toc2517 </w:instrText>
      </w:r>
      <w:r>
        <w:rPr>
          <w:rFonts w:hint="eastAsia" w:ascii="宋体" w:hAnsi="宋体" w:eastAsia="宋体" w:cs="宋体"/>
          <w:color w:val="auto"/>
          <w:sz w:val="24"/>
          <w:szCs w:val="24"/>
          <w:highlight w:val="none"/>
          <w:u w:val="none"/>
        </w:rPr>
        <w:fldChar w:fldCharType="separate"/>
      </w:r>
      <w:r>
        <w:rPr>
          <w:rFonts w:hint="eastAsia" w:ascii="宋体" w:hAnsi="宋体" w:eastAsia="宋体" w:cs="宋体"/>
          <w:color w:val="auto"/>
          <w:sz w:val="24"/>
          <w:szCs w:val="24"/>
          <w:highlight w:val="none"/>
          <w:u w:val="none"/>
        </w:rPr>
        <w:t>78</w:t>
      </w:r>
      <w:r>
        <w:rPr>
          <w:rFonts w:hint="eastAsia" w:ascii="宋体" w:hAnsi="宋体" w:eastAsia="宋体" w:cs="宋体"/>
          <w:color w:val="auto"/>
          <w:sz w:val="24"/>
          <w:szCs w:val="24"/>
          <w:highlight w:val="none"/>
          <w:u w:val="none"/>
        </w:rPr>
        <w:fldChar w:fldCharType="end"/>
      </w:r>
      <w:r>
        <w:rPr>
          <w:rFonts w:hint="eastAsia" w:ascii="宋体" w:hAnsi="宋体" w:eastAsia="宋体" w:cs="宋体"/>
          <w:color w:val="auto"/>
          <w:sz w:val="24"/>
          <w:szCs w:val="24"/>
          <w:highlight w:val="none"/>
          <w:u w:val="none"/>
        </w:rPr>
        <w:fldChar w:fldCharType="end"/>
      </w:r>
    </w:p>
    <w:p w14:paraId="4BC1D063">
      <w:pPr>
        <w:pStyle w:val="15"/>
        <w:shd w:val="clear"/>
        <w:tabs>
          <w:tab w:val="right" w:leader="dot" w:pos="9637"/>
        </w:tabs>
        <w:rPr>
          <w:rFonts w:hint="eastAsia" w:ascii="宋体" w:hAnsi="宋体" w:eastAsia="宋体" w:cs="宋体"/>
          <w:color w:val="auto"/>
          <w:highlight w:val="none"/>
          <w:u w:val="none"/>
        </w:rPr>
      </w:pPr>
      <w:r>
        <w:rPr>
          <w:rFonts w:hint="eastAsia" w:ascii="宋体" w:hAnsi="宋体" w:eastAsia="宋体" w:cs="宋体"/>
          <w:color w:val="auto"/>
          <w:sz w:val="24"/>
          <w:szCs w:val="24"/>
          <w:highlight w:val="none"/>
          <w:u w:val="none"/>
        </w:rPr>
        <w:fldChar w:fldCharType="begin"/>
      </w:r>
      <w:r>
        <w:rPr>
          <w:rFonts w:hint="eastAsia" w:ascii="宋体" w:hAnsi="宋体" w:eastAsia="宋体" w:cs="宋体"/>
          <w:color w:val="auto"/>
          <w:sz w:val="24"/>
          <w:szCs w:val="24"/>
          <w:highlight w:val="none"/>
          <w:u w:val="none"/>
        </w:rPr>
        <w:instrText xml:space="preserve"> HYPERLINK \l _Toc31310 </w:instrText>
      </w:r>
      <w:r>
        <w:rPr>
          <w:rFonts w:hint="eastAsia" w:ascii="宋体" w:hAnsi="宋体" w:eastAsia="宋体" w:cs="宋体"/>
          <w:color w:val="auto"/>
          <w:sz w:val="24"/>
          <w:szCs w:val="24"/>
          <w:highlight w:val="none"/>
          <w:u w:val="none"/>
        </w:rPr>
        <w:fldChar w:fldCharType="separate"/>
      </w:r>
      <w:r>
        <w:rPr>
          <w:rFonts w:hint="eastAsia" w:ascii="宋体" w:hAnsi="宋体" w:eastAsia="宋体" w:cs="宋体"/>
          <w:color w:val="auto"/>
          <w:sz w:val="24"/>
          <w:szCs w:val="24"/>
          <w:highlight w:val="none"/>
          <w:u w:val="none"/>
        </w:rPr>
        <w:t>第七章 质疑、投诉材料格式</w:t>
      </w:r>
      <w:r>
        <w:rPr>
          <w:rFonts w:hint="eastAsia" w:ascii="宋体" w:hAnsi="宋体" w:eastAsia="宋体" w:cs="宋体"/>
          <w:color w:val="auto"/>
          <w:sz w:val="24"/>
          <w:szCs w:val="24"/>
          <w:highlight w:val="none"/>
          <w:u w:val="none"/>
        </w:rPr>
        <w:tab/>
      </w:r>
      <w:r>
        <w:rPr>
          <w:rFonts w:hint="eastAsia" w:ascii="宋体" w:hAnsi="宋体" w:eastAsia="宋体" w:cs="宋体"/>
          <w:color w:val="auto"/>
          <w:sz w:val="24"/>
          <w:szCs w:val="24"/>
          <w:highlight w:val="none"/>
          <w:u w:val="none"/>
        </w:rPr>
        <w:fldChar w:fldCharType="begin"/>
      </w:r>
      <w:r>
        <w:rPr>
          <w:rFonts w:hint="eastAsia" w:ascii="宋体" w:hAnsi="宋体" w:eastAsia="宋体" w:cs="宋体"/>
          <w:color w:val="auto"/>
          <w:sz w:val="24"/>
          <w:szCs w:val="24"/>
          <w:highlight w:val="none"/>
          <w:u w:val="none"/>
        </w:rPr>
        <w:instrText xml:space="preserve"> PAGEREF _Toc31310 </w:instrText>
      </w:r>
      <w:r>
        <w:rPr>
          <w:rFonts w:hint="eastAsia" w:ascii="宋体" w:hAnsi="宋体" w:eastAsia="宋体" w:cs="宋体"/>
          <w:color w:val="auto"/>
          <w:sz w:val="24"/>
          <w:szCs w:val="24"/>
          <w:highlight w:val="none"/>
          <w:u w:val="none"/>
        </w:rPr>
        <w:fldChar w:fldCharType="separate"/>
      </w:r>
      <w:r>
        <w:rPr>
          <w:rFonts w:hint="eastAsia" w:ascii="宋体" w:hAnsi="宋体" w:eastAsia="宋体" w:cs="宋体"/>
          <w:color w:val="auto"/>
          <w:sz w:val="24"/>
          <w:szCs w:val="24"/>
          <w:highlight w:val="none"/>
          <w:u w:val="none"/>
        </w:rPr>
        <w:t>104</w:t>
      </w:r>
      <w:r>
        <w:rPr>
          <w:rFonts w:hint="eastAsia" w:ascii="宋体" w:hAnsi="宋体" w:eastAsia="宋体" w:cs="宋体"/>
          <w:color w:val="auto"/>
          <w:sz w:val="24"/>
          <w:szCs w:val="24"/>
          <w:highlight w:val="none"/>
          <w:u w:val="none"/>
        </w:rPr>
        <w:fldChar w:fldCharType="end"/>
      </w:r>
      <w:r>
        <w:rPr>
          <w:rFonts w:hint="eastAsia" w:ascii="宋体" w:hAnsi="宋体" w:eastAsia="宋体" w:cs="宋体"/>
          <w:color w:val="auto"/>
          <w:sz w:val="24"/>
          <w:szCs w:val="24"/>
          <w:highlight w:val="none"/>
          <w:u w:val="none"/>
        </w:rPr>
        <w:fldChar w:fldCharType="end"/>
      </w:r>
    </w:p>
    <w:p w14:paraId="6B667D10">
      <w:pPr>
        <w:pStyle w:val="12"/>
        <w:shd w:val="clear"/>
        <w:jc w:val="center"/>
        <w:rPr>
          <w:rFonts w:hint="eastAsia" w:ascii="宋体" w:hAnsi="宋体" w:eastAsia="宋体" w:cs="宋体"/>
          <w:color w:val="auto"/>
          <w:highlight w:val="none"/>
        </w:rPr>
      </w:pPr>
      <w:r>
        <w:rPr>
          <w:rFonts w:hint="eastAsia" w:ascii="宋体" w:hAnsi="宋体" w:eastAsia="宋体" w:cs="宋体"/>
          <w:color w:val="auto"/>
          <w:highlight w:val="none"/>
          <w:u w:val="none"/>
        </w:rPr>
        <w:fldChar w:fldCharType="end"/>
      </w:r>
      <w:r>
        <w:rPr>
          <w:rFonts w:hint="eastAsia" w:ascii="宋体" w:hAnsi="宋体" w:eastAsia="宋体" w:cs="宋体"/>
          <w:color w:val="auto"/>
          <w:highlight w:val="none"/>
        </w:rPr>
        <w:tab/>
      </w:r>
      <w:bookmarkStart w:id="0" w:name="_Toc532545041"/>
    </w:p>
    <w:p w14:paraId="2944D41C">
      <w:pPr>
        <w:shd w:val="clear"/>
        <w:rPr>
          <w:rFonts w:hint="eastAsia" w:ascii="宋体" w:hAnsi="宋体" w:eastAsia="宋体" w:cs="宋体"/>
          <w:color w:val="auto"/>
          <w:highlight w:val="none"/>
        </w:rPr>
      </w:pPr>
      <w:r>
        <w:rPr>
          <w:rFonts w:hint="eastAsia" w:ascii="宋体" w:hAnsi="宋体" w:eastAsia="宋体" w:cs="宋体"/>
          <w:color w:val="auto"/>
          <w:highlight w:val="none"/>
        </w:rPr>
        <w:br w:type="page"/>
      </w:r>
    </w:p>
    <w:p w14:paraId="5BE3D493">
      <w:pPr>
        <w:pStyle w:val="12"/>
        <w:shd w:val="clear"/>
        <w:jc w:val="center"/>
        <w:outlineLvl w:val="0"/>
        <w:rPr>
          <w:rFonts w:hint="eastAsia" w:ascii="宋体" w:hAnsi="宋体" w:eastAsia="宋体" w:cs="宋体"/>
          <w:b/>
          <w:color w:val="auto"/>
          <w:sz w:val="36"/>
          <w:szCs w:val="20"/>
          <w:highlight w:val="none"/>
        </w:rPr>
      </w:pPr>
      <w:bookmarkStart w:id="1" w:name="_Toc9949"/>
      <w:bookmarkStart w:id="2" w:name="_Toc8345"/>
      <w:bookmarkStart w:id="3" w:name="_Toc11500"/>
      <w:bookmarkStart w:id="4" w:name="_Toc16222"/>
      <w:bookmarkStart w:id="5" w:name="_Toc20258"/>
      <w:bookmarkStart w:id="6" w:name="_Toc184"/>
      <w:bookmarkStart w:id="7" w:name="_Toc16576"/>
      <w:bookmarkStart w:id="8" w:name="_Toc18459"/>
      <w:bookmarkStart w:id="9" w:name="_Toc18707"/>
      <w:bookmarkStart w:id="10" w:name="_Toc12228"/>
      <w:bookmarkStart w:id="11" w:name="_Toc19537"/>
      <w:r>
        <w:rPr>
          <w:rFonts w:hint="eastAsia" w:ascii="宋体" w:hAnsi="宋体" w:eastAsia="宋体" w:cs="宋体"/>
          <w:b/>
          <w:color w:val="auto"/>
          <w:sz w:val="36"/>
          <w:highlight w:val="none"/>
        </w:rPr>
        <w:t>第一章  招标公告</w:t>
      </w:r>
      <w:bookmarkEnd w:id="0"/>
      <w:bookmarkEnd w:id="1"/>
      <w:bookmarkEnd w:id="2"/>
      <w:bookmarkEnd w:id="3"/>
      <w:bookmarkEnd w:id="4"/>
      <w:bookmarkEnd w:id="5"/>
      <w:bookmarkEnd w:id="6"/>
      <w:bookmarkEnd w:id="7"/>
      <w:bookmarkEnd w:id="8"/>
      <w:bookmarkEnd w:id="9"/>
      <w:bookmarkEnd w:id="10"/>
      <w:bookmarkEnd w:id="11"/>
    </w:p>
    <w:p w14:paraId="142102F6">
      <w:pPr>
        <w:pStyle w:val="12"/>
        <w:shd w:val="clear"/>
        <w:jc w:val="center"/>
        <w:rPr>
          <w:rFonts w:hint="eastAsia" w:ascii="宋体" w:hAnsi="宋体" w:eastAsia="宋体" w:cs="宋体"/>
          <w:b/>
          <w:color w:val="auto"/>
          <w:sz w:val="30"/>
          <w:szCs w:val="30"/>
          <w:highlight w:val="none"/>
        </w:rPr>
      </w:pPr>
    </w:p>
    <w:p w14:paraId="1F98D673">
      <w:pPr>
        <w:pStyle w:val="12"/>
        <w:keepNext w:val="0"/>
        <w:keepLines w:val="0"/>
        <w:pageBreakBefore w:val="0"/>
        <w:widowControl w:val="0"/>
        <w:shd w:val="clear"/>
        <w:kinsoku/>
        <w:wordWrap/>
        <w:overflowPunct/>
        <w:topLinePunct w:val="0"/>
        <w:autoSpaceDE/>
        <w:autoSpaceDN/>
        <w:bidi w:val="0"/>
        <w:adjustRightInd/>
        <w:snapToGrid/>
        <w:spacing w:line="360" w:lineRule="auto"/>
        <w:jc w:val="center"/>
        <w:textAlignment w:val="auto"/>
        <w:rPr>
          <w:rFonts w:hint="default" w:ascii="宋体" w:hAnsi="宋体" w:eastAsia="宋体" w:cs="宋体"/>
          <w:b/>
          <w:color w:val="auto"/>
          <w:sz w:val="30"/>
          <w:szCs w:val="30"/>
          <w:highlight w:val="none"/>
          <w:lang w:val="en-US" w:eastAsia="zh-CN"/>
        </w:rPr>
      </w:pPr>
      <w:r>
        <w:rPr>
          <w:rFonts w:hint="eastAsia" w:ascii="宋体" w:hAnsi="宋体" w:eastAsia="宋体" w:cs="宋体"/>
          <w:b/>
          <w:color w:val="auto"/>
          <w:sz w:val="30"/>
          <w:szCs w:val="30"/>
          <w:highlight w:val="none"/>
        </w:rPr>
        <w:t>广西至胜招标有限公司</w:t>
      </w:r>
      <w:r>
        <w:rPr>
          <w:rFonts w:hint="eastAsia" w:hAnsi="宋体" w:cs="宋体"/>
          <w:b/>
          <w:color w:val="auto"/>
          <w:sz w:val="30"/>
          <w:szCs w:val="30"/>
          <w:highlight w:val="none"/>
          <w:lang w:val="en-US" w:eastAsia="zh-CN"/>
        </w:rPr>
        <w:t>关于2025年“双优”项目建设（QZZC2025-G3-220271-ZSZB）的公开</w:t>
      </w:r>
      <w:r>
        <w:rPr>
          <w:rFonts w:hint="eastAsia" w:ascii="宋体" w:hAnsi="宋体" w:eastAsia="宋体" w:cs="宋体"/>
          <w:b/>
          <w:color w:val="auto"/>
          <w:sz w:val="30"/>
          <w:szCs w:val="30"/>
          <w:highlight w:val="none"/>
        </w:rPr>
        <w:t>招标公告</w:t>
      </w:r>
    </w:p>
    <w:p w14:paraId="7F6D27D9">
      <w:pPr>
        <w:pBdr>
          <w:top w:val="single" w:color="auto" w:sz="4" w:space="1"/>
          <w:left w:val="single" w:color="auto" w:sz="4" w:space="4"/>
          <w:bottom w:val="single" w:color="auto" w:sz="4" w:space="1"/>
          <w:right w:val="single" w:color="auto" w:sz="4" w:space="4"/>
        </w:pBdr>
        <w:shd w:val="clea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项目概况</w:t>
      </w:r>
    </w:p>
    <w:p w14:paraId="1DF89B47">
      <w:pPr>
        <w:pBdr>
          <w:top w:val="single" w:color="auto" w:sz="4" w:space="1"/>
          <w:left w:val="single" w:color="auto" w:sz="4" w:space="4"/>
          <w:bottom w:val="single" w:color="auto" w:sz="4" w:space="1"/>
          <w:right w:val="single" w:color="auto" w:sz="4" w:space="4"/>
        </w:pBdr>
        <w:shd w:val="clear"/>
        <w:spacing w:line="360" w:lineRule="auto"/>
        <w:ind w:firstLine="525" w:firstLineChars="250"/>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u w:val="single"/>
        </w:rPr>
        <w:t xml:space="preserve">2025年“双优”项目建设 </w:t>
      </w:r>
      <w:r>
        <w:rPr>
          <w:rFonts w:hint="eastAsia" w:ascii="宋体" w:hAnsi="宋体" w:eastAsia="宋体" w:cs="宋体"/>
          <w:color w:val="auto"/>
          <w:sz w:val="21"/>
          <w:szCs w:val="21"/>
          <w:highlight w:val="none"/>
        </w:rPr>
        <w:t>招标项目的潜在投标人应在</w:t>
      </w:r>
      <w:r>
        <w:rPr>
          <w:rFonts w:hint="eastAsia" w:ascii="宋体" w:hAnsi="宋体" w:eastAsia="宋体" w:cs="宋体"/>
          <w:b w:val="0"/>
          <w:bCs w:val="0"/>
          <w:color w:val="auto"/>
          <w:sz w:val="21"/>
          <w:szCs w:val="21"/>
          <w:highlight w:val="none"/>
          <w:lang w:val="en-US" w:eastAsia="zh-CN"/>
        </w:rPr>
        <w:t>广西政府采购云平台</w:t>
      </w:r>
      <w:r>
        <w:rPr>
          <w:rFonts w:hint="eastAsia" w:ascii="宋体" w:hAnsi="宋体" w:eastAsia="宋体" w:cs="宋体"/>
          <w:color w:val="auto"/>
          <w:sz w:val="21"/>
          <w:szCs w:val="21"/>
          <w:highlight w:val="none"/>
        </w:rPr>
        <w:t>（</w:t>
      </w:r>
      <w:r>
        <w:rPr>
          <w:rFonts w:hint="eastAsia" w:ascii="宋体" w:hAnsi="宋体" w:eastAsia="宋体" w:cs="宋体"/>
          <w:b w:val="0"/>
          <w:bCs w:val="0"/>
          <w:i w:val="0"/>
          <w:caps w:val="0"/>
          <w:color w:val="auto"/>
          <w:spacing w:val="0"/>
          <w:sz w:val="21"/>
          <w:szCs w:val="21"/>
          <w:highlight w:val="none"/>
        </w:rPr>
        <w:t>https://www.gcy.zfcg.gxzf.gov.cn/</w:t>
      </w:r>
      <w:r>
        <w:rPr>
          <w:rFonts w:hint="eastAsia" w:ascii="宋体" w:hAnsi="宋体" w:eastAsia="宋体" w:cs="宋体"/>
          <w:color w:val="auto"/>
          <w:sz w:val="21"/>
          <w:szCs w:val="21"/>
          <w:highlight w:val="none"/>
        </w:rPr>
        <w:t>）获取招标文件，并于</w:t>
      </w:r>
      <w:bookmarkStart w:id="12" w:name="PO_3000001866_PM015"/>
      <w:bookmarkStart w:id="13" w:name="PO_3000001867_PM015"/>
      <w:r>
        <w:rPr>
          <w:rFonts w:hint="eastAsia" w:ascii="宋体" w:hAnsi="宋体" w:cs="宋体"/>
          <w:color w:val="0000FF"/>
          <w:szCs w:val="21"/>
          <w:highlight w:val="none"/>
          <w:u w:val="single"/>
          <w:lang w:val="en-US" w:eastAsia="zh-CN"/>
        </w:rPr>
        <w:t>2026</w:t>
      </w:r>
      <w:r>
        <w:rPr>
          <w:rFonts w:hint="eastAsia" w:ascii="宋体" w:hAnsi="宋体" w:eastAsia="宋体" w:cs="宋体"/>
          <w:color w:val="0000FF"/>
          <w:szCs w:val="21"/>
          <w:highlight w:val="none"/>
          <w:u w:val="single"/>
        </w:rPr>
        <w:t>年</w:t>
      </w:r>
      <w:r>
        <w:rPr>
          <w:rFonts w:hint="eastAsia" w:ascii="宋体" w:hAnsi="宋体" w:cs="宋体"/>
          <w:color w:val="0000FF"/>
          <w:szCs w:val="21"/>
          <w:highlight w:val="none"/>
          <w:u w:val="single"/>
          <w:lang w:val="en-US" w:eastAsia="zh-CN"/>
        </w:rPr>
        <w:t>3</w:t>
      </w:r>
      <w:r>
        <w:rPr>
          <w:rFonts w:hint="eastAsia" w:ascii="宋体" w:hAnsi="宋体" w:eastAsia="宋体" w:cs="宋体"/>
          <w:color w:val="0000FF"/>
          <w:szCs w:val="21"/>
          <w:highlight w:val="none"/>
          <w:u w:val="single"/>
        </w:rPr>
        <w:t>月</w:t>
      </w:r>
      <w:r>
        <w:rPr>
          <w:rFonts w:hint="eastAsia" w:ascii="宋体" w:hAnsi="宋体" w:cs="宋体"/>
          <w:color w:val="0000FF"/>
          <w:szCs w:val="21"/>
          <w:highlight w:val="none"/>
          <w:u w:val="single"/>
          <w:lang w:val="en-US" w:eastAsia="zh-CN"/>
        </w:rPr>
        <w:t>9</w:t>
      </w:r>
      <w:r>
        <w:rPr>
          <w:rFonts w:hint="eastAsia" w:ascii="宋体" w:hAnsi="宋体" w:eastAsia="宋体" w:cs="宋体"/>
          <w:color w:val="0000FF"/>
          <w:szCs w:val="21"/>
          <w:highlight w:val="none"/>
          <w:u w:val="single"/>
        </w:rPr>
        <w:t>日</w:t>
      </w:r>
      <w:r>
        <w:rPr>
          <w:rFonts w:hint="eastAsia" w:ascii="宋体" w:hAnsi="宋体" w:cs="宋体"/>
          <w:color w:val="0000FF"/>
          <w:szCs w:val="21"/>
          <w:highlight w:val="none"/>
          <w:u w:val="single"/>
          <w:lang w:val="en-US" w:eastAsia="zh-CN"/>
        </w:rPr>
        <w:t>9</w:t>
      </w:r>
      <w:r>
        <w:rPr>
          <w:rFonts w:hint="eastAsia" w:ascii="宋体" w:hAnsi="宋体" w:cs="宋体"/>
          <w:color w:val="0000FF"/>
          <w:szCs w:val="21"/>
          <w:highlight w:val="none"/>
          <w:u w:val="single"/>
          <w:lang w:eastAsia="zh-CN"/>
        </w:rPr>
        <w:t>时</w:t>
      </w:r>
      <w:r>
        <w:rPr>
          <w:rFonts w:hint="eastAsia" w:ascii="宋体" w:hAnsi="宋体" w:cs="宋体"/>
          <w:color w:val="0000FF"/>
          <w:szCs w:val="21"/>
          <w:highlight w:val="none"/>
          <w:u w:val="single"/>
          <w:lang w:val="en-US" w:eastAsia="zh-CN"/>
        </w:rPr>
        <w:t>30</w:t>
      </w:r>
      <w:r>
        <w:rPr>
          <w:rFonts w:hint="eastAsia" w:ascii="宋体" w:hAnsi="宋体" w:eastAsia="宋体" w:cs="宋体"/>
          <w:color w:val="0000FF"/>
          <w:szCs w:val="21"/>
          <w:highlight w:val="none"/>
          <w:u w:val="single"/>
          <w:lang w:val="en-US" w:eastAsia="zh-CN"/>
        </w:rPr>
        <w:t>分</w:t>
      </w:r>
      <w:bookmarkEnd w:id="12"/>
      <w:bookmarkEnd w:id="13"/>
      <w:r>
        <w:rPr>
          <w:rFonts w:hint="eastAsia" w:ascii="宋体" w:hAnsi="宋体" w:eastAsia="宋体" w:cs="宋体"/>
          <w:bCs/>
          <w:color w:val="auto"/>
          <w:sz w:val="21"/>
          <w:szCs w:val="21"/>
          <w:highlight w:val="none"/>
        </w:rPr>
        <w:t>（北京时间）前</w:t>
      </w:r>
      <w:r>
        <w:rPr>
          <w:rFonts w:hint="eastAsia" w:ascii="宋体" w:hAnsi="宋体" w:eastAsia="宋体" w:cs="宋体"/>
          <w:color w:val="auto"/>
          <w:sz w:val="21"/>
          <w:szCs w:val="21"/>
          <w:highlight w:val="none"/>
        </w:rPr>
        <w:t>递交投标文件。</w:t>
      </w:r>
    </w:p>
    <w:p w14:paraId="76FCB692">
      <w:pPr>
        <w:shd w:val="clear"/>
        <w:spacing w:line="360" w:lineRule="auto"/>
        <w:rPr>
          <w:rFonts w:hint="eastAsia" w:ascii="宋体" w:hAnsi="宋体" w:eastAsia="宋体" w:cs="宋体"/>
          <w:b/>
          <w:bCs/>
          <w:color w:val="auto"/>
          <w:sz w:val="24"/>
          <w:highlight w:val="none"/>
        </w:rPr>
      </w:pPr>
      <w:bookmarkStart w:id="14" w:name="_Toc35393790"/>
      <w:bookmarkStart w:id="15" w:name="_Toc28359079"/>
      <w:bookmarkStart w:id="16" w:name="_Toc28359002"/>
      <w:bookmarkStart w:id="17" w:name="_Toc35393621"/>
      <w:bookmarkStart w:id="18" w:name="_Hlk24379207"/>
      <w:r>
        <w:rPr>
          <w:rFonts w:hint="eastAsia" w:ascii="宋体" w:hAnsi="宋体" w:eastAsia="宋体" w:cs="宋体"/>
          <w:b/>
          <w:bCs/>
          <w:color w:val="auto"/>
          <w:sz w:val="24"/>
          <w:highlight w:val="none"/>
        </w:rPr>
        <w:t>一、项目基本情况</w:t>
      </w:r>
      <w:bookmarkEnd w:id="14"/>
      <w:bookmarkEnd w:id="15"/>
      <w:bookmarkEnd w:id="16"/>
      <w:bookmarkEnd w:id="17"/>
    </w:p>
    <w:p w14:paraId="2B143C03">
      <w:pPr>
        <w:shd w:val="clear"/>
        <w:spacing w:line="360" w:lineRule="auto"/>
        <w:ind w:firstLine="422" w:firstLineChars="200"/>
        <w:rPr>
          <w:rFonts w:hint="eastAsia" w:ascii="宋体" w:hAnsi="宋体" w:eastAsia="宋体" w:cs="宋体"/>
          <w:color w:val="auto"/>
          <w:szCs w:val="21"/>
          <w:highlight w:val="none"/>
          <w:lang w:val="en-US" w:eastAsia="zh-CN"/>
        </w:rPr>
      </w:pPr>
      <w:r>
        <w:rPr>
          <w:rFonts w:hint="eastAsia" w:ascii="宋体" w:hAnsi="宋体" w:eastAsia="宋体" w:cs="宋体"/>
          <w:b/>
          <w:bCs/>
          <w:color w:val="auto"/>
          <w:szCs w:val="21"/>
          <w:highlight w:val="none"/>
        </w:rPr>
        <w:t>项目编号</w:t>
      </w:r>
      <w:r>
        <w:rPr>
          <w:rFonts w:hint="eastAsia" w:ascii="宋体" w:hAnsi="宋体" w:eastAsia="宋体" w:cs="宋体"/>
          <w:b w:val="0"/>
          <w:bCs w:val="0"/>
          <w:color w:val="auto"/>
          <w:szCs w:val="21"/>
          <w:highlight w:val="none"/>
        </w:rPr>
        <w:t>：QZZC2025-G3-220271-ZSZB</w:t>
      </w:r>
    </w:p>
    <w:p w14:paraId="3CB3D769">
      <w:pPr>
        <w:shd w:val="clear"/>
        <w:spacing w:line="360" w:lineRule="auto"/>
        <w:ind w:firstLine="422" w:firstLineChars="200"/>
        <w:rPr>
          <w:rFonts w:hint="eastAsia" w:ascii="宋体" w:hAnsi="宋体" w:eastAsia="宋体" w:cs="宋体"/>
          <w:color w:val="auto"/>
          <w:szCs w:val="21"/>
          <w:highlight w:val="none"/>
          <w:lang w:val="en-US" w:eastAsia="zh-CN"/>
        </w:rPr>
      </w:pPr>
      <w:r>
        <w:rPr>
          <w:rFonts w:hint="eastAsia" w:ascii="宋体" w:hAnsi="宋体" w:eastAsia="宋体" w:cs="宋体"/>
          <w:b/>
          <w:bCs/>
          <w:color w:val="auto"/>
          <w:szCs w:val="21"/>
          <w:highlight w:val="none"/>
        </w:rPr>
        <w:t>项目名称：</w:t>
      </w:r>
      <w:bookmarkEnd w:id="18"/>
      <w:r>
        <w:rPr>
          <w:rFonts w:hint="eastAsia" w:ascii="宋体" w:hAnsi="宋体" w:cs="宋体"/>
          <w:b w:val="0"/>
          <w:bCs w:val="0"/>
          <w:color w:val="auto"/>
          <w:szCs w:val="21"/>
          <w:highlight w:val="none"/>
          <w:lang w:eastAsia="zh-CN"/>
        </w:rPr>
        <w:t>2025年“双优”项目建设</w:t>
      </w:r>
    </w:p>
    <w:p w14:paraId="2526BBDC">
      <w:pPr>
        <w:shd w:val="clear"/>
        <w:spacing w:line="360" w:lineRule="auto"/>
        <w:ind w:firstLine="422" w:firstLineChars="200"/>
        <w:rPr>
          <w:rFonts w:hint="eastAsia" w:ascii="宋体" w:hAnsi="宋体" w:eastAsia="宋体" w:cs="宋体"/>
          <w:color w:val="auto"/>
          <w:szCs w:val="21"/>
          <w:highlight w:val="none"/>
          <w:lang w:eastAsia="zh-CN"/>
        </w:rPr>
      </w:pPr>
      <w:r>
        <w:rPr>
          <w:rFonts w:hint="eastAsia" w:ascii="宋体" w:hAnsi="宋体" w:eastAsia="宋体" w:cs="宋体"/>
          <w:b/>
          <w:bCs/>
          <w:color w:val="auto"/>
          <w:szCs w:val="21"/>
          <w:highlight w:val="none"/>
        </w:rPr>
        <w:t>预算</w:t>
      </w:r>
      <w:r>
        <w:rPr>
          <w:rFonts w:hint="eastAsia" w:ascii="宋体" w:hAnsi="宋体" w:cs="宋体"/>
          <w:b/>
          <w:bCs/>
          <w:color w:val="auto"/>
          <w:szCs w:val="21"/>
          <w:highlight w:val="none"/>
          <w:lang w:eastAsia="zh-CN"/>
        </w:rPr>
        <w:t>总</w:t>
      </w:r>
      <w:r>
        <w:rPr>
          <w:rFonts w:hint="eastAsia" w:ascii="宋体" w:hAnsi="宋体" w:eastAsia="宋体" w:cs="宋体"/>
          <w:b/>
          <w:bCs/>
          <w:color w:val="auto"/>
          <w:szCs w:val="21"/>
          <w:highlight w:val="none"/>
        </w:rPr>
        <w:t>金额</w:t>
      </w:r>
      <w:r>
        <w:rPr>
          <w:rFonts w:hint="eastAsia" w:ascii="宋体" w:hAnsi="宋体" w:cs="宋体"/>
          <w:b/>
          <w:bCs/>
          <w:color w:val="auto"/>
          <w:szCs w:val="21"/>
          <w:highlight w:val="none"/>
          <w:lang w:eastAsia="zh-CN"/>
        </w:rPr>
        <w:t>（元）</w:t>
      </w:r>
      <w:r>
        <w:rPr>
          <w:rFonts w:hint="eastAsia" w:ascii="宋体" w:hAnsi="宋体" w:eastAsia="宋体" w:cs="宋体"/>
          <w:b/>
          <w:bCs/>
          <w:color w:val="auto"/>
          <w:szCs w:val="21"/>
          <w:highlight w:val="none"/>
        </w:rPr>
        <w:t>：</w:t>
      </w:r>
      <w:bookmarkStart w:id="19" w:name="PO_3000001867_PM001392"/>
      <w:r>
        <w:rPr>
          <w:rFonts w:hint="eastAsia" w:ascii="宋体" w:hAnsi="宋体" w:cs="宋体"/>
          <w:b w:val="0"/>
          <w:bCs w:val="0"/>
          <w:color w:val="auto"/>
          <w:szCs w:val="21"/>
          <w:highlight w:val="none"/>
          <w:lang w:val="en-US" w:eastAsia="zh-CN"/>
        </w:rPr>
        <w:t>3250000.00</w:t>
      </w:r>
      <w:bookmarkEnd w:id="19"/>
    </w:p>
    <w:p w14:paraId="1B7AE98E">
      <w:pPr>
        <w:shd w:val="clear"/>
        <w:spacing w:line="360" w:lineRule="auto"/>
        <w:ind w:firstLine="422" w:firstLineChars="200"/>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采购需求：</w:t>
      </w:r>
    </w:p>
    <w:p w14:paraId="1787E13B">
      <w:pPr>
        <w:shd w:val="clear"/>
        <w:spacing w:line="360" w:lineRule="auto"/>
        <w:ind w:firstLine="422" w:firstLineChars="200"/>
        <w:rPr>
          <w:rFonts w:hint="eastAsia" w:ascii="宋体" w:hAnsi="宋体" w:eastAsia="宋体" w:cs="宋体"/>
          <w:b/>
          <w:bCs/>
          <w:color w:val="auto"/>
          <w:szCs w:val="21"/>
          <w:highlight w:val="none"/>
          <w:lang w:eastAsia="zh-CN"/>
        </w:rPr>
      </w:pPr>
      <w:r>
        <w:rPr>
          <w:rFonts w:hint="eastAsia" w:ascii="宋体" w:hAnsi="宋体" w:cs="宋体"/>
          <w:b/>
          <w:bCs/>
          <w:color w:val="auto"/>
          <w:szCs w:val="21"/>
          <w:highlight w:val="none"/>
          <w:lang w:eastAsia="zh-CN"/>
        </w:rPr>
        <w:t>标项一</w:t>
      </w:r>
    </w:p>
    <w:p w14:paraId="6C34F12C">
      <w:pPr>
        <w:shd w:val="clear"/>
        <w:spacing w:line="360" w:lineRule="auto"/>
        <w:ind w:firstLine="420" w:firstLineChars="200"/>
        <w:rPr>
          <w:rFonts w:hint="eastAsia" w:ascii="宋体" w:hAnsi="宋体" w:eastAsia="宋体" w:cs="宋体"/>
          <w:b w:val="0"/>
          <w:bCs w:val="0"/>
          <w:color w:val="auto"/>
          <w:szCs w:val="21"/>
          <w:highlight w:val="none"/>
        </w:rPr>
      </w:pPr>
      <w:r>
        <w:rPr>
          <w:rFonts w:hint="eastAsia" w:ascii="宋体" w:hAnsi="宋体" w:eastAsia="宋体" w:cs="宋体"/>
          <w:b w:val="0"/>
          <w:bCs w:val="0"/>
          <w:color w:val="auto"/>
          <w:szCs w:val="21"/>
          <w:highlight w:val="none"/>
        </w:rPr>
        <w:t>标项名称</w:t>
      </w:r>
      <w:r>
        <w:rPr>
          <w:rFonts w:hint="eastAsia" w:ascii="宋体" w:hAnsi="宋体" w:cs="宋体"/>
          <w:b w:val="0"/>
          <w:bCs w:val="0"/>
          <w:color w:val="auto"/>
          <w:szCs w:val="21"/>
          <w:highlight w:val="none"/>
          <w:lang w:eastAsia="zh-CN"/>
        </w:rPr>
        <w:t>：2025年“双优”项目建设标项一</w:t>
      </w:r>
    </w:p>
    <w:p w14:paraId="7B12FEA9">
      <w:pPr>
        <w:shd w:val="clear"/>
        <w:spacing w:line="360" w:lineRule="auto"/>
        <w:ind w:firstLine="420" w:firstLineChars="200"/>
        <w:rPr>
          <w:rFonts w:hint="eastAsia" w:ascii="宋体" w:hAnsi="宋体" w:eastAsia="宋体" w:cs="宋体"/>
          <w:b w:val="0"/>
          <w:bCs w:val="0"/>
          <w:color w:val="auto"/>
          <w:szCs w:val="21"/>
          <w:highlight w:val="none"/>
        </w:rPr>
      </w:pPr>
      <w:r>
        <w:rPr>
          <w:rFonts w:hint="eastAsia" w:ascii="宋体" w:hAnsi="宋体" w:eastAsia="宋体" w:cs="宋体"/>
          <w:b w:val="0"/>
          <w:bCs w:val="0"/>
          <w:color w:val="auto"/>
          <w:szCs w:val="21"/>
          <w:highlight w:val="none"/>
        </w:rPr>
        <w:t>数量</w:t>
      </w:r>
      <w:r>
        <w:rPr>
          <w:rFonts w:hint="eastAsia" w:ascii="宋体" w:hAnsi="宋体" w:cs="宋体"/>
          <w:b w:val="0"/>
          <w:bCs w:val="0"/>
          <w:color w:val="auto"/>
          <w:szCs w:val="21"/>
          <w:highlight w:val="none"/>
          <w:lang w:eastAsia="zh-CN"/>
        </w:rPr>
        <w:t>：</w:t>
      </w:r>
      <w:r>
        <w:rPr>
          <w:rFonts w:hint="eastAsia" w:ascii="宋体" w:hAnsi="宋体" w:eastAsia="宋体" w:cs="宋体"/>
          <w:b w:val="0"/>
          <w:bCs w:val="0"/>
          <w:color w:val="auto"/>
          <w:szCs w:val="21"/>
          <w:highlight w:val="none"/>
        </w:rPr>
        <w:t>1</w:t>
      </w:r>
    </w:p>
    <w:p w14:paraId="0A049D30">
      <w:pPr>
        <w:shd w:val="clear"/>
        <w:spacing w:line="360" w:lineRule="auto"/>
        <w:ind w:firstLine="420" w:firstLineChars="200"/>
        <w:rPr>
          <w:rFonts w:hint="eastAsia" w:ascii="宋体" w:hAnsi="宋体" w:eastAsia="宋体" w:cs="宋体"/>
          <w:b w:val="0"/>
          <w:bCs w:val="0"/>
          <w:color w:val="auto"/>
          <w:szCs w:val="21"/>
          <w:highlight w:val="none"/>
        </w:rPr>
      </w:pPr>
      <w:r>
        <w:rPr>
          <w:rFonts w:hint="eastAsia" w:ascii="宋体" w:hAnsi="宋体" w:eastAsia="宋体" w:cs="宋体"/>
          <w:b w:val="0"/>
          <w:bCs w:val="0"/>
          <w:color w:val="auto"/>
          <w:szCs w:val="21"/>
          <w:highlight w:val="none"/>
        </w:rPr>
        <w:t>预算金额（元）</w:t>
      </w:r>
      <w:r>
        <w:rPr>
          <w:rFonts w:hint="eastAsia" w:ascii="宋体" w:hAnsi="宋体" w:cs="宋体"/>
          <w:b w:val="0"/>
          <w:bCs w:val="0"/>
          <w:color w:val="auto"/>
          <w:szCs w:val="21"/>
          <w:highlight w:val="none"/>
          <w:lang w:eastAsia="zh-CN"/>
        </w:rPr>
        <w:t>：</w:t>
      </w:r>
      <w:r>
        <w:rPr>
          <w:rFonts w:hint="eastAsia" w:ascii="宋体" w:hAnsi="宋体" w:cs="宋体"/>
          <w:b w:val="0"/>
          <w:bCs w:val="0"/>
          <w:color w:val="auto"/>
          <w:szCs w:val="21"/>
          <w:highlight w:val="none"/>
          <w:lang w:val="en-US" w:eastAsia="zh-CN"/>
        </w:rPr>
        <w:t>860000.00</w:t>
      </w:r>
    </w:p>
    <w:p w14:paraId="5FE2AD5C">
      <w:pPr>
        <w:shd w:val="clear"/>
        <w:spacing w:line="360" w:lineRule="auto"/>
        <w:ind w:firstLine="420" w:firstLineChars="200"/>
        <w:rPr>
          <w:rFonts w:hint="eastAsia" w:ascii="宋体" w:hAnsi="宋体" w:eastAsia="宋体" w:cs="宋体"/>
          <w:b w:val="0"/>
          <w:bCs w:val="0"/>
          <w:color w:val="auto"/>
          <w:szCs w:val="21"/>
          <w:highlight w:val="none"/>
        </w:rPr>
      </w:pPr>
      <w:r>
        <w:rPr>
          <w:rFonts w:hint="eastAsia" w:ascii="宋体" w:hAnsi="宋体" w:eastAsia="宋体" w:cs="宋体"/>
          <w:b w:val="0"/>
          <w:bCs w:val="0"/>
          <w:color w:val="auto"/>
          <w:szCs w:val="21"/>
          <w:highlight w:val="none"/>
        </w:rPr>
        <w:t>简要规格描述或项目基本概况介绍、用途：</w:t>
      </w:r>
      <w:r>
        <w:rPr>
          <w:rFonts w:hint="eastAsia"/>
          <w:b w:val="0"/>
          <w:bCs w:val="0"/>
          <w:color w:val="auto"/>
          <w:sz w:val="21"/>
          <w:szCs w:val="21"/>
          <w:highlight w:val="none"/>
          <w:vertAlign w:val="baseline"/>
        </w:rPr>
        <w:t>教师技能比赛能力提升</w:t>
      </w:r>
      <w:r>
        <w:rPr>
          <w:rFonts w:hint="eastAsia"/>
          <w:b w:val="0"/>
          <w:bCs w:val="0"/>
          <w:color w:val="auto"/>
          <w:sz w:val="21"/>
          <w:szCs w:val="21"/>
          <w:highlight w:val="none"/>
          <w:vertAlign w:val="baseline"/>
          <w:lang w:eastAsia="zh-CN"/>
        </w:rPr>
        <w:t>、</w:t>
      </w:r>
      <w:r>
        <w:rPr>
          <w:rFonts w:hint="eastAsia"/>
          <w:b w:val="0"/>
          <w:bCs w:val="0"/>
          <w:color w:val="auto"/>
          <w:sz w:val="21"/>
          <w:szCs w:val="21"/>
          <w:highlight w:val="none"/>
          <w:vertAlign w:val="baseline"/>
        </w:rPr>
        <w:t>教师教学创新团队</w:t>
      </w:r>
      <w:r>
        <w:rPr>
          <w:rFonts w:hint="eastAsia"/>
          <w:b w:val="0"/>
          <w:bCs w:val="0"/>
          <w:color w:val="auto"/>
          <w:sz w:val="21"/>
          <w:szCs w:val="21"/>
          <w:highlight w:val="none"/>
          <w:vertAlign w:val="baseline"/>
          <w:lang w:eastAsia="zh-CN"/>
        </w:rPr>
        <w:t>、</w:t>
      </w:r>
      <w:r>
        <w:rPr>
          <w:rFonts w:hint="eastAsia"/>
          <w:b w:val="0"/>
          <w:bCs w:val="0"/>
          <w:color w:val="auto"/>
          <w:sz w:val="21"/>
          <w:szCs w:val="21"/>
          <w:highlight w:val="none"/>
          <w:vertAlign w:val="baseline"/>
        </w:rPr>
        <w:t>成果提炼及应用推广</w:t>
      </w:r>
      <w:r>
        <w:rPr>
          <w:rFonts w:hint="eastAsia"/>
          <w:b w:val="0"/>
          <w:bCs w:val="0"/>
          <w:color w:val="auto"/>
          <w:sz w:val="21"/>
          <w:szCs w:val="21"/>
          <w:highlight w:val="none"/>
          <w:vertAlign w:val="baseline"/>
          <w:lang w:eastAsia="zh-CN"/>
        </w:rPr>
        <w:t>、</w:t>
      </w:r>
      <w:r>
        <w:rPr>
          <w:rFonts w:hint="eastAsia"/>
          <w:b w:val="0"/>
          <w:bCs w:val="0"/>
          <w:color w:val="auto"/>
          <w:sz w:val="21"/>
          <w:szCs w:val="21"/>
          <w:highlight w:val="none"/>
          <w:vertAlign w:val="baseline"/>
        </w:rPr>
        <w:t>典型案例</w:t>
      </w:r>
      <w:r>
        <w:rPr>
          <w:rFonts w:hint="eastAsia" w:ascii="宋体" w:hAnsi="宋体" w:eastAsia="宋体" w:cs="宋体"/>
          <w:b w:val="0"/>
          <w:bCs w:val="0"/>
          <w:color w:val="auto"/>
          <w:szCs w:val="21"/>
          <w:highlight w:val="none"/>
        </w:rPr>
        <w:t>，如需进一步了解详细内容，详见招标文件。</w:t>
      </w:r>
    </w:p>
    <w:p w14:paraId="48EB1552">
      <w:pPr>
        <w:shd w:val="clear"/>
        <w:spacing w:line="360" w:lineRule="auto"/>
        <w:ind w:firstLine="420" w:firstLineChars="200"/>
        <w:rPr>
          <w:rFonts w:hint="eastAsia" w:ascii="宋体" w:hAnsi="宋体" w:eastAsia="宋体" w:cs="宋体"/>
          <w:b w:val="0"/>
          <w:bCs w:val="0"/>
          <w:color w:val="auto"/>
          <w:szCs w:val="21"/>
          <w:highlight w:val="none"/>
        </w:rPr>
      </w:pPr>
      <w:r>
        <w:rPr>
          <w:rFonts w:hint="eastAsia" w:ascii="宋体" w:hAnsi="宋体" w:eastAsia="宋体" w:cs="宋体"/>
          <w:b w:val="0"/>
          <w:bCs w:val="0"/>
          <w:color w:val="auto"/>
          <w:szCs w:val="21"/>
          <w:highlight w:val="none"/>
        </w:rPr>
        <w:t>最高限价（如有）：</w:t>
      </w:r>
      <w:r>
        <w:rPr>
          <w:rFonts w:hint="eastAsia" w:ascii="宋体" w:hAnsi="宋体" w:cs="宋体"/>
          <w:b w:val="0"/>
          <w:bCs w:val="0"/>
          <w:color w:val="auto"/>
          <w:szCs w:val="21"/>
          <w:highlight w:val="none"/>
          <w:lang w:val="en-US" w:eastAsia="zh-CN"/>
        </w:rPr>
        <w:t>无</w:t>
      </w:r>
      <w:r>
        <w:rPr>
          <w:rFonts w:hint="eastAsia" w:ascii="宋体" w:hAnsi="宋体" w:eastAsia="宋体" w:cs="宋体"/>
          <w:b w:val="0"/>
          <w:bCs w:val="0"/>
          <w:color w:val="auto"/>
          <w:szCs w:val="21"/>
          <w:highlight w:val="none"/>
        </w:rPr>
        <w:t xml:space="preserve"> </w:t>
      </w:r>
    </w:p>
    <w:p w14:paraId="670C75AA">
      <w:pPr>
        <w:shd w:val="clear"/>
        <w:spacing w:line="360" w:lineRule="auto"/>
        <w:ind w:firstLine="420" w:firstLineChars="200"/>
        <w:rPr>
          <w:rFonts w:hint="eastAsia" w:ascii="宋体" w:hAnsi="宋体" w:eastAsia="宋体" w:cs="宋体"/>
          <w:b w:val="0"/>
          <w:bCs w:val="0"/>
          <w:color w:val="auto"/>
          <w:szCs w:val="21"/>
          <w:highlight w:val="none"/>
        </w:rPr>
      </w:pPr>
      <w:r>
        <w:rPr>
          <w:rFonts w:hint="eastAsia" w:ascii="宋体" w:hAnsi="宋体" w:eastAsia="宋体" w:cs="宋体"/>
          <w:b w:val="0"/>
          <w:bCs w:val="0"/>
          <w:color w:val="auto"/>
          <w:szCs w:val="21"/>
          <w:highlight w:val="none"/>
        </w:rPr>
        <w:t>合同履约期限：自签订合同之日起</w:t>
      </w:r>
      <w:r>
        <w:rPr>
          <w:rFonts w:hint="eastAsia" w:ascii="宋体" w:hAnsi="宋体" w:cs="宋体"/>
          <w:b w:val="0"/>
          <w:bCs w:val="0"/>
          <w:color w:val="auto"/>
          <w:szCs w:val="21"/>
          <w:highlight w:val="none"/>
          <w:lang w:eastAsia="zh-CN"/>
        </w:rPr>
        <w:t>至项目服务期结束止</w:t>
      </w:r>
      <w:r>
        <w:rPr>
          <w:rFonts w:hint="eastAsia" w:ascii="宋体" w:hAnsi="宋体" w:eastAsia="宋体" w:cs="宋体"/>
          <w:b w:val="0"/>
          <w:bCs w:val="0"/>
          <w:color w:val="auto"/>
          <w:szCs w:val="21"/>
          <w:highlight w:val="none"/>
        </w:rPr>
        <w:t>。</w:t>
      </w:r>
    </w:p>
    <w:p w14:paraId="17470480">
      <w:pPr>
        <w:shd w:val="clear"/>
        <w:spacing w:line="360" w:lineRule="auto"/>
        <w:ind w:firstLine="420" w:firstLineChars="200"/>
        <w:rPr>
          <w:rFonts w:hint="eastAsia" w:ascii="宋体" w:hAnsi="宋体" w:eastAsia="宋体" w:cs="宋体"/>
          <w:b w:val="0"/>
          <w:bCs w:val="0"/>
          <w:color w:val="auto"/>
          <w:szCs w:val="21"/>
          <w:highlight w:val="none"/>
        </w:rPr>
      </w:pPr>
      <w:r>
        <w:rPr>
          <w:rFonts w:hint="eastAsia" w:ascii="宋体" w:hAnsi="宋体" w:eastAsia="宋体" w:cs="宋体"/>
          <w:b w:val="0"/>
          <w:bCs w:val="0"/>
          <w:color w:val="auto"/>
          <w:szCs w:val="21"/>
          <w:highlight w:val="none"/>
        </w:rPr>
        <w:t>本标项（否）接受联合体投标</w:t>
      </w:r>
    </w:p>
    <w:p w14:paraId="48BA8198">
      <w:pPr>
        <w:shd w:val="clear"/>
        <w:spacing w:line="360" w:lineRule="auto"/>
        <w:ind w:firstLine="420" w:firstLineChars="200"/>
        <w:rPr>
          <w:rFonts w:hint="eastAsia" w:ascii="宋体" w:hAnsi="宋体" w:cs="宋体"/>
          <w:b w:val="0"/>
          <w:bCs w:val="0"/>
          <w:color w:val="auto"/>
          <w:szCs w:val="21"/>
          <w:highlight w:val="none"/>
          <w:lang w:eastAsia="zh-CN"/>
        </w:rPr>
      </w:pPr>
      <w:r>
        <w:rPr>
          <w:rFonts w:hint="eastAsia" w:ascii="宋体" w:hAnsi="宋体" w:eastAsia="宋体" w:cs="宋体"/>
          <w:b w:val="0"/>
          <w:bCs w:val="0"/>
          <w:color w:val="auto"/>
          <w:szCs w:val="21"/>
          <w:highlight w:val="none"/>
        </w:rPr>
        <w:t>备注：</w:t>
      </w:r>
      <w:r>
        <w:rPr>
          <w:rFonts w:hint="eastAsia" w:ascii="宋体" w:hAnsi="宋体" w:cs="宋体"/>
          <w:b w:val="0"/>
          <w:bCs w:val="0"/>
          <w:color w:val="auto"/>
          <w:szCs w:val="21"/>
          <w:highlight w:val="none"/>
          <w:lang w:eastAsia="zh-CN"/>
        </w:rPr>
        <w:t>无</w:t>
      </w:r>
    </w:p>
    <w:p w14:paraId="03DC3AFA">
      <w:pPr>
        <w:shd w:val="clear"/>
        <w:spacing w:line="360" w:lineRule="auto"/>
        <w:ind w:firstLine="422" w:firstLineChars="200"/>
        <w:rPr>
          <w:rFonts w:hint="eastAsia" w:ascii="宋体" w:hAnsi="宋体" w:eastAsia="宋体" w:cs="宋体"/>
          <w:b/>
          <w:bCs/>
          <w:color w:val="auto"/>
          <w:szCs w:val="21"/>
          <w:highlight w:val="none"/>
          <w:lang w:eastAsia="zh-CN"/>
        </w:rPr>
      </w:pPr>
      <w:r>
        <w:rPr>
          <w:rFonts w:hint="eastAsia" w:ascii="宋体" w:hAnsi="宋体" w:cs="宋体"/>
          <w:b/>
          <w:bCs/>
          <w:color w:val="auto"/>
          <w:szCs w:val="21"/>
          <w:highlight w:val="none"/>
          <w:lang w:eastAsia="zh-CN"/>
        </w:rPr>
        <w:t>标项二</w:t>
      </w:r>
    </w:p>
    <w:p w14:paraId="726DC099">
      <w:pPr>
        <w:shd w:val="clear"/>
        <w:spacing w:line="360" w:lineRule="auto"/>
        <w:ind w:firstLine="420" w:firstLineChars="200"/>
        <w:rPr>
          <w:rFonts w:hint="eastAsia" w:ascii="宋体" w:hAnsi="宋体" w:eastAsia="宋体" w:cs="宋体"/>
          <w:b w:val="0"/>
          <w:bCs w:val="0"/>
          <w:color w:val="auto"/>
          <w:szCs w:val="21"/>
          <w:highlight w:val="none"/>
        </w:rPr>
      </w:pPr>
      <w:r>
        <w:rPr>
          <w:rFonts w:hint="eastAsia" w:ascii="宋体" w:hAnsi="宋体" w:eastAsia="宋体" w:cs="宋体"/>
          <w:b w:val="0"/>
          <w:bCs w:val="0"/>
          <w:color w:val="auto"/>
          <w:szCs w:val="21"/>
          <w:highlight w:val="none"/>
        </w:rPr>
        <w:t>标项名称</w:t>
      </w:r>
      <w:r>
        <w:rPr>
          <w:rFonts w:hint="eastAsia" w:ascii="宋体" w:hAnsi="宋体" w:cs="宋体"/>
          <w:b w:val="0"/>
          <w:bCs w:val="0"/>
          <w:color w:val="auto"/>
          <w:szCs w:val="21"/>
          <w:highlight w:val="none"/>
          <w:lang w:eastAsia="zh-CN"/>
        </w:rPr>
        <w:t>：2025年“双优”项目建设标项二</w:t>
      </w:r>
    </w:p>
    <w:p w14:paraId="499C6A3C">
      <w:pPr>
        <w:shd w:val="clear"/>
        <w:spacing w:line="360" w:lineRule="auto"/>
        <w:ind w:firstLine="420" w:firstLineChars="200"/>
        <w:rPr>
          <w:rFonts w:hint="eastAsia" w:ascii="宋体" w:hAnsi="宋体" w:eastAsia="宋体" w:cs="宋体"/>
          <w:b w:val="0"/>
          <w:bCs w:val="0"/>
          <w:color w:val="auto"/>
          <w:szCs w:val="21"/>
          <w:highlight w:val="none"/>
        </w:rPr>
      </w:pPr>
      <w:r>
        <w:rPr>
          <w:rFonts w:hint="eastAsia" w:ascii="宋体" w:hAnsi="宋体" w:eastAsia="宋体" w:cs="宋体"/>
          <w:b w:val="0"/>
          <w:bCs w:val="0"/>
          <w:color w:val="auto"/>
          <w:szCs w:val="21"/>
          <w:highlight w:val="none"/>
        </w:rPr>
        <w:t>数量</w:t>
      </w:r>
      <w:r>
        <w:rPr>
          <w:rFonts w:hint="eastAsia" w:ascii="宋体" w:hAnsi="宋体" w:cs="宋体"/>
          <w:b w:val="0"/>
          <w:bCs w:val="0"/>
          <w:color w:val="auto"/>
          <w:szCs w:val="21"/>
          <w:highlight w:val="none"/>
          <w:lang w:eastAsia="zh-CN"/>
        </w:rPr>
        <w:t>：</w:t>
      </w:r>
      <w:r>
        <w:rPr>
          <w:rFonts w:hint="eastAsia" w:ascii="宋体" w:hAnsi="宋体" w:eastAsia="宋体" w:cs="宋体"/>
          <w:b w:val="0"/>
          <w:bCs w:val="0"/>
          <w:color w:val="auto"/>
          <w:szCs w:val="21"/>
          <w:highlight w:val="none"/>
        </w:rPr>
        <w:t>1</w:t>
      </w:r>
    </w:p>
    <w:p w14:paraId="4B7842DE">
      <w:pPr>
        <w:shd w:val="clear"/>
        <w:spacing w:line="360" w:lineRule="auto"/>
        <w:ind w:firstLine="420" w:firstLineChars="200"/>
        <w:rPr>
          <w:rFonts w:hint="eastAsia" w:ascii="宋体" w:hAnsi="宋体" w:eastAsia="宋体" w:cs="宋体"/>
          <w:b w:val="0"/>
          <w:bCs w:val="0"/>
          <w:color w:val="auto"/>
          <w:szCs w:val="21"/>
          <w:highlight w:val="none"/>
        </w:rPr>
      </w:pPr>
      <w:r>
        <w:rPr>
          <w:rFonts w:hint="eastAsia" w:ascii="宋体" w:hAnsi="宋体" w:eastAsia="宋体" w:cs="宋体"/>
          <w:b w:val="0"/>
          <w:bCs w:val="0"/>
          <w:color w:val="auto"/>
          <w:szCs w:val="21"/>
          <w:highlight w:val="none"/>
        </w:rPr>
        <w:t>预算金额（元）</w:t>
      </w:r>
      <w:r>
        <w:rPr>
          <w:rFonts w:hint="eastAsia" w:ascii="宋体" w:hAnsi="宋体" w:cs="宋体"/>
          <w:b w:val="0"/>
          <w:bCs w:val="0"/>
          <w:color w:val="auto"/>
          <w:szCs w:val="21"/>
          <w:highlight w:val="none"/>
          <w:lang w:eastAsia="zh-CN"/>
        </w:rPr>
        <w:t>：</w:t>
      </w:r>
      <w:r>
        <w:rPr>
          <w:rFonts w:hint="eastAsia" w:ascii="宋体" w:hAnsi="宋体" w:cs="宋体"/>
          <w:b w:val="0"/>
          <w:bCs w:val="0"/>
          <w:color w:val="auto"/>
          <w:szCs w:val="21"/>
          <w:highlight w:val="none"/>
          <w:lang w:val="en-US" w:eastAsia="zh-CN"/>
        </w:rPr>
        <w:t>650000.00</w:t>
      </w:r>
    </w:p>
    <w:p w14:paraId="19997CE8">
      <w:pPr>
        <w:shd w:val="clear"/>
        <w:spacing w:line="360" w:lineRule="auto"/>
        <w:ind w:firstLine="420" w:firstLineChars="200"/>
        <w:rPr>
          <w:rFonts w:hint="eastAsia" w:ascii="宋体" w:hAnsi="宋体" w:eastAsia="宋体" w:cs="宋体"/>
          <w:b w:val="0"/>
          <w:bCs w:val="0"/>
          <w:color w:val="auto"/>
          <w:szCs w:val="21"/>
          <w:highlight w:val="none"/>
        </w:rPr>
      </w:pPr>
      <w:r>
        <w:rPr>
          <w:rFonts w:hint="eastAsia" w:ascii="宋体" w:hAnsi="宋体" w:eastAsia="宋体" w:cs="宋体"/>
          <w:b w:val="0"/>
          <w:bCs w:val="0"/>
          <w:color w:val="auto"/>
          <w:szCs w:val="21"/>
          <w:highlight w:val="none"/>
        </w:rPr>
        <w:t>简要规格描述或项目基本概况介绍、用途：</w:t>
      </w:r>
      <w:r>
        <w:rPr>
          <w:rFonts w:hint="eastAsia"/>
          <w:b w:val="0"/>
          <w:bCs w:val="0"/>
          <w:color w:val="auto"/>
          <w:sz w:val="21"/>
          <w:szCs w:val="21"/>
          <w:highlight w:val="none"/>
          <w:vertAlign w:val="baseline"/>
          <w:lang w:eastAsia="zh-CN"/>
        </w:rPr>
        <w:t>技能大赛参赛能力提升培训、职业资格证培训及考证、教师数字素养、班主任队伍建设</w:t>
      </w:r>
      <w:r>
        <w:rPr>
          <w:rFonts w:hint="eastAsia" w:ascii="宋体" w:hAnsi="宋体" w:eastAsia="宋体" w:cs="宋体"/>
          <w:b w:val="0"/>
          <w:bCs w:val="0"/>
          <w:color w:val="auto"/>
          <w:szCs w:val="21"/>
          <w:highlight w:val="none"/>
        </w:rPr>
        <w:t>，如需进一步了解详细内容，详见招标文件。</w:t>
      </w:r>
    </w:p>
    <w:p w14:paraId="222A3DB4">
      <w:pPr>
        <w:shd w:val="clear"/>
        <w:spacing w:line="360" w:lineRule="auto"/>
        <w:ind w:firstLine="420" w:firstLineChars="200"/>
        <w:rPr>
          <w:rFonts w:hint="default" w:ascii="宋体" w:hAnsi="宋体" w:eastAsia="宋体" w:cs="宋体"/>
          <w:b w:val="0"/>
          <w:bCs w:val="0"/>
          <w:color w:val="auto"/>
          <w:szCs w:val="21"/>
          <w:highlight w:val="none"/>
          <w:lang w:val="en-US" w:eastAsia="zh-CN"/>
        </w:rPr>
      </w:pPr>
      <w:r>
        <w:rPr>
          <w:rFonts w:hint="eastAsia" w:ascii="宋体" w:hAnsi="宋体" w:eastAsia="宋体" w:cs="宋体"/>
          <w:b w:val="0"/>
          <w:bCs w:val="0"/>
          <w:color w:val="auto"/>
          <w:szCs w:val="21"/>
          <w:highlight w:val="none"/>
        </w:rPr>
        <w:t>最高限价（如有）：</w:t>
      </w:r>
      <w:r>
        <w:rPr>
          <w:rFonts w:hint="eastAsia" w:ascii="宋体" w:hAnsi="宋体" w:cs="宋体"/>
          <w:b w:val="0"/>
          <w:bCs w:val="0"/>
          <w:color w:val="auto"/>
          <w:szCs w:val="21"/>
          <w:highlight w:val="none"/>
          <w:lang w:val="en-US" w:eastAsia="zh-CN"/>
        </w:rPr>
        <w:t>无</w:t>
      </w:r>
    </w:p>
    <w:p w14:paraId="47B2362A">
      <w:pPr>
        <w:shd w:val="clear"/>
        <w:spacing w:line="360" w:lineRule="auto"/>
        <w:ind w:firstLine="420" w:firstLineChars="200"/>
        <w:rPr>
          <w:rFonts w:hint="eastAsia" w:ascii="宋体" w:hAnsi="宋体" w:eastAsia="宋体" w:cs="宋体"/>
          <w:b w:val="0"/>
          <w:bCs w:val="0"/>
          <w:color w:val="auto"/>
          <w:szCs w:val="21"/>
          <w:highlight w:val="none"/>
        </w:rPr>
      </w:pPr>
      <w:r>
        <w:rPr>
          <w:rFonts w:hint="eastAsia" w:ascii="宋体" w:hAnsi="宋体" w:eastAsia="宋体" w:cs="宋体"/>
          <w:b w:val="0"/>
          <w:bCs w:val="0"/>
          <w:color w:val="auto"/>
          <w:szCs w:val="21"/>
          <w:highlight w:val="none"/>
        </w:rPr>
        <w:t>合同履约期限：自签订合同之日起</w:t>
      </w:r>
      <w:r>
        <w:rPr>
          <w:rFonts w:hint="eastAsia" w:ascii="宋体" w:hAnsi="宋体" w:cs="宋体"/>
          <w:b w:val="0"/>
          <w:bCs w:val="0"/>
          <w:color w:val="auto"/>
          <w:szCs w:val="21"/>
          <w:highlight w:val="none"/>
          <w:lang w:eastAsia="zh-CN"/>
        </w:rPr>
        <w:t>至项目服务期结束止</w:t>
      </w:r>
      <w:r>
        <w:rPr>
          <w:rFonts w:hint="eastAsia" w:ascii="宋体" w:hAnsi="宋体" w:eastAsia="宋体" w:cs="宋体"/>
          <w:b w:val="0"/>
          <w:bCs w:val="0"/>
          <w:color w:val="auto"/>
          <w:szCs w:val="21"/>
          <w:highlight w:val="none"/>
        </w:rPr>
        <w:t>。</w:t>
      </w:r>
    </w:p>
    <w:p w14:paraId="105CC871">
      <w:pPr>
        <w:shd w:val="clear"/>
        <w:spacing w:line="360" w:lineRule="auto"/>
        <w:ind w:firstLine="420" w:firstLineChars="200"/>
        <w:rPr>
          <w:rFonts w:hint="eastAsia" w:ascii="宋体" w:hAnsi="宋体" w:eastAsia="宋体" w:cs="宋体"/>
          <w:b w:val="0"/>
          <w:bCs w:val="0"/>
          <w:color w:val="auto"/>
          <w:szCs w:val="21"/>
          <w:highlight w:val="none"/>
        </w:rPr>
      </w:pPr>
      <w:r>
        <w:rPr>
          <w:rFonts w:hint="eastAsia" w:ascii="宋体" w:hAnsi="宋体" w:eastAsia="宋体" w:cs="宋体"/>
          <w:b w:val="0"/>
          <w:bCs w:val="0"/>
          <w:color w:val="auto"/>
          <w:szCs w:val="21"/>
          <w:highlight w:val="none"/>
        </w:rPr>
        <w:t>本标项（否）接受联合体投标</w:t>
      </w:r>
    </w:p>
    <w:p w14:paraId="2EE2DBF3">
      <w:pPr>
        <w:shd w:val="clear"/>
        <w:spacing w:line="360" w:lineRule="auto"/>
        <w:ind w:firstLine="420" w:firstLineChars="200"/>
        <w:rPr>
          <w:rFonts w:hint="eastAsia" w:ascii="宋体" w:hAnsi="宋体" w:cs="宋体"/>
          <w:b w:val="0"/>
          <w:bCs w:val="0"/>
          <w:color w:val="auto"/>
          <w:szCs w:val="21"/>
          <w:highlight w:val="none"/>
          <w:lang w:eastAsia="zh-CN"/>
        </w:rPr>
      </w:pPr>
      <w:r>
        <w:rPr>
          <w:rFonts w:hint="eastAsia" w:ascii="宋体" w:hAnsi="宋体" w:eastAsia="宋体" w:cs="宋体"/>
          <w:b w:val="0"/>
          <w:bCs w:val="0"/>
          <w:color w:val="auto"/>
          <w:szCs w:val="21"/>
          <w:highlight w:val="none"/>
        </w:rPr>
        <w:t>备注：</w:t>
      </w:r>
      <w:r>
        <w:rPr>
          <w:rFonts w:hint="eastAsia" w:ascii="宋体" w:hAnsi="宋体" w:cs="宋体"/>
          <w:b w:val="0"/>
          <w:bCs w:val="0"/>
          <w:color w:val="auto"/>
          <w:szCs w:val="21"/>
          <w:highlight w:val="none"/>
          <w:lang w:eastAsia="zh-CN"/>
        </w:rPr>
        <w:t>无</w:t>
      </w:r>
    </w:p>
    <w:p w14:paraId="5B7FBB3A">
      <w:pPr>
        <w:shd w:val="clear"/>
        <w:spacing w:line="360" w:lineRule="auto"/>
        <w:ind w:firstLine="422" w:firstLineChars="200"/>
        <w:rPr>
          <w:rFonts w:hint="eastAsia" w:ascii="宋体" w:hAnsi="宋体" w:eastAsia="宋体" w:cs="宋体"/>
          <w:b/>
          <w:bCs/>
          <w:color w:val="auto"/>
          <w:szCs w:val="21"/>
          <w:highlight w:val="none"/>
          <w:lang w:eastAsia="zh-CN"/>
        </w:rPr>
      </w:pPr>
      <w:r>
        <w:rPr>
          <w:rFonts w:hint="eastAsia" w:ascii="宋体" w:hAnsi="宋体" w:cs="宋体"/>
          <w:b/>
          <w:bCs/>
          <w:color w:val="auto"/>
          <w:szCs w:val="21"/>
          <w:highlight w:val="none"/>
          <w:lang w:eastAsia="zh-CN"/>
        </w:rPr>
        <w:t>标项三</w:t>
      </w:r>
    </w:p>
    <w:p w14:paraId="541F9784">
      <w:pPr>
        <w:shd w:val="clear"/>
        <w:spacing w:line="360" w:lineRule="auto"/>
        <w:ind w:firstLine="420" w:firstLineChars="200"/>
        <w:rPr>
          <w:rFonts w:hint="default" w:ascii="宋体" w:hAnsi="宋体" w:eastAsia="宋体" w:cs="宋体"/>
          <w:b w:val="0"/>
          <w:bCs w:val="0"/>
          <w:color w:val="auto"/>
          <w:szCs w:val="21"/>
          <w:highlight w:val="none"/>
          <w:lang w:val="en-US"/>
        </w:rPr>
      </w:pPr>
      <w:r>
        <w:rPr>
          <w:rFonts w:hint="eastAsia" w:ascii="宋体" w:hAnsi="宋体" w:eastAsia="宋体" w:cs="宋体"/>
          <w:b w:val="0"/>
          <w:bCs w:val="0"/>
          <w:color w:val="auto"/>
          <w:szCs w:val="21"/>
          <w:highlight w:val="none"/>
        </w:rPr>
        <w:t>标项名称</w:t>
      </w:r>
      <w:r>
        <w:rPr>
          <w:rFonts w:hint="eastAsia" w:ascii="宋体" w:hAnsi="宋体" w:cs="宋体"/>
          <w:b w:val="0"/>
          <w:bCs w:val="0"/>
          <w:color w:val="auto"/>
          <w:szCs w:val="21"/>
          <w:highlight w:val="none"/>
          <w:lang w:eastAsia="zh-CN"/>
        </w:rPr>
        <w:t>：2025年“双优”项目建设标项三</w:t>
      </w:r>
    </w:p>
    <w:p w14:paraId="7E426C2D">
      <w:pPr>
        <w:shd w:val="clear"/>
        <w:spacing w:line="360" w:lineRule="auto"/>
        <w:ind w:firstLine="420" w:firstLineChars="200"/>
        <w:rPr>
          <w:rFonts w:hint="eastAsia" w:ascii="宋体" w:hAnsi="宋体" w:eastAsia="宋体" w:cs="宋体"/>
          <w:b w:val="0"/>
          <w:bCs w:val="0"/>
          <w:color w:val="auto"/>
          <w:szCs w:val="21"/>
          <w:highlight w:val="none"/>
        </w:rPr>
      </w:pPr>
      <w:r>
        <w:rPr>
          <w:rFonts w:hint="eastAsia" w:ascii="宋体" w:hAnsi="宋体" w:eastAsia="宋体" w:cs="宋体"/>
          <w:b w:val="0"/>
          <w:bCs w:val="0"/>
          <w:color w:val="auto"/>
          <w:szCs w:val="21"/>
          <w:highlight w:val="none"/>
        </w:rPr>
        <w:t>数量</w:t>
      </w:r>
      <w:r>
        <w:rPr>
          <w:rFonts w:hint="eastAsia" w:ascii="宋体" w:hAnsi="宋体" w:cs="宋体"/>
          <w:b w:val="0"/>
          <w:bCs w:val="0"/>
          <w:color w:val="auto"/>
          <w:szCs w:val="21"/>
          <w:highlight w:val="none"/>
          <w:lang w:eastAsia="zh-CN"/>
        </w:rPr>
        <w:t>：</w:t>
      </w:r>
      <w:r>
        <w:rPr>
          <w:rFonts w:hint="eastAsia" w:ascii="宋体" w:hAnsi="宋体" w:eastAsia="宋体" w:cs="宋体"/>
          <w:b w:val="0"/>
          <w:bCs w:val="0"/>
          <w:color w:val="auto"/>
          <w:szCs w:val="21"/>
          <w:highlight w:val="none"/>
        </w:rPr>
        <w:t>1</w:t>
      </w:r>
    </w:p>
    <w:p w14:paraId="61E418E8">
      <w:pPr>
        <w:shd w:val="clear"/>
        <w:spacing w:line="360" w:lineRule="auto"/>
        <w:ind w:firstLine="420" w:firstLineChars="200"/>
        <w:rPr>
          <w:rFonts w:hint="eastAsia" w:ascii="宋体" w:hAnsi="宋体" w:eastAsia="宋体" w:cs="宋体"/>
          <w:b w:val="0"/>
          <w:bCs w:val="0"/>
          <w:color w:val="auto"/>
          <w:szCs w:val="21"/>
          <w:highlight w:val="none"/>
        </w:rPr>
      </w:pPr>
      <w:r>
        <w:rPr>
          <w:rFonts w:hint="eastAsia" w:ascii="宋体" w:hAnsi="宋体" w:eastAsia="宋体" w:cs="宋体"/>
          <w:b w:val="0"/>
          <w:bCs w:val="0"/>
          <w:color w:val="auto"/>
          <w:szCs w:val="21"/>
          <w:highlight w:val="none"/>
        </w:rPr>
        <w:t>预算金额（元）</w:t>
      </w:r>
      <w:r>
        <w:rPr>
          <w:rFonts w:hint="eastAsia" w:ascii="宋体" w:hAnsi="宋体" w:cs="宋体"/>
          <w:b w:val="0"/>
          <w:bCs w:val="0"/>
          <w:color w:val="auto"/>
          <w:szCs w:val="21"/>
          <w:highlight w:val="none"/>
          <w:lang w:eastAsia="zh-CN"/>
        </w:rPr>
        <w:t>：</w:t>
      </w:r>
      <w:r>
        <w:rPr>
          <w:rFonts w:hint="eastAsia" w:ascii="宋体" w:hAnsi="宋体" w:cs="宋体"/>
          <w:b w:val="0"/>
          <w:bCs w:val="0"/>
          <w:color w:val="auto"/>
          <w:szCs w:val="21"/>
          <w:highlight w:val="none"/>
          <w:lang w:val="en-US" w:eastAsia="zh-CN"/>
        </w:rPr>
        <w:t>780000.00</w:t>
      </w:r>
    </w:p>
    <w:p w14:paraId="22A33467">
      <w:pPr>
        <w:shd w:val="clear"/>
        <w:spacing w:line="360" w:lineRule="auto"/>
        <w:ind w:firstLine="420" w:firstLineChars="200"/>
        <w:rPr>
          <w:rFonts w:hint="eastAsia" w:ascii="宋体" w:hAnsi="宋体" w:eastAsia="宋体" w:cs="宋体"/>
          <w:b w:val="0"/>
          <w:bCs w:val="0"/>
          <w:color w:val="auto"/>
          <w:szCs w:val="21"/>
          <w:highlight w:val="none"/>
        </w:rPr>
      </w:pPr>
      <w:r>
        <w:rPr>
          <w:rFonts w:hint="eastAsia" w:ascii="宋体" w:hAnsi="宋体" w:eastAsia="宋体" w:cs="宋体"/>
          <w:b w:val="0"/>
          <w:bCs w:val="0"/>
          <w:color w:val="auto"/>
          <w:szCs w:val="21"/>
          <w:highlight w:val="none"/>
        </w:rPr>
        <w:t>简要规格描述或项目基本概况介绍、用途：新形态教材开发建设</w:t>
      </w:r>
      <w:r>
        <w:rPr>
          <w:rFonts w:hint="eastAsia" w:ascii="宋体" w:hAnsi="宋体" w:cs="宋体"/>
          <w:b w:val="0"/>
          <w:bCs w:val="0"/>
          <w:color w:val="auto"/>
          <w:szCs w:val="21"/>
          <w:highlight w:val="none"/>
          <w:lang w:val="en-US" w:eastAsia="zh-CN"/>
        </w:rPr>
        <w:t>、</w:t>
      </w:r>
      <w:r>
        <w:rPr>
          <w:rFonts w:hint="eastAsia" w:ascii="宋体" w:hAnsi="宋体" w:cs="宋体"/>
          <w:b w:val="0"/>
          <w:bCs w:val="0"/>
          <w:color w:val="auto"/>
          <w:szCs w:val="21"/>
          <w:highlight w:val="none"/>
          <w:lang w:eastAsia="zh-CN"/>
        </w:rPr>
        <w:t>双优专业群在线</w:t>
      </w:r>
      <w:r>
        <w:rPr>
          <w:rFonts w:hint="eastAsia" w:ascii="宋体" w:hAnsi="宋体" w:cs="宋体"/>
          <w:b w:val="0"/>
          <w:bCs w:val="0"/>
          <w:color w:val="auto"/>
          <w:szCs w:val="21"/>
          <w:highlight w:val="none"/>
          <w:lang w:val="en-US" w:eastAsia="zh-CN"/>
        </w:rPr>
        <w:t>精品</w:t>
      </w:r>
      <w:r>
        <w:rPr>
          <w:rFonts w:hint="eastAsia" w:ascii="宋体" w:hAnsi="宋体" w:cs="宋体"/>
          <w:b w:val="0"/>
          <w:bCs w:val="0"/>
          <w:color w:val="auto"/>
          <w:szCs w:val="21"/>
          <w:highlight w:val="none"/>
          <w:lang w:eastAsia="zh-CN"/>
        </w:rPr>
        <w:t>课程建设</w:t>
      </w:r>
      <w:r>
        <w:rPr>
          <w:rFonts w:hint="eastAsia" w:ascii="宋体" w:hAnsi="宋体" w:eastAsia="宋体" w:cs="宋体"/>
          <w:b w:val="0"/>
          <w:bCs w:val="0"/>
          <w:color w:val="auto"/>
          <w:szCs w:val="21"/>
          <w:highlight w:val="none"/>
        </w:rPr>
        <w:t>，如需进一步了解详细内容，详见招标文件。</w:t>
      </w:r>
    </w:p>
    <w:p w14:paraId="28B2CFFB">
      <w:pPr>
        <w:shd w:val="clear"/>
        <w:spacing w:line="360" w:lineRule="auto"/>
        <w:ind w:firstLine="420" w:firstLineChars="200"/>
        <w:rPr>
          <w:rFonts w:hint="eastAsia" w:ascii="宋体" w:hAnsi="宋体" w:eastAsia="宋体" w:cs="宋体"/>
          <w:b w:val="0"/>
          <w:bCs w:val="0"/>
          <w:color w:val="auto"/>
          <w:szCs w:val="21"/>
          <w:highlight w:val="none"/>
        </w:rPr>
      </w:pPr>
      <w:r>
        <w:rPr>
          <w:rFonts w:hint="eastAsia" w:ascii="宋体" w:hAnsi="宋体" w:eastAsia="宋体" w:cs="宋体"/>
          <w:b w:val="0"/>
          <w:bCs w:val="0"/>
          <w:color w:val="auto"/>
          <w:szCs w:val="21"/>
          <w:highlight w:val="none"/>
        </w:rPr>
        <w:t>最高限价（如有）：</w:t>
      </w:r>
      <w:r>
        <w:rPr>
          <w:rFonts w:hint="eastAsia" w:ascii="宋体" w:hAnsi="宋体" w:cs="宋体"/>
          <w:b w:val="0"/>
          <w:bCs w:val="0"/>
          <w:color w:val="auto"/>
          <w:szCs w:val="21"/>
          <w:highlight w:val="none"/>
          <w:lang w:val="en-US" w:eastAsia="zh-CN"/>
        </w:rPr>
        <w:t>无</w:t>
      </w:r>
      <w:r>
        <w:rPr>
          <w:rFonts w:hint="eastAsia" w:ascii="宋体" w:hAnsi="宋体" w:eastAsia="宋体" w:cs="宋体"/>
          <w:b w:val="0"/>
          <w:bCs w:val="0"/>
          <w:color w:val="auto"/>
          <w:szCs w:val="21"/>
          <w:highlight w:val="none"/>
        </w:rPr>
        <w:t xml:space="preserve"> </w:t>
      </w:r>
    </w:p>
    <w:p w14:paraId="2D7E26F4">
      <w:pPr>
        <w:shd w:val="clear"/>
        <w:spacing w:line="360" w:lineRule="auto"/>
        <w:ind w:firstLine="420" w:firstLineChars="200"/>
        <w:rPr>
          <w:rFonts w:hint="eastAsia" w:ascii="宋体" w:hAnsi="宋体" w:eastAsia="宋体" w:cs="宋体"/>
          <w:b w:val="0"/>
          <w:bCs w:val="0"/>
          <w:color w:val="auto"/>
          <w:szCs w:val="21"/>
          <w:highlight w:val="none"/>
        </w:rPr>
      </w:pPr>
      <w:r>
        <w:rPr>
          <w:rFonts w:hint="eastAsia" w:ascii="宋体" w:hAnsi="宋体" w:eastAsia="宋体" w:cs="宋体"/>
          <w:b w:val="0"/>
          <w:bCs w:val="0"/>
          <w:color w:val="auto"/>
          <w:szCs w:val="21"/>
          <w:highlight w:val="none"/>
        </w:rPr>
        <w:t>合同履约期限：自签订合同之日起</w:t>
      </w:r>
      <w:r>
        <w:rPr>
          <w:rFonts w:hint="eastAsia" w:ascii="宋体" w:hAnsi="宋体" w:cs="宋体"/>
          <w:b w:val="0"/>
          <w:bCs w:val="0"/>
          <w:color w:val="auto"/>
          <w:szCs w:val="21"/>
          <w:highlight w:val="none"/>
          <w:lang w:eastAsia="zh-CN"/>
        </w:rPr>
        <w:t>至项目服务期结束止</w:t>
      </w:r>
      <w:r>
        <w:rPr>
          <w:rFonts w:hint="eastAsia" w:ascii="宋体" w:hAnsi="宋体" w:eastAsia="宋体" w:cs="宋体"/>
          <w:b w:val="0"/>
          <w:bCs w:val="0"/>
          <w:color w:val="auto"/>
          <w:szCs w:val="21"/>
          <w:highlight w:val="none"/>
        </w:rPr>
        <w:t>。</w:t>
      </w:r>
    </w:p>
    <w:p w14:paraId="73AD17D4">
      <w:pPr>
        <w:shd w:val="clear"/>
        <w:spacing w:line="360" w:lineRule="auto"/>
        <w:ind w:firstLine="420" w:firstLineChars="200"/>
        <w:rPr>
          <w:rFonts w:hint="eastAsia" w:ascii="宋体" w:hAnsi="宋体" w:eastAsia="宋体" w:cs="宋体"/>
          <w:b w:val="0"/>
          <w:bCs w:val="0"/>
          <w:color w:val="auto"/>
          <w:szCs w:val="21"/>
          <w:highlight w:val="none"/>
        </w:rPr>
      </w:pPr>
      <w:r>
        <w:rPr>
          <w:rFonts w:hint="eastAsia" w:ascii="宋体" w:hAnsi="宋体" w:eastAsia="宋体" w:cs="宋体"/>
          <w:b w:val="0"/>
          <w:bCs w:val="0"/>
          <w:color w:val="auto"/>
          <w:szCs w:val="21"/>
          <w:highlight w:val="none"/>
        </w:rPr>
        <w:t>本标项（否）接受联合体投标</w:t>
      </w:r>
    </w:p>
    <w:p w14:paraId="37CC02B6">
      <w:pPr>
        <w:shd w:val="clear"/>
        <w:spacing w:line="360" w:lineRule="auto"/>
        <w:ind w:firstLine="420" w:firstLineChars="200"/>
        <w:rPr>
          <w:rFonts w:hint="eastAsia" w:ascii="宋体" w:hAnsi="宋体" w:cs="宋体"/>
          <w:b w:val="0"/>
          <w:bCs w:val="0"/>
          <w:color w:val="auto"/>
          <w:szCs w:val="21"/>
          <w:highlight w:val="none"/>
          <w:lang w:eastAsia="zh-CN"/>
        </w:rPr>
      </w:pPr>
      <w:r>
        <w:rPr>
          <w:rFonts w:hint="eastAsia" w:ascii="宋体" w:hAnsi="宋体" w:eastAsia="宋体" w:cs="宋体"/>
          <w:b w:val="0"/>
          <w:bCs w:val="0"/>
          <w:color w:val="auto"/>
          <w:szCs w:val="21"/>
          <w:highlight w:val="none"/>
        </w:rPr>
        <w:t>备注：</w:t>
      </w:r>
      <w:r>
        <w:rPr>
          <w:rFonts w:hint="eastAsia" w:ascii="宋体" w:hAnsi="宋体" w:cs="宋体"/>
          <w:b w:val="0"/>
          <w:bCs w:val="0"/>
          <w:color w:val="auto"/>
          <w:szCs w:val="21"/>
          <w:highlight w:val="none"/>
          <w:lang w:eastAsia="zh-CN"/>
        </w:rPr>
        <w:t>无</w:t>
      </w:r>
    </w:p>
    <w:p w14:paraId="47E3729C">
      <w:pPr>
        <w:shd w:val="clear"/>
        <w:spacing w:line="360" w:lineRule="auto"/>
        <w:ind w:firstLine="422" w:firstLineChars="200"/>
        <w:rPr>
          <w:rFonts w:hint="eastAsia" w:ascii="宋体" w:hAnsi="宋体" w:eastAsia="宋体" w:cs="宋体"/>
          <w:b/>
          <w:bCs/>
          <w:color w:val="auto"/>
          <w:szCs w:val="21"/>
          <w:highlight w:val="none"/>
          <w:lang w:eastAsia="zh-CN"/>
        </w:rPr>
      </w:pPr>
      <w:r>
        <w:rPr>
          <w:rFonts w:hint="eastAsia" w:ascii="宋体" w:hAnsi="宋体" w:cs="宋体"/>
          <w:b/>
          <w:bCs/>
          <w:color w:val="auto"/>
          <w:szCs w:val="21"/>
          <w:highlight w:val="none"/>
          <w:lang w:eastAsia="zh-CN"/>
        </w:rPr>
        <w:t>标项四</w:t>
      </w:r>
    </w:p>
    <w:p w14:paraId="22E492D8">
      <w:pPr>
        <w:shd w:val="clear"/>
        <w:spacing w:line="360" w:lineRule="auto"/>
        <w:ind w:firstLine="420" w:firstLineChars="200"/>
        <w:rPr>
          <w:rFonts w:hint="default" w:ascii="宋体" w:hAnsi="宋体" w:eastAsia="宋体" w:cs="宋体"/>
          <w:b w:val="0"/>
          <w:bCs w:val="0"/>
          <w:color w:val="auto"/>
          <w:szCs w:val="21"/>
          <w:highlight w:val="none"/>
          <w:lang w:val="en-US"/>
        </w:rPr>
      </w:pPr>
      <w:r>
        <w:rPr>
          <w:rFonts w:hint="eastAsia" w:ascii="宋体" w:hAnsi="宋体" w:eastAsia="宋体" w:cs="宋体"/>
          <w:b w:val="0"/>
          <w:bCs w:val="0"/>
          <w:color w:val="auto"/>
          <w:szCs w:val="21"/>
          <w:highlight w:val="none"/>
        </w:rPr>
        <w:t>标项名称</w:t>
      </w:r>
      <w:r>
        <w:rPr>
          <w:rFonts w:hint="eastAsia" w:ascii="宋体" w:hAnsi="宋体" w:cs="宋体"/>
          <w:b w:val="0"/>
          <w:bCs w:val="0"/>
          <w:color w:val="auto"/>
          <w:szCs w:val="21"/>
          <w:highlight w:val="none"/>
          <w:lang w:eastAsia="zh-CN"/>
        </w:rPr>
        <w:t>：2025年“双优”项目建设标项四</w:t>
      </w:r>
    </w:p>
    <w:p w14:paraId="187B5681">
      <w:pPr>
        <w:shd w:val="clear"/>
        <w:spacing w:line="360" w:lineRule="auto"/>
        <w:ind w:firstLine="420" w:firstLineChars="200"/>
        <w:rPr>
          <w:rFonts w:hint="eastAsia" w:ascii="宋体" w:hAnsi="宋体" w:eastAsia="宋体" w:cs="宋体"/>
          <w:b w:val="0"/>
          <w:bCs w:val="0"/>
          <w:color w:val="auto"/>
          <w:szCs w:val="21"/>
          <w:highlight w:val="none"/>
        </w:rPr>
      </w:pPr>
      <w:r>
        <w:rPr>
          <w:rFonts w:hint="eastAsia" w:ascii="宋体" w:hAnsi="宋体" w:eastAsia="宋体" w:cs="宋体"/>
          <w:b w:val="0"/>
          <w:bCs w:val="0"/>
          <w:color w:val="auto"/>
          <w:szCs w:val="21"/>
          <w:highlight w:val="none"/>
        </w:rPr>
        <w:t>数量</w:t>
      </w:r>
      <w:r>
        <w:rPr>
          <w:rFonts w:hint="eastAsia" w:ascii="宋体" w:hAnsi="宋体" w:cs="宋体"/>
          <w:b w:val="0"/>
          <w:bCs w:val="0"/>
          <w:color w:val="auto"/>
          <w:szCs w:val="21"/>
          <w:highlight w:val="none"/>
          <w:lang w:eastAsia="zh-CN"/>
        </w:rPr>
        <w:t>：</w:t>
      </w:r>
      <w:r>
        <w:rPr>
          <w:rFonts w:hint="eastAsia" w:ascii="宋体" w:hAnsi="宋体" w:eastAsia="宋体" w:cs="宋体"/>
          <w:b w:val="0"/>
          <w:bCs w:val="0"/>
          <w:color w:val="auto"/>
          <w:szCs w:val="21"/>
          <w:highlight w:val="none"/>
        </w:rPr>
        <w:t>1</w:t>
      </w:r>
    </w:p>
    <w:p w14:paraId="473228AD">
      <w:pPr>
        <w:shd w:val="clear"/>
        <w:spacing w:line="360" w:lineRule="auto"/>
        <w:ind w:firstLine="420" w:firstLineChars="200"/>
        <w:rPr>
          <w:rFonts w:hint="eastAsia" w:ascii="宋体" w:hAnsi="宋体" w:eastAsia="宋体" w:cs="宋体"/>
          <w:b w:val="0"/>
          <w:bCs w:val="0"/>
          <w:color w:val="auto"/>
          <w:szCs w:val="21"/>
          <w:highlight w:val="none"/>
        </w:rPr>
      </w:pPr>
      <w:r>
        <w:rPr>
          <w:rFonts w:hint="eastAsia" w:ascii="宋体" w:hAnsi="宋体" w:eastAsia="宋体" w:cs="宋体"/>
          <w:b w:val="0"/>
          <w:bCs w:val="0"/>
          <w:color w:val="auto"/>
          <w:szCs w:val="21"/>
          <w:highlight w:val="none"/>
        </w:rPr>
        <w:t>预算金额（元）</w:t>
      </w:r>
      <w:r>
        <w:rPr>
          <w:rFonts w:hint="eastAsia" w:ascii="宋体" w:hAnsi="宋体" w:cs="宋体"/>
          <w:b w:val="0"/>
          <w:bCs w:val="0"/>
          <w:color w:val="auto"/>
          <w:szCs w:val="21"/>
          <w:highlight w:val="none"/>
          <w:lang w:eastAsia="zh-CN"/>
        </w:rPr>
        <w:t>：</w:t>
      </w:r>
      <w:r>
        <w:rPr>
          <w:rFonts w:hint="eastAsia" w:ascii="宋体" w:hAnsi="宋体" w:cs="宋体"/>
          <w:b w:val="0"/>
          <w:bCs w:val="0"/>
          <w:color w:val="auto"/>
          <w:szCs w:val="21"/>
          <w:highlight w:val="none"/>
          <w:lang w:val="en-US" w:eastAsia="zh-CN"/>
        </w:rPr>
        <w:t>960000.00</w:t>
      </w:r>
    </w:p>
    <w:p w14:paraId="5F241467">
      <w:pPr>
        <w:shd w:val="clear"/>
        <w:spacing w:line="360" w:lineRule="auto"/>
        <w:ind w:firstLine="420" w:firstLineChars="200"/>
        <w:rPr>
          <w:rFonts w:hint="eastAsia" w:ascii="宋体" w:hAnsi="宋体" w:eastAsia="宋体" w:cs="宋体"/>
          <w:b w:val="0"/>
          <w:bCs w:val="0"/>
          <w:color w:val="auto"/>
          <w:szCs w:val="21"/>
          <w:highlight w:val="none"/>
        </w:rPr>
      </w:pPr>
      <w:r>
        <w:rPr>
          <w:rFonts w:hint="eastAsia" w:ascii="宋体" w:hAnsi="宋体" w:eastAsia="宋体" w:cs="宋体"/>
          <w:b w:val="0"/>
          <w:bCs w:val="0"/>
          <w:color w:val="auto"/>
          <w:szCs w:val="21"/>
          <w:highlight w:val="none"/>
        </w:rPr>
        <w:t>简要规格描述或项目基本概况介绍、用途：双优专业教学资源库建设，如需进一步了解详细内容，详见招标文件。</w:t>
      </w:r>
    </w:p>
    <w:p w14:paraId="3381E8C5">
      <w:pPr>
        <w:shd w:val="clear"/>
        <w:spacing w:line="360" w:lineRule="auto"/>
        <w:ind w:firstLine="420" w:firstLineChars="200"/>
        <w:rPr>
          <w:rFonts w:hint="eastAsia" w:ascii="宋体" w:hAnsi="宋体" w:eastAsia="宋体" w:cs="宋体"/>
          <w:b w:val="0"/>
          <w:bCs w:val="0"/>
          <w:color w:val="auto"/>
          <w:szCs w:val="21"/>
          <w:highlight w:val="none"/>
        </w:rPr>
      </w:pPr>
      <w:r>
        <w:rPr>
          <w:rFonts w:hint="eastAsia" w:ascii="宋体" w:hAnsi="宋体" w:eastAsia="宋体" w:cs="宋体"/>
          <w:b w:val="0"/>
          <w:bCs w:val="0"/>
          <w:color w:val="auto"/>
          <w:szCs w:val="21"/>
          <w:highlight w:val="none"/>
        </w:rPr>
        <w:t>最高限价（如有）：</w:t>
      </w:r>
      <w:r>
        <w:rPr>
          <w:rFonts w:hint="eastAsia" w:ascii="宋体" w:hAnsi="宋体" w:cs="宋体"/>
          <w:b w:val="0"/>
          <w:bCs w:val="0"/>
          <w:color w:val="auto"/>
          <w:szCs w:val="21"/>
          <w:highlight w:val="none"/>
          <w:lang w:val="en-US" w:eastAsia="zh-CN"/>
        </w:rPr>
        <w:t>无</w:t>
      </w:r>
      <w:r>
        <w:rPr>
          <w:rFonts w:hint="eastAsia" w:ascii="宋体" w:hAnsi="宋体" w:eastAsia="宋体" w:cs="宋体"/>
          <w:b w:val="0"/>
          <w:bCs w:val="0"/>
          <w:color w:val="auto"/>
          <w:szCs w:val="21"/>
          <w:highlight w:val="none"/>
        </w:rPr>
        <w:t xml:space="preserve"> </w:t>
      </w:r>
    </w:p>
    <w:p w14:paraId="7236EEFD">
      <w:pPr>
        <w:shd w:val="clear"/>
        <w:spacing w:line="360" w:lineRule="auto"/>
        <w:ind w:firstLine="420" w:firstLineChars="200"/>
        <w:rPr>
          <w:rFonts w:hint="eastAsia" w:ascii="宋体" w:hAnsi="宋体" w:eastAsia="宋体" w:cs="宋体"/>
          <w:b w:val="0"/>
          <w:bCs w:val="0"/>
          <w:color w:val="auto"/>
          <w:szCs w:val="21"/>
          <w:highlight w:val="none"/>
        </w:rPr>
      </w:pPr>
      <w:r>
        <w:rPr>
          <w:rFonts w:hint="eastAsia" w:ascii="宋体" w:hAnsi="宋体" w:eastAsia="宋体" w:cs="宋体"/>
          <w:b w:val="0"/>
          <w:bCs w:val="0"/>
          <w:color w:val="auto"/>
          <w:szCs w:val="21"/>
          <w:highlight w:val="none"/>
        </w:rPr>
        <w:t>合同履约期限：自签订合同之日起</w:t>
      </w:r>
      <w:r>
        <w:rPr>
          <w:rFonts w:hint="eastAsia" w:ascii="宋体" w:hAnsi="宋体" w:cs="宋体"/>
          <w:b w:val="0"/>
          <w:bCs w:val="0"/>
          <w:color w:val="auto"/>
          <w:szCs w:val="21"/>
          <w:highlight w:val="none"/>
          <w:lang w:eastAsia="zh-CN"/>
        </w:rPr>
        <w:t>至项目服务期结束止</w:t>
      </w:r>
      <w:r>
        <w:rPr>
          <w:rFonts w:hint="eastAsia" w:ascii="宋体" w:hAnsi="宋体" w:eastAsia="宋体" w:cs="宋体"/>
          <w:b w:val="0"/>
          <w:bCs w:val="0"/>
          <w:color w:val="auto"/>
          <w:szCs w:val="21"/>
          <w:highlight w:val="none"/>
        </w:rPr>
        <w:t>。</w:t>
      </w:r>
    </w:p>
    <w:p w14:paraId="7C5DB4AF">
      <w:pPr>
        <w:shd w:val="clear"/>
        <w:spacing w:line="360" w:lineRule="auto"/>
        <w:ind w:firstLine="420" w:firstLineChars="200"/>
        <w:rPr>
          <w:rFonts w:hint="eastAsia" w:ascii="宋体" w:hAnsi="宋体" w:eastAsia="宋体" w:cs="宋体"/>
          <w:b w:val="0"/>
          <w:bCs w:val="0"/>
          <w:color w:val="auto"/>
          <w:szCs w:val="21"/>
          <w:highlight w:val="none"/>
        </w:rPr>
      </w:pPr>
      <w:r>
        <w:rPr>
          <w:rFonts w:hint="eastAsia" w:ascii="宋体" w:hAnsi="宋体" w:eastAsia="宋体" w:cs="宋体"/>
          <w:b w:val="0"/>
          <w:bCs w:val="0"/>
          <w:color w:val="auto"/>
          <w:szCs w:val="21"/>
          <w:highlight w:val="none"/>
        </w:rPr>
        <w:t>本标项（否）接受联合体投标</w:t>
      </w:r>
    </w:p>
    <w:p w14:paraId="01CBA4DB">
      <w:pPr>
        <w:shd w:val="clear"/>
        <w:spacing w:line="360" w:lineRule="auto"/>
        <w:ind w:firstLine="420" w:firstLineChars="200"/>
        <w:rPr>
          <w:rFonts w:hint="eastAsia" w:ascii="宋体" w:hAnsi="宋体" w:eastAsia="宋体" w:cs="宋体"/>
          <w:b w:val="0"/>
          <w:bCs w:val="0"/>
          <w:color w:val="auto"/>
          <w:szCs w:val="21"/>
          <w:highlight w:val="none"/>
          <w:lang w:eastAsia="zh-CN"/>
        </w:rPr>
      </w:pPr>
      <w:r>
        <w:rPr>
          <w:rFonts w:hint="eastAsia" w:ascii="宋体" w:hAnsi="宋体" w:eastAsia="宋体" w:cs="宋体"/>
          <w:b w:val="0"/>
          <w:bCs w:val="0"/>
          <w:color w:val="auto"/>
          <w:szCs w:val="21"/>
          <w:highlight w:val="none"/>
        </w:rPr>
        <w:t>备注：</w:t>
      </w:r>
      <w:r>
        <w:rPr>
          <w:rFonts w:hint="eastAsia" w:ascii="宋体" w:hAnsi="宋体" w:cs="宋体"/>
          <w:b w:val="0"/>
          <w:bCs w:val="0"/>
          <w:color w:val="auto"/>
          <w:szCs w:val="21"/>
          <w:highlight w:val="none"/>
          <w:lang w:eastAsia="zh-CN"/>
        </w:rPr>
        <w:t>无</w:t>
      </w:r>
    </w:p>
    <w:p w14:paraId="6F284B76">
      <w:pPr>
        <w:shd w:val="clear"/>
        <w:spacing w:line="360" w:lineRule="auto"/>
        <w:rPr>
          <w:rFonts w:hint="eastAsia" w:ascii="宋体" w:hAnsi="宋体" w:eastAsia="宋体" w:cs="宋体"/>
          <w:b/>
          <w:bCs/>
          <w:color w:val="auto"/>
          <w:sz w:val="24"/>
          <w:highlight w:val="none"/>
        </w:rPr>
      </w:pPr>
      <w:bookmarkStart w:id="20" w:name="_Toc35393622"/>
      <w:bookmarkStart w:id="21" w:name="_Toc35393791"/>
      <w:bookmarkStart w:id="22" w:name="_Toc28359080"/>
      <w:bookmarkStart w:id="23" w:name="_Toc28359003"/>
      <w:r>
        <w:rPr>
          <w:rFonts w:hint="eastAsia" w:ascii="宋体" w:hAnsi="宋体" w:eastAsia="宋体" w:cs="宋体"/>
          <w:b/>
          <w:bCs/>
          <w:color w:val="auto"/>
          <w:sz w:val="24"/>
          <w:highlight w:val="none"/>
        </w:rPr>
        <w:t>二、</w:t>
      </w:r>
      <w:r>
        <w:rPr>
          <w:rFonts w:hint="eastAsia" w:ascii="宋体" w:hAnsi="宋体" w:eastAsia="宋体" w:cs="宋体"/>
          <w:b/>
          <w:bCs/>
          <w:color w:val="auto"/>
          <w:sz w:val="24"/>
          <w:highlight w:val="none"/>
          <w:lang w:eastAsia="zh-CN"/>
        </w:rPr>
        <w:t>申请</w:t>
      </w:r>
      <w:r>
        <w:rPr>
          <w:rFonts w:hint="eastAsia" w:ascii="宋体" w:hAnsi="宋体" w:eastAsia="宋体" w:cs="宋体"/>
          <w:b/>
          <w:bCs/>
          <w:color w:val="auto"/>
          <w:sz w:val="24"/>
          <w:highlight w:val="none"/>
        </w:rPr>
        <w:t>人的资格要求：</w:t>
      </w:r>
      <w:bookmarkEnd w:id="20"/>
      <w:bookmarkEnd w:id="21"/>
      <w:bookmarkEnd w:id="22"/>
      <w:bookmarkEnd w:id="23"/>
    </w:p>
    <w:p w14:paraId="2E1E3251">
      <w:pPr>
        <w:shd w:val="clear"/>
        <w:spacing w:line="360" w:lineRule="auto"/>
        <w:ind w:firstLine="420" w:firstLineChars="200"/>
        <w:rPr>
          <w:rFonts w:hint="eastAsia" w:ascii="宋体" w:hAnsi="宋体" w:eastAsia="宋体" w:cs="宋体"/>
          <w:color w:val="auto"/>
          <w:szCs w:val="21"/>
          <w:highlight w:val="none"/>
          <w:lang w:eastAsia="zh-CN"/>
        </w:rPr>
      </w:pPr>
      <w:bookmarkStart w:id="24" w:name="_Toc28359004"/>
      <w:bookmarkStart w:id="25" w:name="_Toc28359081"/>
      <w:r>
        <w:rPr>
          <w:rFonts w:hint="eastAsia" w:ascii="宋体" w:hAnsi="宋体" w:eastAsia="宋体" w:cs="宋体"/>
          <w:color w:val="auto"/>
          <w:szCs w:val="21"/>
          <w:highlight w:val="none"/>
        </w:rPr>
        <w:t>1.满足《中华人民共和国政府采购法》第二十二条规定</w:t>
      </w:r>
      <w:r>
        <w:rPr>
          <w:rFonts w:hint="eastAsia" w:ascii="宋体" w:hAnsi="宋体" w:eastAsia="宋体" w:cs="宋体"/>
          <w:color w:val="auto"/>
          <w:szCs w:val="21"/>
          <w:highlight w:val="none"/>
          <w:lang w:eastAsia="zh-CN"/>
        </w:rPr>
        <w:t>；</w:t>
      </w:r>
    </w:p>
    <w:p w14:paraId="6EE6AD84">
      <w:pPr>
        <w:shd w:val="clear"/>
        <w:spacing w:line="360" w:lineRule="auto"/>
        <w:ind w:firstLine="420" w:firstLineChars="200"/>
        <w:rPr>
          <w:rFonts w:hint="eastAsia" w:ascii="宋体" w:hAnsi="宋体" w:eastAsia="宋体" w:cs="宋体"/>
          <w:i w:val="0"/>
          <w:iCs w:val="0"/>
          <w:color w:val="auto"/>
          <w:szCs w:val="21"/>
          <w:highlight w:val="none"/>
          <w:u w:val="single"/>
          <w:lang w:val="en-US"/>
        </w:rPr>
      </w:pPr>
      <w:r>
        <w:rPr>
          <w:rFonts w:hint="eastAsia" w:ascii="宋体" w:hAnsi="宋体" w:eastAsia="宋体" w:cs="宋体"/>
          <w:color w:val="auto"/>
          <w:szCs w:val="21"/>
          <w:highlight w:val="none"/>
        </w:rPr>
        <w:t>2.落实政府采购政策需满足的资格要求：</w:t>
      </w:r>
      <w:r>
        <w:rPr>
          <w:rFonts w:hint="eastAsia" w:ascii="宋体" w:hAnsi="宋体" w:cs="宋体"/>
          <w:color w:val="auto"/>
          <w:szCs w:val="21"/>
          <w:highlight w:val="none"/>
          <w:lang w:eastAsia="zh-CN"/>
        </w:rPr>
        <w:t>分标</w:t>
      </w:r>
      <w:r>
        <w:rPr>
          <w:rFonts w:hint="eastAsia" w:ascii="宋体" w:hAnsi="宋体" w:cs="宋体"/>
          <w:color w:val="auto"/>
          <w:szCs w:val="21"/>
          <w:highlight w:val="none"/>
          <w:lang w:val="en-US" w:eastAsia="zh-CN"/>
        </w:rPr>
        <w:t xml:space="preserve">1、2、3、4：专门面向中小企业采购的项目（投标人应为中小微企业或监狱企业或残疾人福利性单位) </w:t>
      </w:r>
      <w:r>
        <w:rPr>
          <w:rFonts w:hint="eastAsia" w:ascii="宋体" w:hAnsi="宋体" w:eastAsia="宋体" w:cs="宋体"/>
          <w:color w:val="auto"/>
          <w:szCs w:val="21"/>
          <w:highlight w:val="none"/>
          <w:lang w:val="en-US" w:eastAsia="zh-CN"/>
        </w:rPr>
        <w:t>。</w:t>
      </w:r>
    </w:p>
    <w:p w14:paraId="13BA7608">
      <w:pPr>
        <w:shd w:val="clear"/>
        <w:spacing w:line="360" w:lineRule="auto"/>
        <w:ind w:firstLine="420" w:firstLineChars="200"/>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rPr>
        <w:t>3.本项目的特定资格要求：</w:t>
      </w:r>
      <w:r>
        <w:rPr>
          <w:rFonts w:hint="eastAsia" w:ascii="宋体" w:hAnsi="宋体" w:cs="宋体"/>
          <w:color w:val="auto"/>
          <w:szCs w:val="21"/>
          <w:highlight w:val="none"/>
          <w:lang w:eastAsia="zh-CN"/>
        </w:rPr>
        <w:t>无</w:t>
      </w:r>
      <w:r>
        <w:rPr>
          <w:rFonts w:hint="eastAsia" w:ascii="宋体" w:hAnsi="宋体" w:eastAsia="宋体" w:cs="宋体"/>
          <w:color w:val="auto"/>
          <w:szCs w:val="21"/>
          <w:highlight w:val="none"/>
          <w:lang w:eastAsia="zh-CN"/>
        </w:rPr>
        <w:t>。</w:t>
      </w:r>
    </w:p>
    <w:p w14:paraId="6CEAB8A8">
      <w:pPr>
        <w:shd w:val="clear"/>
        <w:spacing w:line="360" w:lineRule="auto"/>
        <w:rPr>
          <w:rFonts w:hint="eastAsia" w:ascii="宋体" w:hAnsi="宋体" w:eastAsia="宋体" w:cs="宋体"/>
          <w:b/>
          <w:bCs/>
          <w:color w:val="auto"/>
          <w:sz w:val="24"/>
          <w:highlight w:val="none"/>
        </w:rPr>
      </w:pPr>
      <w:bookmarkStart w:id="26" w:name="_Toc35393623"/>
      <w:bookmarkStart w:id="27" w:name="_Toc35393792"/>
      <w:r>
        <w:rPr>
          <w:rFonts w:hint="eastAsia" w:ascii="宋体" w:hAnsi="宋体" w:eastAsia="宋体" w:cs="宋体"/>
          <w:b/>
          <w:bCs/>
          <w:color w:val="auto"/>
          <w:sz w:val="24"/>
          <w:highlight w:val="none"/>
        </w:rPr>
        <w:t>三、获取招标文件</w:t>
      </w:r>
      <w:bookmarkEnd w:id="24"/>
      <w:bookmarkEnd w:id="25"/>
      <w:bookmarkEnd w:id="26"/>
      <w:bookmarkEnd w:id="27"/>
    </w:p>
    <w:p w14:paraId="3D3B14E6">
      <w:pPr>
        <w:shd w:val="clear"/>
        <w:snapToGrid w:val="0"/>
        <w:spacing w:line="360" w:lineRule="auto"/>
        <w:ind w:firstLine="472" w:firstLineChars="225"/>
        <w:rPr>
          <w:rFonts w:hint="eastAsia" w:ascii="宋体" w:hAnsi="宋体" w:eastAsia="宋体" w:cs="宋体"/>
          <w:color w:val="auto"/>
          <w:szCs w:val="21"/>
          <w:highlight w:val="none"/>
        </w:rPr>
      </w:pPr>
      <w:bookmarkStart w:id="28" w:name="_Toc28359005"/>
      <w:bookmarkStart w:id="29" w:name="_Toc28359082"/>
      <w:bookmarkStart w:id="30" w:name="_Toc35393624"/>
      <w:bookmarkStart w:id="31" w:name="_Toc35393793"/>
      <w:r>
        <w:rPr>
          <w:rFonts w:hint="eastAsia" w:ascii="宋体" w:hAnsi="宋体" w:eastAsia="宋体" w:cs="宋体"/>
          <w:color w:val="auto"/>
          <w:szCs w:val="21"/>
          <w:highlight w:val="none"/>
        </w:rPr>
        <w:t>时间：</w:t>
      </w:r>
      <w:r>
        <w:rPr>
          <w:rFonts w:hint="eastAsia" w:ascii="宋体" w:hAnsi="宋体" w:cs="宋体"/>
          <w:bCs/>
          <w:color w:val="auto"/>
          <w:kern w:val="0"/>
          <w:szCs w:val="21"/>
          <w:highlight w:val="none"/>
          <w:u w:val="single"/>
          <w:lang w:val="en-US" w:eastAsia="zh-CN"/>
        </w:rPr>
        <w:t>2026</w:t>
      </w:r>
      <w:r>
        <w:rPr>
          <w:rFonts w:hint="eastAsia" w:ascii="宋体" w:hAnsi="宋体" w:eastAsia="宋体" w:cs="宋体"/>
          <w:bCs/>
          <w:color w:val="auto"/>
          <w:kern w:val="0"/>
          <w:szCs w:val="21"/>
          <w:highlight w:val="none"/>
          <w:u w:val="single"/>
        </w:rPr>
        <w:t>年</w:t>
      </w:r>
      <w:r>
        <w:rPr>
          <w:rFonts w:hint="eastAsia" w:ascii="宋体" w:hAnsi="宋体" w:cs="宋体"/>
          <w:bCs/>
          <w:color w:val="auto"/>
          <w:kern w:val="0"/>
          <w:szCs w:val="21"/>
          <w:highlight w:val="none"/>
          <w:u w:val="single"/>
          <w:lang w:val="en-US" w:eastAsia="zh-CN"/>
        </w:rPr>
        <w:t>1</w:t>
      </w:r>
      <w:r>
        <w:rPr>
          <w:rFonts w:hint="eastAsia" w:ascii="宋体" w:hAnsi="宋体" w:eastAsia="宋体" w:cs="宋体"/>
          <w:bCs/>
          <w:color w:val="auto"/>
          <w:kern w:val="0"/>
          <w:szCs w:val="21"/>
          <w:highlight w:val="none"/>
          <w:u w:val="single"/>
        </w:rPr>
        <w:t>月</w:t>
      </w:r>
      <w:r>
        <w:rPr>
          <w:rFonts w:hint="eastAsia" w:ascii="宋体" w:hAnsi="宋体" w:cs="宋体"/>
          <w:bCs/>
          <w:color w:val="auto"/>
          <w:kern w:val="0"/>
          <w:szCs w:val="21"/>
          <w:highlight w:val="none"/>
          <w:u w:val="single"/>
          <w:lang w:val="en-US" w:eastAsia="zh-CN"/>
        </w:rPr>
        <w:t>9</w:t>
      </w:r>
      <w:r>
        <w:rPr>
          <w:rFonts w:hint="eastAsia" w:ascii="宋体" w:hAnsi="宋体" w:eastAsia="宋体" w:cs="宋体"/>
          <w:bCs/>
          <w:color w:val="auto"/>
          <w:kern w:val="0"/>
          <w:szCs w:val="21"/>
          <w:highlight w:val="none"/>
          <w:u w:val="single"/>
        </w:rPr>
        <w:t>日</w:t>
      </w:r>
      <w:r>
        <w:rPr>
          <w:rFonts w:hint="eastAsia" w:ascii="宋体" w:hAnsi="宋体" w:eastAsia="宋体" w:cs="宋体"/>
          <w:bCs/>
          <w:color w:val="auto"/>
          <w:kern w:val="0"/>
          <w:szCs w:val="21"/>
          <w:highlight w:val="none"/>
        </w:rPr>
        <w:t>至</w:t>
      </w:r>
      <w:r>
        <w:rPr>
          <w:rFonts w:hint="eastAsia" w:ascii="宋体" w:hAnsi="宋体" w:cs="宋体"/>
          <w:bCs/>
          <w:color w:val="auto"/>
          <w:kern w:val="0"/>
          <w:szCs w:val="21"/>
          <w:highlight w:val="none"/>
          <w:u w:val="single"/>
          <w:lang w:val="en-US" w:eastAsia="zh-CN"/>
        </w:rPr>
        <w:t>2026</w:t>
      </w:r>
      <w:r>
        <w:rPr>
          <w:rFonts w:hint="eastAsia" w:ascii="宋体" w:hAnsi="宋体" w:eastAsia="宋体" w:cs="宋体"/>
          <w:bCs/>
          <w:color w:val="auto"/>
          <w:kern w:val="0"/>
          <w:szCs w:val="21"/>
          <w:highlight w:val="none"/>
          <w:u w:val="single"/>
        </w:rPr>
        <w:t>年</w:t>
      </w:r>
      <w:r>
        <w:rPr>
          <w:rFonts w:hint="eastAsia" w:ascii="宋体" w:hAnsi="宋体" w:cs="宋体"/>
          <w:bCs/>
          <w:color w:val="auto"/>
          <w:kern w:val="0"/>
          <w:szCs w:val="21"/>
          <w:highlight w:val="none"/>
          <w:u w:val="single"/>
          <w:lang w:val="en-US" w:eastAsia="zh-CN"/>
        </w:rPr>
        <w:t>1</w:t>
      </w:r>
      <w:r>
        <w:rPr>
          <w:rFonts w:hint="eastAsia" w:ascii="宋体" w:hAnsi="宋体" w:eastAsia="宋体" w:cs="宋体"/>
          <w:bCs/>
          <w:color w:val="auto"/>
          <w:kern w:val="0"/>
          <w:szCs w:val="21"/>
          <w:highlight w:val="none"/>
          <w:u w:val="single"/>
        </w:rPr>
        <w:t>月</w:t>
      </w:r>
      <w:r>
        <w:rPr>
          <w:rFonts w:hint="eastAsia" w:ascii="宋体" w:hAnsi="宋体" w:cs="宋体"/>
          <w:bCs/>
          <w:color w:val="auto"/>
          <w:kern w:val="0"/>
          <w:szCs w:val="21"/>
          <w:highlight w:val="none"/>
          <w:u w:val="single"/>
          <w:lang w:val="en-US" w:eastAsia="zh-CN"/>
        </w:rPr>
        <w:t>16</w:t>
      </w:r>
      <w:r>
        <w:rPr>
          <w:rFonts w:hint="eastAsia" w:ascii="宋体" w:hAnsi="宋体" w:eastAsia="宋体" w:cs="宋体"/>
          <w:bCs/>
          <w:color w:val="auto"/>
          <w:kern w:val="0"/>
          <w:szCs w:val="21"/>
          <w:highlight w:val="none"/>
          <w:u w:val="single"/>
        </w:rPr>
        <w:t>日</w:t>
      </w:r>
      <w:r>
        <w:rPr>
          <w:rFonts w:hint="eastAsia" w:ascii="宋体" w:hAnsi="宋体" w:eastAsia="宋体" w:cs="宋体"/>
          <w:bCs/>
          <w:color w:val="auto"/>
          <w:kern w:val="0"/>
          <w:szCs w:val="21"/>
          <w:highlight w:val="none"/>
        </w:rPr>
        <w:t>，</w:t>
      </w:r>
      <w:r>
        <w:rPr>
          <w:rFonts w:hint="eastAsia" w:ascii="宋体" w:hAnsi="宋体" w:eastAsia="宋体" w:cs="宋体"/>
          <w:color w:val="auto"/>
          <w:highlight w:val="none"/>
        </w:rPr>
        <w:t>每天上午00</w:t>
      </w:r>
      <w:r>
        <w:rPr>
          <w:rFonts w:hint="eastAsia" w:ascii="宋体" w:hAnsi="宋体" w:cs="宋体"/>
          <w:color w:val="auto"/>
          <w:highlight w:val="none"/>
          <w:lang w:eastAsia="zh-CN"/>
        </w:rPr>
        <w:t>：</w:t>
      </w:r>
      <w:r>
        <w:rPr>
          <w:rFonts w:hint="eastAsia" w:ascii="宋体" w:hAnsi="宋体" w:eastAsia="宋体" w:cs="宋体"/>
          <w:color w:val="auto"/>
          <w:highlight w:val="none"/>
        </w:rPr>
        <w:t>00至1</w:t>
      </w:r>
      <w:r>
        <w:rPr>
          <w:rFonts w:hint="eastAsia" w:ascii="宋体" w:hAnsi="宋体" w:cs="宋体"/>
          <w:color w:val="auto"/>
          <w:highlight w:val="none"/>
          <w:lang w:val="en-US" w:eastAsia="zh-CN"/>
        </w:rPr>
        <w:t>2</w:t>
      </w:r>
      <w:r>
        <w:rPr>
          <w:rFonts w:hint="eastAsia" w:ascii="宋体" w:hAnsi="宋体" w:cs="宋体"/>
          <w:color w:val="auto"/>
          <w:highlight w:val="none"/>
          <w:lang w:eastAsia="zh-CN"/>
        </w:rPr>
        <w:t>：</w:t>
      </w:r>
      <w:r>
        <w:rPr>
          <w:rFonts w:hint="eastAsia" w:ascii="宋体" w:hAnsi="宋体" w:cs="宋体"/>
          <w:color w:val="auto"/>
          <w:highlight w:val="none"/>
          <w:lang w:val="en-US" w:eastAsia="zh-CN"/>
        </w:rPr>
        <w:t>00</w:t>
      </w:r>
      <w:r>
        <w:rPr>
          <w:rFonts w:hint="eastAsia" w:ascii="宋体" w:hAnsi="宋体" w:eastAsia="宋体" w:cs="宋体"/>
          <w:bCs/>
          <w:color w:val="auto"/>
          <w:kern w:val="0"/>
          <w:szCs w:val="21"/>
          <w:highlight w:val="none"/>
        </w:rPr>
        <w:t>，</w:t>
      </w:r>
      <w:r>
        <w:rPr>
          <w:rFonts w:hint="eastAsia" w:ascii="宋体" w:hAnsi="宋体" w:eastAsia="宋体" w:cs="宋体"/>
          <w:color w:val="auto"/>
          <w:highlight w:val="none"/>
        </w:rPr>
        <w:t>下午12</w:t>
      </w:r>
      <w:r>
        <w:rPr>
          <w:rFonts w:hint="eastAsia" w:ascii="宋体" w:hAnsi="宋体" w:cs="宋体"/>
          <w:color w:val="auto"/>
          <w:highlight w:val="none"/>
          <w:lang w:eastAsia="zh-CN"/>
        </w:rPr>
        <w:t>：</w:t>
      </w:r>
      <w:r>
        <w:rPr>
          <w:rFonts w:hint="eastAsia" w:ascii="宋体" w:hAnsi="宋体" w:eastAsia="宋体" w:cs="宋体"/>
          <w:color w:val="auto"/>
          <w:highlight w:val="none"/>
        </w:rPr>
        <w:t>00至23</w:t>
      </w:r>
      <w:r>
        <w:rPr>
          <w:rFonts w:hint="eastAsia" w:ascii="宋体" w:hAnsi="宋体" w:cs="宋体"/>
          <w:color w:val="auto"/>
          <w:highlight w:val="none"/>
          <w:lang w:eastAsia="zh-CN"/>
        </w:rPr>
        <w:t>：</w:t>
      </w:r>
      <w:r>
        <w:rPr>
          <w:rFonts w:hint="eastAsia" w:ascii="宋体" w:hAnsi="宋体" w:eastAsia="宋体" w:cs="宋体"/>
          <w:color w:val="auto"/>
          <w:highlight w:val="none"/>
        </w:rPr>
        <w:t>59</w:t>
      </w:r>
      <w:r>
        <w:rPr>
          <w:rFonts w:hint="eastAsia" w:ascii="宋体" w:hAnsi="宋体" w:eastAsia="宋体" w:cs="宋体"/>
          <w:color w:val="auto"/>
          <w:szCs w:val="21"/>
          <w:highlight w:val="none"/>
        </w:rPr>
        <w:t>（北京时间，法定节假日除外）。</w:t>
      </w:r>
    </w:p>
    <w:p w14:paraId="2ABA4835">
      <w:pPr>
        <w:shd w:val="clear"/>
        <w:snapToGrid w:val="0"/>
        <w:spacing w:line="360" w:lineRule="auto"/>
        <w:ind w:firstLine="472" w:firstLineChars="225"/>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rPr>
        <w:t>地点</w:t>
      </w:r>
      <w:r>
        <w:rPr>
          <w:rFonts w:hint="eastAsia" w:ascii="宋体" w:hAnsi="宋体" w:eastAsia="宋体" w:cs="宋体"/>
          <w:color w:val="auto"/>
          <w:szCs w:val="21"/>
          <w:highlight w:val="none"/>
          <w:lang w:eastAsia="zh-CN"/>
        </w:rPr>
        <w:t>：</w:t>
      </w:r>
      <w:r>
        <w:rPr>
          <w:rFonts w:hint="eastAsia" w:ascii="宋体" w:hAnsi="宋体" w:eastAsia="宋体" w:cs="宋体"/>
          <w:b w:val="0"/>
          <w:bCs w:val="0"/>
          <w:color w:val="auto"/>
          <w:sz w:val="21"/>
          <w:szCs w:val="21"/>
          <w:highlight w:val="none"/>
          <w:u w:val="none"/>
          <w:lang w:val="en-US" w:eastAsia="zh-CN"/>
        </w:rPr>
        <w:t>广西政府采购云平台</w:t>
      </w:r>
      <w:r>
        <w:rPr>
          <w:rFonts w:hint="eastAsia" w:ascii="宋体" w:hAnsi="宋体" w:eastAsia="宋体" w:cs="宋体"/>
          <w:color w:val="auto"/>
          <w:szCs w:val="21"/>
          <w:highlight w:val="none"/>
          <w:u w:val="none"/>
        </w:rPr>
        <w:t>（</w:t>
      </w:r>
      <w:r>
        <w:rPr>
          <w:rStyle w:val="20"/>
          <w:rFonts w:hint="eastAsia" w:ascii="宋体" w:hAnsi="宋体" w:eastAsia="宋体" w:cs="宋体"/>
          <w:b w:val="0"/>
          <w:bCs/>
          <w:i w:val="0"/>
          <w:caps w:val="0"/>
          <w:color w:val="auto"/>
          <w:spacing w:val="0"/>
          <w:sz w:val="21"/>
          <w:szCs w:val="21"/>
          <w:highlight w:val="none"/>
          <w:u w:val="none"/>
        </w:rPr>
        <w:t>https://www.gcy.zfcg.gxzf.gov.cn/</w:t>
      </w:r>
      <w:r>
        <w:rPr>
          <w:rFonts w:hint="eastAsia" w:ascii="宋体" w:hAnsi="宋体" w:eastAsia="宋体" w:cs="宋体"/>
          <w:color w:val="auto"/>
          <w:szCs w:val="21"/>
          <w:highlight w:val="none"/>
          <w:u w:val="none"/>
        </w:rPr>
        <w:t>）</w:t>
      </w:r>
    </w:p>
    <w:p w14:paraId="766DF473">
      <w:pPr>
        <w:shd w:val="clear"/>
        <w:snapToGrid w:val="0"/>
        <w:spacing w:line="360" w:lineRule="auto"/>
        <w:ind w:firstLine="472" w:firstLineChars="225"/>
        <w:rPr>
          <w:rFonts w:hint="eastAsia" w:ascii="宋体" w:hAnsi="宋体" w:eastAsia="宋体" w:cs="宋体"/>
          <w:color w:val="auto"/>
          <w:szCs w:val="21"/>
          <w:highlight w:val="none"/>
        </w:rPr>
      </w:pPr>
      <w:r>
        <w:rPr>
          <w:rFonts w:hint="eastAsia" w:ascii="宋体" w:hAnsi="宋体" w:eastAsia="宋体" w:cs="宋体"/>
          <w:color w:val="auto"/>
          <w:szCs w:val="21"/>
          <w:highlight w:val="none"/>
        </w:rPr>
        <w:t>方式</w:t>
      </w:r>
      <w:r>
        <w:rPr>
          <w:rFonts w:hint="eastAsia" w:ascii="宋体" w:hAnsi="宋体" w:cs="宋体"/>
          <w:color w:val="auto"/>
          <w:szCs w:val="21"/>
          <w:highlight w:val="none"/>
          <w:lang w:eastAsia="zh-CN"/>
        </w:rPr>
        <w:t>：</w:t>
      </w:r>
      <w:r>
        <w:rPr>
          <w:rFonts w:hint="eastAsia" w:ascii="宋体" w:hAnsi="宋体" w:eastAsia="宋体" w:cs="宋体"/>
          <w:color w:val="auto"/>
          <w:szCs w:val="21"/>
          <w:highlight w:val="none"/>
        </w:rPr>
        <w:t>网上下载。本项目不发放纸质文件，</w:t>
      </w:r>
      <w:r>
        <w:rPr>
          <w:rFonts w:hint="eastAsia" w:ascii="宋体" w:hAnsi="宋体" w:eastAsia="宋体" w:cs="宋体"/>
          <w:color w:val="auto"/>
          <w:szCs w:val="21"/>
          <w:highlight w:val="none"/>
          <w:lang w:eastAsia="zh-CN"/>
        </w:rPr>
        <w:t>潜在投标人</w:t>
      </w:r>
      <w:r>
        <w:rPr>
          <w:rFonts w:hint="eastAsia" w:ascii="宋体" w:hAnsi="宋体" w:eastAsia="宋体" w:cs="宋体"/>
          <w:color w:val="auto"/>
          <w:szCs w:val="21"/>
          <w:highlight w:val="none"/>
        </w:rPr>
        <w:t>可自行在</w:t>
      </w:r>
      <w:r>
        <w:rPr>
          <w:rFonts w:hint="eastAsia" w:ascii="宋体" w:hAnsi="宋体" w:eastAsia="宋体" w:cs="宋体"/>
          <w:b w:val="0"/>
          <w:bCs w:val="0"/>
          <w:color w:val="auto"/>
          <w:sz w:val="21"/>
          <w:szCs w:val="21"/>
          <w:highlight w:val="none"/>
          <w:lang w:val="en-US" w:eastAsia="zh-CN"/>
        </w:rPr>
        <w:t>广西政府采购云平台</w:t>
      </w:r>
      <w:r>
        <w:rPr>
          <w:rFonts w:hint="eastAsia" w:ascii="宋体" w:hAnsi="宋体" w:eastAsia="宋体" w:cs="宋体"/>
          <w:color w:val="auto"/>
          <w:szCs w:val="21"/>
          <w:highlight w:val="none"/>
        </w:rPr>
        <w:t>（</w:t>
      </w:r>
      <w:r>
        <w:rPr>
          <w:rStyle w:val="20"/>
          <w:rFonts w:hint="eastAsia" w:ascii="宋体" w:hAnsi="宋体" w:eastAsia="宋体" w:cs="宋体"/>
          <w:b w:val="0"/>
          <w:bCs/>
          <w:i w:val="0"/>
          <w:caps w:val="0"/>
          <w:color w:val="auto"/>
          <w:spacing w:val="0"/>
          <w:sz w:val="21"/>
          <w:szCs w:val="21"/>
          <w:highlight w:val="none"/>
        </w:rPr>
        <w:t>https://www.gcy.zfcg.gxzf.gov.cn/</w:t>
      </w:r>
      <w:r>
        <w:rPr>
          <w:rFonts w:hint="eastAsia" w:ascii="宋体" w:hAnsi="宋体" w:eastAsia="宋体" w:cs="宋体"/>
          <w:color w:val="auto"/>
          <w:szCs w:val="21"/>
          <w:highlight w:val="none"/>
        </w:rPr>
        <w:t>）下载招标文件（操作路径：登录</w:t>
      </w:r>
      <w:r>
        <w:rPr>
          <w:rFonts w:hint="eastAsia" w:ascii="宋体" w:hAnsi="宋体" w:eastAsia="宋体" w:cs="宋体"/>
          <w:b w:val="0"/>
          <w:bCs w:val="0"/>
          <w:color w:val="auto"/>
          <w:sz w:val="21"/>
          <w:szCs w:val="21"/>
          <w:highlight w:val="none"/>
          <w:lang w:val="en-US" w:eastAsia="zh-CN"/>
        </w:rPr>
        <w:t>广西政府采购云平台</w:t>
      </w:r>
      <w:r>
        <w:rPr>
          <w:rFonts w:hint="eastAsia" w:ascii="宋体" w:hAnsi="宋体" w:eastAsia="宋体" w:cs="宋体"/>
          <w:color w:val="auto"/>
          <w:szCs w:val="21"/>
          <w:highlight w:val="none"/>
        </w:rPr>
        <w:t>-项目采购-获取采购文件-找到本项目-点击“申请获取采购文件”），电子投标文件制作需要基于</w:t>
      </w:r>
      <w:r>
        <w:rPr>
          <w:rFonts w:hint="eastAsia" w:ascii="宋体" w:hAnsi="宋体" w:eastAsia="宋体" w:cs="宋体"/>
          <w:b w:val="0"/>
          <w:bCs w:val="0"/>
          <w:color w:val="auto"/>
          <w:sz w:val="21"/>
          <w:szCs w:val="21"/>
          <w:highlight w:val="none"/>
          <w:lang w:val="en-US" w:eastAsia="zh-CN"/>
        </w:rPr>
        <w:t>广西政府采购云平台</w:t>
      </w:r>
      <w:r>
        <w:rPr>
          <w:rFonts w:hint="eastAsia" w:ascii="宋体" w:hAnsi="宋体" w:eastAsia="宋体" w:cs="宋体"/>
          <w:color w:val="auto"/>
          <w:szCs w:val="21"/>
          <w:highlight w:val="none"/>
        </w:rPr>
        <w:t>获取的招标文件编制。</w:t>
      </w:r>
    </w:p>
    <w:p w14:paraId="0D618A34">
      <w:pPr>
        <w:shd w:val="clear"/>
        <w:snapToGrid w:val="0"/>
        <w:spacing w:line="360" w:lineRule="auto"/>
        <w:ind w:firstLine="472" w:firstLineChars="225"/>
        <w:rPr>
          <w:rFonts w:hint="eastAsia" w:ascii="宋体" w:hAnsi="宋体" w:eastAsia="宋体" w:cs="宋体"/>
          <w:color w:val="auto"/>
          <w:szCs w:val="21"/>
          <w:highlight w:val="none"/>
        </w:rPr>
      </w:pPr>
      <w:r>
        <w:rPr>
          <w:rFonts w:hint="eastAsia" w:ascii="宋体" w:hAnsi="宋体" w:eastAsia="宋体" w:cs="宋体"/>
          <w:color w:val="auto"/>
          <w:szCs w:val="21"/>
          <w:highlight w:val="none"/>
        </w:rPr>
        <w:t>售价</w:t>
      </w:r>
      <w:r>
        <w:rPr>
          <w:rFonts w:hint="eastAsia" w:ascii="宋体" w:hAnsi="宋体" w:eastAsia="宋体" w:cs="宋体"/>
          <w:color w:val="auto"/>
          <w:szCs w:val="21"/>
          <w:highlight w:val="none"/>
          <w:lang w:eastAsia="zh-CN"/>
        </w:rPr>
        <w:t>（元）</w:t>
      </w:r>
      <w:r>
        <w:rPr>
          <w:rFonts w:hint="eastAsia" w:ascii="宋体" w:hAnsi="宋体" w:eastAsia="宋体" w:cs="宋体"/>
          <w:color w:val="auto"/>
          <w:szCs w:val="21"/>
          <w:highlight w:val="none"/>
        </w:rPr>
        <w:t>：0</w:t>
      </w:r>
    </w:p>
    <w:p w14:paraId="28B2946D">
      <w:pPr>
        <w:shd w:val="clear"/>
        <w:spacing w:line="360" w:lineRule="auto"/>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四、提交投标文件</w:t>
      </w:r>
      <w:bookmarkEnd w:id="28"/>
      <w:bookmarkEnd w:id="29"/>
      <w:r>
        <w:rPr>
          <w:rFonts w:hint="eastAsia" w:ascii="宋体" w:hAnsi="宋体" w:eastAsia="宋体" w:cs="宋体"/>
          <w:b/>
          <w:bCs/>
          <w:color w:val="auto"/>
          <w:sz w:val="24"/>
          <w:highlight w:val="none"/>
        </w:rPr>
        <w:t>截止时间、开标时间和地点</w:t>
      </w:r>
      <w:bookmarkEnd w:id="30"/>
      <w:bookmarkEnd w:id="31"/>
    </w:p>
    <w:p w14:paraId="5C43C432">
      <w:pPr>
        <w:pStyle w:val="33"/>
        <w:shd w:val="clear"/>
        <w:spacing w:line="360" w:lineRule="auto"/>
        <w:rPr>
          <w:rFonts w:hint="eastAsia" w:ascii="宋体" w:hAnsi="宋体" w:eastAsia="宋体" w:cs="宋体"/>
          <w:color w:val="auto"/>
          <w:kern w:val="0"/>
          <w:szCs w:val="21"/>
          <w:highlight w:val="none"/>
        </w:rPr>
      </w:pPr>
      <w:bookmarkStart w:id="32" w:name="_Toc35393625"/>
      <w:bookmarkStart w:id="33" w:name="_Toc28359007"/>
      <w:bookmarkStart w:id="34" w:name="_Toc35393794"/>
      <w:bookmarkStart w:id="35" w:name="_Toc28359084"/>
      <w:r>
        <w:rPr>
          <w:rFonts w:hint="eastAsia" w:ascii="宋体" w:hAnsi="宋体" w:eastAsia="宋体" w:cs="宋体"/>
          <w:color w:val="auto"/>
          <w:kern w:val="0"/>
          <w:szCs w:val="21"/>
          <w:highlight w:val="none"/>
        </w:rPr>
        <w:t>提交投标文件截止时间：</w:t>
      </w:r>
      <w:r>
        <w:rPr>
          <w:rFonts w:hint="eastAsia" w:ascii="宋体" w:hAnsi="宋体" w:cs="宋体"/>
          <w:color w:val="0000FF"/>
          <w:szCs w:val="21"/>
          <w:highlight w:val="none"/>
          <w:u w:val="single"/>
          <w:lang w:val="en-US" w:eastAsia="zh-CN"/>
        </w:rPr>
        <w:t>2026</w:t>
      </w:r>
      <w:r>
        <w:rPr>
          <w:rFonts w:hint="eastAsia" w:ascii="宋体" w:hAnsi="宋体" w:eastAsia="宋体" w:cs="宋体"/>
          <w:color w:val="0000FF"/>
          <w:szCs w:val="21"/>
          <w:highlight w:val="none"/>
          <w:u w:val="single"/>
        </w:rPr>
        <w:t>年</w:t>
      </w:r>
      <w:r>
        <w:rPr>
          <w:rFonts w:hint="eastAsia" w:ascii="宋体" w:hAnsi="宋体" w:cs="宋体"/>
          <w:color w:val="0000FF"/>
          <w:szCs w:val="21"/>
          <w:highlight w:val="none"/>
          <w:u w:val="single"/>
          <w:lang w:val="en-US" w:eastAsia="zh-CN"/>
        </w:rPr>
        <w:t>3</w:t>
      </w:r>
      <w:r>
        <w:rPr>
          <w:rFonts w:hint="eastAsia" w:ascii="宋体" w:hAnsi="宋体" w:eastAsia="宋体" w:cs="宋体"/>
          <w:color w:val="0000FF"/>
          <w:szCs w:val="21"/>
          <w:highlight w:val="none"/>
          <w:u w:val="single"/>
        </w:rPr>
        <w:t>月</w:t>
      </w:r>
      <w:r>
        <w:rPr>
          <w:rFonts w:hint="eastAsia" w:ascii="宋体" w:hAnsi="宋体" w:cs="宋体"/>
          <w:color w:val="0000FF"/>
          <w:szCs w:val="21"/>
          <w:highlight w:val="none"/>
          <w:u w:val="single"/>
          <w:lang w:val="en-US" w:eastAsia="zh-CN"/>
        </w:rPr>
        <w:t>9</w:t>
      </w:r>
      <w:r>
        <w:rPr>
          <w:rFonts w:hint="eastAsia" w:ascii="宋体" w:hAnsi="宋体" w:eastAsia="宋体" w:cs="宋体"/>
          <w:color w:val="0000FF"/>
          <w:szCs w:val="21"/>
          <w:highlight w:val="none"/>
          <w:u w:val="single"/>
        </w:rPr>
        <w:t>日</w:t>
      </w:r>
      <w:r>
        <w:rPr>
          <w:rFonts w:hint="eastAsia" w:ascii="宋体" w:hAnsi="宋体" w:cs="宋体"/>
          <w:color w:val="0000FF"/>
          <w:szCs w:val="21"/>
          <w:highlight w:val="none"/>
          <w:u w:val="single"/>
          <w:lang w:val="en-US" w:eastAsia="zh-CN"/>
        </w:rPr>
        <w:t>9</w:t>
      </w:r>
      <w:r>
        <w:rPr>
          <w:rFonts w:hint="eastAsia" w:ascii="宋体" w:hAnsi="宋体" w:cs="宋体"/>
          <w:color w:val="0000FF"/>
          <w:szCs w:val="21"/>
          <w:highlight w:val="none"/>
          <w:u w:val="single"/>
          <w:lang w:eastAsia="zh-CN"/>
        </w:rPr>
        <w:t>时</w:t>
      </w:r>
      <w:r>
        <w:rPr>
          <w:rFonts w:hint="eastAsia" w:ascii="宋体" w:hAnsi="宋体" w:cs="宋体"/>
          <w:color w:val="0000FF"/>
          <w:szCs w:val="21"/>
          <w:highlight w:val="none"/>
          <w:u w:val="single"/>
          <w:lang w:val="en-US" w:eastAsia="zh-CN"/>
        </w:rPr>
        <w:t>30</w:t>
      </w:r>
      <w:r>
        <w:rPr>
          <w:rFonts w:hint="eastAsia" w:ascii="宋体" w:hAnsi="宋体" w:eastAsia="宋体" w:cs="宋体"/>
          <w:color w:val="0000FF"/>
          <w:szCs w:val="21"/>
          <w:highlight w:val="none"/>
          <w:u w:val="single"/>
          <w:lang w:val="en-US" w:eastAsia="zh-CN"/>
        </w:rPr>
        <w:t>分</w:t>
      </w:r>
      <w:r>
        <w:rPr>
          <w:rFonts w:hint="eastAsia" w:ascii="宋体" w:hAnsi="宋体" w:eastAsia="宋体" w:cs="宋体"/>
          <w:color w:val="auto"/>
          <w:kern w:val="0"/>
          <w:szCs w:val="21"/>
          <w:highlight w:val="none"/>
        </w:rPr>
        <w:t>（北京时间）</w:t>
      </w:r>
    </w:p>
    <w:p w14:paraId="219E1C16">
      <w:pPr>
        <w:pStyle w:val="33"/>
        <w:shd w:val="clear"/>
        <w:spacing w:line="360" w:lineRule="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投标地点（网址）：本项目为全流程电子化项目，没有现场递交投标文件及现场开标环节，通过广西政府采购云平台（https://www.gcy.zfcg.gxzf.gov.cn/）实行在线电子投标。 </w:t>
      </w:r>
    </w:p>
    <w:p w14:paraId="3463B170">
      <w:pPr>
        <w:pStyle w:val="33"/>
        <w:shd w:val="clear"/>
        <w:spacing w:line="360" w:lineRule="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开标时间：</w:t>
      </w:r>
      <w:r>
        <w:rPr>
          <w:rFonts w:hint="eastAsia" w:ascii="宋体" w:hAnsi="宋体" w:cs="宋体"/>
          <w:color w:val="0000FF"/>
          <w:szCs w:val="21"/>
          <w:highlight w:val="none"/>
          <w:u w:val="single"/>
          <w:lang w:val="en-US" w:eastAsia="zh-CN"/>
        </w:rPr>
        <w:t>2026</w:t>
      </w:r>
      <w:r>
        <w:rPr>
          <w:rFonts w:hint="eastAsia" w:ascii="宋体" w:hAnsi="宋体" w:eastAsia="宋体" w:cs="宋体"/>
          <w:color w:val="0000FF"/>
          <w:szCs w:val="21"/>
          <w:highlight w:val="none"/>
          <w:u w:val="single"/>
        </w:rPr>
        <w:t>年</w:t>
      </w:r>
      <w:r>
        <w:rPr>
          <w:rFonts w:hint="eastAsia" w:ascii="宋体" w:hAnsi="宋体" w:cs="宋体"/>
          <w:color w:val="0000FF"/>
          <w:szCs w:val="21"/>
          <w:highlight w:val="none"/>
          <w:u w:val="single"/>
          <w:lang w:val="en-US" w:eastAsia="zh-CN"/>
        </w:rPr>
        <w:t>3</w:t>
      </w:r>
      <w:r>
        <w:rPr>
          <w:rFonts w:hint="eastAsia" w:ascii="宋体" w:hAnsi="宋体" w:eastAsia="宋体" w:cs="宋体"/>
          <w:color w:val="0000FF"/>
          <w:szCs w:val="21"/>
          <w:highlight w:val="none"/>
          <w:u w:val="single"/>
        </w:rPr>
        <w:t>月</w:t>
      </w:r>
      <w:r>
        <w:rPr>
          <w:rFonts w:hint="eastAsia" w:ascii="宋体" w:hAnsi="宋体" w:cs="宋体"/>
          <w:color w:val="0000FF"/>
          <w:szCs w:val="21"/>
          <w:highlight w:val="none"/>
          <w:u w:val="single"/>
          <w:lang w:val="en-US" w:eastAsia="zh-CN"/>
        </w:rPr>
        <w:t>9</w:t>
      </w:r>
      <w:r>
        <w:rPr>
          <w:rFonts w:hint="eastAsia" w:ascii="宋体" w:hAnsi="宋体" w:eastAsia="宋体" w:cs="宋体"/>
          <w:color w:val="0000FF"/>
          <w:szCs w:val="21"/>
          <w:highlight w:val="none"/>
          <w:u w:val="single"/>
        </w:rPr>
        <w:t>日</w:t>
      </w:r>
      <w:r>
        <w:rPr>
          <w:rFonts w:hint="eastAsia" w:ascii="宋体" w:hAnsi="宋体" w:cs="宋体"/>
          <w:color w:val="0000FF"/>
          <w:szCs w:val="21"/>
          <w:highlight w:val="none"/>
          <w:u w:val="single"/>
          <w:lang w:val="en-US" w:eastAsia="zh-CN"/>
        </w:rPr>
        <w:t>9</w:t>
      </w:r>
      <w:r>
        <w:rPr>
          <w:rFonts w:hint="eastAsia" w:ascii="宋体" w:hAnsi="宋体" w:cs="宋体"/>
          <w:color w:val="0000FF"/>
          <w:szCs w:val="21"/>
          <w:highlight w:val="none"/>
          <w:u w:val="single"/>
          <w:lang w:eastAsia="zh-CN"/>
        </w:rPr>
        <w:t>时</w:t>
      </w:r>
      <w:r>
        <w:rPr>
          <w:rFonts w:hint="eastAsia" w:ascii="宋体" w:hAnsi="宋体" w:cs="宋体"/>
          <w:color w:val="0000FF"/>
          <w:szCs w:val="21"/>
          <w:highlight w:val="none"/>
          <w:u w:val="single"/>
          <w:lang w:val="en-US" w:eastAsia="zh-CN"/>
        </w:rPr>
        <w:t>30</w:t>
      </w:r>
      <w:r>
        <w:rPr>
          <w:rFonts w:hint="eastAsia" w:ascii="宋体" w:hAnsi="宋体" w:eastAsia="宋体" w:cs="宋体"/>
          <w:color w:val="0000FF"/>
          <w:szCs w:val="21"/>
          <w:highlight w:val="none"/>
          <w:u w:val="single"/>
          <w:lang w:val="en-US" w:eastAsia="zh-CN"/>
        </w:rPr>
        <w:t>分</w:t>
      </w:r>
      <w:r>
        <w:rPr>
          <w:rFonts w:hint="eastAsia" w:ascii="宋体" w:hAnsi="宋体" w:eastAsia="宋体" w:cs="宋体"/>
          <w:color w:val="auto"/>
          <w:kern w:val="0"/>
          <w:szCs w:val="21"/>
          <w:highlight w:val="none"/>
        </w:rPr>
        <w:t> </w:t>
      </w:r>
    </w:p>
    <w:p w14:paraId="2B7CC3DB">
      <w:pPr>
        <w:pStyle w:val="33"/>
        <w:shd w:val="clear"/>
        <w:spacing w:line="360" w:lineRule="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开标地点：供应商登录广西政府采购云平台电子开标大厅开标。</w:t>
      </w:r>
    </w:p>
    <w:p w14:paraId="615842DC">
      <w:pPr>
        <w:shd w:val="clear"/>
        <w:spacing w:line="360" w:lineRule="auto"/>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五、公告期限</w:t>
      </w:r>
      <w:bookmarkEnd w:id="32"/>
      <w:bookmarkEnd w:id="33"/>
      <w:bookmarkEnd w:id="34"/>
      <w:bookmarkEnd w:id="35"/>
      <w:bookmarkStart w:id="431" w:name="_GoBack"/>
      <w:bookmarkEnd w:id="431"/>
    </w:p>
    <w:p w14:paraId="07EECA1E">
      <w:pPr>
        <w:shd w:val="clear"/>
        <w:spacing w:line="360" w:lineRule="auto"/>
        <w:ind w:firstLine="420" w:firstLineChars="20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自本公告发布之日起5个工作日。</w:t>
      </w:r>
    </w:p>
    <w:p w14:paraId="60FED3E6">
      <w:pPr>
        <w:shd w:val="clear"/>
        <w:spacing w:line="360" w:lineRule="auto"/>
        <w:rPr>
          <w:rFonts w:hint="eastAsia" w:ascii="宋体" w:hAnsi="宋体" w:eastAsia="宋体" w:cs="宋体"/>
          <w:b/>
          <w:bCs/>
          <w:color w:val="auto"/>
          <w:sz w:val="24"/>
          <w:highlight w:val="none"/>
        </w:rPr>
      </w:pPr>
      <w:bookmarkStart w:id="36" w:name="_Toc35393795"/>
      <w:bookmarkStart w:id="37" w:name="_Toc35393626"/>
      <w:r>
        <w:rPr>
          <w:rFonts w:hint="eastAsia" w:ascii="宋体" w:hAnsi="宋体" w:eastAsia="宋体" w:cs="宋体"/>
          <w:b/>
          <w:bCs/>
          <w:color w:val="auto"/>
          <w:sz w:val="24"/>
          <w:highlight w:val="none"/>
        </w:rPr>
        <w:t>六、其他补充事宜</w:t>
      </w:r>
      <w:bookmarkEnd w:id="36"/>
      <w:bookmarkEnd w:id="37"/>
    </w:p>
    <w:p w14:paraId="5FF47A46">
      <w:pPr>
        <w:shd w:val="clear"/>
        <w:spacing w:line="360" w:lineRule="auto"/>
        <w:ind w:firstLine="315" w:firstLineChars="150"/>
        <w:rPr>
          <w:rFonts w:hint="eastAsia" w:ascii="宋体" w:hAnsi="宋体" w:eastAsia="宋体" w:cs="宋体"/>
          <w:color w:val="auto"/>
          <w:kern w:val="0"/>
          <w:szCs w:val="21"/>
          <w:highlight w:val="none"/>
          <w:lang w:val="en-US" w:eastAsia="zh-CN"/>
        </w:rPr>
      </w:pPr>
      <w:r>
        <w:rPr>
          <w:rFonts w:hint="eastAsia" w:ascii="宋体" w:hAnsi="宋体" w:cs="宋体"/>
          <w:color w:val="auto"/>
          <w:kern w:val="0"/>
          <w:szCs w:val="21"/>
          <w:highlight w:val="none"/>
          <w:lang w:val="en-US" w:eastAsia="zh-CN"/>
        </w:rPr>
        <w:t>1</w:t>
      </w:r>
      <w:r>
        <w:rPr>
          <w:rFonts w:hint="eastAsia" w:ascii="宋体" w:hAnsi="宋体" w:eastAsia="宋体" w:cs="宋体"/>
          <w:color w:val="auto"/>
          <w:kern w:val="0"/>
          <w:szCs w:val="21"/>
          <w:highlight w:val="none"/>
          <w:lang w:val="en-US" w:eastAsia="zh-CN"/>
        </w:rPr>
        <w:t>. 本项目需要落实的政府采购政策：</w:t>
      </w:r>
    </w:p>
    <w:p w14:paraId="6E153E52">
      <w:pPr>
        <w:shd w:val="clear"/>
        <w:spacing w:line="360" w:lineRule="auto"/>
        <w:ind w:firstLine="315" w:firstLineChars="150"/>
        <w:rPr>
          <w:rFonts w:hint="eastAsia"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lang w:val="en-US" w:eastAsia="zh-CN"/>
        </w:rPr>
        <w:t>（1）政府采购促进中小企业发展。</w:t>
      </w:r>
    </w:p>
    <w:p w14:paraId="3158F161">
      <w:pPr>
        <w:shd w:val="clear"/>
        <w:spacing w:line="360" w:lineRule="auto"/>
        <w:ind w:firstLine="315" w:firstLineChars="150"/>
        <w:rPr>
          <w:rFonts w:hint="eastAsia"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lang w:val="en-US" w:eastAsia="zh-CN"/>
        </w:rPr>
        <w:t>（2）政府采购支持采用本国产品的政策。</w:t>
      </w:r>
    </w:p>
    <w:p w14:paraId="384E4425">
      <w:pPr>
        <w:shd w:val="clear"/>
        <w:spacing w:line="360" w:lineRule="auto"/>
        <w:ind w:firstLine="315" w:firstLineChars="150"/>
        <w:rPr>
          <w:rFonts w:hint="eastAsia"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lang w:val="en-US" w:eastAsia="zh-CN"/>
        </w:rPr>
        <w:t>（3）强制采购节能产品；优先采购节能产品、环境标志产品。</w:t>
      </w:r>
    </w:p>
    <w:p w14:paraId="1CFF534B">
      <w:pPr>
        <w:shd w:val="clear"/>
        <w:spacing w:line="360" w:lineRule="auto"/>
        <w:ind w:firstLine="315" w:firstLineChars="150"/>
        <w:rPr>
          <w:rFonts w:hint="eastAsia"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lang w:val="en-US" w:eastAsia="zh-CN"/>
        </w:rPr>
        <w:t>（4）政府采购促进残疾人就业政策。</w:t>
      </w:r>
    </w:p>
    <w:p w14:paraId="4DFFD0CB">
      <w:pPr>
        <w:shd w:val="clear"/>
        <w:spacing w:line="360" w:lineRule="auto"/>
        <w:ind w:firstLine="315" w:firstLineChars="150"/>
        <w:rPr>
          <w:rFonts w:hint="eastAsia"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lang w:val="en-US" w:eastAsia="zh-CN"/>
        </w:rPr>
        <w:t>（5）政府采购支持监狱企业发展。</w:t>
      </w:r>
    </w:p>
    <w:p w14:paraId="396959B9">
      <w:pPr>
        <w:shd w:val="clear"/>
        <w:spacing w:line="360" w:lineRule="auto"/>
        <w:ind w:firstLine="315" w:firstLineChars="150"/>
        <w:rPr>
          <w:rFonts w:hint="eastAsia" w:ascii="宋体" w:hAnsi="宋体" w:eastAsia="宋体" w:cs="宋体"/>
          <w:color w:val="auto"/>
          <w:kern w:val="0"/>
          <w:szCs w:val="21"/>
          <w:highlight w:val="none"/>
          <w:lang w:val="en-US" w:eastAsia="zh-CN"/>
        </w:rPr>
      </w:pPr>
      <w:r>
        <w:rPr>
          <w:rFonts w:hint="eastAsia" w:ascii="宋体" w:hAnsi="宋体" w:cs="宋体"/>
          <w:color w:val="auto"/>
          <w:kern w:val="0"/>
          <w:szCs w:val="21"/>
          <w:highlight w:val="none"/>
          <w:lang w:val="en-US" w:eastAsia="zh-CN"/>
        </w:rPr>
        <w:t>2</w:t>
      </w:r>
      <w:r>
        <w:rPr>
          <w:rFonts w:hint="eastAsia" w:ascii="宋体" w:hAnsi="宋体" w:eastAsia="宋体" w:cs="宋体"/>
          <w:color w:val="auto"/>
          <w:kern w:val="0"/>
          <w:szCs w:val="21"/>
          <w:highlight w:val="none"/>
          <w:lang w:val="en-US" w:eastAsia="zh-CN"/>
        </w:rPr>
        <w:t>.单位负责人为同一人或者存在直接控股、管理关系的不同供应商，不得参加同一合同项下的政府采购活动。为本项目提供过整体设计、规范编制或者项目管理、监理、检测等服务的供应商，不得再参加本项目上述服务以外的其他采购活动。</w:t>
      </w:r>
    </w:p>
    <w:p w14:paraId="587EAA72">
      <w:pPr>
        <w:shd w:val="clear"/>
        <w:spacing w:line="360" w:lineRule="auto"/>
        <w:ind w:firstLine="315" w:firstLineChars="150"/>
        <w:rPr>
          <w:rFonts w:hint="eastAsia" w:ascii="宋体" w:hAnsi="宋体" w:eastAsia="宋体" w:cs="宋体"/>
          <w:color w:val="auto"/>
          <w:kern w:val="0"/>
          <w:szCs w:val="21"/>
          <w:highlight w:val="none"/>
          <w:lang w:val="en-US" w:eastAsia="zh-CN"/>
        </w:rPr>
      </w:pPr>
      <w:r>
        <w:rPr>
          <w:rFonts w:hint="eastAsia" w:ascii="宋体" w:hAnsi="宋体" w:cs="宋体"/>
          <w:color w:val="auto"/>
          <w:kern w:val="0"/>
          <w:szCs w:val="21"/>
          <w:highlight w:val="none"/>
          <w:lang w:val="en-US" w:eastAsia="zh-CN"/>
        </w:rPr>
        <w:t>3</w:t>
      </w:r>
      <w:r>
        <w:rPr>
          <w:rFonts w:hint="eastAsia" w:ascii="宋体" w:hAnsi="宋体" w:eastAsia="宋体" w:cs="宋体"/>
          <w:color w:val="auto"/>
          <w:kern w:val="0"/>
          <w:szCs w:val="21"/>
          <w:highlight w:val="none"/>
          <w:lang w:val="en-US" w:eastAsia="zh-CN"/>
        </w:rPr>
        <w:t>.对在“信用中国”网站(www.creditchina.gov.cn) 、中国政府采购网(www.ccgp.gov.cn)被列入失信被执行人、</w:t>
      </w:r>
      <w:r>
        <w:rPr>
          <w:rFonts w:hint="eastAsia" w:ascii="宋体" w:hAnsi="宋体" w:eastAsia="宋体" w:cs="宋体"/>
          <w:color w:val="auto"/>
          <w:szCs w:val="21"/>
          <w:highlight w:val="none"/>
          <w:lang w:eastAsia="zh-CN"/>
        </w:rPr>
        <w:t>重大税收违法失信主体</w:t>
      </w:r>
      <w:r>
        <w:rPr>
          <w:rFonts w:hint="eastAsia" w:ascii="宋体" w:hAnsi="宋体" w:eastAsia="宋体" w:cs="宋体"/>
          <w:color w:val="auto"/>
          <w:kern w:val="0"/>
          <w:szCs w:val="21"/>
          <w:highlight w:val="none"/>
          <w:lang w:val="en-US" w:eastAsia="zh-CN"/>
        </w:rPr>
        <w:t>、政府采购严重违法失信行为记录名单及其他不符合《中华人民共和国政府采购法》第二十二条规定条件的供应商，不得参与政府采购活动。</w:t>
      </w:r>
    </w:p>
    <w:p w14:paraId="31DE4ABB">
      <w:pPr>
        <w:shd w:val="clear"/>
        <w:spacing w:line="360" w:lineRule="auto"/>
        <w:ind w:firstLine="316" w:firstLineChars="150"/>
        <w:rPr>
          <w:rFonts w:hint="eastAsia" w:ascii="宋体" w:hAnsi="宋体" w:eastAsia="宋体" w:cs="宋体"/>
          <w:color w:val="auto"/>
          <w:kern w:val="0"/>
          <w:szCs w:val="21"/>
          <w:highlight w:val="none"/>
        </w:rPr>
      </w:pPr>
      <w:r>
        <w:rPr>
          <w:rFonts w:hint="eastAsia" w:ascii="宋体" w:hAnsi="宋体" w:cs="宋体"/>
          <w:b/>
          <w:bCs/>
          <w:color w:val="auto"/>
          <w:kern w:val="0"/>
          <w:szCs w:val="21"/>
          <w:highlight w:val="none"/>
          <w:lang w:val="en-US" w:eastAsia="zh-CN"/>
        </w:rPr>
        <w:t>4</w:t>
      </w:r>
      <w:r>
        <w:rPr>
          <w:rFonts w:hint="eastAsia" w:ascii="宋体" w:hAnsi="宋体" w:eastAsia="宋体" w:cs="宋体"/>
          <w:b/>
          <w:bCs/>
          <w:color w:val="auto"/>
          <w:kern w:val="0"/>
          <w:szCs w:val="21"/>
          <w:highlight w:val="none"/>
          <w:lang w:eastAsia="zh-CN"/>
        </w:rPr>
        <w:t>.</w:t>
      </w:r>
      <w:r>
        <w:rPr>
          <w:rFonts w:hint="eastAsia" w:ascii="宋体" w:hAnsi="宋体" w:eastAsia="宋体" w:cs="宋体"/>
          <w:b/>
          <w:bCs/>
          <w:color w:val="auto"/>
          <w:szCs w:val="21"/>
          <w:highlight w:val="none"/>
        </w:rPr>
        <w:t>在线投标</w:t>
      </w:r>
      <w:r>
        <w:rPr>
          <w:rFonts w:hint="eastAsia" w:ascii="宋体" w:hAnsi="宋体" w:eastAsia="宋体" w:cs="宋体"/>
          <w:b/>
          <w:bCs/>
          <w:color w:val="auto"/>
          <w:szCs w:val="21"/>
          <w:highlight w:val="none"/>
          <w:lang w:eastAsia="zh-CN"/>
        </w:rPr>
        <w:t>的有关</w:t>
      </w:r>
      <w:r>
        <w:rPr>
          <w:rFonts w:hint="eastAsia" w:ascii="宋体" w:hAnsi="宋体" w:eastAsia="宋体" w:cs="宋体"/>
          <w:b/>
          <w:bCs/>
          <w:color w:val="auto"/>
          <w:szCs w:val="21"/>
          <w:highlight w:val="none"/>
        </w:rPr>
        <w:t>说明</w:t>
      </w:r>
      <w:r>
        <w:rPr>
          <w:rFonts w:hint="eastAsia" w:ascii="宋体" w:hAnsi="宋体" w:eastAsia="宋体" w:cs="宋体"/>
          <w:b/>
          <w:bCs/>
          <w:color w:val="auto"/>
          <w:kern w:val="0"/>
          <w:szCs w:val="21"/>
          <w:highlight w:val="none"/>
        </w:rPr>
        <w:t>：</w:t>
      </w:r>
    </w:p>
    <w:p w14:paraId="714FBD97">
      <w:pPr>
        <w:widowControl/>
        <w:shd w:val="clear"/>
        <w:spacing w:line="360" w:lineRule="auto"/>
        <w:ind w:firstLine="420" w:firstLineChars="200"/>
        <w:jc w:val="left"/>
        <w:rPr>
          <w:rFonts w:hint="eastAsia" w:ascii="宋体" w:hAnsi="宋体" w:eastAsia="宋体" w:cs="宋体"/>
          <w:b w:val="0"/>
          <w:bCs w:val="0"/>
          <w:color w:val="auto"/>
          <w:szCs w:val="21"/>
          <w:highlight w:val="none"/>
          <w:u w:val="none"/>
        </w:rPr>
      </w:pPr>
      <w:r>
        <w:rPr>
          <w:rFonts w:hint="eastAsia" w:ascii="宋体" w:hAnsi="宋体" w:eastAsia="宋体" w:cs="宋体"/>
          <w:color w:val="auto"/>
          <w:szCs w:val="21"/>
          <w:highlight w:val="none"/>
        </w:rPr>
        <w:t>（1）投标文件提交方式：本项目为全流程电子化项目，通过</w:t>
      </w:r>
      <w:r>
        <w:rPr>
          <w:rFonts w:hint="eastAsia" w:ascii="宋体" w:hAnsi="宋体" w:eastAsia="宋体" w:cs="宋体"/>
          <w:b w:val="0"/>
          <w:bCs w:val="0"/>
          <w:color w:val="auto"/>
          <w:sz w:val="21"/>
          <w:szCs w:val="21"/>
          <w:highlight w:val="none"/>
          <w:lang w:val="en-US" w:eastAsia="zh-CN"/>
        </w:rPr>
        <w:t>广西政府采购云平台（https://www.gcy.zfcg.gxzf.gov.cn/）</w:t>
      </w:r>
      <w:r>
        <w:rPr>
          <w:rFonts w:hint="eastAsia" w:ascii="宋体" w:hAnsi="宋体" w:eastAsia="宋体" w:cs="宋体"/>
          <w:b w:val="0"/>
          <w:bCs w:val="0"/>
          <w:color w:val="auto"/>
          <w:szCs w:val="21"/>
          <w:highlight w:val="none"/>
          <w:u w:val="none"/>
        </w:rPr>
        <w:t>实行在线电子投标，供应商应先安装</w:t>
      </w:r>
      <w:r>
        <w:rPr>
          <w:rFonts w:hint="eastAsia" w:ascii="宋体" w:hAnsi="宋体" w:eastAsia="宋体" w:cs="宋体"/>
          <w:b w:val="0"/>
          <w:bCs w:val="0"/>
          <w:color w:val="auto"/>
          <w:sz w:val="21"/>
          <w:szCs w:val="21"/>
          <w:highlight w:val="none"/>
          <w:lang w:val="en-US" w:eastAsia="zh-CN"/>
        </w:rPr>
        <w:t>广西政府采购云平台新版客户端</w:t>
      </w:r>
      <w:r>
        <w:rPr>
          <w:rFonts w:hint="eastAsia" w:ascii="宋体" w:hAnsi="宋体" w:eastAsia="宋体" w:cs="宋体"/>
          <w:color w:val="auto"/>
          <w:szCs w:val="21"/>
          <w:highlight w:val="none"/>
        </w:rPr>
        <w:t>（新版</w:t>
      </w:r>
      <w:r>
        <w:rPr>
          <w:rFonts w:hint="eastAsia" w:ascii="宋体" w:hAnsi="宋体" w:eastAsia="宋体" w:cs="宋体"/>
          <w:i w:val="0"/>
          <w:caps w:val="0"/>
          <w:color w:val="auto"/>
          <w:spacing w:val="0"/>
          <w:sz w:val="21"/>
          <w:szCs w:val="21"/>
          <w:highlight w:val="none"/>
        </w:rPr>
        <w:t>客户端下载路径：广西政府采购网（访问地址http://zfcg.gxzf.gov.cn/）—办事服务—下载专区</w:t>
      </w:r>
      <w:r>
        <w:rPr>
          <w:rFonts w:hint="eastAsia" w:ascii="宋体" w:hAnsi="宋体" w:eastAsia="宋体" w:cs="宋体"/>
          <w:color w:val="auto"/>
          <w:szCs w:val="21"/>
          <w:highlight w:val="none"/>
        </w:rPr>
        <w:t>）</w:t>
      </w:r>
      <w:r>
        <w:rPr>
          <w:rFonts w:hint="eastAsia" w:ascii="宋体" w:hAnsi="宋体" w:eastAsia="宋体" w:cs="宋体"/>
          <w:b w:val="0"/>
          <w:bCs w:val="0"/>
          <w:color w:val="auto"/>
          <w:szCs w:val="21"/>
          <w:highlight w:val="none"/>
          <w:u w:val="none"/>
        </w:rPr>
        <w:t>，并按照本项目招标文件和</w:t>
      </w:r>
      <w:r>
        <w:rPr>
          <w:rFonts w:hint="eastAsia" w:ascii="宋体" w:hAnsi="宋体" w:eastAsia="宋体" w:cs="宋体"/>
          <w:b w:val="0"/>
          <w:bCs w:val="0"/>
          <w:color w:val="auto"/>
          <w:sz w:val="21"/>
          <w:szCs w:val="21"/>
          <w:highlight w:val="none"/>
          <w:lang w:val="en-US" w:eastAsia="zh-CN"/>
        </w:rPr>
        <w:t>广西政府采购云平台</w:t>
      </w:r>
      <w:r>
        <w:rPr>
          <w:rFonts w:hint="eastAsia" w:ascii="宋体" w:hAnsi="宋体" w:eastAsia="宋体" w:cs="宋体"/>
          <w:b w:val="0"/>
          <w:bCs w:val="0"/>
          <w:color w:val="auto"/>
          <w:szCs w:val="21"/>
          <w:highlight w:val="none"/>
          <w:u w:val="none"/>
        </w:rPr>
        <w:t>的要求编制、加密后在投标截止时间前通过网络上传至</w:t>
      </w:r>
      <w:r>
        <w:rPr>
          <w:rFonts w:hint="eastAsia" w:ascii="宋体" w:hAnsi="宋体" w:eastAsia="宋体" w:cs="宋体"/>
          <w:b w:val="0"/>
          <w:bCs w:val="0"/>
          <w:color w:val="auto"/>
          <w:sz w:val="21"/>
          <w:szCs w:val="21"/>
          <w:highlight w:val="none"/>
          <w:lang w:val="en-US" w:eastAsia="zh-CN"/>
        </w:rPr>
        <w:t>广西政府采购云平台</w:t>
      </w:r>
      <w:r>
        <w:rPr>
          <w:rFonts w:hint="eastAsia" w:ascii="宋体" w:hAnsi="宋体" w:eastAsia="宋体" w:cs="宋体"/>
          <w:b w:val="0"/>
          <w:bCs w:val="0"/>
          <w:color w:val="auto"/>
          <w:szCs w:val="21"/>
          <w:highlight w:val="none"/>
          <w:u w:val="none"/>
        </w:rPr>
        <w:t>，</w:t>
      </w:r>
      <w:r>
        <w:rPr>
          <w:rFonts w:hint="eastAsia" w:ascii="宋体" w:hAnsi="宋体" w:eastAsia="宋体" w:cs="宋体"/>
          <w:b/>
          <w:bCs/>
          <w:color w:val="auto"/>
          <w:szCs w:val="21"/>
          <w:highlight w:val="none"/>
          <w:u w:val="none"/>
          <w:lang w:eastAsia="zh-CN"/>
        </w:rPr>
        <w:t>投标人</w:t>
      </w:r>
      <w:r>
        <w:rPr>
          <w:rFonts w:hint="eastAsia" w:ascii="宋体" w:hAnsi="宋体" w:eastAsia="宋体" w:cs="宋体"/>
          <w:b/>
          <w:bCs/>
          <w:color w:val="auto"/>
          <w:szCs w:val="21"/>
          <w:highlight w:val="none"/>
          <w:u w:val="none"/>
        </w:rPr>
        <w:t>在</w:t>
      </w:r>
      <w:r>
        <w:rPr>
          <w:rFonts w:hint="eastAsia" w:ascii="宋体" w:hAnsi="宋体" w:eastAsia="宋体" w:cs="宋体"/>
          <w:b w:val="0"/>
          <w:bCs w:val="0"/>
          <w:color w:val="auto"/>
          <w:sz w:val="21"/>
          <w:szCs w:val="21"/>
          <w:highlight w:val="none"/>
          <w:lang w:val="en-US" w:eastAsia="zh-CN"/>
        </w:rPr>
        <w:t>广西政府采购云平台</w:t>
      </w:r>
      <w:r>
        <w:rPr>
          <w:rFonts w:hint="eastAsia" w:ascii="宋体" w:hAnsi="宋体" w:eastAsia="宋体" w:cs="宋体"/>
          <w:b/>
          <w:bCs/>
          <w:color w:val="auto"/>
          <w:szCs w:val="21"/>
          <w:highlight w:val="none"/>
          <w:u w:val="none"/>
        </w:rPr>
        <w:t>提交电子版投标文件时，请填写参加远程开标活动经办人联系方式</w:t>
      </w:r>
      <w:r>
        <w:rPr>
          <w:rFonts w:hint="eastAsia" w:ascii="宋体" w:hAnsi="宋体" w:eastAsia="宋体" w:cs="宋体"/>
          <w:b w:val="0"/>
          <w:bCs w:val="0"/>
          <w:color w:val="auto"/>
          <w:szCs w:val="21"/>
          <w:highlight w:val="none"/>
          <w:u w:val="none"/>
        </w:rPr>
        <w:t>。</w:t>
      </w:r>
    </w:p>
    <w:p w14:paraId="41167C71">
      <w:pPr>
        <w:widowControl/>
        <w:shd w:val="clear"/>
        <w:spacing w:line="360" w:lineRule="auto"/>
        <w:ind w:firstLine="420" w:firstLineChars="200"/>
        <w:jc w:val="left"/>
        <w:rPr>
          <w:rFonts w:hint="eastAsia" w:ascii="宋体" w:hAnsi="宋体" w:eastAsia="宋体" w:cs="宋体"/>
          <w:b w:val="0"/>
          <w:bCs w:val="0"/>
          <w:color w:val="auto"/>
          <w:szCs w:val="21"/>
          <w:highlight w:val="none"/>
          <w:u w:val="none"/>
        </w:rPr>
      </w:pPr>
      <w:r>
        <w:rPr>
          <w:rFonts w:hint="eastAsia" w:ascii="宋体" w:hAnsi="宋体" w:eastAsia="宋体" w:cs="宋体"/>
          <w:b w:val="0"/>
          <w:bCs w:val="0"/>
          <w:color w:val="auto"/>
          <w:szCs w:val="21"/>
          <w:highlight w:val="none"/>
          <w:u w:val="none"/>
        </w:rPr>
        <w:t>（2）未进行网上注册并办理数字证书（CA认证）的供应商将无法参与本项目政府采购活动，潜在</w:t>
      </w:r>
      <w:r>
        <w:rPr>
          <w:rFonts w:hint="eastAsia" w:ascii="宋体" w:hAnsi="宋体" w:eastAsia="宋体" w:cs="宋体"/>
          <w:b w:val="0"/>
          <w:bCs w:val="0"/>
          <w:color w:val="auto"/>
          <w:szCs w:val="21"/>
          <w:highlight w:val="none"/>
          <w:u w:val="none"/>
          <w:lang w:eastAsia="zh-CN"/>
        </w:rPr>
        <w:t>投标人</w:t>
      </w:r>
      <w:r>
        <w:rPr>
          <w:rFonts w:hint="eastAsia" w:ascii="宋体" w:hAnsi="宋体" w:eastAsia="宋体" w:cs="宋体"/>
          <w:b w:val="0"/>
          <w:bCs w:val="0"/>
          <w:color w:val="auto"/>
          <w:szCs w:val="21"/>
          <w:highlight w:val="none"/>
          <w:u w:val="none"/>
        </w:rPr>
        <w:t>应当在投标截止时间前，完成电子交易平台上的CA数字证书办理及投标文件的提交。</w:t>
      </w:r>
    </w:p>
    <w:p w14:paraId="5539A364">
      <w:pPr>
        <w:widowControl/>
        <w:shd w:val="clear"/>
        <w:spacing w:line="360" w:lineRule="auto"/>
        <w:ind w:firstLine="420" w:firstLineChars="200"/>
        <w:jc w:val="left"/>
        <w:rPr>
          <w:rFonts w:hint="eastAsia" w:ascii="宋体" w:hAnsi="宋体" w:eastAsia="宋体" w:cs="宋体"/>
          <w:b w:val="0"/>
          <w:bCs w:val="0"/>
          <w:color w:val="auto"/>
          <w:szCs w:val="21"/>
          <w:highlight w:val="none"/>
          <w:u w:val="none"/>
        </w:rPr>
      </w:pPr>
      <w:r>
        <w:rPr>
          <w:rFonts w:hint="eastAsia" w:ascii="宋体" w:hAnsi="宋体" w:eastAsia="宋体" w:cs="宋体"/>
          <w:b w:val="0"/>
          <w:bCs w:val="0"/>
          <w:color w:val="auto"/>
          <w:szCs w:val="21"/>
          <w:highlight w:val="none"/>
          <w:u w:val="none"/>
        </w:rPr>
        <w:t>（3）为确保网上操作合法、有效和安全，请投标</w:t>
      </w:r>
      <w:r>
        <w:rPr>
          <w:rFonts w:hint="eastAsia" w:ascii="宋体" w:hAnsi="宋体" w:eastAsia="宋体" w:cs="宋体"/>
          <w:b w:val="0"/>
          <w:bCs w:val="0"/>
          <w:color w:val="auto"/>
          <w:szCs w:val="21"/>
          <w:highlight w:val="none"/>
          <w:u w:val="none"/>
          <w:lang w:eastAsia="zh-CN"/>
        </w:rPr>
        <w:t>人</w:t>
      </w:r>
      <w:r>
        <w:rPr>
          <w:rFonts w:hint="eastAsia" w:ascii="宋体" w:hAnsi="宋体" w:eastAsia="宋体" w:cs="宋体"/>
          <w:b w:val="0"/>
          <w:bCs w:val="0"/>
          <w:color w:val="auto"/>
          <w:szCs w:val="21"/>
          <w:highlight w:val="none"/>
          <w:u w:val="none"/>
        </w:rPr>
        <w:t>确保在电子投标过程中能够对相关数据电文进行加密和使用电子签章，妥善保管CA数字证书并使用有效的CA数字证书参与整个招标活动。</w:t>
      </w:r>
    </w:p>
    <w:p w14:paraId="4FD26F4F">
      <w:pPr>
        <w:shd w:val="clear"/>
        <w:spacing w:line="360" w:lineRule="auto"/>
        <w:ind w:firstLine="422" w:firstLineChars="200"/>
        <w:rPr>
          <w:rFonts w:hint="eastAsia" w:ascii="宋体" w:hAnsi="宋体" w:eastAsia="宋体" w:cs="宋体"/>
          <w:b/>
          <w:bCs/>
          <w:color w:val="auto"/>
          <w:szCs w:val="21"/>
          <w:highlight w:val="none"/>
          <w:u w:val="none"/>
        </w:rPr>
      </w:pPr>
      <w:r>
        <w:rPr>
          <w:rFonts w:hint="eastAsia" w:ascii="宋体" w:hAnsi="宋体" w:eastAsia="宋体" w:cs="宋体"/>
          <w:b/>
          <w:bCs/>
          <w:color w:val="auto"/>
          <w:szCs w:val="21"/>
          <w:highlight w:val="none"/>
          <w:u w:val="none"/>
        </w:rPr>
        <w:t>注：投标人应当在投标截止时间前完成电子投标文件的上传、递交，投标截止时间前可以补充、修改或者撤回投标文件。补充或者修改投标文件的，应当先行撤回原文件，补充、修改后重新上传、递交。投标截止时间前未完成上传、递交的，视为撤回投标文件。投标截止时间以后上传递交的投标文件</w:t>
      </w:r>
      <w:r>
        <w:rPr>
          <w:rFonts w:hint="eastAsia" w:ascii="宋体" w:hAnsi="宋体" w:eastAsia="宋体" w:cs="宋体"/>
          <w:b/>
          <w:bCs/>
          <w:color w:val="auto"/>
          <w:sz w:val="21"/>
          <w:szCs w:val="21"/>
          <w:highlight w:val="none"/>
          <w:u w:val="none"/>
          <w:lang w:val="en-US" w:eastAsia="zh-CN"/>
        </w:rPr>
        <w:t>广西政府采购云平台</w:t>
      </w:r>
      <w:r>
        <w:rPr>
          <w:rFonts w:hint="eastAsia" w:ascii="宋体" w:hAnsi="宋体" w:eastAsia="宋体" w:cs="宋体"/>
          <w:b/>
          <w:bCs/>
          <w:color w:val="auto"/>
          <w:szCs w:val="21"/>
          <w:highlight w:val="none"/>
          <w:u w:val="none"/>
        </w:rPr>
        <w:t>将予以拒收。</w:t>
      </w:r>
    </w:p>
    <w:p w14:paraId="6B591029">
      <w:pPr>
        <w:shd w:val="clear"/>
        <w:snapToGrid w:val="0"/>
        <w:spacing w:line="360" w:lineRule="auto"/>
        <w:ind w:firstLine="420" w:firstLineChars="20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w:t>
      </w:r>
      <w:r>
        <w:rPr>
          <w:rFonts w:hint="eastAsia" w:ascii="宋体" w:hAnsi="宋体" w:eastAsia="宋体" w:cs="宋体"/>
          <w:color w:val="auto"/>
          <w:kern w:val="0"/>
          <w:szCs w:val="21"/>
          <w:highlight w:val="none"/>
          <w:lang w:val="en-US" w:eastAsia="zh-CN"/>
        </w:rPr>
        <w:t>4</w:t>
      </w:r>
      <w:r>
        <w:rPr>
          <w:rFonts w:hint="eastAsia" w:ascii="宋体" w:hAnsi="宋体" w:eastAsia="宋体" w:cs="宋体"/>
          <w:color w:val="auto"/>
          <w:kern w:val="0"/>
          <w:szCs w:val="21"/>
          <w:highlight w:val="none"/>
        </w:rPr>
        <w:t>）CA证书在线解密：</w:t>
      </w:r>
      <w:r>
        <w:rPr>
          <w:rFonts w:hint="eastAsia" w:ascii="宋体" w:hAnsi="宋体" w:eastAsia="宋体" w:cs="宋体"/>
          <w:color w:val="auto"/>
          <w:kern w:val="0"/>
          <w:szCs w:val="21"/>
          <w:highlight w:val="none"/>
          <w:lang w:eastAsia="zh-CN"/>
        </w:rPr>
        <w:t>投标人</w:t>
      </w:r>
      <w:r>
        <w:rPr>
          <w:rFonts w:hint="eastAsia" w:ascii="宋体" w:hAnsi="宋体" w:eastAsia="宋体" w:cs="宋体"/>
          <w:color w:val="auto"/>
          <w:kern w:val="0"/>
          <w:szCs w:val="21"/>
          <w:highlight w:val="none"/>
        </w:rPr>
        <w:t>投标时，需携带制作投标文件时用来加密的有效数字证书（CA认证）登录</w:t>
      </w:r>
      <w:r>
        <w:rPr>
          <w:rFonts w:hint="eastAsia" w:ascii="宋体" w:hAnsi="宋体" w:eastAsia="宋体" w:cs="宋体"/>
          <w:b w:val="0"/>
          <w:bCs w:val="0"/>
          <w:color w:val="auto"/>
          <w:sz w:val="21"/>
          <w:szCs w:val="21"/>
          <w:highlight w:val="none"/>
          <w:lang w:val="en-US" w:eastAsia="zh-CN"/>
        </w:rPr>
        <w:t>广西政府采购云平台</w:t>
      </w:r>
      <w:r>
        <w:rPr>
          <w:rFonts w:hint="eastAsia" w:ascii="宋体" w:hAnsi="宋体" w:eastAsia="宋体" w:cs="宋体"/>
          <w:color w:val="auto"/>
          <w:kern w:val="0"/>
          <w:szCs w:val="21"/>
          <w:highlight w:val="none"/>
        </w:rPr>
        <w:t>电子开标大厅现场按规定时间对加密的投标文件进行解密。</w:t>
      </w:r>
    </w:p>
    <w:p w14:paraId="4A77F3BB">
      <w:pPr>
        <w:shd w:val="clear"/>
        <w:snapToGrid w:val="0"/>
        <w:spacing w:line="360" w:lineRule="auto"/>
        <w:ind w:firstLine="420" w:firstLineChars="200"/>
        <w:rPr>
          <w:rFonts w:hint="eastAsia" w:ascii="宋体" w:hAnsi="宋体" w:eastAsia="宋体" w:cs="宋体"/>
          <w:color w:val="auto"/>
          <w:kern w:val="0"/>
          <w:szCs w:val="21"/>
          <w:highlight w:val="none"/>
          <w:lang w:eastAsia="zh-CN"/>
        </w:rPr>
      </w:pPr>
      <w:r>
        <w:rPr>
          <w:rFonts w:hint="eastAsia" w:ascii="宋体" w:hAnsi="宋体" w:eastAsia="宋体" w:cs="宋体"/>
          <w:color w:val="auto"/>
          <w:kern w:val="0"/>
          <w:szCs w:val="21"/>
          <w:highlight w:val="none"/>
          <w:lang w:eastAsia="zh-CN"/>
        </w:rPr>
        <w:t>（</w:t>
      </w:r>
      <w:r>
        <w:rPr>
          <w:rFonts w:hint="eastAsia" w:ascii="宋体" w:hAnsi="宋体" w:eastAsia="宋体" w:cs="宋体"/>
          <w:color w:val="auto"/>
          <w:kern w:val="0"/>
          <w:szCs w:val="21"/>
          <w:highlight w:val="none"/>
          <w:lang w:val="en-US" w:eastAsia="zh-CN"/>
        </w:rPr>
        <w:t>5</w:t>
      </w:r>
      <w:r>
        <w:rPr>
          <w:rFonts w:hint="eastAsia" w:ascii="宋体" w:hAnsi="宋体" w:eastAsia="宋体" w:cs="宋体"/>
          <w:color w:val="auto"/>
          <w:kern w:val="0"/>
          <w:szCs w:val="21"/>
          <w:highlight w:val="none"/>
          <w:lang w:eastAsia="zh-CN"/>
        </w:rPr>
        <w:t>）若对项目采购电子交易系统操作有疑问，可登录</w:t>
      </w:r>
      <w:r>
        <w:rPr>
          <w:rFonts w:hint="eastAsia" w:ascii="宋体" w:hAnsi="宋体" w:eastAsia="宋体" w:cs="宋体"/>
          <w:b w:val="0"/>
          <w:bCs w:val="0"/>
          <w:color w:val="auto"/>
          <w:sz w:val="21"/>
          <w:szCs w:val="21"/>
          <w:highlight w:val="none"/>
          <w:lang w:val="en-US" w:eastAsia="zh-CN"/>
        </w:rPr>
        <w:t>广西政府采购云平台（https://www.gcy.zfcg.gxzf.gov.cn/）</w:t>
      </w:r>
      <w:r>
        <w:rPr>
          <w:rFonts w:hint="eastAsia" w:ascii="宋体" w:hAnsi="宋体" w:eastAsia="宋体" w:cs="宋体"/>
          <w:color w:val="auto"/>
          <w:kern w:val="0"/>
          <w:szCs w:val="21"/>
          <w:highlight w:val="none"/>
          <w:lang w:eastAsia="zh-CN"/>
        </w:rPr>
        <w:t>，点击右侧咨询小采，获取采小蜜智能服务管家帮助，或拨打</w:t>
      </w:r>
      <w:r>
        <w:rPr>
          <w:rFonts w:hint="eastAsia" w:ascii="宋体" w:hAnsi="宋体" w:eastAsia="宋体" w:cs="宋体"/>
          <w:b w:val="0"/>
          <w:bCs w:val="0"/>
          <w:color w:val="auto"/>
          <w:sz w:val="21"/>
          <w:szCs w:val="21"/>
          <w:highlight w:val="none"/>
          <w:lang w:val="en-US" w:eastAsia="zh-CN"/>
        </w:rPr>
        <w:t>广西政府采购云平台</w:t>
      </w:r>
      <w:r>
        <w:rPr>
          <w:rFonts w:hint="eastAsia" w:ascii="宋体" w:hAnsi="宋体" w:eastAsia="宋体" w:cs="宋体"/>
          <w:color w:val="auto"/>
          <w:kern w:val="0"/>
          <w:szCs w:val="21"/>
          <w:highlight w:val="none"/>
          <w:lang w:eastAsia="zh-CN"/>
        </w:rPr>
        <w:t>服务热线</w:t>
      </w:r>
      <w:r>
        <w:rPr>
          <w:rFonts w:hint="eastAsia" w:ascii="宋体" w:hAnsi="宋体" w:eastAsia="宋体" w:cs="宋体"/>
          <w:color w:val="auto"/>
          <w:kern w:val="0"/>
          <w:szCs w:val="21"/>
          <w:highlight w:val="none"/>
          <w:lang w:val="en-US" w:eastAsia="zh-CN"/>
        </w:rPr>
        <w:t>95763</w:t>
      </w:r>
      <w:r>
        <w:rPr>
          <w:rFonts w:hint="eastAsia" w:ascii="宋体" w:hAnsi="宋体" w:eastAsia="宋体" w:cs="宋体"/>
          <w:color w:val="auto"/>
          <w:kern w:val="0"/>
          <w:szCs w:val="21"/>
          <w:highlight w:val="none"/>
          <w:lang w:eastAsia="zh-CN"/>
        </w:rPr>
        <w:t>获取热线服务帮助。</w:t>
      </w:r>
    </w:p>
    <w:p w14:paraId="7547A304">
      <w:pPr>
        <w:pStyle w:val="33"/>
        <w:shd w:val="clear"/>
        <w:spacing w:line="360" w:lineRule="auto"/>
        <w:ind w:left="0" w:leftChars="0" w:firstLine="420" w:firstLineChars="200"/>
        <w:rPr>
          <w:rFonts w:hint="eastAsia"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lang w:val="en-US" w:eastAsia="zh-CN"/>
        </w:rPr>
        <w:t>5.网上查询地址</w:t>
      </w:r>
    </w:p>
    <w:p w14:paraId="09339191">
      <w:pPr>
        <w:shd w:val="clear"/>
        <w:snapToGrid w:val="0"/>
        <w:spacing w:line="360" w:lineRule="auto"/>
        <w:ind w:firstLine="420" w:firstLineChars="200"/>
        <w:rPr>
          <w:rFonts w:hint="eastAsia" w:ascii="宋体" w:hAnsi="宋体" w:cs="宋体"/>
          <w:color w:val="auto"/>
          <w:kern w:val="0"/>
          <w:szCs w:val="21"/>
          <w:highlight w:val="none"/>
          <w:lang w:val="en-US" w:eastAsia="zh-CN"/>
        </w:rPr>
      </w:pPr>
      <w:r>
        <w:rPr>
          <w:rFonts w:hint="eastAsia" w:ascii="宋体" w:hAnsi="宋体" w:eastAsia="宋体" w:cs="宋体"/>
          <w:color w:val="auto"/>
          <w:kern w:val="0"/>
          <w:szCs w:val="21"/>
          <w:highlight w:val="none"/>
          <w:lang w:val="en-US" w:eastAsia="zh-CN"/>
        </w:rPr>
        <w:t>中国政府采购网（http://www.ccgp.gov.cn/）、广西政府采购网(http://zfcg.gxzf.gov.cn/)、全国公共资源交易平台（ 广西•浦北）（http://ggzy.jgswj.gxzf.gov.cn/pbggzy/）、全国公共资源交易平台（广西•钦州）（http://ggzy.jgswj.gxzf.gov.cn/qzggzy）、浦北县人民政府网（http://www.gxpb.gov.cn）。</w:t>
      </w:r>
    </w:p>
    <w:p w14:paraId="4D479E99">
      <w:pPr>
        <w:shd w:val="clear"/>
        <w:snapToGrid w:val="0"/>
        <w:spacing w:line="360" w:lineRule="auto"/>
        <w:ind w:firstLine="420" w:firstLineChars="200"/>
        <w:rPr>
          <w:rFonts w:hint="default" w:ascii="宋体" w:hAnsi="宋体" w:eastAsia="宋体" w:cs="宋体"/>
          <w:color w:val="auto"/>
          <w:kern w:val="0"/>
          <w:szCs w:val="21"/>
          <w:highlight w:val="none"/>
          <w:lang w:val="en-US" w:eastAsia="zh-CN"/>
        </w:rPr>
      </w:pPr>
      <w:r>
        <w:rPr>
          <w:rFonts w:hint="eastAsia" w:ascii="宋体" w:hAnsi="宋体" w:cs="宋体"/>
          <w:color w:val="auto"/>
          <w:kern w:val="0"/>
          <w:szCs w:val="21"/>
          <w:highlight w:val="none"/>
          <w:lang w:val="en-US" w:eastAsia="zh-CN"/>
        </w:rPr>
        <w:t>6.评标说明：本项目为远程异地全流程电子评标，评标主会场地址：浦北县公共资源交易中心（浦北县西环路金浦新区越秀路133号）；评标分会场地址：贵港市公共资源交易中心（贵港市金田路水利大厦1-4楼）。</w:t>
      </w:r>
    </w:p>
    <w:p w14:paraId="33FDABD4">
      <w:pPr>
        <w:shd w:val="clear"/>
        <w:spacing w:line="360" w:lineRule="auto"/>
        <w:rPr>
          <w:rFonts w:hint="eastAsia" w:ascii="宋体" w:hAnsi="宋体" w:eastAsia="宋体" w:cs="宋体"/>
          <w:b/>
          <w:bCs/>
          <w:color w:val="auto"/>
          <w:sz w:val="24"/>
          <w:highlight w:val="none"/>
        </w:rPr>
      </w:pPr>
      <w:bookmarkStart w:id="38" w:name="_Toc35393627"/>
      <w:bookmarkStart w:id="39" w:name="_Toc28359085"/>
      <w:bookmarkStart w:id="40" w:name="_Toc28359008"/>
      <w:bookmarkStart w:id="41" w:name="_Toc35393796"/>
      <w:r>
        <w:rPr>
          <w:rFonts w:hint="eastAsia" w:ascii="宋体" w:hAnsi="宋体" w:eastAsia="宋体" w:cs="宋体"/>
          <w:b/>
          <w:bCs/>
          <w:color w:val="auto"/>
          <w:sz w:val="24"/>
          <w:highlight w:val="none"/>
        </w:rPr>
        <w:t>七、对本次招标提出询问，请按以下方式联系。</w:t>
      </w:r>
      <w:bookmarkEnd w:id="38"/>
      <w:bookmarkEnd w:id="39"/>
      <w:bookmarkEnd w:id="40"/>
      <w:bookmarkEnd w:id="41"/>
    </w:p>
    <w:p w14:paraId="3146CECC">
      <w:pPr>
        <w:shd w:val="clear"/>
        <w:spacing w:line="360" w:lineRule="auto"/>
        <w:ind w:firstLine="420" w:firstLineChars="20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1.采购人信息</w:t>
      </w:r>
    </w:p>
    <w:p w14:paraId="6282F84C">
      <w:pPr>
        <w:shd w:val="clear"/>
        <w:spacing w:line="360" w:lineRule="auto"/>
        <w:ind w:firstLine="420" w:firstLineChars="200"/>
        <w:rPr>
          <w:rFonts w:hint="eastAsia"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rPr>
        <w:t>名称：</w:t>
      </w:r>
      <w:r>
        <w:rPr>
          <w:rFonts w:hint="eastAsia" w:ascii="宋体" w:hAnsi="宋体" w:cs="宋体"/>
          <w:color w:val="auto"/>
          <w:kern w:val="0"/>
          <w:szCs w:val="21"/>
          <w:highlight w:val="none"/>
          <w:lang w:eastAsia="zh-CN"/>
        </w:rPr>
        <w:t>浦北县第一职业技术学校</w:t>
      </w:r>
    </w:p>
    <w:p w14:paraId="652AD97B">
      <w:pPr>
        <w:shd w:val="clear"/>
        <w:spacing w:line="360" w:lineRule="auto"/>
        <w:ind w:firstLine="420" w:firstLineChars="200"/>
        <w:rPr>
          <w:rFonts w:hint="eastAsia"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rPr>
        <w:t>地址：浦北县江城街道科园路111号</w:t>
      </w:r>
    </w:p>
    <w:p w14:paraId="034BC369">
      <w:pPr>
        <w:shd w:val="clear"/>
        <w:spacing w:line="360" w:lineRule="auto"/>
        <w:ind w:firstLine="420" w:firstLineChars="200"/>
        <w:rPr>
          <w:rFonts w:hint="eastAsia"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lang w:eastAsia="zh-CN"/>
        </w:rPr>
        <w:t>项目联系人：谢钦</w:t>
      </w:r>
    </w:p>
    <w:p w14:paraId="1DB4E871">
      <w:pPr>
        <w:shd w:val="clear"/>
        <w:spacing w:line="360" w:lineRule="auto"/>
        <w:ind w:firstLine="420" w:firstLineChars="200"/>
        <w:rPr>
          <w:rFonts w:hint="eastAsia"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lang w:eastAsia="zh-CN"/>
        </w:rPr>
        <w:t>项目</w:t>
      </w:r>
      <w:r>
        <w:rPr>
          <w:rFonts w:hint="eastAsia" w:ascii="宋体" w:hAnsi="宋体" w:eastAsia="宋体" w:cs="宋体"/>
          <w:color w:val="auto"/>
          <w:kern w:val="0"/>
          <w:szCs w:val="21"/>
          <w:highlight w:val="none"/>
        </w:rPr>
        <w:t>联系方式：0777</w:t>
      </w:r>
      <w:r>
        <w:rPr>
          <w:rFonts w:hint="eastAsia" w:ascii="宋体" w:hAnsi="宋体" w:cs="宋体"/>
          <w:color w:val="auto"/>
          <w:kern w:val="0"/>
          <w:szCs w:val="21"/>
          <w:highlight w:val="none"/>
          <w:lang w:val="en-US" w:eastAsia="zh-CN"/>
        </w:rPr>
        <w:t>-</w:t>
      </w:r>
      <w:r>
        <w:rPr>
          <w:rFonts w:hint="eastAsia" w:ascii="宋体" w:hAnsi="宋体" w:eastAsia="宋体" w:cs="宋体"/>
          <w:color w:val="auto"/>
          <w:kern w:val="0"/>
          <w:szCs w:val="21"/>
          <w:highlight w:val="none"/>
        </w:rPr>
        <w:t>8319585</w:t>
      </w:r>
    </w:p>
    <w:p w14:paraId="09F20ED6">
      <w:pPr>
        <w:shd w:val="clear"/>
        <w:spacing w:line="360" w:lineRule="auto"/>
        <w:ind w:firstLine="420" w:firstLineChars="20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2.采购代理机构信息</w:t>
      </w:r>
    </w:p>
    <w:p w14:paraId="08845350">
      <w:pPr>
        <w:shd w:val="clear"/>
        <w:spacing w:line="360" w:lineRule="auto"/>
        <w:ind w:firstLine="420" w:firstLineChars="200"/>
        <w:rPr>
          <w:rFonts w:hint="eastAsia" w:ascii="宋体" w:hAnsi="宋体" w:eastAsia="宋体" w:cs="宋体"/>
          <w:color w:val="auto"/>
          <w:kern w:val="0"/>
          <w:szCs w:val="21"/>
          <w:highlight w:val="none"/>
          <w:lang w:eastAsia="zh-CN"/>
        </w:rPr>
      </w:pPr>
      <w:r>
        <w:rPr>
          <w:rFonts w:hint="eastAsia" w:ascii="宋体" w:hAnsi="宋体" w:eastAsia="宋体" w:cs="宋体"/>
          <w:color w:val="auto"/>
          <w:kern w:val="0"/>
          <w:szCs w:val="21"/>
          <w:highlight w:val="none"/>
        </w:rPr>
        <w:t>名称：</w:t>
      </w:r>
      <w:r>
        <w:rPr>
          <w:rFonts w:hint="eastAsia" w:ascii="宋体" w:hAnsi="宋体" w:eastAsia="宋体" w:cs="宋体"/>
          <w:color w:val="auto"/>
          <w:kern w:val="0"/>
          <w:szCs w:val="21"/>
          <w:highlight w:val="none"/>
          <w:lang w:eastAsia="zh-CN"/>
        </w:rPr>
        <w:t>广西至胜招标有限公司</w:t>
      </w:r>
    </w:p>
    <w:p w14:paraId="741663AD">
      <w:pPr>
        <w:shd w:val="clear"/>
        <w:spacing w:line="360" w:lineRule="auto"/>
        <w:ind w:firstLine="420" w:firstLineChars="200"/>
        <w:rPr>
          <w:rFonts w:hint="eastAsia" w:ascii="宋体" w:hAnsi="宋体" w:eastAsia="宋体" w:cs="宋体"/>
          <w:color w:val="auto"/>
          <w:kern w:val="0"/>
          <w:szCs w:val="21"/>
          <w:highlight w:val="none"/>
          <w:lang w:eastAsia="zh-CN"/>
        </w:rPr>
      </w:pPr>
      <w:r>
        <w:rPr>
          <w:rFonts w:hint="eastAsia" w:ascii="宋体" w:hAnsi="宋体" w:eastAsia="宋体" w:cs="宋体"/>
          <w:color w:val="auto"/>
          <w:kern w:val="0"/>
          <w:szCs w:val="21"/>
          <w:highlight w:val="none"/>
        </w:rPr>
        <w:t>地址：</w:t>
      </w:r>
      <w:r>
        <w:rPr>
          <w:rFonts w:hint="eastAsia" w:ascii="宋体" w:hAnsi="宋体" w:eastAsia="宋体" w:cs="宋体"/>
          <w:color w:val="auto"/>
          <w:szCs w:val="21"/>
          <w:highlight w:val="none"/>
          <w:lang w:eastAsia="zh-CN"/>
        </w:rPr>
        <w:t>浦北县小江镇常青路18号(县城南区二级公路西向)</w:t>
      </w:r>
    </w:p>
    <w:p w14:paraId="218B64CA">
      <w:pPr>
        <w:shd w:val="clear"/>
        <w:spacing w:line="360" w:lineRule="auto"/>
        <w:ind w:firstLine="420" w:firstLineChars="200"/>
        <w:rPr>
          <w:rFonts w:hint="default"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lang w:eastAsia="zh-CN"/>
        </w:rPr>
        <w:t>项目联系人：</w:t>
      </w:r>
      <w:r>
        <w:rPr>
          <w:rFonts w:hint="eastAsia" w:ascii="宋体" w:hAnsi="宋体" w:cs="宋体"/>
          <w:color w:val="auto"/>
          <w:szCs w:val="21"/>
          <w:highlight w:val="none"/>
          <w:lang w:val="en-US" w:eastAsia="zh-CN"/>
        </w:rPr>
        <w:t>梁工</w:t>
      </w:r>
    </w:p>
    <w:p w14:paraId="088554B1">
      <w:pPr>
        <w:shd w:val="clear"/>
        <w:spacing w:line="360" w:lineRule="auto"/>
        <w:ind w:firstLine="420" w:firstLineChars="200"/>
        <w:rPr>
          <w:rFonts w:hint="default"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lang w:eastAsia="zh-CN"/>
        </w:rPr>
        <w:t>项目</w:t>
      </w:r>
      <w:r>
        <w:rPr>
          <w:rFonts w:hint="eastAsia" w:ascii="宋体" w:hAnsi="宋体" w:eastAsia="宋体" w:cs="宋体"/>
          <w:color w:val="auto"/>
          <w:kern w:val="0"/>
          <w:szCs w:val="21"/>
          <w:highlight w:val="none"/>
        </w:rPr>
        <w:t>联系方式</w:t>
      </w:r>
      <w:r>
        <w:rPr>
          <w:rFonts w:hint="eastAsia" w:ascii="宋体" w:hAnsi="宋体" w:eastAsia="宋体" w:cs="宋体"/>
          <w:color w:val="auto"/>
          <w:kern w:val="0"/>
          <w:szCs w:val="21"/>
          <w:highlight w:val="none"/>
          <w:lang w:eastAsia="zh-CN"/>
        </w:rPr>
        <w:t>：</w:t>
      </w:r>
      <w:r>
        <w:rPr>
          <w:rFonts w:hint="eastAsia" w:ascii="宋体" w:hAnsi="宋体" w:cs="宋体"/>
          <w:color w:val="auto"/>
          <w:szCs w:val="21"/>
          <w:highlight w:val="none"/>
          <w:lang w:val="en-US" w:eastAsia="zh-CN"/>
        </w:rPr>
        <w:t>0777-8831096</w:t>
      </w:r>
    </w:p>
    <w:p w14:paraId="4ADAC6A9">
      <w:pPr>
        <w:widowControl/>
        <w:shd w:val="clear"/>
        <w:spacing w:line="360" w:lineRule="auto"/>
        <w:jc w:val="left"/>
        <w:rPr>
          <w:rFonts w:hint="eastAsia" w:ascii="宋体" w:hAnsi="宋体" w:eastAsia="宋体" w:cs="宋体"/>
          <w:color w:val="auto"/>
          <w:sz w:val="24"/>
          <w:highlight w:val="none"/>
          <w:lang w:val="zh-CN"/>
        </w:rPr>
        <w:sectPr>
          <w:footerReference r:id="rId5" w:type="first"/>
          <w:footerReference r:id="rId4" w:type="default"/>
          <w:pgSz w:w="11905" w:h="16838"/>
          <w:pgMar w:top="1134" w:right="1134" w:bottom="1134" w:left="1134" w:header="850" w:footer="850" w:gutter="0"/>
          <w:pgNumType w:fmt="decimal" w:start="1"/>
          <w:cols w:space="0" w:num="1"/>
          <w:titlePg/>
          <w:rtlGutter w:val="0"/>
          <w:docGrid w:linePitch="331" w:charSpace="0"/>
        </w:sectPr>
      </w:pPr>
    </w:p>
    <w:p w14:paraId="5F317F92">
      <w:pPr>
        <w:pStyle w:val="12"/>
        <w:shd w:val="clear"/>
        <w:jc w:val="center"/>
        <w:outlineLvl w:val="0"/>
        <w:rPr>
          <w:rFonts w:hint="eastAsia" w:ascii="宋体" w:hAnsi="宋体" w:eastAsia="宋体" w:cs="宋体"/>
          <w:b/>
          <w:color w:val="auto"/>
          <w:sz w:val="36"/>
          <w:highlight w:val="none"/>
        </w:rPr>
      </w:pPr>
      <w:bookmarkStart w:id="42" w:name="_Toc532545042"/>
      <w:bookmarkStart w:id="43" w:name="_Toc4483"/>
      <w:bookmarkStart w:id="44" w:name="_Toc32573"/>
      <w:bookmarkStart w:id="45" w:name="_Toc17621"/>
      <w:bookmarkStart w:id="46" w:name="_Toc2299"/>
      <w:bookmarkStart w:id="47" w:name="_Toc21081"/>
      <w:bookmarkStart w:id="48" w:name="_Toc13449"/>
      <w:bookmarkStart w:id="49" w:name="_Toc937"/>
      <w:bookmarkStart w:id="50" w:name="_Toc22408"/>
      <w:bookmarkStart w:id="51" w:name="_Toc7686"/>
      <w:bookmarkStart w:id="52" w:name="_Toc8382"/>
      <w:bookmarkStart w:id="53" w:name="_Toc24210"/>
      <w:bookmarkStart w:id="54" w:name="_Toc28689"/>
      <w:bookmarkStart w:id="55" w:name="_Toc7337"/>
      <w:r>
        <w:rPr>
          <w:rFonts w:hint="eastAsia" w:ascii="宋体" w:hAnsi="宋体" w:eastAsia="宋体" w:cs="宋体"/>
          <w:b/>
          <w:color w:val="auto"/>
          <w:sz w:val="36"/>
          <w:highlight w:val="none"/>
        </w:rPr>
        <w:t xml:space="preserve">第二章  </w:t>
      </w:r>
      <w:bookmarkEnd w:id="42"/>
      <w:r>
        <w:rPr>
          <w:rFonts w:hint="eastAsia" w:ascii="宋体" w:hAnsi="宋体" w:eastAsia="宋体" w:cs="宋体"/>
          <w:b/>
          <w:color w:val="auto"/>
          <w:sz w:val="36"/>
          <w:highlight w:val="none"/>
        </w:rPr>
        <w:t>采购需求</w:t>
      </w:r>
      <w:bookmarkEnd w:id="43"/>
      <w:bookmarkEnd w:id="44"/>
      <w:bookmarkEnd w:id="45"/>
      <w:bookmarkEnd w:id="46"/>
      <w:bookmarkEnd w:id="47"/>
      <w:bookmarkEnd w:id="48"/>
      <w:bookmarkEnd w:id="49"/>
      <w:bookmarkEnd w:id="50"/>
      <w:bookmarkEnd w:id="51"/>
      <w:bookmarkEnd w:id="52"/>
      <w:bookmarkEnd w:id="53"/>
      <w:bookmarkEnd w:id="54"/>
      <w:bookmarkEnd w:id="55"/>
    </w:p>
    <w:p w14:paraId="77142B4F">
      <w:pPr>
        <w:shd w:val="clear"/>
        <w:adjustRightInd w:val="0"/>
        <w:spacing w:line="340" w:lineRule="exact"/>
        <w:rPr>
          <w:rFonts w:hint="eastAsia" w:ascii="宋体" w:hAnsi="宋体" w:eastAsia="宋体" w:cs="宋体"/>
          <w:b/>
          <w:color w:val="auto"/>
          <w:szCs w:val="21"/>
          <w:highlight w:val="none"/>
        </w:rPr>
      </w:pPr>
    </w:p>
    <w:p w14:paraId="31C42337">
      <w:pPr>
        <w:keepNext w:val="0"/>
        <w:keepLines w:val="0"/>
        <w:pageBreakBefore w:val="0"/>
        <w:widowControl w:val="0"/>
        <w:shd w:val="clear"/>
        <w:kinsoku/>
        <w:wordWrap/>
        <w:overflowPunct/>
        <w:topLinePunct w:val="0"/>
        <w:autoSpaceDE/>
        <w:autoSpaceDN/>
        <w:bidi w:val="0"/>
        <w:adjustRightInd w:val="0"/>
        <w:snapToGrid/>
        <w:spacing w:line="440" w:lineRule="exact"/>
        <w:textAlignment w:val="auto"/>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说明：</w:t>
      </w:r>
    </w:p>
    <w:p w14:paraId="66C97C9D">
      <w:pPr>
        <w:keepNext w:val="0"/>
        <w:keepLines w:val="0"/>
        <w:pageBreakBefore w:val="0"/>
        <w:widowControl w:val="0"/>
        <w:shd w:val="clear"/>
        <w:kinsoku/>
        <w:wordWrap/>
        <w:overflowPunct/>
        <w:topLinePunct w:val="0"/>
        <w:autoSpaceDE/>
        <w:autoSpaceDN/>
        <w:bidi w:val="0"/>
        <w:snapToGrid/>
        <w:spacing w:line="440" w:lineRule="exact"/>
        <w:ind w:firstLine="420" w:firstLineChars="200"/>
        <w:jc w:val="left"/>
        <w:textAlignment w:val="auto"/>
        <w:rPr>
          <w:rFonts w:hint="eastAsia" w:ascii="宋体" w:hAnsi="宋体" w:eastAsia="宋体" w:cs="宋体"/>
          <w:color w:val="auto"/>
          <w:highlight w:val="none"/>
          <w:lang w:eastAsia="zh-CN"/>
        </w:rPr>
      </w:pPr>
      <w:r>
        <w:rPr>
          <w:rFonts w:hint="eastAsia" w:ascii="宋体" w:hAnsi="宋体" w:eastAsia="宋体" w:cs="宋体"/>
          <w:color w:val="auto"/>
          <w:highlight w:val="none"/>
        </w:rPr>
        <w:t>1. 为落实政府采购政策需满足的要求</w:t>
      </w:r>
      <w:r>
        <w:rPr>
          <w:rFonts w:hint="eastAsia" w:ascii="宋体" w:hAnsi="宋体" w:eastAsia="宋体" w:cs="宋体"/>
          <w:color w:val="auto"/>
          <w:highlight w:val="none"/>
          <w:lang w:eastAsia="zh-CN"/>
        </w:rPr>
        <w:t>：</w:t>
      </w:r>
    </w:p>
    <w:p w14:paraId="7968B98D">
      <w:pPr>
        <w:keepNext w:val="0"/>
        <w:keepLines w:val="0"/>
        <w:pageBreakBefore w:val="0"/>
        <w:widowControl w:val="0"/>
        <w:shd w:val="clear"/>
        <w:kinsoku/>
        <w:wordWrap/>
        <w:overflowPunct/>
        <w:topLinePunct w:val="0"/>
        <w:autoSpaceDE/>
        <w:autoSpaceDN/>
        <w:bidi w:val="0"/>
        <w:snapToGrid/>
        <w:spacing w:line="440" w:lineRule="exact"/>
        <w:ind w:firstLine="420" w:firstLineChars="20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（1）本招标文件所称中小企业必须符合《政府采购促进中小企业发展管理办法》（财库〔2020〕46号）的规定。</w:t>
      </w:r>
    </w:p>
    <w:p w14:paraId="0026A19D">
      <w:pPr>
        <w:keepNext w:val="0"/>
        <w:keepLines w:val="0"/>
        <w:pageBreakBefore w:val="0"/>
        <w:widowControl w:val="0"/>
        <w:shd w:val="clear"/>
        <w:kinsoku/>
        <w:wordWrap/>
        <w:overflowPunct/>
        <w:topLinePunct w:val="0"/>
        <w:autoSpaceDE/>
        <w:autoSpaceDN/>
        <w:bidi w:val="0"/>
        <w:snapToGrid/>
        <w:spacing w:line="440" w:lineRule="exact"/>
        <w:ind w:firstLine="424" w:firstLineChars="202"/>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（2）服务项目中伴随货物的，根据《财政部 发展改革委 生态环境部 市场监管总局关于调整优化节能产品、环境标志产品政府采购执行机制的通知》（财库〔2019〕9号）和《关于印发节能产品政府采购品目清单的通知》（财库〔2019〕19号）的规定，采购需求中的产品属于节能产品政府采购品目清单内标注“★”的，</w:t>
      </w:r>
      <w:r>
        <w:rPr>
          <w:rFonts w:hint="eastAsia" w:ascii="宋体" w:hAnsi="宋体" w:eastAsia="宋体" w:cs="宋体"/>
          <w:b/>
          <w:bCs/>
          <w:color w:val="auto"/>
          <w:szCs w:val="21"/>
          <w:highlight w:val="none"/>
        </w:rPr>
        <w:t>投标人的投标货物必须使用政府强制采购的节能产品，投标人必须在投标文件中提供所投标产品有效期内的节能产品认证证书复印件（加盖</w:t>
      </w:r>
      <w:r>
        <w:rPr>
          <w:rFonts w:hint="eastAsia" w:ascii="宋体" w:hAnsi="宋体" w:eastAsia="宋体" w:cs="宋体"/>
          <w:b/>
          <w:bCs/>
          <w:color w:val="auto"/>
          <w:szCs w:val="21"/>
          <w:highlight w:val="none"/>
          <w:lang w:eastAsia="zh-CN"/>
        </w:rPr>
        <w:t>投标人公章</w:t>
      </w:r>
      <w:r>
        <w:rPr>
          <w:rFonts w:hint="eastAsia" w:ascii="宋体" w:hAnsi="宋体" w:eastAsia="宋体" w:cs="宋体"/>
          <w:b/>
          <w:bCs/>
          <w:color w:val="auto"/>
          <w:szCs w:val="21"/>
          <w:highlight w:val="none"/>
        </w:rPr>
        <w:t>），否则投标文件作无效处理</w:t>
      </w:r>
      <w:r>
        <w:rPr>
          <w:rFonts w:hint="eastAsia" w:ascii="宋体" w:hAnsi="宋体" w:eastAsia="宋体" w:cs="宋体"/>
          <w:color w:val="auto"/>
          <w:szCs w:val="21"/>
          <w:highlight w:val="none"/>
        </w:rPr>
        <w:t>。如本项目包含的货物属于品目清单内非标注“★”的产品时，应优先采购，具体详见“第四章 评标方法和评标标准”。</w:t>
      </w:r>
    </w:p>
    <w:p w14:paraId="576A084A">
      <w:pPr>
        <w:keepNext w:val="0"/>
        <w:keepLines w:val="0"/>
        <w:pageBreakBefore w:val="0"/>
        <w:widowControl w:val="0"/>
        <w:shd w:val="clear"/>
        <w:kinsoku/>
        <w:wordWrap/>
        <w:overflowPunct/>
        <w:topLinePunct w:val="0"/>
        <w:autoSpaceDE/>
        <w:autoSpaceDN/>
        <w:bidi w:val="0"/>
        <w:snapToGrid/>
        <w:spacing w:line="440" w:lineRule="exact"/>
        <w:ind w:firstLine="420" w:firstLineChars="200"/>
        <w:jc w:val="left"/>
        <w:textAlignment w:val="auto"/>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2.</w:t>
      </w:r>
      <w:r>
        <w:rPr>
          <w:rFonts w:hint="eastAsia" w:ascii="宋体" w:hAnsi="宋体" w:eastAsia="宋体" w:cs="宋体"/>
          <w:color w:val="auto"/>
          <w:highlight w:val="none"/>
        </w:rPr>
        <w:t>“实质性要求”是指招标文件中已经指明不满足则投标无效的条款，或者不能负偏离的条款，或者采购需求中带“▲”的条款。</w:t>
      </w:r>
    </w:p>
    <w:p w14:paraId="63ABFE38">
      <w:pPr>
        <w:keepNext w:val="0"/>
        <w:keepLines w:val="0"/>
        <w:pageBreakBefore w:val="0"/>
        <w:widowControl w:val="0"/>
        <w:shd w:val="clear"/>
        <w:kinsoku/>
        <w:wordWrap/>
        <w:overflowPunct/>
        <w:topLinePunct w:val="0"/>
        <w:autoSpaceDE/>
        <w:autoSpaceDN/>
        <w:bidi w:val="0"/>
        <w:snapToGrid/>
        <w:spacing w:line="440" w:lineRule="exact"/>
        <w:ind w:firstLine="424" w:firstLineChars="202"/>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3.</w:t>
      </w:r>
      <w:r>
        <w:rPr>
          <w:rFonts w:hint="eastAsia" w:ascii="宋体" w:hAnsi="宋体" w:eastAsia="宋体" w:cs="宋体"/>
          <w:color w:val="auto"/>
          <w:szCs w:val="21"/>
          <w:highlight w:val="none"/>
          <w:lang w:eastAsia="zh-CN"/>
        </w:rPr>
        <w:t>本</w:t>
      </w:r>
      <w:r>
        <w:rPr>
          <w:rFonts w:hint="eastAsia" w:ascii="宋体" w:hAnsi="宋体" w:eastAsia="宋体" w:cs="宋体"/>
          <w:color w:val="auto"/>
          <w:szCs w:val="21"/>
          <w:highlight w:val="none"/>
        </w:rPr>
        <w:t>服务项目中伴随货物的，采购需求中出现的品牌、型号或者生产厂家仅起参考作用，不属于指定品牌、型号或者生产厂家的情形。投标人可参照或者选用其他相当的品牌、型号或者生产厂家替代，但选用的投标产品</w:t>
      </w:r>
      <w:r>
        <w:rPr>
          <w:rFonts w:hint="eastAsia" w:ascii="宋体" w:hAnsi="宋体" w:eastAsia="宋体" w:cs="宋体"/>
          <w:color w:val="auto"/>
          <w:szCs w:val="21"/>
          <w:highlight w:val="none"/>
          <w:lang w:eastAsia="zh-CN"/>
        </w:rPr>
        <w:t>技术</w:t>
      </w:r>
      <w:r>
        <w:rPr>
          <w:rFonts w:hint="eastAsia" w:ascii="宋体" w:hAnsi="宋体" w:eastAsia="宋体" w:cs="宋体"/>
          <w:color w:val="auto"/>
          <w:szCs w:val="21"/>
          <w:highlight w:val="none"/>
        </w:rPr>
        <w:t>参数</w:t>
      </w:r>
      <w:r>
        <w:rPr>
          <w:rFonts w:hint="eastAsia" w:ascii="宋体" w:hAnsi="宋体" w:eastAsia="宋体" w:cs="宋体"/>
          <w:color w:val="auto"/>
          <w:szCs w:val="21"/>
          <w:highlight w:val="none"/>
          <w:lang w:eastAsia="zh-CN"/>
        </w:rPr>
        <w:t>及配置</w:t>
      </w:r>
      <w:r>
        <w:rPr>
          <w:rFonts w:hint="eastAsia" w:ascii="宋体" w:hAnsi="宋体" w:eastAsia="宋体" w:cs="宋体"/>
          <w:color w:val="auto"/>
          <w:szCs w:val="21"/>
          <w:highlight w:val="none"/>
        </w:rPr>
        <w:t>必须满足</w:t>
      </w:r>
      <w:r>
        <w:rPr>
          <w:rFonts w:hint="eastAsia" w:ascii="宋体" w:hAnsi="宋体" w:eastAsia="宋体" w:cs="宋体"/>
          <w:color w:val="auto"/>
          <w:szCs w:val="21"/>
          <w:highlight w:val="none"/>
          <w:lang w:eastAsia="zh-CN"/>
        </w:rPr>
        <w:t>采购</w:t>
      </w:r>
      <w:r>
        <w:rPr>
          <w:rFonts w:hint="eastAsia" w:ascii="宋体" w:hAnsi="宋体" w:eastAsia="宋体" w:cs="宋体"/>
          <w:color w:val="auto"/>
          <w:szCs w:val="21"/>
          <w:highlight w:val="none"/>
        </w:rPr>
        <w:t>要求。</w:t>
      </w:r>
    </w:p>
    <w:p w14:paraId="2D390977">
      <w:pPr>
        <w:keepNext w:val="0"/>
        <w:keepLines w:val="0"/>
        <w:pageBreakBefore w:val="0"/>
        <w:widowControl w:val="0"/>
        <w:shd w:val="clear"/>
        <w:kinsoku/>
        <w:wordWrap/>
        <w:overflowPunct/>
        <w:topLinePunct w:val="0"/>
        <w:autoSpaceDE/>
        <w:autoSpaceDN/>
        <w:bidi w:val="0"/>
        <w:snapToGrid/>
        <w:spacing w:line="440" w:lineRule="exact"/>
        <w:ind w:firstLine="424" w:firstLineChars="202"/>
        <w:jc w:val="left"/>
        <w:textAlignment w:val="auto"/>
        <w:rPr>
          <w:rFonts w:hint="eastAsia" w:ascii="宋体" w:hAnsi="宋体" w:eastAsia="宋体" w:cs="宋体"/>
          <w:color w:val="auto"/>
          <w:highlight w:val="none"/>
        </w:rPr>
      </w:pPr>
      <w:r>
        <w:rPr>
          <w:rFonts w:hint="eastAsia" w:ascii="宋体" w:hAnsi="宋体" w:eastAsia="宋体" w:cs="宋体"/>
          <w:color w:val="auto"/>
          <w:szCs w:val="21"/>
          <w:highlight w:val="none"/>
          <w:lang w:val="en-US" w:eastAsia="zh-CN"/>
        </w:rPr>
        <w:t>4</w:t>
      </w:r>
      <w:r>
        <w:rPr>
          <w:rFonts w:hint="eastAsia" w:ascii="宋体" w:hAnsi="宋体" w:eastAsia="宋体" w:cs="宋体"/>
          <w:color w:val="auto"/>
          <w:szCs w:val="21"/>
          <w:highlight w:val="none"/>
        </w:rPr>
        <w:t>.投标人必须对投标文件中提供的证明材料和资质文件真实性负责，如出现虚假应标情况，投标人除了应接受有关部门的处罚外，还应依据《中华人民共和国民法典》的相关条款来</w:t>
      </w:r>
      <w:r>
        <w:rPr>
          <w:rFonts w:hint="eastAsia" w:ascii="宋体" w:hAnsi="宋体" w:eastAsia="宋体" w:cs="宋体"/>
          <w:color w:val="auto"/>
          <w:szCs w:val="21"/>
          <w:highlight w:val="none"/>
          <w:lang w:eastAsia="zh-CN"/>
        </w:rPr>
        <w:t>进行</w:t>
      </w:r>
      <w:r>
        <w:rPr>
          <w:rFonts w:hint="eastAsia" w:ascii="宋体" w:hAnsi="宋体" w:eastAsia="宋体" w:cs="宋体"/>
          <w:color w:val="auto"/>
          <w:szCs w:val="21"/>
          <w:highlight w:val="none"/>
        </w:rPr>
        <w:t>赔偿。</w:t>
      </w:r>
    </w:p>
    <w:p w14:paraId="6913BA4A">
      <w:pPr>
        <w:keepNext w:val="0"/>
        <w:keepLines w:val="0"/>
        <w:pageBreakBefore w:val="0"/>
        <w:widowControl w:val="0"/>
        <w:shd w:val="clear"/>
        <w:kinsoku/>
        <w:wordWrap/>
        <w:overflowPunct/>
        <w:topLinePunct w:val="0"/>
        <w:autoSpaceDE/>
        <w:autoSpaceDN/>
        <w:bidi w:val="0"/>
        <w:snapToGrid/>
        <w:spacing w:line="440" w:lineRule="exact"/>
        <w:ind w:firstLine="424" w:firstLineChars="202"/>
        <w:jc w:val="left"/>
        <w:textAlignment w:val="auto"/>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5</w:t>
      </w:r>
      <w:r>
        <w:rPr>
          <w:rFonts w:hint="eastAsia" w:ascii="宋体" w:hAnsi="宋体" w:eastAsia="宋体" w:cs="宋体"/>
          <w:color w:val="auto"/>
          <w:highlight w:val="none"/>
        </w:rPr>
        <w:t>.投标人应对投标内容所涉及的专利承担法律责任，并负责保护</w:t>
      </w:r>
      <w:r>
        <w:rPr>
          <w:rFonts w:hint="eastAsia" w:ascii="宋体" w:hAnsi="宋体" w:eastAsia="宋体" w:cs="宋体"/>
          <w:color w:val="auto"/>
          <w:highlight w:val="none"/>
          <w:lang w:eastAsia="zh-CN"/>
        </w:rPr>
        <w:t>采购人</w:t>
      </w:r>
      <w:r>
        <w:rPr>
          <w:rFonts w:hint="eastAsia" w:ascii="宋体" w:hAnsi="宋体" w:eastAsia="宋体" w:cs="宋体"/>
          <w:color w:val="auto"/>
          <w:highlight w:val="none"/>
        </w:rPr>
        <w:t>的利益不受任何损害。一切由于文字、商标、技术和软件专利授权引起的法律裁决、诉讼和赔偿费用均由中标人负责。</w:t>
      </w:r>
    </w:p>
    <w:p w14:paraId="6A847CC6">
      <w:pPr>
        <w:shd w:val="clear"/>
        <w:rPr>
          <w:rFonts w:hint="eastAsia" w:ascii="宋体" w:hAnsi="宋体" w:eastAsia="宋体" w:cs="宋体"/>
          <w:color w:val="auto"/>
          <w:highlight w:val="none"/>
        </w:rPr>
      </w:pPr>
    </w:p>
    <w:tbl>
      <w:tblPr>
        <w:tblStyle w:val="18"/>
        <w:tblW w:w="9576"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545"/>
        <w:gridCol w:w="739"/>
        <w:gridCol w:w="717"/>
        <w:gridCol w:w="5203"/>
        <w:gridCol w:w="1036"/>
        <w:gridCol w:w="1336"/>
      </w:tblGrid>
      <w:tr w14:paraId="13772CE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16" w:hRule="atLeast"/>
          <w:jc w:val="center"/>
        </w:trPr>
        <w:tc>
          <w:tcPr>
            <w:tcW w:w="9576" w:type="dxa"/>
            <w:gridSpan w:val="6"/>
            <w:tcBorders>
              <w:top w:val="single" w:color="auto" w:sz="4" w:space="0"/>
              <w:left w:val="single" w:color="auto" w:sz="4" w:space="0"/>
              <w:bottom w:val="single" w:color="auto" w:sz="4" w:space="0"/>
              <w:right w:val="single" w:color="auto" w:sz="4" w:space="0"/>
            </w:tcBorders>
            <w:noWrap w:val="0"/>
            <w:tcMar>
              <w:top w:w="0" w:type="dxa"/>
              <w:left w:w="0" w:type="dxa"/>
              <w:bottom w:w="0" w:type="dxa"/>
              <w:right w:w="0" w:type="dxa"/>
            </w:tcMar>
            <w:vAlign w:val="center"/>
          </w:tcPr>
          <w:p w14:paraId="23173837">
            <w:pPr>
              <w:keepNext w:val="0"/>
              <w:keepLines w:val="0"/>
              <w:pageBreakBefore w:val="0"/>
              <w:kinsoku/>
              <w:wordWrap/>
              <w:overflowPunct/>
              <w:topLinePunct w:val="0"/>
              <w:autoSpaceDE/>
              <w:autoSpaceDN/>
              <w:bidi w:val="0"/>
              <w:spacing w:line="360" w:lineRule="auto"/>
              <w:jc w:val="both"/>
              <w:textAlignment w:val="auto"/>
              <w:rPr>
                <w:rFonts w:hint="eastAsia" w:ascii="宋体" w:hAnsi="宋体" w:eastAsia="宋体" w:cs="宋体"/>
                <w:color w:val="auto"/>
                <w:sz w:val="21"/>
                <w:szCs w:val="21"/>
                <w:highlight w:val="none"/>
              </w:rPr>
            </w:pPr>
            <w:r>
              <w:rPr>
                <w:rFonts w:hint="eastAsia" w:ascii="宋体" w:hAnsi="宋体" w:eastAsia="宋体" w:cs="宋体"/>
                <w:b/>
                <w:bCs/>
                <w:color w:val="auto"/>
                <w:sz w:val="24"/>
                <w:szCs w:val="24"/>
                <w:highlight w:val="none"/>
                <w:lang w:eastAsia="zh-CN"/>
              </w:rPr>
              <w:t>一、</w:t>
            </w:r>
            <w:r>
              <w:rPr>
                <w:rFonts w:hint="eastAsia" w:ascii="宋体" w:hAnsi="宋体" w:eastAsia="宋体" w:cs="宋体"/>
                <w:b/>
                <w:bCs/>
                <w:color w:val="auto"/>
                <w:sz w:val="24"/>
                <w:szCs w:val="24"/>
                <w:highlight w:val="none"/>
              </w:rPr>
              <w:t>服务需求一览表</w:t>
            </w:r>
          </w:p>
        </w:tc>
      </w:tr>
      <w:tr w14:paraId="34958C3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16" w:hRule="atLeast"/>
          <w:jc w:val="center"/>
        </w:trPr>
        <w:tc>
          <w:tcPr>
            <w:tcW w:w="1284" w:type="dxa"/>
            <w:gridSpan w:val="2"/>
            <w:tcBorders>
              <w:top w:val="single" w:color="auto" w:sz="4" w:space="0"/>
              <w:left w:val="single" w:color="auto" w:sz="4" w:space="0"/>
              <w:bottom w:val="single" w:color="auto" w:sz="4" w:space="0"/>
              <w:right w:val="single" w:color="auto" w:sz="4" w:space="0"/>
            </w:tcBorders>
            <w:noWrap w:val="0"/>
            <w:tcMar>
              <w:top w:w="0" w:type="dxa"/>
              <w:left w:w="0" w:type="dxa"/>
              <w:bottom w:w="0" w:type="dxa"/>
              <w:right w:w="0" w:type="dxa"/>
            </w:tcMar>
            <w:vAlign w:val="center"/>
          </w:tcPr>
          <w:p w14:paraId="37C50470">
            <w:pPr>
              <w:pStyle w:val="12"/>
              <w:keepNext w:val="0"/>
              <w:keepLines w:val="0"/>
              <w:pageBreakBefore w:val="0"/>
              <w:kinsoku/>
              <w:wordWrap/>
              <w:overflowPunct/>
              <w:topLinePunct w:val="0"/>
              <w:autoSpaceDE/>
              <w:autoSpaceDN/>
              <w:bidi w:val="0"/>
              <w:snapToGrid w:val="0"/>
              <w:spacing w:line="360" w:lineRule="auto"/>
              <w:jc w:val="center"/>
              <w:textAlignment w:val="auto"/>
              <w:rPr>
                <w:rFonts w:hint="eastAsia" w:ascii="宋体" w:hAnsi="宋体" w:eastAsia="宋体" w:cs="宋体"/>
                <w:b/>
                <w:bCs/>
                <w:color w:val="auto"/>
                <w:sz w:val="21"/>
                <w:szCs w:val="21"/>
                <w:highlight w:val="none"/>
                <w:lang w:eastAsia="zh-CN"/>
              </w:rPr>
            </w:pPr>
            <w:r>
              <w:rPr>
                <w:rFonts w:hint="eastAsia" w:ascii="宋体" w:hAnsi="宋体" w:eastAsia="宋体" w:cs="宋体"/>
                <w:b/>
                <w:bCs/>
                <w:color w:val="auto"/>
                <w:sz w:val="21"/>
                <w:szCs w:val="21"/>
                <w:highlight w:val="none"/>
                <w:lang w:eastAsia="zh-CN"/>
              </w:rPr>
              <w:t>标段</w:t>
            </w:r>
          </w:p>
        </w:tc>
        <w:tc>
          <w:tcPr>
            <w:tcW w:w="8292" w:type="dxa"/>
            <w:gridSpan w:val="4"/>
            <w:tcBorders>
              <w:top w:val="single" w:color="auto" w:sz="4" w:space="0"/>
              <w:left w:val="single" w:color="auto" w:sz="4" w:space="0"/>
              <w:bottom w:val="single" w:color="auto" w:sz="4" w:space="0"/>
              <w:right w:val="single" w:color="auto" w:sz="4" w:space="0"/>
            </w:tcBorders>
            <w:noWrap w:val="0"/>
            <w:vAlign w:val="center"/>
          </w:tcPr>
          <w:p w14:paraId="0857F9FD">
            <w:pPr>
              <w:keepNext w:val="0"/>
              <w:keepLines w:val="0"/>
              <w:pageBreakBefore w:val="0"/>
              <w:kinsoku/>
              <w:wordWrap/>
              <w:overflowPunct/>
              <w:topLinePunct w:val="0"/>
              <w:autoSpaceDE/>
              <w:autoSpaceDN/>
              <w:bidi w:val="0"/>
              <w:spacing w:line="360" w:lineRule="auto"/>
              <w:jc w:val="left"/>
              <w:textAlignment w:val="auto"/>
              <w:rPr>
                <w:rFonts w:hint="eastAsia" w:ascii="宋体" w:hAnsi="宋体" w:eastAsia="宋体" w:cs="宋体"/>
                <w:b/>
                <w:bCs/>
                <w:color w:val="auto"/>
                <w:sz w:val="21"/>
                <w:szCs w:val="21"/>
                <w:highlight w:val="none"/>
                <w:lang w:val="en-US" w:eastAsia="zh-CN"/>
              </w:rPr>
            </w:pPr>
            <w:r>
              <w:rPr>
                <w:rFonts w:hint="eastAsia" w:ascii="宋体" w:hAnsi="宋体" w:eastAsia="宋体" w:cs="宋体"/>
                <w:b/>
                <w:bCs/>
                <w:color w:val="auto"/>
                <w:sz w:val="21"/>
                <w:szCs w:val="21"/>
                <w:highlight w:val="none"/>
                <w:lang w:eastAsia="zh-CN"/>
              </w:rPr>
              <w:t>分标</w:t>
            </w:r>
            <w:r>
              <w:rPr>
                <w:rFonts w:hint="eastAsia" w:ascii="宋体" w:hAnsi="宋体" w:eastAsia="宋体" w:cs="宋体"/>
                <w:b/>
                <w:bCs/>
                <w:color w:val="auto"/>
                <w:sz w:val="21"/>
                <w:szCs w:val="21"/>
                <w:highlight w:val="none"/>
                <w:lang w:val="en-US" w:eastAsia="zh-CN"/>
              </w:rPr>
              <w:t>1</w:t>
            </w:r>
          </w:p>
        </w:tc>
      </w:tr>
      <w:tr w14:paraId="30B4D92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003" w:hRule="atLeast"/>
          <w:jc w:val="center"/>
        </w:trPr>
        <w:tc>
          <w:tcPr>
            <w:tcW w:w="545" w:type="dxa"/>
            <w:tcBorders>
              <w:top w:val="single" w:color="auto" w:sz="4" w:space="0"/>
              <w:left w:val="single" w:color="auto" w:sz="4" w:space="0"/>
              <w:bottom w:val="single" w:color="auto" w:sz="4" w:space="0"/>
              <w:right w:val="single" w:color="auto" w:sz="4" w:space="0"/>
            </w:tcBorders>
            <w:noWrap w:val="0"/>
            <w:tcMar>
              <w:top w:w="0" w:type="dxa"/>
              <w:left w:w="0" w:type="dxa"/>
              <w:bottom w:w="0" w:type="dxa"/>
              <w:right w:w="0" w:type="dxa"/>
            </w:tcMar>
            <w:vAlign w:val="center"/>
          </w:tcPr>
          <w:p w14:paraId="35504D27">
            <w:pPr>
              <w:keepNext w:val="0"/>
              <w:keepLines w:val="0"/>
              <w:pageBreakBefore w:val="0"/>
              <w:kinsoku/>
              <w:wordWrap/>
              <w:overflowPunct/>
              <w:topLinePunct w:val="0"/>
              <w:autoSpaceDE/>
              <w:autoSpaceDN/>
              <w:bidi w:val="0"/>
              <w:spacing w:line="360" w:lineRule="auto"/>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序号</w:t>
            </w:r>
          </w:p>
        </w:tc>
        <w:tc>
          <w:tcPr>
            <w:tcW w:w="739" w:type="dxa"/>
            <w:tcBorders>
              <w:top w:val="single" w:color="auto" w:sz="4" w:space="0"/>
              <w:left w:val="single" w:color="auto" w:sz="4" w:space="0"/>
              <w:bottom w:val="single" w:color="auto" w:sz="4" w:space="0"/>
              <w:right w:val="single" w:color="auto" w:sz="4" w:space="0"/>
            </w:tcBorders>
            <w:noWrap w:val="0"/>
            <w:vAlign w:val="center"/>
          </w:tcPr>
          <w:p w14:paraId="7E914AEC">
            <w:pPr>
              <w:pStyle w:val="12"/>
              <w:keepNext w:val="0"/>
              <w:keepLines w:val="0"/>
              <w:pageBreakBefore w:val="0"/>
              <w:kinsoku/>
              <w:wordWrap/>
              <w:overflowPunct/>
              <w:topLinePunct w:val="0"/>
              <w:autoSpaceDE/>
              <w:autoSpaceDN/>
              <w:bidi w:val="0"/>
              <w:snapToGrid w:val="0"/>
              <w:spacing w:line="360" w:lineRule="auto"/>
              <w:jc w:val="center"/>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标的名称</w:t>
            </w:r>
          </w:p>
        </w:tc>
        <w:tc>
          <w:tcPr>
            <w:tcW w:w="717" w:type="dxa"/>
            <w:tcBorders>
              <w:top w:val="single" w:color="auto" w:sz="4" w:space="0"/>
              <w:left w:val="single" w:color="auto" w:sz="4" w:space="0"/>
              <w:bottom w:val="single" w:color="auto" w:sz="4" w:space="0"/>
              <w:right w:val="single" w:color="auto" w:sz="4" w:space="0"/>
            </w:tcBorders>
            <w:noWrap w:val="0"/>
            <w:vAlign w:val="center"/>
          </w:tcPr>
          <w:p w14:paraId="6FD3505C">
            <w:pPr>
              <w:pStyle w:val="12"/>
              <w:keepNext w:val="0"/>
              <w:keepLines w:val="0"/>
              <w:pageBreakBefore w:val="0"/>
              <w:kinsoku/>
              <w:wordWrap/>
              <w:overflowPunct/>
              <w:topLinePunct w:val="0"/>
              <w:autoSpaceDE/>
              <w:autoSpaceDN/>
              <w:bidi w:val="0"/>
              <w:snapToGrid w:val="0"/>
              <w:spacing w:line="360" w:lineRule="auto"/>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数量及</w:t>
            </w:r>
            <w:r>
              <w:rPr>
                <w:rFonts w:hint="eastAsia" w:hAnsi="宋体" w:cs="宋体"/>
                <w:color w:val="auto"/>
                <w:sz w:val="21"/>
                <w:szCs w:val="21"/>
                <w:highlight w:val="none"/>
                <w:lang w:eastAsia="zh-CN"/>
              </w:rPr>
              <w:t>单</w:t>
            </w:r>
            <w:r>
              <w:rPr>
                <w:rFonts w:hint="eastAsia" w:ascii="宋体" w:hAnsi="宋体" w:eastAsia="宋体" w:cs="宋体"/>
                <w:color w:val="auto"/>
                <w:sz w:val="21"/>
                <w:szCs w:val="21"/>
                <w:highlight w:val="none"/>
              </w:rPr>
              <w:t>位</w:t>
            </w:r>
          </w:p>
        </w:tc>
        <w:tc>
          <w:tcPr>
            <w:tcW w:w="5203" w:type="dxa"/>
            <w:tcBorders>
              <w:top w:val="single" w:color="auto" w:sz="4" w:space="0"/>
              <w:left w:val="single" w:color="auto" w:sz="4" w:space="0"/>
              <w:bottom w:val="single" w:color="auto" w:sz="4" w:space="0"/>
              <w:right w:val="single" w:color="auto" w:sz="4" w:space="0"/>
            </w:tcBorders>
            <w:noWrap w:val="0"/>
            <w:vAlign w:val="center"/>
          </w:tcPr>
          <w:p w14:paraId="7A8030B1">
            <w:pPr>
              <w:keepNext w:val="0"/>
              <w:keepLines w:val="0"/>
              <w:pageBreakBefore w:val="0"/>
              <w:kinsoku/>
              <w:wordWrap/>
              <w:overflowPunct/>
              <w:topLinePunct w:val="0"/>
              <w:autoSpaceDE/>
              <w:autoSpaceDN/>
              <w:bidi w:val="0"/>
              <w:spacing w:line="360" w:lineRule="auto"/>
              <w:jc w:val="center"/>
              <w:textAlignment w:val="auto"/>
              <w:rPr>
                <w:rFonts w:hint="eastAsia" w:ascii="宋体" w:hAnsi="宋体" w:eastAsia="宋体" w:cs="宋体"/>
                <w:color w:val="auto"/>
                <w:sz w:val="21"/>
                <w:szCs w:val="21"/>
                <w:highlight w:val="none"/>
                <w:lang w:eastAsia="zh-CN"/>
              </w:rPr>
            </w:pPr>
            <w:r>
              <w:rPr>
                <w:rFonts w:hint="eastAsia" w:ascii="宋体" w:hAnsi="宋体" w:cs="宋体"/>
                <w:color w:val="auto"/>
                <w:sz w:val="21"/>
                <w:szCs w:val="21"/>
                <w:highlight w:val="none"/>
                <w:lang w:eastAsia="zh-CN"/>
              </w:rPr>
              <w:t>服务参数</w:t>
            </w:r>
          </w:p>
        </w:tc>
        <w:tc>
          <w:tcPr>
            <w:tcW w:w="1036" w:type="dxa"/>
            <w:tcBorders>
              <w:top w:val="single" w:color="auto" w:sz="4" w:space="0"/>
              <w:left w:val="single" w:color="auto" w:sz="4" w:space="0"/>
              <w:bottom w:val="single" w:color="auto" w:sz="4" w:space="0"/>
              <w:right w:val="single" w:color="auto" w:sz="4" w:space="0"/>
            </w:tcBorders>
            <w:noWrap w:val="0"/>
            <w:vAlign w:val="center"/>
          </w:tcPr>
          <w:p w14:paraId="13CE9889">
            <w:pPr>
              <w:keepNext w:val="0"/>
              <w:keepLines w:val="0"/>
              <w:pageBreakBefore w:val="0"/>
              <w:kinsoku/>
              <w:wordWrap/>
              <w:overflowPunct/>
              <w:topLinePunct w:val="0"/>
              <w:autoSpaceDE/>
              <w:autoSpaceDN/>
              <w:bidi w:val="0"/>
              <w:spacing w:line="360" w:lineRule="auto"/>
              <w:jc w:val="center"/>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预算金额（万元）</w:t>
            </w:r>
          </w:p>
        </w:tc>
        <w:tc>
          <w:tcPr>
            <w:tcW w:w="1336" w:type="dxa"/>
            <w:tcBorders>
              <w:top w:val="single" w:color="auto" w:sz="4" w:space="0"/>
              <w:left w:val="single" w:color="auto" w:sz="4" w:space="0"/>
              <w:bottom w:val="single" w:color="auto" w:sz="4" w:space="0"/>
              <w:right w:val="single" w:color="auto" w:sz="4" w:space="0"/>
            </w:tcBorders>
            <w:noWrap w:val="0"/>
            <w:vAlign w:val="center"/>
          </w:tcPr>
          <w:p w14:paraId="21FB6DAF">
            <w:pPr>
              <w:keepNext w:val="0"/>
              <w:keepLines w:val="0"/>
              <w:pageBreakBefore w:val="0"/>
              <w:kinsoku/>
              <w:wordWrap/>
              <w:overflowPunct/>
              <w:topLinePunct w:val="0"/>
              <w:autoSpaceDE/>
              <w:autoSpaceDN/>
              <w:bidi w:val="0"/>
              <w:spacing w:line="360" w:lineRule="auto"/>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中小企业划分标准所属行业名称</w:t>
            </w:r>
          </w:p>
        </w:tc>
      </w:tr>
      <w:tr w14:paraId="3D23534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07" w:hRule="atLeast"/>
          <w:jc w:val="center"/>
        </w:trPr>
        <w:tc>
          <w:tcPr>
            <w:tcW w:w="545" w:type="dxa"/>
            <w:tcBorders>
              <w:left w:val="single" w:color="auto" w:sz="4" w:space="0"/>
              <w:bottom w:val="single" w:color="auto" w:sz="4" w:space="0"/>
              <w:right w:val="single" w:color="auto" w:sz="4" w:space="0"/>
            </w:tcBorders>
            <w:noWrap w:val="0"/>
            <w:vAlign w:val="center"/>
          </w:tcPr>
          <w:p w14:paraId="5C26C8E4">
            <w:pPr>
              <w:keepNext w:val="0"/>
              <w:keepLines w:val="0"/>
              <w:pageBreakBefore w:val="0"/>
              <w:kinsoku/>
              <w:wordWrap/>
              <w:overflowPunct/>
              <w:topLinePunct w:val="0"/>
              <w:autoSpaceDE/>
              <w:autoSpaceDN/>
              <w:bidi w:val="0"/>
              <w:spacing w:line="360" w:lineRule="auto"/>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w:t>
            </w:r>
          </w:p>
        </w:tc>
        <w:tc>
          <w:tcPr>
            <w:tcW w:w="739" w:type="dxa"/>
            <w:tcBorders>
              <w:left w:val="single" w:color="auto" w:sz="4" w:space="0"/>
              <w:bottom w:val="single" w:color="auto" w:sz="4" w:space="0"/>
              <w:right w:val="single" w:color="auto" w:sz="4" w:space="0"/>
            </w:tcBorders>
            <w:noWrap w:val="0"/>
            <w:vAlign w:val="center"/>
          </w:tcPr>
          <w:p w14:paraId="24B80346">
            <w:pPr>
              <w:keepNext w:val="0"/>
              <w:keepLines w:val="0"/>
              <w:pageBreakBefore w:val="0"/>
              <w:kinsoku/>
              <w:wordWrap/>
              <w:overflowPunct/>
              <w:topLinePunct w:val="0"/>
              <w:autoSpaceDE/>
              <w:autoSpaceDN/>
              <w:bidi w:val="0"/>
              <w:spacing w:line="360" w:lineRule="auto"/>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教师技能比赛能力提升</w:t>
            </w:r>
          </w:p>
        </w:tc>
        <w:tc>
          <w:tcPr>
            <w:tcW w:w="717" w:type="dxa"/>
            <w:tcBorders>
              <w:top w:val="single" w:color="auto" w:sz="4" w:space="0"/>
              <w:left w:val="single" w:color="auto" w:sz="4" w:space="0"/>
              <w:bottom w:val="single" w:color="auto" w:sz="4" w:space="0"/>
              <w:right w:val="single" w:color="auto" w:sz="4" w:space="0"/>
            </w:tcBorders>
            <w:noWrap w:val="0"/>
            <w:vAlign w:val="center"/>
          </w:tcPr>
          <w:p w14:paraId="3F014EA9">
            <w:pPr>
              <w:keepNext w:val="0"/>
              <w:keepLines w:val="0"/>
              <w:pageBreakBefore w:val="0"/>
              <w:kinsoku/>
              <w:wordWrap/>
              <w:overflowPunct/>
              <w:topLinePunct w:val="0"/>
              <w:autoSpaceDE/>
              <w:autoSpaceDN/>
              <w:bidi w:val="0"/>
              <w:spacing w:line="360" w:lineRule="auto"/>
              <w:jc w:val="center"/>
              <w:textAlignment w:val="auto"/>
              <w:rPr>
                <w:rFonts w:hint="default" w:ascii="宋体" w:hAnsi="宋体" w:eastAsia="宋体" w:cs="宋体"/>
                <w:color w:val="auto"/>
                <w:sz w:val="21"/>
                <w:szCs w:val="21"/>
                <w:highlight w:val="none"/>
                <w:lang w:val="en-US"/>
              </w:rPr>
            </w:pPr>
            <w:r>
              <w:rPr>
                <w:rFonts w:hint="eastAsia" w:ascii="宋体" w:hAnsi="宋体" w:cs="宋体"/>
                <w:color w:val="auto"/>
                <w:sz w:val="21"/>
                <w:szCs w:val="21"/>
                <w:highlight w:val="none"/>
                <w:lang w:val="en-US" w:eastAsia="zh-CN"/>
              </w:rPr>
              <w:t>6项</w:t>
            </w:r>
          </w:p>
        </w:tc>
        <w:tc>
          <w:tcPr>
            <w:tcW w:w="5203" w:type="dxa"/>
            <w:tcBorders>
              <w:top w:val="single" w:color="auto" w:sz="4" w:space="0"/>
              <w:left w:val="single" w:color="auto" w:sz="4" w:space="0"/>
              <w:bottom w:val="single" w:color="auto" w:sz="4" w:space="0"/>
              <w:right w:val="single" w:color="auto" w:sz="4" w:space="0"/>
            </w:tcBorders>
            <w:noWrap w:val="0"/>
            <w:vAlign w:val="center"/>
          </w:tcPr>
          <w:p w14:paraId="7605F982">
            <w:pPr>
              <w:keepNext w:val="0"/>
              <w:keepLines w:val="0"/>
              <w:pageBreakBefore w:val="0"/>
              <w:kinsoku/>
              <w:wordWrap/>
              <w:overflowPunct/>
              <w:topLinePunct w:val="0"/>
              <w:autoSpaceDE/>
              <w:autoSpaceDN/>
              <w:bidi w:val="0"/>
              <w:spacing w:line="360" w:lineRule="auto"/>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指导教师参加广西职业院校教学能力比赛</w:t>
            </w:r>
            <w:r>
              <w:rPr>
                <w:rFonts w:hint="eastAsia" w:ascii="宋体" w:hAnsi="宋体" w:cs="宋体"/>
                <w:color w:val="auto"/>
                <w:sz w:val="21"/>
                <w:szCs w:val="21"/>
                <w:highlight w:val="none"/>
                <w:lang w:val="en-US" w:eastAsia="zh-CN"/>
              </w:rPr>
              <w:t>6项</w:t>
            </w:r>
            <w:r>
              <w:rPr>
                <w:rFonts w:hint="eastAsia" w:ascii="宋体" w:hAnsi="宋体" w:eastAsia="宋体" w:cs="宋体"/>
                <w:color w:val="auto"/>
                <w:sz w:val="21"/>
                <w:szCs w:val="21"/>
                <w:highlight w:val="none"/>
              </w:rPr>
              <w:t>。指导教师参加国家二类以上行业职业技能竞赛。</w:t>
            </w:r>
          </w:p>
          <w:p w14:paraId="00EAA0E7">
            <w:pPr>
              <w:keepNext w:val="0"/>
              <w:keepLines w:val="0"/>
              <w:pageBreakBefore w:val="0"/>
              <w:kinsoku/>
              <w:wordWrap/>
              <w:overflowPunct/>
              <w:topLinePunct w:val="0"/>
              <w:autoSpaceDE/>
              <w:autoSpaceDN/>
              <w:bidi w:val="0"/>
              <w:spacing w:line="360" w:lineRule="auto"/>
              <w:jc w:val="both"/>
              <w:textAlignment w:val="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一、服务内容</w:t>
            </w:r>
          </w:p>
          <w:p w14:paraId="55475DA1">
            <w:pPr>
              <w:keepNext w:val="0"/>
              <w:keepLines w:val="0"/>
              <w:pageBreakBefore w:val="0"/>
              <w:kinsoku/>
              <w:wordWrap/>
              <w:overflowPunct/>
              <w:topLinePunct w:val="0"/>
              <w:autoSpaceDE/>
              <w:autoSpaceDN/>
              <w:bidi w:val="0"/>
              <w:spacing w:line="360" w:lineRule="auto"/>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1.聘请相关领域专家，</w:t>
            </w:r>
            <w:r>
              <w:rPr>
                <w:rFonts w:hint="eastAsia" w:ascii="宋体" w:hAnsi="宋体" w:cs="宋体"/>
                <w:color w:val="auto"/>
                <w:sz w:val="21"/>
                <w:szCs w:val="21"/>
                <w:highlight w:val="none"/>
                <w:lang w:val="en-US" w:eastAsia="zh-CN"/>
              </w:rPr>
              <w:t>指导教学能力比赛项目，</w:t>
            </w:r>
            <w:r>
              <w:rPr>
                <w:rFonts w:hint="eastAsia" w:ascii="宋体" w:hAnsi="宋体" w:eastAsia="宋体" w:cs="宋体"/>
                <w:color w:val="auto"/>
                <w:sz w:val="21"/>
                <w:szCs w:val="21"/>
                <w:highlight w:val="none"/>
              </w:rPr>
              <w:t>具体涵盖 2 项课堂教学比赛、</w:t>
            </w:r>
            <w:r>
              <w:rPr>
                <w:rFonts w:hint="eastAsia" w:ascii="宋体" w:hAnsi="宋体" w:cs="宋体"/>
                <w:color w:val="auto"/>
                <w:sz w:val="21"/>
                <w:szCs w:val="21"/>
                <w:highlight w:val="none"/>
                <w:lang w:val="en-US" w:eastAsia="zh-CN"/>
              </w:rPr>
              <w:t>2</w:t>
            </w:r>
            <w:r>
              <w:rPr>
                <w:rFonts w:hint="eastAsia" w:ascii="宋体" w:hAnsi="宋体" w:eastAsia="宋体" w:cs="宋体"/>
                <w:color w:val="auto"/>
                <w:sz w:val="21"/>
                <w:szCs w:val="21"/>
                <w:highlight w:val="none"/>
              </w:rPr>
              <w:t>项混合式教学比赛以及 2 项微课比赛。</w:t>
            </w:r>
          </w:p>
          <w:p w14:paraId="1EFAABDF">
            <w:pPr>
              <w:keepNext w:val="0"/>
              <w:keepLines w:val="0"/>
              <w:pageBreakBefore w:val="0"/>
              <w:kinsoku/>
              <w:wordWrap/>
              <w:overflowPunct/>
              <w:topLinePunct w:val="0"/>
              <w:autoSpaceDE/>
              <w:autoSpaceDN/>
              <w:bidi w:val="0"/>
              <w:spacing w:line="360" w:lineRule="auto"/>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2.邀请专家对赛事政策进行详细解读，助力教师深入熟悉参赛文件要求。在指导过程中，</w:t>
            </w:r>
            <w:r>
              <w:rPr>
                <w:rFonts w:hint="eastAsia" w:ascii="宋体" w:hAnsi="宋体" w:cs="宋体"/>
                <w:color w:val="auto"/>
                <w:sz w:val="21"/>
                <w:szCs w:val="21"/>
                <w:highlight w:val="none"/>
                <w:lang w:val="en-US" w:eastAsia="zh-CN"/>
              </w:rPr>
              <w:t>每个项目</w:t>
            </w:r>
            <w:r>
              <w:rPr>
                <w:rFonts w:hint="eastAsia" w:ascii="宋体" w:hAnsi="宋体" w:eastAsia="宋体" w:cs="宋体"/>
                <w:color w:val="auto"/>
                <w:sz w:val="21"/>
                <w:szCs w:val="21"/>
                <w:highlight w:val="none"/>
              </w:rPr>
              <w:t>安排1 名专家一对一指导</w:t>
            </w:r>
            <w:r>
              <w:rPr>
                <w:rFonts w:hint="eastAsia" w:ascii="宋体" w:hAnsi="宋体" w:cs="宋体"/>
                <w:color w:val="auto"/>
                <w:sz w:val="21"/>
                <w:szCs w:val="21"/>
                <w:highlight w:val="none"/>
                <w:lang w:val="en-US" w:eastAsia="zh-CN"/>
              </w:rPr>
              <w:t>全程指导</w:t>
            </w:r>
            <w:r>
              <w:rPr>
                <w:rFonts w:hint="eastAsia" w:ascii="宋体" w:hAnsi="宋体" w:eastAsia="宋体" w:cs="宋体"/>
                <w:color w:val="auto"/>
                <w:sz w:val="21"/>
                <w:szCs w:val="21"/>
                <w:highlight w:val="none"/>
              </w:rPr>
              <w:t>。</w:t>
            </w:r>
          </w:p>
          <w:p w14:paraId="21D2080F">
            <w:pPr>
              <w:keepNext w:val="0"/>
              <w:keepLines w:val="0"/>
              <w:pageBreakBefore w:val="0"/>
              <w:kinsoku/>
              <w:wordWrap/>
              <w:overflowPunct/>
              <w:topLinePunct w:val="0"/>
              <w:autoSpaceDE/>
              <w:autoSpaceDN/>
              <w:bidi w:val="0"/>
              <w:spacing w:line="360" w:lineRule="auto"/>
              <w:jc w:val="both"/>
              <w:textAlignment w:val="auto"/>
              <w:rPr>
                <w:rFonts w:hint="default" w:ascii="宋体" w:hAnsi="宋体" w:eastAsia="宋体" w:cs="宋体"/>
                <w:b/>
                <w:bCs/>
                <w:color w:val="auto"/>
                <w:sz w:val="21"/>
                <w:szCs w:val="21"/>
                <w:highlight w:val="none"/>
                <w:lang w:val="en-US" w:eastAsia="zh-CN"/>
              </w:rPr>
            </w:pPr>
            <w:r>
              <w:rPr>
                <w:rFonts w:hint="eastAsia" w:ascii="宋体" w:hAnsi="宋体" w:cs="宋体"/>
                <w:b/>
                <w:bCs/>
                <w:color w:val="auto"/>
                <w:sz w:val="21"/>
                <w:szCs w:val="21"/>
                <w:highlight w:val="none"/>
                <w:lang w:val="en-US" w:eastAsia="zh-CN"/>
              </w:rPr>
              <w:t>3.参赛项目视频拍摄。</w:t>
            </w:r>
          </w:p>
          <w:p w14:paraId="2A1A8F64">
            <w:pPr>
              <w:keepNext w:val="0"/>
              <w:keepLines w:val="0"/>
              <w:pageBreakBefore w:val="0"/>
              <w:kinsoku/>
              <w:wordWrap/>
              <w:overflowPunct/>
              <w:topLinePunct w:val="0"/>
              <w:autoSpaceDE/>
              <w:autoSpaceDN/>
              <w:bidi w:val="0"/>
              <w:spacing w:line="360" w:lineRule="auto"/>
              <w:jc w:val="both"/>
              <w:textAlignment w:val="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二、服务要求</w:t>
            </w:r>
          </w:p>
          <w:p w14:paraId="29ACB94D">
            <w:pPr>
              <w:keepNext w:val="0"/>
              <w:keepLines w:val="0"/>
              <w:pageBreakBefore w:val="0"/>
              <w:kinsoku/>
              <w:wordWrap/>
              <w:overflowPunct/>
              <w:topLinePunct w:val="0"/>
              <w:autoSpaceDE/>
              <w:autoSpaceDN/>
              <w:bidi w:val="0"/>
              <w:spacing w:line="360" w:lineRule="auto"/>
              <w:jc w:val="both"/>
              <w:textAlignment w:val="auto"/>
              <w:rPr>
                <w:rFonts w:hint="eastAsia" w:ascii="宋体" w:hAnsi="宋体" w:eastAsia="宋体" w:cs="宋体"/>
                <w:strike w:val="0"/>
                <w:dstrike w:val="0"/>
                <w:color w:val="auto"/>
                <w:sz w:val="21"/>
                <w:szCs w:val="21"/>
                <w:highlight w:val="none"/>
              </w:rPr>
            </w:pPr>
            <w:r>
              <w:rPr>
                <w:rFonts w:hint="eastAsia" w:ascii="宋体" w:hAnsi="宋体" w:eastAsia="宋体" w:cs="宋体"/>
                <w:strike w:val="0"/>
                <w:dstrike w:val="0"/>
                <w:color w:val="auto"/>
                <w:sz w:val="21"/>
                <w:szCs w:val="21"/>
                <w:highlight w:val="none"/>
              </w:rPr>
              <w:t>1.集中培训：组织</w:t>
            </w:r>
            <w:r>
              <w:rPr>
                <w:rFonts w:hint="eastAsia" w:ascii="宋体" w:hAnsi="宋体" w:cs="宋体"/>
                <w:strike w:val="0"/>
                <w:dstrike w:val="0"/>
                <w:color w:val="auto"/>
                <w:sz w:val="21"/>
                <w:szCs w:val="21"/>
                <w:highlight w:val="none"/>
                <w:lang w:val="en-US" w:eastAsia="zh-CN"/>
              </w:rPr>
              <w:t>1</w:t>
            </w:r>
            <w:r>
              <w:rPr>
                <w:rFonts w:hint="eastAsia" w:ascii="宋体" w:hAnsi="宋体" w:eastAsia="宋体" w:cs="宋体"/>
                <w:strike w:val="0"/>
                <w:dstrike w:val="0"/>
                <w:color w:val="auto"/>
                <w:sz w:val="21"/>
                <w:szCs w:val="21"/>
                <w:highlight w:val="none"/>
              </w:rPr>
              <w:t>期专项培训。培训内容涵盖实施报告、教案、人才培养方案以及课程标准的撰写规范与技巧。专家将通过理论讲解、案例分析、现场示范等多种方式，深入指导教师完成相关材料的撰写，确保每位教师能够熟练掌握撰写要点与方法。</w:t>
            </w:r>
          </w:p>
          <w:p w14:paraId="669FE0DB">
            <w:pPr>
              <w:keepNext w:val="0"/>
              <w:keepLines w:val="0"/>
              <w:pageBreakBefore w:val="0"/>
              <w:kinsoku/>
              <w:wordWrap/>
              <w:overflowPunct/>
              <w:topLinePunct w:val="0"/>
              <w:autoSpaceDE/>
              <w:autoSpaceDN/>
              <w:bidi w:val="0"/>
              <w:spacing w:line="360" w:lineRule="auto"/>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2.一对一指导阶段：在集中培训结束后，为</w:t>
            </w:r>
            <w:r>
              <w:rPr>
                <w:rFonts w:hint="eastAsia" w:ascii="宋体" w:hAnsi="宋体" w:cs="宋体"/>
                <w:color w:val="auto"/>
                <w:sz w:val="21"/>
                <w:szCs w:val="21"/>
                <w:highlight w:val="none"/>
                <w:lang w:val="en-US" w:eastAsia="zh-CN"/>
              </w:rPr>
              <w:t>6</w:t>
            </w:r>
            <w:r>
              <w:rPr>
                <w:rFonts w:hint="eastAsia" w:ascii="宋体" w:hAnsi="宋体" w:eastAsia="宋体" w:cs="宋体"/>
                <w:color w:val="auto"/>
                <w:sz w:val="21"/>
                <w:szCs w:val="21"/>
                <w:highlight w:val="none"/>
              </w:rPr>
              <w:t>个参赛项目（课堂教学2个，混合式教学</w:t>
            </w:r>
            <w:r>
              <w:rPr>
                <w:rFonts w:hint="eastAsia" w:ascii="宋体" w:hAnsi="宋体" w:cs="宋体"/>
                <w:color w:val="auto"/>
                <w:sz w:val="21"/>
                <w:szCs w:val="21"/>
                <w:highlight w:val="none"/>
                <w:lang w:val="en-US" w:eastAsia="zh-CN"/>
              </w:rPr>
              <w:t>2</w:t>
            </w:r>
            <w:r>
              <w:rPr>
                <w:rFonts w:hint="eastAsia" w:ascii="宋体" w:hAnsi="宋体" w:eastAsia="宋体" w:cs="宋体"/>
                <w:color w:val="auto"/>
                <w:sz w:val="21"/>
                <w:szCs w:val="21"/>
                <w:highlight w:val="none"/>
              </w:rPr>
              <w:t>个，微课</w:t>
            </w:r>
            <w:r>
              <w:rPr>
                <w:rFonts w:hint="eastAsia" w:ascii="宋体" w:hAnsi="宋体" w:cs="宋体"/>
                <w:color w:val="auto"/>
                <w:sz w:val="21"/>
                <w:szCs w:val="21"/>
                <w:highlight w:val="none"/>
                <w:lang w:val="en-US" w:eastAsia="zh-CN"/>
              </w:rPr>
              <w:t>2</w:t>
            </w:r>
            <w:r>
              <w:rPr>
                <w:rFonts w:hint="eastAsia" w:ascii="宋体" w:hAnsi="宋体" w:eastAsia="宋体" w:cs="宋体"/>
                <w:color w:val="auto"/>
                <w:sz w:val="21"/>
                <w:szCs w:val="21"/>
                <w:highlight w:val="none"/>
              </w:rPr>
              <w:t>个）每个参赛项目至少</w:t>
            </w:r>
            <w:r>
              <w:rPr>
                <w:rFonts w:hint="eastAsia" w:ascii="宋体" w:hAnsi="宋体" w:cs="宋体"/>
                <w:color w:val="auto"/>
                <w:sz w:val="21"/>
                <w:szCs w:val="21"/>
                <w:highlight w:val="none"/>
                <w:lang w:val="en-US" w:eastAsia="zh-CN"/>
              </w:rPr>
              <w:t>安排</w:t>
            </w:r>
            <w:r>
              <w:rPr>
                <w:rFonts w:hint="eastAsia" w:ascii="宋体" w:hAnsi="宋体" w:eastAsia="宋体" w:cs="宋体"/>
                <w:color w:val="auto"/>
                <w:sz w:val="21"/>
                <w:szCs w:val="21"/>
                <w:highlight w:val="none"/>
              </w:rPr>
              <w:t>3次</w:t>
            </w:r>
            <w:r>
              <w:rPr>
                <w:rFonts w:hint="eastAsia" w:ascii="宋体" w:hAnsi="宋体" w:cs="宋体"/>
                <w:color w:val="auto"/>
                <w:sz w:val="21"/>
                <w:szCs w:val="21"/>
                <w:highlight w:val="none"/>
                <w:lang w:val="en-US" w:eastAsia="zh-CN"/>
              </w:rPr>
              <w:t>进校</w:t>
            </w:r>
            <w:r>
              <w:rPr>
                <w:rFonts w:hint="eastAsia" w:ascii="宋体" w:hAnsi="宋体" w:eastAsia="宋体" w:cs="宋体"/>
                <w:color w:val="auto"/>
                <w:sz w:val="21"/>
                <w:szCs w:val="21"/>
                <w:highlight w:val="none"/>
              </w:rPr>
              <w:t>一对一的专项指导，每次指导时长不少于</w:t>
            </w:r>
            <w:r>
              <w:rPr>
                <w:rFonts w:hint="eastAsia" w:ascii="宋体" w:hAnsi="宋体" w:cs="宋体"/>
                <w:color w:val="auto"/>
                <w:sz w:val="21"/>
                <w:szCs w:val="21"/>
                <w:highlight w:val="none"/>
                <w:lang w:val="en-US" w:eastAsia="zh-CN"/>
              </w:rPr>
              <w:t>2</w:t>
            </w:r>
            <w:r>
              <w:rPr>
                <w:rFonts w:hint="eastAsia" w:ascii="宋体" w:hAnsi="宋体" w:eastAsia="宋体" w:cs="宋体"/>
                <w:color w:val="auto"/>
                <w:sz w:val="21"/>
                <w:szCs w:val="21"/>
                <w:highlight w:val="none"/>
              </w:rPr>
              <w:t>小时</w:t>
            </w:r>
            <w:r>
              <w:rPr>
                <w:rFonts w:hint="eastAsia" w:ascii="宋体" w:hAnsi="宋体" w:cs="宋体"/>
                <w:color w:val="auto"/>
                <w:sz w:val="21"/>
                <w:szCs w:val="21"/>
                <w:highlight w:val="none"/>
                <w:lang w:eastAsia="zh-CN"/>
              </w:rPr>
              <w:t>，</w:t>
            </w:r>
            <w:r>
              <w:rPr>
                <w:rFonts w:hint="eastAsia" w:ascii="宋体" w:hAnsi="宋体" w:cs="宋体"/>
                <w:color w:val="auto"/>
                <w:sz w:val="21"/>
                <w:szCs w:val="21"/>
                <w:highlight w:val="none"/>
                <w:lang w:val="en-US" w:eastAsia="zh-CN"/>
              </w:rPr>
              <w:t>线上指导响应时间不超过24小时</w:t>
            </w:r>
            <w:r>
              <w:rPr>
                <w:rFonts w:hint="eastAsia" w:ascii="宋体" w:hAnsi="宋体" w:eastAsia="宋体" w:cs="宋体"/>
                <w:color w:val="auto"/>
                <w:sz w:val="21"/>
                <w:szCs w:val="21"/>
                <w:highlight w:val="none"/>
              </w:rPr>
              <w:t>。专家将根据教师的实际情况，针对撰写过程中存在的问题进行详细点评与指导，</w:t>
            </w:r>
            <w:r>
              <w:rPr>
                <w:rFonts w:hint="eastAsia" w:ascii="宋体" w:hAnsi="宋体" w:cs="宋体"/>
                <w:color w:val="auto"/>
                <w:sz w:val="21"/>
                <w:szCs w:val="21"/>
                <w:highlight w:val="none"/>
                <w:lang w:val="en-US" w:eastAsia="zh-CN"/>
              </w:rPr>
              <w:t>安排美工人员针对PPT进行美工，</w:t>
            </w:r>
            <w:r>
              <w:rPr>
                <w:rFonts w:hint="eastAsia" w:ascii="宋体" w:hAnsi="宋体" w:eastAsia="宋体" w:cs="宋体"/>
                <w:color w:val="auto"/>
                <w:sz w:val="21"/>
                <w:szCs w:val="21"/>
                <w:highlight w:val="none"/>
              </w:rPr>
              <w:t>帮助教师不断完善相关材料，直至比赛材料上交。</w:t>
            </w:r>
          </w:p>
          <w:p w14:paraId="49D135D0">
            <w:pPr>
              <w:keepNext w:val="0"/>
              <w:keepLines w:val="0"/>
              <w:pageBreakBefore w:val="0"/>
              <w:kinsoku/>
              <w:wordWrap/>
              <w:overflowPunct/>
              <w:topLinePunct w:val="0"/>
              <w:autoSpaceDE/>
              <w:autoSpaceDN/>
              <w:bidi w:val="0"/>
              <w:spacing w:line="360" w:lineRule="auto"/>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w:t>
            </w:r>
            <w:r>
              <w:rPr>
                <w:rFonts w:hint="eastAsia" w:ascii="宋体" w:hAnsi="宋体" w:cs="宋体"/>
                <w:color w:val="auto"/>
                <w:sz w:val="21"/>
                <w:szCs w:val="21"/>
                <w:highlight w:val="none"/>
                <w:lang w:val="en-US" w:eastAsia="zh-CN"/>
              </w:rPr>
              <w:t>作品拍摄及</w:t>
            </w:r>
            <w:r>
              <w:rPr>
                <w:rFonts w:hint="eastAsia" w:ascii="宋体" w:hAnsi="宋体" w:eastAsia="宋体" w:cs="宋体"/>
                <w:color w:val="auto"/>
                <w:sz w:val="21"/>
                <w:szCs w:val="21"/>
                <w:highlight w:val="none"/>
              </w:rPr>
              <w:t>录</w:t>
            </w:r>
            <w:r>
              <w:rPr>
                <w:rFonts w:hint="eastAsia" w:ascii="宋体" w:hAnsi="宋体" w:cs="宋体"/>
                <w:color w:val="auto"/>
                <w:sz w:val="21"/>
                <w:szCs w:val="21"/>
                <w:highlight w:val="none"/>
                <w:lang w:val="en-US" w:eastAsia="zh-CN"/>
              </w:rPr>
              <w:t>制</w:t>
            </w:r>
            <w:r>
              <w:rPr>
                <w:rFonts w:hint="eastAsia" w:ascii="宋体" w:hAnsi="宋体" w:eastAsia="宋体" w:cs="宋体"/>
                <w:color w:val="auto"/>
                <w:sz w:val="21"/>
                <w:szCs w:val="21"/>
                <w:highlight w:val="none"/>
              </w:rPr>
              <w:t>指导：在课堂录课拍摄前，专家为教师提供至少</w:t>
            </w:r>
            <w:r>
              <w:rPr>
                <w:rFonts w:hint="eastAsia" w:ascii="宋体" w:hAnsi="宋体" w:cs="宋体"/>
                <w:color w:val="auto"/>
                <w:sz w:val="21"/>
                <w:szCs w:val="21"/>
                <w:highlight w:val="none"/>
                <w:lang w:val="en-US" w:eastAsia="zh-CN"/>
              </w:rPr>
              <w:t>3</w:t>
            </w:r>
            <w:r>
              <w:rPr>
                <w:rFonts w:hint="eastAsia" w:ascii="宋体" w:hAnsi="宋体" w:eastAsia="宋体" w:cs="宋体"/>
                <w:color w:val="auto"/>
                <w:sz w:val="21"/>
                <w:szCs w:val="21"/>
                <w:highlight w:val="none"/>
              </w:rPr>
              <w:t>次关于录课拍摄环节的专业指导，包括教学设计优化、教学环节把控、教学语言与肢体语言运用、拍摄设备使用与画面构图等方面。在录课过程中，专家进行现场指导或通过线上方式实时沟通，确保录课质量达到比赛要求。录课结束后，专家对录课视频进行点评分析，提出改进建议，每个项目的录课视频至少接受3次专家点评。为2个课堂教学赛项提供拍摄服务，共拍摄4天，每个项目拍摄一组授课视频，视频必</w:t>
            </w:r>
            <w:r>
              <w:rPr>
                <w:rFonts w:hint="eastAsia" w:ascii="宋体" w:hAnsi="宋体" w:cs="宋体"/>
                <w:color w:val="auto"/>
                <w:sz w:val="21"/>
                <w:szCs w:val="21"/>
                <w:highlight w:val="none"/>
                <w:lang w:val="en-US" w:eastAsia="zh-CN"/>
              </w:rPr>
              <w:t>须</w:t>
            </w:r>
            <w:r>
              <w:rPr>
                <w:rFonts w:hint="eastAsia" w:ascii="宋体" w:hAnsi="宋体" w:eastAsia="宋体" w:cs="宋体"/>
                <w:color w:val="auto"/>
                <w:sz w:val="21"/>
                <w:szCs w:val="21"/>
                <w:highlight w:val="none"/>
              </w:rPr>
              <w:t>符合教师教学能力大赛课堂教学比赛的要求。</w:t>
            </w:r>
          </w:p>
          <w:p w14:paraId="68EE51B8">
            <w:pPr>
              <w:keepNext w:val="0"/>
              <w:keepLines w:val="0"/>
              <w:pageBreakBefore w:val="0"/>
              <w:kinsoku/>
              <w:wordWrap/>
              <w:overflowPunct/>
              <w:topLinePunct w:val="0"/>
              <w:autoSpaceDE/>
              <w:autoSpaceDN/>
              <w:bidi w:val="0"/>
              <w:spacing w:line="360" w:lineRule="auto"/>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持续辅导支持：为教师提供持续的辅导支持，直至相关比赛结束。建立专门的辅导团队，由校内骨干教师与校外专家共同组成，通过线上线下相结合的方式，为教师提供答疑解惑、经验分享、资源提供等服务。定期组织教师开展培训成果交流活动，每位教师至少进行1次培训成果汇报与分享，促进教师之间的相互学习与共同提高。辅导团队根据教师的汇报情况与实际需求，及时调整辅导策略与内容，确保教师能够将所学知识与技能有效应用到教学与比赛准备中。</w:t>
            </w:r>
          </w:p>
          <w:p w14:paraId="34917DBB">
            <w:pPr>
              <w:keepNext w:val="0"/>
              <w:keepLines w:val="0"/>
              <w:pageBreakBefore w:val="0"/>
              <w:kinsoku/>
              <w:wordWrap/>
              <w:overflowPunct/>
              <w:topLinePunct w:val="0"/>
              <w:autoSpaceDE/>
              <w:autoSpaceDN/>
              <w:bidi w:val="0"/>
              <w:spacing w:line="360" w:lineRule="auto"/>
              <w:jc w:val="both"/>
              <w:textAlignment w:val="auto"/>
              <w:rPr>
                <w:rFonts w:hint="default"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5.聘请专业团队对所有参赛项目进行拍摄，拍摄标准按照当年比赛的文件要求进行作品拍摄及后期处理。</w:t>
            </w:r>
          </w:p>
          <w:p w14:paraId="5A0B9FF9">
            <w:pPr>
              <w:keepNext w:val="0"/>
              <w:keepLines w:val="0"/>
              <w:pageBreakBefore w:val="0"/>
              <w:kinsoku/>
              <w:wordWrap/>
              <w:overflowPunct/>
              <w:topLinePunct w:val="0"/>
              <w:autoSpaceDE/>
              <w:autoSpaceDN/>
              <w:bidi w:val="0"/>
              <w:spacing w:line="360" w:lineRule="auto"/>
              <w:jc w:val="both"/>
              <w:textAlignment w:val="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三、指导专家资质要求</w:t>
            </w:r>
          </w:p>
          <w:p w14:paraId="1F72F418">
            <w:pPr>
              <w:keepNext w:val="0"/>
              <w:keepLines w:val="0"/>
              <w:pageBreakBefore w:val="0"/>
              <w:kinsoku/>
              <w:wordWrap/>
              <w:overflowPunct/>
              <w:topLinePunct w:val="0"/>
              <w:autoSpaceDE/>
              <w:autoSpaceDN/>
              <w:bidi w:val="0"/>
              <w:spacing w:line="360" w:lineRule="auto"/>
              <w:jc w:val="both"/>
              <w:textAlignment w:val="auto"/>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t>专家聘请数量与资质</w:t>
            </w:r>
            <w:r>
              <w:rPr>
                <w:rFonts w:hint="eastAsia" w:ascii="宋体" w:hAnsi="宋体" w:cs="宋体"/>
                <w:color w:val="auto"/>
                <w:sz w:val="21"/>
                <w:szCs w:val="21"/>
                <w:highlight w:val="none"/>
                <w:lang w:eastAsia="zh-CN"/>
              </w:rPr>
              <w:t>：</w:t>
            </w:r>
            <w:r>
              <w:rPr>
                <w:rFonts w:hint="eastAsia" w:ascii="宋体" w:hAnsi="宋体" w:eastAsia="宋体" w:cs="宋体"/>
                <w:color w:val="auto"/>
                <w:sz w:val="21"/>
                <w:szCs w:val="21"/>
                <w:highlight w:val="none"/>
              </w:rPr>
              <w:t>聘请2位具有正高级及</w:t>
            </w:r>
            <w:r>
              <w:rPr>
                <w:rFonts w:hint="eastAsia" w:ascii="宋体" w:hAnsi="宋体" w:cs="宋体"/>
                <w:color w:val="auto"/>
                <w:sz w:val="21"/>
                <w:szCs w:val="21"/>
                <w:highlight w:val="none"/>
                <w:lang w:val="en-US" w:eastAsia="zh-CN"/>
              </w:rPr>
              <w:t>4</w:t>
            </w:r>
            <w:r>
              <w:rPr>
                <w:rFonts w:hint="eastAsia" w:ascii="宋体" w:hAnsi="宋体" w:eastAsia="宋体" w:cs="宋体"/>
                <w:color w:val="auto"/>
                <w:sz w:val="21"/>
                <w:szCs w:val="21"/>
                <w:highlight w:val="none"/>
              </w:rPr>
              <w:t>位副高级职称的专家团队且成员为获得省部级以上教学能力比赛二等奖以上项目的主持人</w:t>
            </w:r>
            <w:r>
              <w:rPr>
                <w:rFonts w:hint="eastAsia" w:ascii="宋体" w:hAnsi="宋体" w:cs="宋体"/>
                <w:color w:val="auto"/>
                <w:sz w:val="21"/>
                <w:szCs w:val="21"/>
                <w:highlight w:val="none"/>
                <w:lang w:eastAsia="zh-CN"/>
              </w:rPr>
              <w:t>，</w:t>
            </w:r>
            <w:r>
              <w:rPr>
                <w:rFonts w:hint="eastAsia" w:ascii="宋体" w:hAnsi="宋体" w:cs="宋体"/>
                <w:color w:val="auto"/>
                <w:sz w:val="21"/>
                <w:szCs w:val="21"/>
                <w:highlight w:val="none"/>
                <w:lang w:val="en-US" w:eastAsia="zh-CN"/>
              </w:rPr>
              <w:t>针对以上项目进行一对一指导。</w:t>
            </w:r>
          </w:p>
        </w:tc>
        <w:tc>
          <w:tcPr>
            <w:tcW w:w="1036" w:type="dxa"/>
            <w:tcBorders>
              <w:top w:val="single" w:color="auto" w:sz="4" w:space="0"/>
              <w:left w:val="single" w:color="auto" w:sz="4" w:space="0"/>
              <w:bottom w:val="single" w:color="auto" w:sz="4" w:space="0"/>
              <w:right w:val="single" w:color="auto" w:sz="4" w:space="0"/>
            </w:tcBorders>
            <w:noWrap w:val="0"/>
            <w:vAlign w:val="center"/>
          </w:tcPr>
          <w:p w14:paraId="1531ECD5">
            <w:pPr>
              <w:keepNext w:val="0"/>
              <w:keepLines w:val="0"/>
              <w:pageBreakBefore w:val="0"/>
              <w:kinsoku/>
              <w:wordWrap/>
              <w:overflowPunct/>
              <w:topLinePunct w:val="0"/>
              <w:autoSpaceDE/>
              <w:autoSpaceDN/>
              <w:bidi w:val="0"/>
              <w:spacing w:line="360" w:lineRule="auto"/>
              <w:ind w:right="19" w:rightChars="9"/>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3</w:t>
            </w:r>
            <w:r>
              <w:rPr>
                <w:rFonts w:hint="eastAsia" w:ascii="宋体" w:hAnsi="宋体" w:cs="宋体"/>
                <w:color w:val="auto"/>
                <w:sz w:val="21"/>
                <w:szCs w:val="21"/>
                <w:highlight w:val="none"/>
                <w:lang w:val="en-US" w:eastAsia="zh-CN"/>
              </w:rPr>
              <w:t>0</w:t>
            </w:r>
            <w:r>
              <w:rPr>
                <w:rFonts w:hint="eastAsia" w:ascii="宋体" w:hAnsi="宋体" w:eastAsia="宋体" w:cs="宋体"/>
                <w:color w:val="auto"/>
                <w:sz w:val="21"/>
                <w:szCs w:val="21"/>
                <w:highlight w:val="none"/>
                <w:lang w:val="en-US" w:eastAsia="zh-CN"/>
              </w:rPr>
              <w:t>.00</w:t>
            </w:r>
          </w:p>
        </w:tc>
        <w:tc>
          <w:tcPr>
            <w:tcW w:w="1336" w:type="dxa"/>
            <w:tcBorders>
              <w:top w:val="single" w:color="auto" w:sz="4" w:space="0"/>
              <w:left w:val="single" w:color="auto" w:sz="4" w:space="0"/>
              <w:bottom w:val="single" w:color="auto" w:sz="4" w:space="0"/>
              <w:right w:val="single" w:color="auto" w:sz="4" w:space="0"/>
            </w:tcBorders>
            <w:noWrap w:val="0"/>
            <w:vAlign w:val="center"/>
          </w:tcPr>
          <w:p w14:paraId="577B5AA5">
            <w:pPr>
              <w:keepNext w:val="0"/>
              <w:keepLines w:val="0"/>
              <w:pageBreakBefore w:val="0"/>
              <w:kinsoku/>
              <w:wordWrap/>
              <w:overflowPunct/>
              <w:topLinePunct w:val="0"/>
              <w:autoSpaceDE/>
              <w:autoSpaceDN/>
              <w:bidi w:val="0"/>
              <w:spacing w:line="360" w:lineRule="auto"/>
              <w:ind w:right="19" w:rightChars="9"/>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其他未列明行业</w:t>
            </w:r>
          </w:p>
        </w:tc>
      </w:tr>
      <w:tr w14:paraId="2DA5ABB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545" w:type="dxa"/>
            <w:tcBorders>
              <w:left w:val="single" w:color="auto" w:sz="4" w:space="0"/>
              <w:bottom w:val="single" w:color="auto" w:sz="4" w:space="0"/>
              <w:right w:val="single" w:color="auto" w:sz="4" w:space="0"/>
            </w:tcBorders>
            <w:noWrap w:val="0"/>
            <w:vAlign w:val="center"/>
          </w:tcPr>
          <w:p w14:paraId="25D30615">
            <w:pPr>
              <w:keepNext w:val="0"/>
              <w:keepLines w:val="0"/>
              <w:pageBreakBefore w:val="0"/>
              <w:kinsoku/>
              <w:wordWrap/>
              <w:overflowPunct/>
              <w:topLinePunct w:val="0"/>
              <w:autoSpaceDE/>
              <w:autoSpaceDN/>
              <w:bidi w:val="0"/>
              <w:spacing w:line="360" w:lineRule="auto"/>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w:t>
            </w:r>
          </w:p>
        </w:tc>
        <w:tc>
          <w:tcPr>
            <w:tcW w:w="739" w:type="dxa"/>
            <w:tcBorders>
              <w:left w:val="single" w:color="auto" w:sz="4" w:space="0"/>
              <w:bottom w:val="single" w:color="auto" w:sz="4" w:space="0"/>
              <w:right w:val="single" w:color="auto" w:sz="4" w:space="0"/>
            </w:tcBorders>
            <w:noWrap w:val="0"/>
            <w:vAlign w:val="center"/>
          </w:tcPr>
          <w:p w14:paraId="6BF1C9AC">
            <w:pPr>
              <w:keepNext w:val="0"/>
              <w:keepLines w:val="0"/>
              <w:pageBreakBefore w:val="0"/>
              <w:kinsoku/>
              <w:wordWrap/>
              <w:overflowPunct/>
              <w:topLinePunct w:val="0"/>
              <w:autoSpaceDE/>
              <w:autoSpaceDN/>
              <w:bidi w:val="0"/>
              <w:spacing w:line="360" w:lineRule="auto"/>
              <w:jc w:val="center"/>
              <w:textAlignment w:val="auto"/>
              <w:rPr>
                <w:rFonts w:hint="eastAsia" w:ascii="宋体" w:hAnsi="宋体" w:eastAsia="宋体" w:cs="宋体"/>
                <w:color w:val="auto"/>
                <w:sz w:val="21"/>
                <w:szCs w:val="21"/>
                <w:highlight w:val="none"/>
              </w:rPr>
            </w:pPr>
            <w:r>
              <w:rPr>
                <w:rFonts w:hint="eastAsia"/>
                <w:color w:val="auto"/>
                <w:sz w:val="21"/>
                <w:szCs w:val="21"/>
                <w:highlight w:val="none"/>
              </w:rPr>
              <w:t>教师教学创新团队</w:t>
            </w:r>
          </w:p>
        </w:tc>
        <w:tc>
          <w:tcPr>
            <w:tcW w:w="717" w:type="dxa"/>
            <w:tcBorders>
              <w:top w:val="single" w:color="auto" w:sz="4" w:space="0"/>
              <w:left w:val="single" w:color="auto" w:sz="4" w:space="0"/>
              <w:bottom w:val="single" w:color="auto" w:sz="4" w:space="0"/>
              <w:right w:val="single" w:color="auto" w:sz="4" w:space="0"/>
            </w:tcBorders>
            <w:noWrap w:val="0"/>
            <w:vAlign w:val="center"/>
          </w:tcPr>
          <w:p w14:paraId="38F9C1D5">
            <w:pPr>
              <w:keepNext w:val="0"/>
              <w:keepLines w:val="0"/>
              <w:pageBreakBefore w:val="0"/>
              <w:kinsoku/>
              <w:wordWrap/>
              <w:overflowPunct/>
              <w:topLinePunct w:val="0"/>
              <w:autoSpaceDE/>
              <w:autoSpaceDN/>
              <w:bidi w:val="0"/>
              <w:spacing w:line="360" w:lineRule="auto"/>
              <w:jc w:val="center"/>
              <w:textAlignment w:val="auto"/>
              <w:rPr>
                <w:rFonts w:hint="eastAsia" w:ascii="宋体" w:hAnsi="宋体" w:eastAsia="宋体" w:cs="宋体"/>
                <w:color w:val="auto"/>
                <w:sz w:val="21"/>
                <w:szCs w:val="21"/>
                <w:highlight w:val="none"/>
              </w:rPr>
            </w:pPr>
            <w:r>
              <w:rPr>
                <w:rFonts w:hint="eastAsia"/>
                <w:color w:val="auto"/>
                <w:sz w:val="21"/>
                <w:szCs w:val="21"/>
                <w:highlight w:val="none"/>
              </w:rPr>
              <w:t>2项</w:t>
            </w:r>
          </w:p>
        </w:tc>
        <w:tc>
          <w:tcPr>
            <w:tcW w:w="5203" w:type="dxa"/>
            <w:tcBorders>
              <w:top w:val="single" w:color="auto" w:sz="4" w:space="0"/>
              <w:left w:val="single" w:color="auto" w:sz="4" w:space="0"/>
              <w:bottom w:val="single" w:color="auto" w:sz="4" w:space="0"/>
              <w:right w:val="single" w:color="auto" w:sz="4" w:space="0"/>
            </w:tcBorders>
            <w:noWrap w:val="0"/>
            <w:vAlign w:val="center"/>
          </w:tcPr>
          <w:p w14:paraId="0CAF367B">
            <w:pPr>
              <w:keepNext w:val="0"/>
              <w:keepLines w:val="0"/>
              <w:pageBreakBefore w:val="0"/>
              <w:kinsoku/>
              <w:wordWrap/>
              <w:overflowPunct/>
              <w:topLinePunct w:val="0"/>
              <w:autoSpaceDE/>
              <w:autoSpaceDN/>
              <w:bidi w:val="0"/>
              <w:spacing w:line="360" w:lineRule="auto"/>
              <w:jc w:val="both"/>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t>培育自治区级职业教育教师教学创新团队建设2项</w:t>
            </w:r>
            <w:r>
              <w:rPr>
                <w:rFonts w:hint="eastAsia" w:ascii="宋体" w:hAnsi="宋体" w:eastAsia="宋体" w:cs="宋体"/>
                <w:color w:val="auto"/>
                <w:sz w:val="21"/>
                <w:szCs w:val="21"/>
                <w:highlight w:val="none"/>
                <w:lang w:eastAsia="zh-CN"/>
              </w:rPr>
              <w:t>。</w:t>
            </w:r>
          </w:p>
          <w:p w14:paraId="4346C545">
            <w:pPr>
              <w:keepNext w:val="0"/>
              <w:keepLines w:val="0"/>
              <w:pageBreakBefore w:val="0"/>
              <w:kinsoku/>
              <w:wordWrap/>
              <w:overflowPunct/>
              <w:topLinePunct w:val="0"/>
              <w:autoSpaceDE/>
              <w:autoSpaceDN/>
              <w:bidi w:val="0"/>
              <w:spacing w:line="360" w:lineRule="auto"/>
              <w:jc w:val="left"/>
              <w:textAlignment w:val="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一、服务内容</w:t>
            </w:r>
          </w:p>
          <w:p w14:paraId="76D51580">
            <w:pPr>
              <w:keepNext w:val="0"/>
              <w:keepLines w:val="0"/>
              <w:pageBreakBefore w:val="0"/>
              <w:kinsoku/>
              <w:wordWrap/>
              <w:overflowPunct/>
              <w:topLinePunct w:val="0"/>
              <w:autoSpaceDE/>
              <w:autoSpaceDN/>
              <w:bidi w:val="0"/>
              <w:spacing w:line="360" w:lineRule="auto"/>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1.开展1次教师教学创新团队建设相关内容的讲座。</w:t>
            </w:r>
          </w:p>
          <w:p w14:paraId="678F5A0E">
            <w:pPr>
              <w:keepNext w:val="0"/>
              <w:keepLines w:val="0"/>
              <w:pageBreakBefore w:val="0"/>
              <w:kinsoku/>
              <w:wordWrap/>
              <w:overflowPunct/>
              <w:topLinePunct w:val="0"/>
              <w:autoSpaceDE/>
              <w:autoSpaceDN/>
              <w:bidi w:val="0"/>
              <w:spacing w:line="360" w:lineRule="auto"/>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2.全程指导教师教学创新团队申报撰写。</w:t>
            </w:r>
          </w:p>
          <w:p w14:paraId="1EF501D0">
            <w:pPr>
              <w:keepNext w:val="0"/>
              <w:keepLines w:val="0"/>
              <w:pageBreakBefore w:val="0"/>
              <w:kinsoku/>
              <w:wordWrap/>
              <w:overflowPunct/>
              <w:topLinePunct w:val="0"/>
              <w:autoSpaceDE/>
              <w:autoSpaceDN/>
              <w:bidi w:val="0"/>
              <w:spacing w:line="360" w:lineRule="auto"/>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3.教师教学创新团队申报前召开撰写材料审定会议1次，聘请不少于3位专家。</w:t>
            </w:r>
          </w:p>
          <w:p w14:paraId="54FD2861">
            <w:pPr>
              <w:keepNext w:val="0"/>
              <w:keepLines w:val="0"/>
              <w:pageBreakBefore w:val="0"/>
              <w:kinsoku/>
              <w:wordWrap/>
              <w:overflowPunct/>
              <w:topLinePunct w:val="0"/>
              <w:autoSpaceDE/>
              <w:autoSpaceDN/>
              <w:bidi w:val="0"/>
              <w:spacing w:line="360" w:lineRule="auto"/>
              <w:jc w:val="left"/>
              <w:textAlignment w:val="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二、服务要求</w:t>
            </w:r>
          </w:p>
          <w:p w14:paraId="2A3A2CFA">
            <w:pPr>
              <w:keepNext w:val="0"/>
              <w:keepLines w:val="0"/>
              <w:pageBreakBefore w:val="0"/>
              <w:kinsoku/>
              <w:wordWrap/>
              <w:overflowPunct/>
              <w:topLinePunct w:val="0"/>
              <w:autoSpaceDE/>
              <w:autoSpaceDN/>
              <w:bidi w:val="0"/>
              <w:spacing w:line="360" w:lineRule="auto"/>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专家团队构成：专家团队必须由1名正高级职称专家牵头，专家团队涵盖教育管理、学科教学、课程开发、教育技术应用等多个领域，确保能够从不同角度为团队建设提供全面指导。例如，至少有1位专家擅长教育管理，能够为团队的组织架构、运行机制等方面提供专业建议；1位专家在学科教学领域有深入研究，可指导团队的教学创新与实践；1位专家精通课程开发，助力团队设计科学合理的课程体系；1位专家熟悉教育技术应用，推动团队利用现代信息技术提升教学效果。</w:t>
            </w:r>
          </w:p>
          <w:p w14:paraId="5ED84CC7">
            <w:pPr>
              <w:keepNext w:val="0"/>
              <w:keepLines w:val="0"/>
              <w:pageBreakBefore w:val="0"/>
              <w:kinsoku/>
              <w:wordWrap/>
              <w:overflowPunct/>
              <w:topLinePunct w:val="0"/>
              <w:autoSpaceDE/>
              <w:autoSpaceDN/>
              <w:bidi w:val="0"/>
              <w:spacing w:line="360" w:lineRule="auto"/>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2.集中培训：组织为期2天的集中指导，对教师教学团队建设文件进行解读，指导区级教师教学创新团队申报书的撰写以及佐证材料的收集，并确定2个教师教学创新团队的建设方向。</w:t>
            </w:r>
          </w:p>
          <w:p w14:paraId="72747C09">
            <w:pPr>
              <w:keepNext w:val="0"/>
              <w:keepLines w:val="0"/>
              <w:pageBreakBefore w:val="0"/>
              <w:kinsoku/>
              <w:wordWrap/>
              <w:overflowPunct/>
              <w:topLinePunct w:val="0"/>
              <w:autoSpaceDE/>
              <w:autoSpaceDN/>
              <w:bidi w:val="0"/>
              <w:spacing w:line="360" w:lineRule="auto"/>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一对一指导：在团队组建初期，为2个教师教学创新团队，进行至少3次线上或线下的针对性指导，每次指导时长不少于1小时，确定团队最终建设成员及建设成果。在团队组建完成后，安排1天的集中研讨与指导，不少于6小时，协助2个团队完善立项申请书，确保申请书内容完整、逻辑清晰、重点突出，符合区级立项申请的格式和内容要求。在提交区级立项申请前，安排3天的时间，组织专家对团队提交的立项材料进行全面审核与指导，每天集中审核与修改时间不少于3小时。对申请书中的团队介绍、目标设定、项目规划、资源整合等部分进行至少3轮的修改完善。指导团队准备相关的支撑材料，如团队成员的业绩证明、项目的前期研究成果、合作协议等，确保支撑材料真实、有效、充分，能够有力支撑立项申请，支撑材料数量不少于5份。同时，在申请过程中，根据区级评审部门的反馈意见，及时安排专家进行至少3次针对性的修改指导，每次指导时长不少于1小时。项目获得区级立项后，在整个项目建设过程的初期、中期和后期三个阶段对教师创新团队建设进行至少5次指导。在项目实施接近尾声，准备区级验收前，根据验收要求的变化和团队准备情况，进行至少3次模拟验收和针对性指导，每次指导时长不少于3小时。协助团队对照区级验收标准，梳理项目实施过程中的成果和证据，确保各项验收指标都有相应的材料支撑。对验收材料进行至少3轮的审核与完善，确保材料的质量和规范性。组织模拟验收活动，邀请专家按照区级验收的流程和标准对团队进行全面评估，提出至少5条改进建议，并指导团队进行整改。</w:t>
            </w:r>
          </w:p>
          <w:p w14:paraId="1A44BBE8">
            <w:pPr>
              <w:keepNext w:val="0"/>
              <w:keepLines w:val="0"/>
              <w:pageBreakBefore w:val="0"/>
              <w:kinsoku/>
              <w:wordWrap/>
              <w:overflowPunct/>
              <w:topLinePunct w:val="0"/>
              <w:autoSpaceDE/>
              <w:autoSpaceDN/>
              <w:bidi w:val="0"/>
              <w:spacing w:line="360" w:lineRule="auto"/>
              <w:jc w:val="left"/>
              <w:textAlignment w:val="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三、指导专家资质要求</w:t>
            </w:r>
          </w:p>
          <w:p w14:paraId="53FD5B12">
            <w:pPr>
              <w:keepNext w:val="0"/>
              <w:keepLines w:val="0"/>
              <w:pageBreakBefore w:val="0"/>
              <w:kinsoku/>
              <w:wordWrap/>
              <w:overflowPunct/>
              <w:topLinePunct w:val="0"/>
              <w:autoSpaceDE/>
              <w:autoSpaceDN/>
              <w:bidi w:val="0"/>
              <w:spacing w:line="360" w:lineRule="auto"/>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专家数量与资质：聘请4位副高级</w:t>
            </w:r>
            <w:r>
              <w:rPr>
                <w:rFonts w:hint="eastAsia" w:ascii="宋体" w:hAnsi="宋体" w:cs="宋体"/>
                <w:color w:val="auto"/>
                <w:sz w:val="21"/>
                <w:szCs w:val="21"/>
                <w:highlight w:val="none"/>
                <w:lang w:eastAsia="zh-CN"/>
              </w:rPr>
              <w:t>（</w:t>
            </w:r>
            <w:r>
              <w:rPr>
                <w:rFonts w:hint="eastAsia" w:ascii="宋体" w:hAnsi="宋体" w:cs="宋体"/>
                <w:color w:val="auto"/>
                <w:sz w:val="21"/>
                <w:szCs w:val="21"/>
                <w:highlight w:val="none"/>
                <w:lang w:val="en-US" w:eastAsia="zh-CN"/>
              </w:rPr>
              <w:t>含）</w:t>
            </w:r>
            <w:r>
              <w:rPr>
                <w:rFonts w:hint="eastAsia" w:ascii="宋体" w:hAnsi="宋体" w:eastAsia="宋体" w:cs="宋体"/>
                <w:color w:val="auto"/>
                <w:sz w:val="21"/>
                <w:szCs w:val="21"/>
                <w:highlight w:val="none"/>
              </w:rPr>
              <w:t>以上专家，其中2位为在教育教学领域具有丰富评审经验、熟悉区级教师教学创新团队立项及验收流程与标准的资深专家；另外2位从教师教学创新团队专家库中选取，具备深厚的专业知识、在相关学科或教学领域有显著成果且参与过至少1个教学创新团队建设项目的专业人员。</w:t>
            </w:r>
          </w:p>
        </w:tc>
        <w:tc>
          <w:tcPr>
            <w:tcW w:w="1036" w:type="dxa"/>
            <w:tcBorders>
              <w:top w:val="single" w:color="auto" w:sz="4" w:space="0"/>
              <w:left w:val="single" w:color="auto" w:sz="4" w:space="0"/>
              <w:bottom w:val="single" w:color="auto" w:sz="4" w:space="0"/>
              <w:right w:val="single" w:color="auto" w:sz="4" w:space="0"/>
            </w:tcBorders>
            <w:noWrap w:val="0"/>
            <w:vAlign w:val="center"/>
          </w:tcPr>
          <w:p w14:paraId="3972111D">
            <w:pPr>
              <w:keepNext w:val="0"/>
              <w:keepLines w:val="0"/>
              <w:pageBreakBefore w:val="0"/>
              <w:kinsoku/>
              <w:wordWrap/>
              <w:overflowPunct/>
              <w:topLinePunct w:val="0"/>
              <w:autoSpaceDE/>
              <w:autoSpaceDN/>
              <w:bidi w:val="0"/>
              <w:spacing w:line="360" w:lineRule="auto"/>
              <w:ind w:right="19" w:rightChars="9"/>
              <w:jc w:val="center"/>
              <w:textAlignment w:val="auto"/>
              <w:rPr>
                <w:rFonts w:hint="default"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8</w:t>
            </w:r>
            <w:r>
              <w:rPr>
                <w:rFonts w:hint="eastAsia" w:ascii="宋体" w:hAnsi="宋体" w:eastAsia="宋体" w:cs="宋体"/>
                <w:color w:val="auto"/>
                <w:sz w:val="21"/>
                <w:szCs w:val="21"/>
                <w:highlight w:val="none"/>
                <w:lang w:val="en-US" w:eastAsia="zh-CN"/>
              </w:rPr>
              <w:t>.00</w:t>
            </w:r>
          </w:p>
        </w:tc>
        <w:tc>
          <w:tcPr>
            <w:tcW w:w="1336" w:type="dxa"/>
            <w:tcBorders>
              <w:top w:val="single" w:color="auto" w:sz="4" w:space="0"/>
              <w:left w:val="single" w:color="auto" w:sz="4" w:space="0"/>
              <w:bottom w:val="single" w:color="auto" w:sz="4" w:space="0"/>
              <w:right w:val="single" w:color="auto" w:sz="4" w:space="0"/>
            </w:tcBorders>
            <w:noWrap w:val="0"/>
            <w:vAlign w:val="center"/>
          </w:tcPr>
          <w:p w14:paraId="12EB560D">
            <w:pPr>
              <w:keepNext w:val="0"/>
              <w:keepLines w:val="0"/>
              <w:pageBreakBefore w:val="0"/>
              <w:kinsoku/>
              <w:wordWrap/>
              <w:overflowPunct/>
              <w:topLinePunct w:val="0"/>
              <w:autoSpaceDE/>
              <w:autoSpaceDN/>
              <w:bidi w:val="0"/>
              <w:spacing w:line="360" w:lineRule="auto"/>
              <w:ind w:right="19" w:rightChars="9"/>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其他未列明行业</w:t>
            </w:r>
          </w:p>
        </w:tc>
      </w:tr>
      <w:tr w14:paraId="72CCB90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07" w:hRule="atLeast"/>
          <w:jc w:val="center"/>
        </w:trPr>
        <w:tc>
          <w:tcPr>
            <w:tcW w:w="545" w:type="dxa"/>
            <w:tcBorders>
              <w:left w:val="single" w:color="auto" w:sz="4" w:space="0"/>
              <w:bottom w:val="single" w:color="auto" w:sz="4" w:space="0"/>
              <w:right w:val="single" w:color="auto" w:sz="4" w:space="0"/>
            </w:tcBorders>
            <w:noWrap w:val="0"/>
            <w:vAlign w:val="center"/>
          </w:tcPr>
          <w:p w14:paraId="660AE9D1">
            <w:pPr>
              <w:keepNext w:val="0"/>
              <w:keepLines w:val="0"/>
              <w:pageBreakBefore w:val="0"/>
              <w:kinsoku/>
              <w:wordWrap/>
              <w:overflowPunct/>
              <w:topLinePunct w:val="0"/>
              <w:autoSpaceDE/>
              <w:autoSpaceDN/>
              <w:bidi w:val="0"/>
              <w:spacing w:line="360" w:lineRule="auto"/>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3</w:t>
            </w:r>
          </w:p>
        </w:tc>
        <w:tc>
          <w:tcPr>
            <w:tcW w:w="739" w:type="dxa"/>
            <w:tcBorders>
              <w:left w:val="single" w:color="auto" w:sz="4" w:space="0"/>
              <w:bottom w:val="single" w:color="auto" w:sz="4" w:space="0"/>
              <w:right w:val="single" w:color="auto" w:sz="4" w:space="0"/>
            </w:tcBorders>
            <w:noWrap w:val="0"/>
            <w:vAlign w:val="center"/>
          </w:tcPr>
          <w:p w14:paraId="063BC637">
            <w:pPr>
              <w:keepNext w:val="0"/>
              <w:keepLines w:val="0"/>
              <w:pageBreakBefore w:val="0"/>
              <w:kinsoku/>
              <w:wordWrap/>
              <w:overflowPunct/>
              <w:topLinePunct w:val="0"/>
              <w:autoSpaceDE/>
              <w:autoSpaceDN/>
              <w:bidi w:val="0"/>
              <w:spacing w:line="360" w:lineRule="auto"/>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成果提炼及应用推广</w:t>
            </w:r>
          </w:p>
        </w:tc>
        <w:tc>
          <w:tcPr>
            <w:tcW w:w="717" w:type="dxa"/>
            <w:tcBorders>
              <w:top w:val="single" w:color="auto" w:sz="4" w:space="0"/>
              <w:left w:val="single" w:color="auto" w:sz="4" w:space="0"/>
              <w:bottom w:val="single" w:color="auto" w:sz="4" w:space="0"/>
              <w:right w:val="single" w:color="auto" w:sz="4" w:space="0"/>
            </w:tcBorders>
            <w:noWrap w:val="0"/>
            <w:vAlign w:val="center"/>
          </w:tcPr>
          <w:p w14:paraId="3CF1FF41">
            <w:pPr>
              <w:keepNext w:val="0"/>
              <w:keepLines w:val="0"/>
              <w:pageBreakBefore w:val="0"/>
              <w:kinsoku/>
              <w:wordWrap/>
              <w:overflowPunct/>
              <w:topLinePunct w:val="0"/>
              <w:autoSpaceDE/>
              <w:autoSpaceDN/>
              <w:bidi w:val="0"/>
              <w:spacing w:line="360" w:lineRule="auto"/>
              <w:jc w:val="center"/>
              <w:textAlignment w:val="auto"/>
              <w:rPr>
                <w:rFonts w:hint="eastAsia"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指导</w:t>
            </w:r>
            <w:r>
              <w:rPr>
                <w:rFonts w:hint="eastAsia" w:ascii="宋体" w:hAnsi="宋体" w:eastAsia="宋体" w:cs="宋体"/>
                <w:color w:val="auto"/>
                <w:sz w:val="21"/>
                <w:szCs w:val="21"/>
                <w:highlight w:val="none"/>
              </w:rPr>
              <w:t>教学成果2项</w:t>
            </w:r>
            <w:r>
              <w:rPr>
                <w:rFonts w:hint="eastAsia" w:ascii="宋体" w:hAnsi="宋体" w:cs="宋体"/>
                <w:color w:val="auto"/>
                <w:sz w:val="21"/>
                <w:szCs w:val="21"/>
                <w:highlight w:val="none"/>
                <w:lang w:eastAsia="zh-CN"/>
              </w:rPr>
              <w:t>，</w:t>
            </w:r>
            <w:r>
              <w:rPr>
                <w:rFonts w:hint="eastAsia" w:ascii="宋体" w:hAnsi="宋体" w:cs="宋体"/>
                <w:color w:val="auto"/>
                <w:sz w:val="21"/>
                <w:szCs w:val="21"/>
                <w:highlight w:val="none"/>
                <w:lang w:val="en-US" w:eastAsia="zh-CN"/>
              </w:rPr>
              <w:t>指导撰写</w:t>
            </w:r>
            <w:r>
              <w:rPr>
                <w:rFonts w:hint="eastAsia" w:ascii="宋体" w:hAnsi="宋体" w:eastAsia="宋体" w:cs="宋体"/>
                <w:color w:val="auto"/>
                <w:sz w:val="21"/>
                <w:szCs w:val="21"/>
                <w:highlight w:val="none"/>
              </w:rPr>
              <w:t>广西职业教育教学改革项目2项</w:t>
            </w:r>
            <w:r>
              <w:rPr>
                <w:rFonts w:hint="eastAsia" w:ascii="宋体" w:hAnsi="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指导申报知识产权</w:t>
            </w:r>
            <w:r>
              <w:rPr>
                <w:rFonts w:hint="eastAsia" w:ascii="宋体" w:hAnsi="宋体" w:cs="宋体"/>
                <w:color w:val="auto"/>
                <w:sz w:val="21"/>
                <w:szCs w:val="21"/>
                <w:highlight w:val="none"/>
                <w:lang w:val="en-US" w:eastAsia="zh-CN"/>
              </w:rPr>
              <w:t>，指导撰写</w:t>
            </w:r>
            <w:r>
              <w:rPr>
                <w:rFonts w:hint="eastAsia" w:ascii="宋体" w:hAnsi="宋体" w:eastAsia="宋体" w:cs="宋体"/>
                <w:color w:val="auto"/>
                <w:sz w:val="21"/>
                <w:szCs w:val="21"/>
                <w:highlight w:val="none"/>
              </w:rPr>
              <w:t>学术论文</w:t>
            </w:r>
          </w:p>
        </w:tc>
        <w:tc>
          <w:tcPr>
            <w:tcW w:w="5203" w:type="dxa"/>
            <w:tcBorders>
              <w:top w:val="single" w:color="auto" w:sz="4" w:space="0"/>
              <w:left w:val="single" w:color="auto" w:sz="4" w:space="0"/>
              <w:bottom w:val="single" w:color="auto" w:sz="4" w:space="0"/>
              <w:right w:val="single" w:color="auto" w:sz="4" w:space="0"/>
            </w:tcBorders>
            <w:noWrap w:val="0"/>
            <w:vAlign w:val="center"/>
          </w:tcPr>
          <w:p w14:paraId="3CCE6832">
            <w:pPr>
              <w:keepNext w:val="0"/>
              <w:keepLines w:val="0"/>
              <w:pageBreakBefore w:val="0"/>
              <w:kinsoku/>
              <w:wordWrap/>
              <w:overflowPunct/>
              <w:topLinePunct w:val="0"/>
              <w:autoSpaceDE/>
              <w:autoSpaceDN/>
              <w:bidi w:val="0"/>
              <w:spacing w:line="360" w:lineRule="auto"/>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提炼培育区级教学成果</w:t>
            </w:r>
            <w:r>
              <w:rPr>
                <w:rFonts w:hint="eastAsia" w:ascii="宋体" w:hAnsi="宋体" w:cs="宋体"/>
                <w:color w:val="auto"/>
                <w:sz w:val="21"/>
                <w:szCs w:val="21"/>
                <w:highlight w:val="none"/>
                <w:lang w:val="en-US" w:eastAsia="zh-CN"/>
              </w:rPr>
              <w:t>2项</w:t>
            </w:r>
            <w:r>
              <w:rPr>
                <w:rFonts w:hint="eastAsia" w:ascii="宋体" w:hAnsi="宋体" w:eastAsia="宋体" w:cs="宋体"/>
                <w:color w:val="auto"/>
                <w:sz w:val="21"/>
                <w:szCs w:val="21"/>
                <w:highlight w:val="none"/>
              </w:rPr>
              <w:t>；指导申报广西职业教育教学改革项目2项并立项。</w:t>
            </w:r>
          </w:p>
          <w:p w14:paraId="0E2CBA9E">
            <w:pPr>
              <w:keepNext w:val="0"/>
              <w:keepLines w:val="0"/>
              <w:pageBreakBefore w:val="0"/>
              <w:kinsoku/>
              <w:wordWrap/>
              <w:overflowPunct/>
              <w:topLinePunct w:val="0"/>
              <w:autoSpaceDE/>
              <w:autoSpaceDN/>
              <w:bidi w:val="0"/>
              <w:spacing w:line="360" w:lineRule="auto"/>
              <w:jc w:val="left"/>
              <w:textAlignment w:val="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一、服务内容</w:t>
            </w:r>
          </w:p>
          <w:p w14:paraId="71E97F7B">
            <w:pPr>
              <w:keepNext w:val="0"/>
              <w:keepLines w:val="0"/>
              <w:pageBreakBefore w:val="0"/>
              <w:kinsoku/>
              <w:wordWrap/>
              <w:overflowPunct/>
              <w:topLinePunct w:val="0"/>
              <w:autoSpaceDE/>
              <w:autoSpaceDN/>
              <w:bidi w:val="0"/>
              <w:spacing w:line="360" w:lineRule="auto"/>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1</w:t>
            </w:r>
            <w:r>
              <w:rPr>
                <w:rFonts w:hint="eastAsia" w:ascii="宋体" w:hAnsi="宋体" w:eastAsia="宋体" w:cs="宋体"/>
                <w:color w:val="auto"/>
                <w:sz w:val="21"/>
                <w:szCs w:val="21"/>
                <w:highlight w:val="none"/>
              </w:rPr>
              <w:t>.教学成果培育指导：培育 2 项区级教学成果，每项邀请一个正高级以上专家，全程指导申报。每个项目</w:t>
            </w:r>
            <w:r>
              <w:rPr>
                <w:rFonts w:hint="eastAsia" w:ascii="宋体" w:hAnsi="宋体" w:eastAsia="宋体" w:cs="宋体"/>
                <w:color w:val="auto"/>
                <w:sz w:val="21"/>
                <w:szCs w:val="21"/>
                <w:highlight w:val="none"/>
                <w:lang w:val="en-US" w:eastAsia="zh-CN"/>
              </w:rPr>
              <w:t>邀请专家进校</w:t>
            </w:r>
            <w:r>
              <w:rPr>
                <w:rFonts w:hint="eastAsia" w:ascii="宋体" w:hAnsi="宋体" w:eastAsia="宋体" w:cs="宋体"/>
                <w:color w:val="auto"/>
                <w:sz w:val="21"/>
                <w:szCs w:val="21"/>
                <w:highlight w:val="none"/>
              </w:rPr>
              <w:t>指导不少于10次</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组织3人以上指导小组并指导2次</w:t>
            </w:r>
            <w:r>
              <w:rPr>
                <w:rFonts w:hint="eastAsia" w:ascii="宋体" w:hAnsi="宋体" w:eastAsia="宋体" w:cs="宋体"/>
                <w:color w:val="auto"/>
                <w:sz w:val="21"/>
                <w:szCs w:val="21"/>
                <w:highlight w:val="none"/>
              </w:rPr>
              <w:t>。指导完成教学成果的提炼及申报材料的撰写工作。召开教学成果申报专家指导会议2次，每次不少于3位</w:t>
            </w:r>
            <w:r>
              <w:rPr>
                <w:rFonts w:hint="eastAsia" w:ascii="宋体" w:hAnsi="宋体" w:cs="宋体"/>
                <w:color w:val="auto"/>
                <w:sz w:val="21"/>
                <w:szCs w:val="21"/>
                <w:highlight w:val="none"/>
                <w:lang w:val="en-US" w:eastAsia="zh-CN"/>
              </w:rPr>
              <w:t>正高级</w:t>
            </w:r>
            <w:r>
              <w:rPr>
                <w:rFonts w:hint="eastAsia" w:ascii="宋体" w:hAnsi="宋体" w:eastAsia="宋体" w:cs="宋体"/>
                <w:color w:val="auto"/>
                <w:sz w:val="21"/>
                <w:szCs w:val="21"/>
                <w:highlight w:val="none"/>
              </w:rPr>
              <w:t>专家。</w:t>
            </w:r>
          </w:p>
          <w:p w14:paraId="4D2E5423">
            <w:pPr>
              <w:keepNext w:val="0"/>
              <w:keepLines w:val="0"/>
              <w:pageBreakBefore w:val="0"/>
              <w:kinsoku/>
              <w:wordWrap/>
              <w:overflowPunct/>
              <w:topLinePunct w:val="0"/>
              <w:autoSpaceDE/>
              <w:autoSpaceDN/>
              <w:bidi w:val="0"/>
              <w:spacing w:line="360" w:lineRule="auto"/>
              <w:jc w:val="left"/>
              <w:textAlignment w:val="auto"/>
              <w:rPr>
                <w:rFonts w:hint="eastAsia" w:ascii="宋体" w:hAnsi="宋体" w:eastAsia="宋体" w:cs="宋体"/>
                <w:color w:val="auto"/>
                <w:sz w:val="21"/>
                <w:szCs w:val="21"/>
                <w:highlight w:val="none"/>
              </w:rPr>
            </w:pPr>
            <w:r>
              <w:rPr>
                <w:rFonts w:hint="eastAsia" w:ascii="宋体" w:hAnsi="宋体" w:cs="宋体"/>
                <w:color w:val="auto"/>
                <w:sz w:val="21"/>
                <w:szCs w:val="21"/>
                <w:highlight w:val="none"/>
                <w:lang w:val="en-US" w:eastAsia="zh-CN"/>
              </w:rPr>
              <w:t>2</w:t>
            </w:r>
            <w:r>
              <w:rPr>
                <w:rFonts w:hint="eastAsia" w:ascii="宋体" w:hAnsi="宋体" w:eastAsia="宋体" w:cs="宋体"/>
                <w:color w:val="auto"/>
                <w:sz w:val="21"/>
                <w:szCs w:val="21"/>
                <w:highlight w:val="none"/>
              </w:rPr>
              <w:t>.课题申报培训与指导</w:t>
            </w:r>
            <w:r>
              <w:rPr>
                <w:rFonts w:hint="eastAsia" w:ascii="宋体" w:hAnsi="宋体" w:cs="宋体"/>
                <w:color w:val="auto"/>
                <w:sz w:val="21"/>
                <w:szCs w:val="21"/>
                <w:highlight w:val="none"/>
                <w:lang w:val="en-US" w:eastAsia="zh-CN"/>
              </w:rPr>
              <w:t>2项</w:t>
            </w:r>
            <w:r>
              <w:rPr>
                <w:rFonts w:hint="eastAsia" w:ascii="宋体" w:hAnsi="宋体" w:eastAsia="宋体" w:cs="宋体"/>
                <w:color w:val="auto"/>
                <w:sz w:val="21"/>
                <w:szCs w:val="21"/>
                <w:highlight w:val="none"/>
              </w:rPr>
              <w:t>：邀请 2-3 人次广西职业教育教学改革项目专家开展专项培训（线下培训 5 天、线上培训 10 天，具体时间由采购人确定）；同步指导 2 项课题的申报</w:t>
            </w:r>
            <w:r>
              <w:rPr>
                <w:rFonts w:hint="eastAsia" w:ascii="宋体" w:hAnsi="宋体" w:cs="宋体"/>
                <w:color w:val="auto"/>
                <w:sz w:val="21"/>
                <w:szCs w:val="21"/>
                <w:highlight w:val="none"/>
                <w:lang w:val="en-US" w:eastAsia="zh-CN"/>
              </w:rPr>
              <w:t>并立项</w:t>
            </w:r>
            <w:r>
              <w:rPr>
                <w:rFonts w:hint="eastAsia" w:ascii="宋体" w:hAnsi="宋体" w:eastAsia="宋体" w:cs="宋体"/>
                <w:color w:val="auto"/>
                <w:sz w:val="21"/>
                <w:szCs w:val="21"/>
                <w:highlight w:val="none"/>
              </w:rPr>
              <w:t>工作。</w:t>
            </w:r>
          </w:p>
          <w:p w14:paraId="2C883301">
            <w:pPr>
              <w:keepNext w:val="0"/>
              <w:keepLines w:val="0"/>
              <w:pageBreakBefore w:val="0"/>
              <w:kinsoku/>
              <w:wordWrap/>
              <w:overflowPunct/>
              <w:topLinePunct w:val="0"/>
              <w:autoSpaceDE/>
              <w:autoSpaceDN/>
              <w:bidi w:val="0"/>
              <w:spacing w:line="360" w:lineRule="auto"/>
              <w:jc w:val="left"/>
              <w:textAlignment w:val="auto"/>
              <w:rPr>
                <w:rFonts w:hint="eastAsia" w:ascii="宋体" w:hAnsi="宋体" w:eastAsia="宋体" w:cs="宋体"/>
                <w:color w:val="auto"/>
                <w:sz w:val="21"/>
                <w:szCs w:val="21"/>
                <w:highlight w:val="none"/>
              </w:rPr>
            </w:pPr>
            <w:r>
              <w:rPr>
                <w:rFonts w:hint="eastAsia" w:ascii="宋体" w:hAnsi="宋体" w:cs="宋体"/>
                <w:color w:val="auto"/>
                <w:sz w:val="21"/>
                <w:szCs w:val="21"/>
                <w:highlight w:val="none"/>
                <w:lang w:val="en-US" w:eastAsia="zh-CN"/>
              </w:rPr>
              <w:t>3</w:t>
            </w:r>
            <w:r>
              <w:rPr>
                <w:rFonts w:hint="eastAsia" w:ascii="宋体" w:hAnsi="宋体" w:eastAsia="宋体" w:cs="宋体"/>
                <w:color w:val="auto"/>
                <w:sz w:val="21"/>
                <w:szCs w:val="21"/>
                <w:highlight w:val="none"/>
              </w:rPr>
              <w:t>.知识产权申报指导：指导撰写外观专利、软件著作权等各类知识产权申报材料 10 项，中标方承担相关申报费及证书费。</w:t>
            </w:r>
          </w:p>
          <w:p w14:paraId="0ACC3A72">
            <w:pPr>
              <w:keepNext w:val="0"/>
              <w:keepLines w:val="0"/>
              <w:pageBreakBefore w:val="0"/>
              <w:kinsoku/>
              <w:wordWrap/>
              <w:overflowPunct/>
              <w:topLinePunct w:val="0"/>
              <w:autoSpaceDE/>
              <w:autoSpaceDN/>
              <w:bidi w:val="0"/>
              <w:spacing w:line="360" w:lineRule="auto"/>
              <w:jc w:val="left"/>
              <w:textAlignment w:val="auto"/>
              <w:rPr>
                <w:rFonts w:hint="eastAsia" w:ascii="宋体" w:hAnsi="宋体" w:eastAsia="宋体" w:cs="宋体"/>
                <w:color w:val="auto"/>
                <w:sz w:val="21"/>
                <w:szCs w:val="21"/>
                <w:highlight w:val="none"/>
              </w:rPr>
            </w:pPr>
            <w:r>
              <w:rPr>
                <w:rFonts w:hint="eastAsia" w:ascii="宋体" w:hAnsi="宋体" w:cs="宋体"/>
                <w:color w:val="auto"/>
                <w:sz w:val="21"/>
                <w:szCs w:val="21"/>
                <w:highlight w:val="none"/>
                <w:lang w:val="en-US" w:eastAsia="zh-CN"/>
              </w:rPr>
              <w:t>4</w:t>
            </w:r>
            <w:r>
              <w:rPr>
                <w:rFonts w:hint="eastAsia" w:ascii="宋体" w:hAnsi="宋体" w:eastAsia="宋体" w:cs="宋体"/>
                <w:color w:val="auto"/>
                <w:sz w:val="21"/>
                <w:szCs w:val="21"/>
                <w:highlight w:val="none"/>
              </w:rPr>
              <w:t xml:space="preserve">.学术论文撰写指导：指导完成 </w:t>
            </w:r>
            <w:r>
              <w:rPr>
                <w:rFonts w:hint="eastAsia" w:ascii="宋体" w:hAnsi="宋体" w:cs="宋体"/>
                <w:color w:val="auto"/>
                <w:sz w:val="21"/>
                <w:szCs w:val="21"/>
                <w:highlight w:val="none"/>
                <w:lang w:val="en-US" w:eastAsia="zh-CN"/>
              </w:rPr>
              <w:t>8</w:t>
            </w:r>
            <w:r>
              <w:rPr>
                <w:rFonts w:hint="eastAsia" w:ascii="宋体" w:hAnsi="宋体" w:eastAsia="宋体" w:cs="宋体"/>
                <w:color w:val="auto"/>
                <w:sz w:val="21"/>
                <w:szCs w:val="21"/>
                <w:highlight w:val="none"/>
              </w:rPr>
              <w:t xml:space="preserve"> 篇知网收录学术论文撰写，论文题目由采购人拟定，需满足查重率和AI率均低于 10% 且可在知网检索。中标方承担版面费。</w:t>
            </w:r>
          </w:p>
          <w:p w14:paraId="5F6922EB">
            <w:pPr>
              <w:keepNext w:val="0"/>
              <w:keepLines w:val="0"/>
              <w:pageBreakBefore w:val="0"/>
              <w:kinsoku/>
              <w:wordWrap/>
              <w:overflowPunct/>
              <w:topLinePunct w:val="0"/>
              <w:autoSpaceDE/>
              <w:autoSpaceDN/>
              <w:bidi w:val="0"/>
              <w:spacing w:line="360" w:lineRule="auto"/>
              <w:jc w:val="left"/>
              <w:textAlignment w:val="auto"/>
              <w:rPr>
                <w:rFonts w:hint="default"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5</w:t>
            </w:r>
            <w:r>
              <w:rPr>
                <w:rFonts w:hint="eastAsia" w:ascii="宋体" w:hAnsi="宋体" w:eastAsia="宋体" w:cs="宋体"/>
                <w:color w:val="auto"/>
                <w:sz w:val="21"/>
                <w:szCs w:val="21"/>
                <w:highlight w:val="none"/>
                <w:lang w:val="en-US" w:eastAsia="zh-CN"/>
              </w:rPr>
              <w:t>.在期刊宣传推广学校</w:t>
            </w:r>
            <w:r>
              <w:rPr>
                <w:rFonts w:hint="eastAsia" w:ascii="宋体" w:hAnsi="宋体" w:cs="宋体"/>
                <w:color w:val="auto"/>
                <w:sz w:val="21"/>
                <w:szCs w:val="21"/>
                <w:highlight w:val="none"/>
                <w:lang w:val="en-US" w:eastAsia="zh-CN"/>
              </w:rPr>
              <w:t>2</w:t>
            </w:r>
            <w:r>
              <w:rPr>
                <w:rFonts w:hint="eastAsia" w:ascii="宋体" w:hAnsi="宋体" w:eastAsia="宋体" w:cs="宋体"/>
                <w:color w:val="auto"/>
                <w:sz w:val="21"/>
                <w:szCs w:val="21"/>
                <w:highlight w:val="none"/>
                <w:lang w:val="en-US" w:eastAsia="zh-CN"/>
              </w:rPr>
              <w:t>次。中标方承担费用。</w:t>
            </w:r>
          </w:p>
          <w:p w14:paraId="268BEAEE">
            <w:pPr>
              <w:keepNext w:val="0"/>
              <w:keepLines w:val="0"/>
              <w:pageBreakBefore w:val="0"/>
              <w:kinsoku/>
              <w:wordWrap/>
              <w:overflowPunct/>
              <w:topLinePunct w:val="0"/>
              <w:autoSpaceDE/>
              <w:autoSpaceDN/>
              <w:bidi w:val="0"/>
              <w:spacing w:line="360" w:lineRule="auto"/>
              <w:jc w:val="left"/>
              <w:textAlignment w:val="auto"/>
              <w:rPr>
                <w:rFonts w:hint="eastAsia" w:ascii="宋体" w:hAnsi="宋体" w:cs="宋体"/>
                <w:b/>
                <w:bCs/>
                <w:color w:val="auto"/>
                <w:sz w:val="21"/>
                <w:szCs w:val="21"/>
                <w:highlight w:val="none"/>
                <w:lang w:val="en-US" w:eastAsia="zh-CN"/>
              </w:rPr>
            </w:pPr>
            <w:r>
              <w:rPr>
                <w:rFonts w:hint="eastAsia" w:ascii="宋体" w:hAnsi="宋体" w:cs="宋体"/>
                <w:color w:val="auto"/>
                <w:sz w:val="21"/>
                <w:szCs w:val="21"/>
                <w:highlight w:val="none"/>
                <w:lang w:val="en-US" w:eastAsia="zh-CN"/>
              </w:rPr>
              <w:t>6.</w:t>
            </w:r>
            <w:r>
              <w:rPr>
                <w:rFonts w:hint="eastAsia" w:ascii="宋体" w:hAnsi="宋体" w:cs="宋体"/>
                <w:b/>
                <w:bCs/>
                <w:color w:val="auto"/>
                <w:sz w:val="21"/>
                <w:szCs w:val="21"/>
                <w:highlight w:val="none"/>
                <w:lang w:val="en-US" w:eastAsia="zh-CN"/>
              </w:rPr>
              <w:t>线上培训（40学时，45分钟/学时）</w:t>
            </w:r>
          </w:p>
          <w:p w14:paraId="15575FFB">
            <w:pPr>
              <w:keepNext w:val="0"/>
              <w:keepLines w:val="0"/>
              <w:pageBreakBefore w:val="0"/>
              <w:kinsoku/>
              <w:wordWrap/>
              <w:overflowPunct/>
              <w:topLinePunct w:val="0"/>
              <w:autoSpaceDE/>
              <w:autoSpaceDN/>
              <w:bidi w:val="0"/>
              <w:spacing w:line="360" w:lineRule="auto"/>
              <w:jc w:val="left"/>
              <w:textAlignment w:val="auto"/>
              <w:rPr>
                <w:rFonts w:hint="eastAsia" w:ascii="宋体" w:hAnsi="宋体" w:cs="宋体"/>
                <w:b w:val="0"/>
                <w:bCs w:val="0"/>
                <w:color w:val="auto"/>
                <w:sz w:val="21"/>
                <w:szCs w:val="21"/>
                <w:highlight w:val="none"/>
                <w:lang w:val="en-US" w:eastAsia="zh-CN"/>
              </w:rPr>
            </w:pPr>
            <w:r>
              <w:rPr>
                <w:rFonts w:hint="eastAsia" w:ascii="宋体" w:hAnsi="宋体" w:cs="宋体"/>
                <w:b w:val="0"/>
                <w:bCs w:val="0"/>
                <w:color w:val="auto"/>
                <w:sz w:val="21"/>
                <w:szCs w:val="21"/>
                <w:highlight w:val="none"/>
                <w:lang w:val="en-US" w:eastAsia="zh-CN"/>
              </w:rPr>
              <w:t>（1）组织20名管理人员及骨干教师线上学习政策趋势与前沿动态、教学研究方法与策略、教研教改项目培育、教学成果奖培育与凝练、教学成果奖申报经验分享等相关内容，要求线上培训时间不少于1800分钟</w:t>
            </w:r>
            <w:r>
              <w:rPr>
                <w:rFonts w:hint="eastAsia" w:ascii="宋体" w:hAnsi="宋体" w:cs="宋体"/>
                <w:b/>
                <w:bCs/>
                <w:color w:val="auto"/>
                <w:sz w:val="21"/>
                <w:szCs w:val="21"/>
                <w:highlight w:val="none"/>
                <w:lang w:val="en-US" w:eastAsia="zh-CN"/>
              </w:rPr>
              <w:t>（40学时，45分钟/学时）</w:t>
            </w:r>
            <w:r>
              <w:rPr>
                <w:rFonts w:hint="eastAsia" w:ascii="宋体" w:hAnsi="宋体" w:cs="宋体"/>
                <w:b w:val="0"/>
                <w:bCs w:val="0"/>
                <w:color w:val="auto"/>
                <w:sz w:val="21"/>
                <w:szCs w:val="21"/>
                <w:highlight w:val="none"/>
                <w:lang w:val="en-US" w:eastAsia="zh-CN"/>
              </w:rPr>
              <w:t>；</w:t>
            </w:r>
          </w:p>
          <w:p w14:paraId="7F252657">
            <w:pPr>
              <w:keepNext w:val="0"/>
              <w:keepLines w:val="0"/>
              <w:pageBreakBefore w:val="0"/>
              <w:kinsoku/>
              <w:wordWrap/>
              <w:overflowPunct/>
              <w:topLinePunct w:val="0"/>
              <w:autoSpaceDE/>
              <w:autoSpaceDN/>
              <w:bidi w:val="0"/>
              <w:spacing w:line="360" w:lineRule="auto"/>
              <w:jc w:val="left"/>
              <w:textAlignment w:val="auto"/>
              <w:rPr>
                <w:rFonts w:hint="default" w:ascii="宋体" w:hAnsi="宋体" w:cs="宋体"/>
                <w:b w:val="0"/>
                <w:bCs w:val="0"/>
                <w:color w:val="auto"/>
                <w:sz w:val="21"/>
                <w:szCs w:val="21"/>
                <w:highlight w:val="none"/>
                <w:lang w:val="en-US" w:eastAsia="zh-CN"/>
              </w:rPr>
            </w:pPr>
            <w:r>
              <w:rPr>
                <w:rFonts w:hint="eastAsia" w:ascii="宋体" w:hAnsi="宋体" w:cs="宋体"/>
                <w:b w:val="0"/>
                <w:bCs w:val="0"/>
                <w:color w:val="auto"/>
                <w:sz w:val="21"/>
                <w:szCs w:val="21"/>
                <w:highlight w:val="none"/>
                <w:lang w:val="en-US" w:eastAsia="zh-CN"/>
              </w:rPr>
              <w:t>（2）学习</w:t>
            </w:r>
            <w:r>
              <w:rPr>
                <w:rFonts w:hint="eastAsia" w:ascii="宋体" w:hAnsi="宋体" w:cs="宋体"/>
                <w:b w:val="0"/>
                <w:bCs w:val="0"/>
                <w:color w:val="auto"/>
                <w:sz w:val="21"/>
                <w:szCs w:val="21"/>
                <w:highlight w:val="none"/>
                <w:lang w:eastAsia="zh-CN"/>
              </w:rPr>
              <w:t>后提供继续教育承认的培训学时及培训证书。</w:t>
            </w:r>
          </w:p>
          <w:p w14:paraId="5755B8C9">
            <w:pPr>
              <w:keepNext w:val="0"/>
              <w:keepLines w:val="0"/>
              <w:pageBreakBefore w:val="0"/>
              <w:kinsoku/>
              <w:wordWrap/>
              <w:overflowPunct/>
              <w:topLinePunct w:val="0"/>
              <w:autoSpaceDE/>
              <w:autoSpaceDN/>
              <w:bidi w:val="0"/>
              <w:spacing w:line="360" w:lineRule="auto"/>
              <w:jc w:val="left"/>
              <w:textAlignment w:val="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二、服务要求</w:t>
            </w:r>
          </w:p>
          <w:p w14:paraId="328303DB">
            <w:pPr>
              <w:keepNext w:val="0"/>
              <w:keepLines w:val="0"/>
              <w:pageBreakBefore w:val="0"/>
              <w:kinsoku/>
              <w:wordWrap/>
              <w:overflowPunct/>
              <w:topLinePunct w:val="0"/>
              <w:autoSpaceDE/>
              <w:autoSpaceDN/>
              <w:bidi w:val="0"/>
              <w:spacing w:line="360" w:lineRule="auto"/>
              <w:jc w:val="left"/>
              <w:textAlignment w:val="auto"/>
              <w:rPr>
                <w:rFonts w:hint="eastAsia" w:ascii="宋体" w:hAnsi="宋体" w:eastAsia="宋体" w:cs="宋体"/>
                <w:color w:val="auto"/>
                <w:sz w:val="21"/>
                <w:szCs w:val="21"/>
                <w:highlight w:val="none"/>
              </w:rPr>
            </w:pPr>
            <w:r>
              <w:rPr>
                <w:rFonts w:hint="eastAsia" w:ascii="宋体" w:hAnsi="宋体" w:cs="宋体"/>
                <w:color w:val="auto"/>
                <w:sz w:val="21"/>
                <w:szCs w:val="21"/>
                <w:highlight w:val="none"/>
                <w:lang w:val="en-US" w:eastAsia="zh-CN"/>
              </w:rPr>
              <w:t>1</w:t>
            </w:r>
            <w:r>
              <w:rPr>
                <w:rFonts w:hint="eastAsia" w:ascii="宋体" w:hAnsi="宋体" w:eastAsia="宋体" w:cs="宋体"/>
                <w:color w:val="auto"/>
                <w:sz w:val="21"/>
                <w:szCs w:val="21"/>
                <w:highlight w:val="none"/>
              </w:rPr>
              <w:t>.课题专属指导</w:t>
            </w:r>
            <w:r>
              <w:rPr>
                <w:rFonts w:hint="eastAsia" w:ascii="宋体" w:hAnsi="宋体" w:cs="宋体"/>
                <w:color w:val="auto"/>
                <w:sz w:val="21"/>
                <w:szCs w:val="21"/>
                <w:highlight w:val="none"/>
                <w:lang w:eastAsia="zh-CN"/>
              </w:rPr>
              <w:t>：</w:t>
            </w:r>
            <w:r>
              <w:rPr>
                <w:rFonts w:hint="eastAsia" w:ascii="宋体" w:hAnsi="宋体" w:eastAsia="宋体" w:cs="宋体"/>
                <w:color w:val="auto"/>
                <w:sz w:val="21"/>
                <w:szCs w:val="21"/>
                <w:highlight w:val="none"/>
              </w:rPr>
              <w:t>每个课题项目至少配备1名正高级职称省级课题评审专家，提供全程指导。</w:t>
            </w:r>
          </w:p>
          <w:p w14:paraId="78DBC26A">
            <w:pPr>
              <w:keepNext w:val="0"/>
              <w:keepLines w:val="0"/>
              <w:pageBreakBefore w:val="0"/>
              <w:kinsoku/>
              <w:wordWrap/>
              <w:overflowPunct/>
              <w:topLinePunct w:val="0"/>
              <w:autoSpaceDE/>
              <w:autoSpaceDN/>
              <w:bidi w:val="0"/>
              <w:spacing w:line="360" w:lineRule="auto"/>
              <w:jc w:val="left"/>
              <w:textAlignment w:val="auto"/>
              <w:rPr>
                <w:rFonts w:hint="eastAsia" w:ascii="宋体" w:hAnsi="宋体" w:eastAsia="宋体" w:cs="宋体"/>
                <w:color w:val="auto"/>
                <w:sz w:val="21"/>
                <w:szCs w:val="21"/>
                <w:highlight w:val="none"/>
              </w:rPr>
            </w:pPr>
            <w:r>
              <w:rPr>
                <w:rFonts w:hint="eastAsia" w:ascii="宋体" w:hAnsi="宋体" w:cs="宋体"/>
                <w:color w:val="auto"/>
                <w:sz w:val="21"/>
                <w:szCs w:val="21"/>
                <w:highlight w:val="none"/>
                <w:lang w:val="en-US" w:eastAsia="zh-CN"/>
              </w:rPr>
              <w:t>2</w:t>
            </w:r>
            <w:r>
              <w:rPr>
                <w:rFonts w:hint="eastAsia" w:ascii="宋体" w:hAnsi="宋体" w:eastAsia="宋体" w:cs="宋体"/>
                <w:color w:val="auto"/>
                <w:sz w:val="21"/>
                <w:szCs w:val="21"/>
                <w:highlight w:val="none"/>
              </w:rPr>
              <w:t>.教学成果专属指导</w:t>
            </w:r>
            <w:r>
              <w:rPr>
                <w:rFonts w:hint="eastAsia" w:ascii="宋体" w:hAnsi="宋体" w:cs="宋体"/>
                <w:color w:val="auto"/>
                <w:sz w:val="21"/>
                <w:szCs w:val="21"/>
                <w:highlight w:val="none"/>
                <w:lang w:eastAsia="zh-CN"/>
              </w:rPr>
              <w:t>：</w:t>
            </w:r>
            <w:r>
              <w:rPr>
                <w:rFonts w:hint="eastAsia" w:ascii="宋体" w:hAnsi="宋体" w:eastAsia="宋体" w:cs="宋体"/>
                <w:color w:val="auto"/>
                <w:sz w:val="21"/>
                <w:szCs w:val="21"/>
                <w:highlight w:val="none"/>
              </w:rPr>
              <w:t>配备1名正高级职称省级教学成果评审专家，</w:t>
            </w:r>
            <w:r>
              <w:rPr>
                <w:rFonts w:hint="eastAsia" w:ascii="宋体" w:hAnsi="宋体" w:cs="宋体"/>
                <w:color w:val="auto"/>
                <w:sz w:val="21"/>
                <w:szCs w:val="21"/>
                <w:highlight w:val="none"/>
                <w:lang w:val="en-US" w:eastAsia="zh-CN"/>
              </w:rPr>
              <w:t>并且主持获得国家级教学成果二等奖以上或主持获得省级教学成果一等奖以上，</w:t>
            </w:r>
            <w:r>
              <w:rPr>
                <w:rFonts w:hint="eastAsia" w:ascii="宋体" w:hAnsi="宋体" w:eastAsia="宋体" w:cs="宋体"/>
                <w:color w:val="auto"/>
                <w:sz w:val="21"/>
                <w:szCs w:val="21"/>
                <w:highlight w:val="none"/>
              </w:rPr>
              <w:t>提供全程指导。</w:t>
            </w:r>
          </w:p>
          <w:p w14:paraId="538C38D8">
            <w:pPr>
              <w:keepNext w:val="0"/>
              <w:keepLines w:val="0"/>
              <w:pageBreakBefore w:val="0"/>
              <w:kinsoku/>
              <w:wordWrap/>
              <w:overflowPunct/>
              <w:topLinePunct w:val="0"/>
              <w:autoSpaceDE/>
              <w:autoSpaceDN/>
              <w:bidi w:val="0"/>
              <w:spacing w:line="360" w:lineRule="auto"/>
              <w:jc w:val="left"/>
              <w:textAlignment w:val="auto"/>
              <w:rPr>
                <w:rFonts w:hint="eastAsia"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3</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指导申报，并获</w:t>
            </w:r>
            <w:r>
              <w:rPr>
                <w:rFonts w:hint="eastAsia" w:ascii="宋体" w:hAnsi="宋体" w:eastAsia="宋体" w:cs="宋体"/>
                <w:color w:val="auto"/>
                <w:sz w:val="21"/>
                <w:szCs w:val="21"/>
                <w:highlight w:val="none"/>
              </w:rPr>
              <w:t>知识产权</w:t>
            </w:r>
            <w:r>
              <w:rPr>
                <w:rFonts w:hint="eastAsia" w:ascii="宋体" w:hAnsi="宋体" w:eastAsia="宋体" w:cs="宋体"/>
                <w:color w:val="auto"/>
                <w:sz w:val="21"/>
                <w:szCs w:val="21"/>
                <w:highlight w:val="none"/>
                <w:lang w:val="en-US" w:eastAsia="zh-CN"/>
              </w:rPr>
              <w:t>授权10项；</w:t>
            </w:r>
          </w:p>
          <w:p w14:paraId="2E51BE76">
            <w:pPr>
              <w:keepNext w:val="0"/>
              <w:keepLines w:val="0"/>
              <w:pageBreakBefore w:val="0"/>
              <w:kinsoku/>
              <w:wordWrap/>
              <w:overflowPunct/>
              <w:topLinePunct w:val="0"/>
              <w:autoSpaceDE/>
              <w:autoSpaceDN/>
              <w:bidi w:val="0"/>
              <w:spacing w:line="360" w:lineRule="auto"/>
              <w:jc w:val="left"/>
              <w:textAlignment w:val="auto"/>
              <w:rPr>
                <w:rFonts w:hint="eastAsia"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4</w:t>
            </w:r>
            <w:r>
              <w:rPr>
                <w:rFonts w:hint="eastAsia" w:ascii="宋体" w:hAnsi="宋体" w:eastAsia="宋体" w:cs="宋体"/>
                <w:color w:val="auto"/>
                <w:sz w:val="21"/>
                <w:szCs w:val="21"/>
                <w:highlight w:val="none"/>
                <w:lang w:val="en-US" w:eastAsia="zh-CN"/>
              </w:rPr>
              <w:t>.指导</w:t>
            </w:r>
            <w:r>
              <w:rPr>
                <w:rFonts w:hint="eastAsia" w:ascii="宋体" w:hAnsi="宋体" w:cs="宋体"/>
                <w:color w:val="auto"/>
                <w:sz w:val="21"/>
                <w:szCs w:val="21"/>
                <w:highlight w:val="none"/>
                <w:lang w:val="en-US" w:eastAsia="zh-CN"/>
              </w:rPr>
              <w:t>撰写、</w:t>
            </w:r>
            <w:r>
              <w:rPr>
                <w:rFonts w:hint="eastAsia" w:ascii="宋体" w:hAnsi="宋体" w:eastAsia="宋体" w:cs="宋体"/>
                <w:color w:val="auto"/>
                <w:sz w:val="21"/>
                <w:szCs w:val="21"/>
                <w:highlight w:val="none"/>
                <w:lang w:val="en-US" w:eastAsia="zh-CN"/>
              </w:rPr>
              <w:t>修改并发表</w:t>
            </w:r>
            <w:r>
              <w:rPr>
                <w:rFonts w:hint="eastAsia" w:ascii="宋体" w:hAnsi="宋体" w:eastAsia="宋体" w:cs="宋体"/>
                <w:color w:val="auto"/>
                <w:sz w:val="21"/>
                <w:szCs w:val="21"/>
                <w:highlight w:val="none"/>
              </w:rPr>
              <w:t>论文</w:t>
            </w:r>
            <w:r>
              <w:rPr>
                <w:rFonts w:hint="eastAsia" w:ascii="宋体" w:hAnsi="宋体" w:eastAsia="宋体" w:cs="宋体"/>
                <w:color w:val="auto"/>
                <w:sz w:val="21"/>
                <w:szCs w:val="21"/>
                <w:highlight w:val="none"/>
                <w:lang w:val="en-US" w:eastAsia="zh-CN"/>
              </w:rPr>
              <w:t>8篇；</w:t>
            </w:r>
          </w:p>
          <w:p w14:paraId="6478A385">
            <w:pPr>
              <w:keepNext w:val="0"/>
              <w:keepLines w:val="0"/>
              <w:pageBreakBefore w:val="0"/>
              <w:kinsoku/>
              <w:wordWrap/>
              <w:overflowPunct/>
              <w:topLinePunct w:val="0"/>
              <w:autoSpaceDE/>
              <w:autoSpaceDN/>
              <w:bidi w:val="0"/>
              <w:spacing w:line="360" w:lineRule="auto"/>
              <w:jc w:val="left"/>
              <w:textAlignment w:val="auto"/>
              <w:rPr>
                <w:rFonts w:hint="default" w:ascii="宋体" w:hAnsi="宋体" w:eastAsia="宋体" w:cs="宋体"/>
                <w:color w:val="auto"/>
                <w:sz w:val="21"/>
                <w:szCs w:val="21"/>
                <w:highlight w:val="none"/>
                <w:lang w:val="en-US"/>
              </w:rPr>
            </w:pPr>
            <w:r>
              <w:rPr>
                <w:rFonts w:hint="eastAsia" w:ascii="宋体" w:hAnsi="宋体" w:cs="宋体"/>
                <w:color w:val="auto"/>
                <w:sz w:val="21"/>
                <w:szCs w:val="21"/>
                <w:highlight w:val="none"/>
                <w:lang w:val="en-US" w:eastAsia="zh-CN"/>
              </w:rPr>
              <w:t>5</w:t>
            </w:r>
            <w:r>
              <w:rPr>
                <w:rFonts w:hint="eastAsia" w:ascii="宋体" w:hAnsi="宋体" w:eastAsia="宋体" w:cs="宋体"/>
                <w:color w:val="auto"/>
                <w:sz w:val="21"/>
                <w:szCs w:val="21"/>
                <w:highlight w:val="none"/>
                <w:lang w:val="en-US" w:eastAsia="zh-CN"/>
              </w:rPr>
              <w:t>.在期刊推广宣传学校</w:t>
            </w:r>
            <w:r>
              <w:rPr>
                <w:rFonts w:hint="eastAsia" w:ascii="宋体" w:hAnsi="宋体" w:cs="宋体"/>
                <w:color w:val="auto"/>
                <w:sz w:val="21"/>
                <w:szCs w:val="21"/>
                <w:highlight w:val="none"/>
                <w:lang w:val="en-US" w:eastAsia="zh-CN"/>
              </w:rPr>
              <w:t>2</w:t>
            </w:r>
            <w:r>
              <w:rPr>
                <w:rFonts w:hint="eastAsia" w:ascii="宋体" w:hAnsi="宋体" w:eastAsia="宋体" w:cs="宋体"/>
                <w:color w:val="auto"/>
                <w:sz w:val="21"/>
                <w:szCs w:val="21"/>
                <w:highlight w:val="none"/>
                <w:lang w:val="en-US" w:eastAsia="zh-CN"/>
              </w:rPr>
              <w:t>次</w:t>
            </w:r>
            <w:r>
              <w:rPr>
                <w:rFonts w:hint="eastAsia" w:ascii="宋体" w:hAnsi="宋体" w:cs="宋体"/>
                <w:color w:val="auto"/>
                <w:sz w:val="21"/>
                <w:szCs w:val="21"/>
                <w:highlight w:val="none"/>
                <w:lang w:val="en-US" w:eastAsia="zh-CN"/>
              </w:rPr>
              <w:t>，要求不少于2个版面，其中一个是期刊封面</w:t>
            </w:r>
            <w:r>
              <w:rPr>
                <w:rFonts w:hint="eastAsia" w:ascii="宋体" w:hAnsi="宋体" w:eastAsia="宋体" w:cs="宋体"/>
                <w:color w:val="auto"/>
                <w:sz w:val="21"/>
                <w:szCs w:val="21"/>
                <w:highlight w:val="none"/>
                <w:lang w:val="en-US" w:eastAsia="zh-CN"/>
              </w:rPr>
              <w:t>。</w:t>
            </w:r>
            <w:r>
              <w:rPr>
                <w:rFonts w:hint="eastAsia" w:ascii="宋体" w:hAnsi="宋体" w:cs="宋体"/>
                <w:color w:val="auto"/>
                <w:sz w:val="21"/>
                <w:szCs w:val="21"/>
                <w:highlight w:val="none"/>
                <w:lang w:val="en-US" w:eastAsia="zh-CN"/>
              </w:rPr>
              <w:t>提供100本样书。</w:t>
            </w:r>
          </w:p>
          <w:p w14:paraId="40C5FACA">
            <w:pPr>
              <w:keepNext w:val="0"/>
              <w:keepLines w:val="0"/>
              <w:pageBreakBefore w:val="0"/>
              <w:kinsoku/>
              <w:wordWrap/>
              <w:overflowPunct/>
              <w:topLinePunct w:val="0"/>
              <w:autoSpaceDE/>
              <w:autoSpaceDN/>
              <w:bidi w:val="0"/>
              <w:spacing w:line="360" w:lineRule="auto"/>
              <w:jc w:val="left"/>
              <w:textAlignment w:val="auto"/>
              <w:rPr>
                <w:rFonts w:hint="eastAsia" w:ascii="宋体" w:hAnsi="宋体" w:cs="宋体"/>
                <w:b/>
                <w:bCs/>
                <w:color w:val="auto"/>
                <w:sz w:val="21"/>
                <w:szCs w:val="21"/>
                <w:highlight w:val="none"/>
                <w:lang w:val="en-US" w:eastAsia="zh-CN"/>
              </w:rPr>
            </w:pPr>
            <w:r>
              <w:rPr>
                <w:rFonts w:hint="eastAsia" w:ascii="宋体" w:hAnsi="宋体" w:cs="宋体"/>
                <w:color w:val="auto"/>
                <w:sz w:val="21"/>
                <w:szCs w:val="21"/>
                <w:highlight w:val="none"/>
                <w:lang w:val="en-US" w:eastAsia="zh-CN"/>
              </w:rPr>
              <w:t>6.</w:t>
            </w:r>
            <w:r>
              <w:rPr>
                <w:rFonts w:hint="eastAsia" w:ascii="宋体" w:hAnsi="宋体" w:cs="宋体"/>
                <w:b/>
                <w:bCs/>
                <w:color w:val="auto"/>
                <w:sz w:val="21"/>
                <w:szCs w:val="21"/>
                <w:highlight w:val="none"/>
                <w:lang w:val="en-US" w:eastAsia="zh-CN"/>
              </w:rPr>
              <w:t>线上培训（40学时）</w:t>
            </w:r>
          </w:p>
          <w:p w14:paraId="2BD2C9F5">
            <w:pPr>
              <w:keepNext w:val="0"/>
              <w:keepLines w:val="0"/>
              <w:pageBreakBefore w:val="0"/>
              <w:kinsoku/>
              <w:wordWrap/>
              <w:overflowPunct/>
              <w:topLinePunct w:val="0"/>
              <w:autoSpaceDE/>
              <w:autoSpaceDN/>
              <w:bidi w:val="0"/>
              <w:spacing w:line="360" w:lineRule="auto"/>
              <w:jc w:val="left"/>
              <w:textAlignment w:val="auto"/>
              <w:rPr>
                <w:rFonts w:hint="eastAsia" w:ascii="宋体" w:hAnsi="宋体" w:cs="宋体"/>
                <w:b w:val="0"/>
                <w:bCs w:val="0"/>
                <w:color w:val="auto"/>
                <w:sz w:val="21"/>
                <w:szCs w:val="21"/>
                <w:highlight w:val="none"/>
                <w:lang w:val="en-US" w:eastAsia="zh-CN"/>
              </w:rPr>
            </w:pPr>
            <w:r>
              <w:rPr>
                <w:rFonts w:hint="eastAsia" w:ascii="宋体" w:hAnsi="宋体" w:cs="宋体"/>
                <w:b w:val="0"/>
                <w:bCs w:val="0"/>
                <w:color w:val="auto"/>
                <w:sz w:val="21"/>
                <w:szCs w:val="21"/>
                <w:highlight w:val="none"/>
                <w:lang w:val="en-US" w:eastAsia="zh-CN"/>
              </w:rPr>
              <w:t>（1）组织20名管理人员及骨干教师线上学习政策趋势与前沿动态、教学研究方法与策略、教研教改项目培育、教学成果奖培育与凝练、教学成果奖申报经验分享等相关内容，要求线上培训时间不少于1800分钟</w:t>
            </w:r>
            <w:r>
              <w:rPr>
                <w:rFonts w:hint="eastAsia" w:ascii="宋体" w:hAnsi="宋体" w:cs="宋体"/>
                <w:b/>
                <w:bCs/>
                <w:color w:val="auto"/>
                <w:sz w:val="21"/>
                <w:szCs w:val="21"/>
                <w:highlight w:val="none"/>
                <w:lang w:val="en-US" w:eastAsia="zh-CN"/>
              </w:rPr>
              <w:t>（40学时，45分钟/学时）</w:t>
            </w:r>
            <w:r>
              <w:rPr>
                <w:rFonts w:hint="eastAsia" w:ascii="宋体" w:hAnsi="宋体" w:cs="宋体"/>
                <w:b w:val="0"/>
                <w:bCs w:val="0"/>
                <w:color w:val="auto"/>
                <w:sz w:val="21"/>
                <w:szCs w:val="21"/>
                <w:highlight w:val="none"/>
                <w:lang w:val="en-US" w:eastAsia="zh-CN"/>
              </w:rPr>
              <w:t>；</w:t>
            </w:r>
          </w:p>
          <w:p w14:paraId="280695E5">
            <w:pPr>
              <w:keepNext w:val="0"/>
              <w:keepLines w:val="0"/>
              <w:pageBreakBefore w:val="0"/>
              <w:kinsoku/>
              <w:wordWrap/>
              <w:overflowPunct/>
              <w:topLinePunct w:val="0"/>
              <w:autoSpaceDE/>
              <w:autoSpaceDN/>
              <w:bidi w:val="0"/>
              <w:spacing w:line="360" w:lineRule="auto"/>
              <w:jc w:val="left"/>
              <w:textAlignment w:val="auto"/>
              <w:rPr>
                <w:rFonts w:hint="default" w:ascii="宋体" w:hAnsi="宋体" w:cs="宋体"/>
                <w:b w:val="0"/>
                <w:bCs w:val="0"/>
                <w:color w:val="auto"/>
                <w:sz w:val="21"/>
                <w:szCs w:val="21"/>
                <w:highlight w:val="none"/>
                <w:lang w:val="en-US" w:eastAsia="zh-CN"/>
              </w:rPr>
            </w:pPr>
            <w:r>
              <w:rPr>
                <w:rFonts w:hint="eastAsia" w:ascii="宋体" w:hAnsi="宋体" w:cs="宋体"/>
                <w:b w:val="0"/>
                <w:bCs w:val="0"/>
                <w:color w:val="auto"/>
                <w:sz w:val="21"/>
                <w:szCs w:val="21"/>
                <w:highlight w:val="none"/>
                <w:lang w:val="en-US" w:eastAsia="zh-CN"/>
              </w:rPr>
              <w:t>（2）培训考核合格后颁发省级以上（含省级）教育行政部门的学时证书。</w:t>
            </w:r>
          </w:p>
          <w:p w14:paraId="7C4F05FA">
            <w:pPr>
              <w:keepNext w:val="0"/>
              <w:keepLines w:val="0"/>
              <w:pageBreakBefore w:val="0"/>
              <w:kinsoku/>
              <w:wordWrap/>
              <w:overflowPunct/>
              <w:topLinePunct w:val="0"/>
              <w:autoSpaceDE/>
              <w:autoSpaceDN/>
              <w:bidi w:val="0"/>
              <w:spacing w:line="360" w:lineRule="auto"/>
              <w:jc w:val="left"/>
              <w:textAlignment w:val="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三、指导专家资质要求</w:t>
            </w:r>
          </w:p>
          <w:p w14:paraId="7C7FA08B">
            <w:pPr>
              <w:keepNext w:val="0"/>
              <w:keepLines w:val="0"/>
              <w:pageBreakBefore w:val="0"/>
              <w:kinsoku/>
              <w:wordWrap/>
              <w:overflowPunct/>
              <w:topLinePunct w:val="0"/>
              <w:autoSpaceDE/>
              <w:autoSpaceDN/>
              <w:bidi w:val="0"/>
              <w:spacing w:line="360" w:lineRule="auto"/>
              <w:jc w:val="left"/>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项目需要一个职业技术教育学博士引领的团队进行建设，该博士需具备正高级职称，获得过国家级教学成果奖(或主持获得过省级教学成果奖特等奖)</w:t>
            </w:r>
            <w:r>
              <w:rPr>
                <w:rFonts w:hint="eastAsia" w:ascii="宋体" w:hAnsi="宋体" w:cs="宋体"/>
                <w:color w:val="auto"/>
                <w:sz w:val="21"/>
                <w:szCs w:val="21"/>
                <w:highlight w:val="none"/>
                <w:lang w:eastAsia="zh-CN"/>
              </w:rPr>
              <w:t>，</w:t>
            </w:r>
            <w:r>
              <w:rPr>
                <w:rFonts w:hint="eastAsia" w:ascii="宋体" w:hAnsi="宋体" w:cs="宋体"/>
                <w:color w:val="auto"/>
                <w:sz w:val="21"/>
                <w:szCs w:val="21"/>
                <w:highlight w:val="none"/>
                <w:lang w:val="en-US" w:eastAsia="zh-CN"/>
              </w:rPr>
              <w:t>团队成员不少于3名计算机专业或数控专业的正高级职称专家且获授权发明专利2项</w:t>
            </w:r>
            <w:r>
              <w:rPr>
                <w:rFonts w:hint="eastAsia" w:ascii="宋体" w:hAnsi="宋体" w:cs="宋体"/>
                <w:color w:val="auto"/>
                <w:sz w:val="21"/>
                <w:szCs w:val="21"/>
                <w:highlight w:val="none"/>
                <w:lang w:eastAsia="zh-CN"/>
              </w:rPr>
              <w:t>。</w:t>
            </w:r>
          </w:p>
        </w:tc>
        <w:tc>
          <w:tcPr>
            <w:tcW w:w="1036" w:type="dxa"/>
            <w:tcBorders>
              <w:top w:val="single" w:color="auto" w:sz="4" w:space="0"/>
              <w:left w:val="single" w:color="auto" w:sz="4" w:space="0"/>
              <w:bottom w:val="single" w:color="auto" w:sz="4" w:space="0"/>
              <w:right w:val="single" w:color="auto" w:sz="4" w:space="0"/>
            </w:tcBorders>
            <w:noWrap w:val="0"/>
            <w:vAlign w:val="center"/>
          </w:tcPr>
          <w:p w14:paraId="37932120">
            <w:pPr>
              <w:keepNext w:val="0"/>
              <w:keepLines w:val="0"/>
              <w:pageBreakBefore w:val="0"/>
              <w:kinsoku/>
              <w:wordWrap/>
              <w:overflowPunct/>
              <w:topLinePunct w:val="0"/>
              <w:autoSpaceDE/>
              <w:autoSpaceDN/>
              <w:bidi w:val="0"/>
              <w:spacing w:line="360" w:lineRule="auto"/>
              <w:ind w:right="19" w:rightChars="9"/>
              <w:jc w:val="center"/>
              <w:textAlignment w:val="auto"/>
              <w:rPr>
                <w:rFonts w:hint="default"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44</w:t>
            </w:r>
            <w:r>
              <w:rPr>
                <w:rFonts w:hint="eastAsia" w:ascii="宋体" w:hAnsi="宋体" w:eastAsia="宋体" w:cs="宋体"/>
                <w:color w:val="auto"/>
                <w:sz w:val="21"/>
                <w:szCs w:val="21"/>
                <w:highlight w:val="none"/>
                <w:lang w:val="en-US" w:eastAsia="zh-CN"/>
              </w:rPr>
              <w:t>.00</w:t>
            </w:r>
          </w:p>
        </w:tc>
        <w:tc>
          <w:tcPr>
            <w:tcW w:w="1336" w:type="dxa"/>
            <w:tcBorders>
              <w:top w:val="single" w:color="auto" w:sz="4" w:space="0"/>
              <w:left w:val="single" w:color="auto" w:sz="4" w:space="0"/>
              <w:bottom w:val="single" w:color="auto" w:sz="4" w:space="0"/>
              <w:right w:val="single" w:color="auto" w:sz="4" w:space="0"/>
            </w:tcBorders>
            <w:noWrap w:val="0"/>
            <w:vAlign w:val="center"/>
          </w:tcPr>
          <w:p w14:paraId="151E7153">
            <w:pPr>
              <w:keepNext w:val="0"/>
              <w:keepLines w:val="0"/>
              <w:pageBreakBefore w:val="0"/>
              <w:kinsoku/>
              <w:wordWrap/>
              <w:overflowPunct/>
              <w:topLinePunct w:val="0"/>
              <w:autoSpaceDE/>
              <w:autoSpaceDN/>
              <w:bidi w:val="0"/>
              <w:spacing w:line="360" w:lineRule="auto"/>
              <w:ind w:right="19" w:rightChars="9"/>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其他未列明行业</w:t>
            </w:r>
          </w:p>
        </w:tc>
      </w:tr>
      <w:tr w14:paraId="79DE5E7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07" w:hRule="atLeast"/>
          <w:jc w:val="center"/>
        </w:trPr>
        <w:tc>
          <w:tcPr>
            <w:tcW w:w="545" w:type="dxa"/>
            <w:tcBorders>
              <w:left w:val="single" w:color="auto" w:sz="4" w:space="0"/>
              <w:bottom w:val="single" w:color="auto" w:sz="4" w:space="0"/>
              <w:right w:val="single" w:color="auto" w:sz="4" w:space="0"/>
            </w:tcBorders>
            <w:noWrap w:val="0"/>
            <w:vAlign w:val="center"/>
          </w:tcPr>
          <w:p w14:paraId="3F9C0490">
            <w:pPr>
              <w:keepNext w:val="0"/>
              <w:keepLines w:val="0"/>
              <w:pageBreakBefore w:val="0"/>
              <w:kinsoku/>
              <w:wordWrap/>
              <w:overflowPunct/>
              <w:topLinePunct w:val="0"/>
              <w:autoSpaceDE/>
              <w:autoSpaceDN/>
              <w:bidi w:val="0"/>
              <w:spacing w:line="360" w:lineRule="auto"/>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4</w:t>
            </w:r>
          </w:p>
        </w:tc>
        <w:tc>
          <w:tcPr>
            <w:tcW w:w="739" w:type="dxa"/>
            <w:tcBorders>
              <w:left w:val="single" w:color="auto" w:sz="4" w:space="0"/>
              <w:bottom w:val="single" w:color="auto" w:sz="4" w:space="0"/>
              <w:right w:val="single" w:color="auto" w:sz="4" w:space="0"/>
            </w:tcBorders>
            <w:noWrap w:val="0"/>
            <w:vAlign w:val="center"/>
          </w:tcPr>
          <w:p w14:paraId="1625375F">
            <w:pPr>
              <w:keepNext w:val="0"/>
              <w:keepLines w:val="0"/>
              <w:pageBreakBefore w:val="0"/>
              <w:kinsoku/>
              <w:wordWrap/>
              <w:overflowPunct/>
              <w:topLinePunct w:val="0"/>
              <w:autoSpaceDE/>
              <w:autoSpaceDN/>
              <w:bidi w:val="0"/>
              <w:spacing w:line="360" w:lineRule="auto"/>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典型案例</w:t>
            </w:r>
          </w:p>
        </w:tc>
        <w:tc>
          <w:tcPr>
            <w:tcW w:w="717" w:type="dxa"/>
            <w:tcBorders>
              <w:top w:val="single" w:color="auto" w:sz="4" w:space="0"/>
              <w:left w:val="single" w:color="auto" w:sz="4" w:space="0"/>
              <w:bottom w:val="single" w:color="auto" w:sz="4" w:space="0"/>
              <w:right w:val="single" w:color="auto" w:sz="4" w:space="0"/>
            </w:tcBorders>
            <w:noWrap w:val="0"/>
            <w:vAlign w:val="center"/>
          </w:tcPr>
          <w:p w14:paraId="03CFF028">
            <w:pPr>
              <w:keepNext w:val="0"/>
              <w:keepLines w:val="0"/>
              <w:pageBreakBefore w:val="0"/>
              <w:kinsoku/>
              <w:wordWrap/>
              <w:overflowPunct/>
              <w:topLinePunct w:val="0"/>
              <w:autoSpaceDE/>
              <w:autoSpaceDN/>
              <w:bidi w:val="0"/>
              <w:spacing w:line="360" w:lineRule="auto"/>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4项</w:t>
            </w:r>
          </w:p>
        </w:tc>
        <w:tc>
          <w:tcPr>
            <w:tcW w:w="5203" w:type="dxa"/>
            <w:tcBorders>
              <w:top w:val="single" w:color="auto" w:sz="4" w:space="0"/>
              <w:left w:val="single" w:color="auto" w:sz="4" w:space="0"/>
              <w:bottom w:val="single" w:color="auto" w:sz="4" w:space="0"/>
              <w:right w:val="single" w:color="auto" w:sz="4" w:space="0"/>
            </w:tcBorders>
            <w:noWrap w:val="0"/>
            <w:vAlign w:val="center"/>
          </w:tcPr>
          <w:p w14:paraId="4D055C74">
            <w:pPr>
              <w:keepNext w:val="0"/>
              <w:keepLines w:val="0"/>
              <w:pageBreakBefore w:val="0"/>
              <w:kinsoku/>
              <w:wordWrap/>
              <w:overflowPunct/>
              <w:topLinePunct w:val="0"/>
              <w:autoSpaceDE/>
              <w:autoSpaceDN/>
              <w:bidi w:val="0"/>
              <w:spacing w:line="360" w:lineRule="auto"/>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指导“文明风采”系列教育活动优秀案例编写和申报，自治区级“文明风采”系列教育活动优秀案例4项。</w:t>
            </w:r>
          </w:p>
          <w:p w14:paraId="7182E8D4">
            <w:pPr>
              <w:keepNext w:val="0"/>
              <w:keepLines w:val="0"/>
              <w:pageBreakBefore w:val="0"/>
              <w:kinsoku/>
              <w:wordWrap/>
              <w:overflowPunct/>
              <w:topLinePunct w:val="0"/>
              <w:autoSpaceDE/>
              <w:autoSpaceDN/>
              <w:bidi w:val="0"/>
              <w:spacing w:line="360" w:lineRule="auto"/>
              <w:jc w:val="both"/>
              <w:textAlignment w:val="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一、服务内容</w:t>
            </w:r>
          </w:p>
          <w:p w14:paraId="7EFC58BE">
            <w:pPr>
              <w:keepNext w:val="0"/>
              <w:keepLines w:val="0"/>
              <w:pageBreakBefore w:val="0"/>
              <w:kinsoku/>
              <w:wordWrap/>
              <w:overflowPunct/>
              <w:topLinePunct w:val="0"/>
              <w:autoSpaceDE/>
              <w:autoSpaceDN/>
              <w:bidi w:val="0"/>
              <w:spacing w:line="360" w:lineRule="auto"/>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1.开展“文明风采”系列教育活动相关文件政策解读。</w:t>
            </w:r>
          </w:p>
          <w:p w14:paraId="2E8F4929">
            <w:pPr>
              <w:keepNext w:val="0"/>
              <w:keepLines w:val="0"/>
              <w:pageBreakBefore w:val="0"/>
              <w:kinsoku/>
              <w:wordWrap/>
              <w:overflowPunct/>
              <w:topLinePunct w:val="0"/>
              <w:autoSpaceDE/>
              <w:autoSpaceDN/>
              <w:bidi w:val="0"/>
              <w:spacing w:line="360" w:lineRule="auto"/>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2.近三年获奖案例分析。</w:t>
            </w:r>
          </w:p>
          <w:p w14:paraId="22C010A5">
            <w:pPr>
              <w:keepNext w:val="0"/>
              <w:keepLines w:val="0"/>
              <w:pageBreakBefore w:val="0"/>
              <w:kinsoku/>
              <w:wordWrap/>
              <w:overflowPunct/>
              <w:topLinePunct w:val="0"/>
              <w:autoSpaceDE/>
              <w:autoSpaceDN/>
              <w:bidi w:val="0"/>
              <w:spacing w:line="360" w:lineRule="auto"/>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3.指导案例编写和申报。</w:t>
            </w:r>
          </w:p>
          <w:p w14:paraId="10E16883">
            <w:pPr>
              <w:keepNext w:val="0"/>
              <w:keepLines w:val="0"/>
              <w:pageBreakBefore w:val="0"/>
              <w:kinsoku/>
              <w:wordWrap/>
              <w:overflowPunct/>
              <w:topLinePunct w:val="0"/>
              <w:autoSpaceDE/>
              <w:autoSpaceDN/>
              <w:bidi w:val="0"/>
              <w:spacing w:line="360" w:lineRule="auto"/>
              <w:jc w:val="both"/>
              <w:textAlignment w:val="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二、服务要求</w:t>
            </w:r>
          </w:p>
          <w:p w14:paraId="70631A77">
            <w:pPr>
              <w:keepNext w:val="0"/>
              <w:keepLines w:val="0"/>
              <w:pageBreakBefore w:val="0"/>
              <w:kinsoku/>
              <w:wordWrap/>
              <w:overflowPunct/>
              <w:topLinePunct w:val="0"/>
              <w:autoSpaceDE/>
              <w:autoSpaceDN/>
              <w:bidi w:val="0"/>
              <w:spacing w:line="360" w:lineRule="auto"/>
              <w:jc w:val="both"/>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1.全程指导选题与内容策划</w:t>
            </w:r>
            <w:r>
              <w:rPr>
                <w:rFonts w:hint="eastAsia" w:ascii="宋体" w:hAnsi="宋体" w:cs="宋体"/>
                <w:color w:val="auto"/>
                <w:sz w:val="21"/>
                <w:szCs w:val="21"/>
                <w:highlight w:val="none"/>
                <w:lang w:eastAsia="zh-CN"/>
              </w:rPr>
              <w:t>。</w:t>
            </w:r>
          </w:p>
          <w:p w14:paraId="3BE4512D">
            <w:pPr>
              <w:keepNext w:val="0"/>
              <w:keepLines w:val="0"/>
              <w:pageBreakBefore w:val="0"/>
              <w:kinsoku/>
              <w:wordWrap/>
              <w:overflowPunct/>
              <w:topLinePunct w:val="0"/>
              <w:autoSpaceDE/>
              <w:autoSpaceDN/>
              <w:bidi w:val="0"/>
              <w:spacing w:line="360" w:lineRule="auto"/>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聘请在文明风采系列教育活动方面具备深厚专业知识和丰富实践经验的评审专家，针对典型案例开展全程指导工作。具体涵盖选题策划与内容策划环节，确保所选取的选题具有显著的代表性、突出的创新性以及切实的实践价值，同时保证内容架构科学合理、逻辑严谨有序。</w:t>
            </w:r>
          </w:p>
          <w:p w14:paraId="15322709">
            <w:pPr>
              <w:keepNext w:val="0"/>
              <w:keepLines w:val="0"/>
              <w:pageBreakBefore w:val="0"/>
              <w:kinsoku/>
              <w:wordWrap/>
              <w:overflowPunct/>
              <w:topLinePunct w:val="0"/>
              <w:autoSpaceDE/>
              <w:autoSpaceDN/>
              <w:bidi w:val="0"/>
              <w:spacing w:line="360" w:lineRule="auto"/>
              <w:jc w:val="both"/>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3.文本梳理与申报材料指导</w:t>
            </w:r>
            <w:r>
              <w:rPr>
                <w:rFonts w:hint="eastAsia" w:ascii="宋体" w:hAnsi="宋体" w:cs="宋体"/>
                <w:color w:val="auto"/>
                <w:sz w:val="21"/>
                <w:szCs w:val="21"/>
                <w:highlight w:val="none"/>
                <w:lang w:eastAsia="zh-CN"/>
              </w:rPr>
              <w:t>。</w:t>
            </w:r>
          </w:p>
          <w:p w14:paraId="39FEB942">
            <w:pPr>
              <w:keepNext w:val="0"/>
              <w:keepLines w:val="0"/>
              <w:pageBreakBefore w:val="0"/>
              <w:kinsoku/>
              <w:wordWrap/>
              <w:overflowPunct/>
              <w:topLinePunct w:val="0"/>
              <w:autoSpaceDE/>
              <w:autoSpaceDN/>
              <w:bidi w:val="0"/>
              <w:spacing w:line="360" w:lineRule="auto"/>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4.专家协助对典型案例文本进行全面且细致的梳理工作，优化语言表达方式，提升案例呈现形式的质量。并且，专家会给予专业指导，助力完成典型案例申报材料的准确、规范填写。</w:t>
            </w:r>
          </w:p>
          <w:p w14:paraId="154F5014">
            <w:pPr>
              <w:keepNext w:val="0"/>
              <w:keepLines w:val="0"/>
              <w:pageBreakBefore w:val="0"/>
              <w:kinsoku/>
              <w:wordWrap/>
              <w:overflowPunct/>
              <w:topLinePunct w:val="0"/>
              <w:autoSpaceDE/>
              <w:autoSpaceDN/>
              <w:bidi w:val="0"/>
              <w:spacing w:line="360" w:lineRule="auto"/>
              <w:jc w:val="both"/>
              <w:textAlignment w:val="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三、指导专家资质要求</w:t>
            </w:r>
          </w:p>
          <w:p w14:paraId="6F883901">
            <w:pPr>
              <w:keepNext w:val="0"/>
              <w:keepLines w:val="0"/>
              <w:pageBreakBefore w:val="0"/>
              <w:kinsoku/>
              <w:wordWrap/>
              <w:overflowPunct/>
              <w:topLinePunct w:val="0"/>
              <w:autoSpaceDE/>
              <w:autoSpaceDN/>
              <w:bidi w:val="0"/>
              <w:spacing w:line="360" w:lineRule="auto"/>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曾获国家级“文明风采”系列教育活动优秀案例两次及以上的指导老师。</w:t>
            </w:r>
          </w:p>
        </w:tc>
        <w:tc>
          <w:tcPr>
            <w:tcW w:w="1036" w:type="dxa"/>
            <w:tcBorders>
              <w:top w:val="single" w:color="auto" w:sz="4" w:space="0"/>
              <w:left w:val="single" w:color="auto" w:sz="4" w:space="0"/>
              <w:bottom w:val="single" w:color="auto" w:sz="4" w:space="0"/>
              <w:right w:val="single" w:color="auto" w:sz="4" w:space="0"/>
            </w:tcBorders>
            <w:noWrap w:val="0"/>
            <w:vAlign w:val="center"/>
          </w:tcPr>
          <w:p w14:paraId="22E4BC1C">
            <w:pPr>
              <w:keepNext w:val="0"/>
              <w:keepLines w:val="0"/>
              <w:pageBreakBefore w:val="0"/>
              <w:kinsoku/>
              <w:wordWrap/>
              <w:overflowPunct/>
              <w:topLinePunct w:val="0"/>
              <w:autoSpaceDE/>
              <w:autoSpaceDN/>
              <w:bidi w:val="0"/>
              <w:spacing w:line="360" w:lineRule="auto"/>
              <w:ind w:right="19" w:rightChars="9"/>
              <w:jc w:val="center"/>
              <w:textAlignment w:val="auto"/>
              <w:rPr>
                <w:rFonts w:hint="default"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4</w:t>
            </w:r>
            <w:r>
              <w:rPr>
                <w:rFonts w:hint="eastAsia" w:ascii="宋体" w:hAnsi="宋体" w:eastAsia="宋体" w:cs="宋体"/>
                <w:color w:val="auto"/>
                <w:sz w:val="21"/>
                <w:szCs w:val="21"/>
                <w:highlight w:val="none"/>
                <w:lang w:val="en-US" w:eastAsia="zh-CN"/>
              </w:rPr>
              <w:t>.00</w:t>
            </w:r>
          </w:p>
        </w:tc>
        <w:tc>
          <w:tcPr>
            <w:tcW w:w="1336" w:type="dxa"/>
            <w:tcBorders>
              <w:top w:val="single" w:color="auto" w:sz="4" w:space="0"/>
              <w:left w:val="single" w:color="auto" w:sz="4" w:space="0"/>
              <w:bottom w:val="single" w:color="auto" w:sz="4" w:space="0"/>
              <w:right w:val="single" w:color="auto" w:sz="4" w:space="0"/>
            </w:tcBorders>
            <w:noWrap w:val="0"/>
            <w:vAlign w:val="center"/>
          </w:tcPr>
          <w:p w14:paraId="3CD718E1">
            <w:pPr>
              <w:keepNext w:val="0"/>
              <w:keepLines w:val="0"/>
              <w:pageBreakBefore w:val="0"/>
              <w:kinsoku/>
              <w:wordWrap/>
              <w:overflowPunct/>
              <w:topLinePunct w:val="0"/>
              <w:autoSpaceDE/>
              <w:autoSpaceDN/>
              <w:bidi w:val="0"/>
              <w:spacing w:line="360" w:lineRule="auto"/>
              <w:ind w:right="19" w:rightChars="9"/>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其他未列明行业</w:t>
            </w:r>
          </w:p>
        </w:tc>
      </w:tr>
      <w:tr w14:paraId="5287A23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85" w:hRule="atLeast"/>
          <w:jc w:val="center"/>
        </w:trPr>
        <w:tc>
          <w:tcPr>
            <w:tcW w:w="9576" w:type="dxa"/>
            <w:gridSpan w:val="6"/>
            <w:tcBorders>
              <w:left w:val="single" w:color="auto" w:sz="4" w:space="0"/>
              <w:bottom w:val="single" w:color="auto" w:sz="4" w:space="0"/>
              <w:right w:val="single" w:color="auto" w:sz="4" w:space="0"/>
            </w:tcBorders>
            <w:noWrap w:val="0"/>
            <w:vAlign w:val="center"/>
          </w:tcPr>
          <w:p w14:paraId="5DF06FAD">
            <w:pPr>
              <w:keepNext w:val="0"/>
              <w:keepLines w:val="0"/>
              <w:pageBreakBefore w:val="0"/>
              <w:kinsoku/>
              <w:wordWrap/>
              <w:overflowPunct/>
              <w:topLinePunct w:val="0"/>
              <w:autoSpaceDE/>
              <w:autoSpaceDN/>
              <w:bidi w:val="0"/>
              <w:spacing w:line="360" w:lineRule="auto"/>
              <w:jc w:val="both"/>
              <w:textAlignment w:val="auto"/>
              <w:rPr>
                <w:rFonts w:hint="eastAsia" w:ascii="宋体" w:hAnsi="宋体" w:eastAsia="宋体" w:cs="宋体"/>
                <w:color w:val="auto"/>
                <w:sz w:val="21"/>
                <w:szCs w:val="21"/>
                <w:highlight w:val="none"/>
                <w:lang w:eastAsia="zh-CN"/>
              </w:rPr>
            </w:pPr>
            <w:r>
              <w:rPr>
                <w:rFonts w:hint="eastAsia" w:ascii="宋体" w:hAnsi="宋体" w:eastAsia="宋体" w:cs="宋体"/>
                <w:b/>
                <w:bCs/>
                <w:color w:val="auto"/>
                <w:sz w:val="21"/>
                <w:szCs w:val="21"/>
                <w:highlight w:val="none"/>
                <w:lang w:eastAsia="zh-CN"/>
              </w:rPr>
              <w:t>二、商务条款</w:t>
            </w:r>
          </w:p>
        </w:tc>
      </w:tr>
      <w:tr w14:paraId="614817E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07" w:hRule="atLeast"/>
          <w:jc w:val="center"/>
        </w:trPr>
        <w:tc>
          <w:tcPr>
            <w:tcW w:w="9576" w:type="dxa"/>
            <w:gridSpan w:val="6"/>
            <w:tcBorders>
              <w:left w:val="single" w:color="auto" w:sz="4" w:space="0"/>
              <w:bottom w:val="single" w:color="auto" w:sz="4" w:space="0"/>
              <w:right w:val="single" w:color="auto" w:sz="4" w:space="0"/>
            </w:tcBorders>
            <w:noWrap w:val="0"/>
            <w:vAlign w:val="center"/>
          </w:tcPr>
          <w:p w14:paraId="6631B537">
            <w:pPr>
              <w:keepNext w:val="0"/>
              <w:keepLines w:val="0"/>
              <w:pageBreakBefore w:val="0"/>
              <w:kinsoku/>
              <w:wordWrap/>
              <w:overflowPunct/>
              <w:topLinePunct w:val="0"/>
              <w:autoSpaceDE/>
              <w:autoSpaceDN/>
              <w:bidi w:val="0"/>
              <w:adjustRightInd w:val="0"/>
              <w:snapToGrid/>
              <w:spacing w:line="360" w:lineRule="auto"/>
              <w:ind w:right="149" w:rightChars="71" w:firstLine="420" w:firstLineChars="200"/>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一、合同签订期：自中标通知书发出之日起</w:t>
            </w:r>
            <w:r>
              <w:rPr>
                <w:rFonts w:hint="eastAsia" w:ascii="宋体" w:hAnsi="宋体" w:eastAsia="宋体" w:cs="宋体"/>
                <w:color w:val="auto"/>
                <w:sz w:val="21"/>
                <w:szCs w:val="21"/>
                <w:highlight w:val="none"/>
                <w:u w:val="single"/>
              </w:rPr>
              <w:t>25</w:t>
            </w:r>
            <w:r>
              <w:rPr>
                <w:rFonts w:hint="eastAsia" w:ascii="宋体" w:hAnsi="宋体" w:eastAsia="宋体" w:cs="宋体"/>
                <w:color w:val="auto"/>
                <w:sz w:val="21"/>
                <w:szCs w:val="21"/>
                <w:highlight w:val="none"/>
              </w:rPr>
              <w:t>日内</w:t>
            </w:r>
            <w:r>
              <w:rPr>
                <w:rFonts w:hint="eastAsia" w:ascii="宋体" w:hAnsi="宋体" w:eastAsia="宋体" w:cs="宋体"/>
                <w:color w:val="auto"/>
                <w:sz w:val="21"/>
                <w:szCs w:val="21"/>
                <w:highlight w:val="none"/>
                <w:lang w:eastAsia="zh-CN"/>
              </w:rPr>
              <w:t>。</w:t>
            </w:r>
          </w:p>
          <w:p w14:paraId="606ADA94">
            <w:pPr>
              <w:keepNext w:val="0"/>
              <w:keepLines w:val="0"/>
              <w:pageBreakBefore w:val="0"/>
              <w:widowControl/>
              <w:shd w:val="clear" w:color="auto" w:fill="FFFFFF"/>
              <w:kinsoku/>
              <w:wordWrap/>
              <w:overflowPunct/>
              <w:topLinePunct w:val="0"/>
              <w:autoSpaceDE/>
              <w:autoSpaceDN/>
              <w:bidi w:val="0"/>
              <w:snapToGrid/>
              <w:spacing w:line="360" w:lineRule="auto"/>
              <w:ind w:right="149" w:rightChars="71" w:firstLine="420" w:firstLineChars="200"/>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二、</w:t>
            </w:r>
            <w:r>
              <w:rPr>
                <w:rFonts w:hint="eastAsia" w:ascii="宋体" w:hAnsi="宋体" w:cs="宋体"/>
                <w:color w:val="auto"/>
                <w:sz w:val="21"/>
                <w:szCs w:val="21"/>
                <w:highlight w:val="none"/>
                <w:lang w:val="en-US" w:eastAsia="zh-CN"/>
              </w:rPr>
              <w:t>提交服务成果时间</w:t>
            </w:r>
            <w:r>
              <w:rPr>
                <w:rFonts w:hint="eastAsia" w:ascii="宋体" w:hAnsi="宋体" w:eastAsia="宋体" w:cs="宋体"/>
                <w:bCs/>
                <w:color w:val="auto"/>
                <w:sz w:val="21"/>
                <w:szCs w:val="21"/>
                <w:highlight w:val="none"/>
              </w:rPr>
              <w:t>：自签订合同之日起</w:t>
            </w:r>
            <w:r>
              <w:rPr>
                <w:rFonts w:hint="eastAsia" w:ascii="宋体" w:hAnsi="宋体" w:cs="宋体"/>
                <w:bCs/>
                <w:color w:val="auto"/>
                <w:sz w:val="21"/>
                <w:szCs w:val="21"/>
                <w:highlight w:val="none"/>
                <w:u w:val="single"/>
                <w:lang w:val="en-US" w:eastAsia="zh-CN"/>
              </w:rPr>
              <w:t>300</w:t>
            </w:r>
            <w:r>
              <w:rPr>
                <w:rFonts w:hint="eastAsia" w:ascii="宋体" w:hAnsi="宋体" w:cs="宋体"/>
                <w:bCs/>
                <w:color w:val="auto"/>
                <w:sz w:val="21"/>
                <w:szCs w:val="21"/>
                <w:highlight w:val="none"/>
                <w:lang w:val="en-US" w:eastAsia="zh-CN"/>
              </w:rPr>
              <w:t>日</w:t>
            </w:r>
            <w:r>
              <w:rPr>
                <w:rFonts w:hint="eastAsia" w:ascii="宋体" w:hAnsi="宋体" w:eastAsia="宋体" w:cs="宋体"/>
                <w:bCs/>
                <w:color w:val="auto"/>
                <w:sz w:val="21"/>
                <w:szCs w:val="21"/>
                <w:highlight w:val="none"/>
              </w:rPr>
              <w:t>内完成。</w:t>
            </w:r>
          </w:p>
          <w:p w14:paraId="489C96CC">
            <w:pPr>
              <w:keepNext w:val="0"/>
              <w:keepLines w:val="0"/>
              <w:pageBreakBefore w:val="0"/>
              <w:widowControl/>
              <w:shd w:val="clear" w:color="auto" w:fill="FFFFFF"/>
              <w:kinsoku/>
              <w:wordWrap/>
              <w:overflowPunct/>
              <w:topLinePunct w:val="0"/>
              <w:autoSpaceDE/>
              <w:autoSpaceDN/>
              <w:bidi w:val="0"/>
              <w:snapToGrid/>
              <w:spacing w:line="360" w:lineRule="auto"/>
              <w:ind w:right="149" w:rightChars="71"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三、</w:t>
            </w:r>
            <w:r>
              <w:rPr>
                <w:rFonts w:hint="eastAsia" w:ascii="宋体" w:hAnsi="宋体" w:cs="宋体"/>
                <w:color w:val="auto"/>
                <w:sz w:val="21"/>
                <w:szCs w:val="21"/>
                <w:highlight w:val="none"/>
                <w:lang w:val="en-US" w:eastAsia="zh-CN"/>
              </w:rPr>
              <w:t>提交</w:t>
            </w:r>
            <w:r>
              <w:rPr>
                <w:rFonts w:hint="eastAsia" w:ascii="宋体" w:hAnsi="宋体" w:eastAsia="宋体" w:cs="宋体"/>
                <w:bCs/>
                <w:color w:val="auto"/>
                <w:sz w:val="21"/>
                <w:szCs w:val="21"/>
                <w:highlight w:val="none"/>
              </w:rPr>
              <w:t>服务</w:t>
            </w:r>
            <w:r>
              <w:rPr>
                <w:rFonts w:hint="eastAsia" w:ascii="宋体" w:hAnsi="宋体" w:cs="宋体"/>
                <w:bCs/>
                <w:color w:val="auto"/>
                <w:sz w:val="21"/>
                <w:szCs w:val="21"/>
                <w:highlight w:val="none"/>
                <w:lang w:val="en-US" w:eastAsia="zh-CN"/>
              </w:rPr>
              <w:t>成果</w:t>
            </w:r>
            <w:r>
              <w:rPr>
                <w:rFonts w:hint="eastAsia" w:ascii="宋体" w:hAnsi="宋体" w:eastAsia="宋体" w:cs="宋体"/>
                <w:bCs/>
                <w:color w:val="auto"/>
                <w:sz w:val="21"/>
                <w:szCs w:val="21"/>
                <w:highlight w:val="none"/>
              </w:rPr>
              <w:t>地点：</w:t>
            </w:r>
            <w:r>
              <w:rPr>
                <w:rFonts w:hint="eastAsia" w:ascii="宋体" w:hAnsi="宋体" w:cs="宋体"/>
                <w:bCs/>
                <w:color w:val="auto"/>
                <w:sz w:val="21"/>
                <w:szCs w:val="21"/>
                <w:highlight w:val="none"/>
                <w:lang w:val="en-US" w:eastAsia="zh-CN"/>
              </w:rPr>
              <w:t>钦州市浦北县（</w:t>
            </w:r>
            <w:r>
              <w:rPr>
                <w:rFonts w:hint="eastAsia" w:ascii="宋体" w:hAnsi="宋体" w:eastAsia="宋体" w:cs="宋体"/>
                <w:color w:val="auto"/>
                <w:sz w:val="21"/>
                <w:szCs w:val="21"/>
                <w:highlight w:val="none"/>
                <w:lang w:eastAsia="zh-CN"/>
              </w:rPr>
              <w:t>采购</w:t>
            </w:r>
            <w:r>
              <w:rPr>
                <w:rFonts w:hint="eastAsia" w:ascii="宋体" w:hAnsi="宋体" w:eastAsia="宋体" w:cs="宋体"/>
                <w:color w:val="auto"/>
                <w:sz w:val="21"/>
                <w:szCs w:val="21"/>
                <w:highlight w:val="none"/>
              </w:rPr>
              <w:t>单位指定地点</w:t>
            </w:r>
            <w:r>
              <w:rPr>
                <w:rFonts w:hint="eastAsia" w:ascii="宋体" w:hAnsi="宋体" w:cs="宋体"/>
                <w:color w:val="auto"/>
                <w:sz w:val="21"/>
                <w:szCs w:val="21"/>
                <w:highlight w:val="none"/>
                <w:lang w:eastAsia="zh-CN"/>
              </w:rPr>
              <w:t>）</w:t>
            </w:r>
            <w:r>
              <w:rPr>
                <w:rFonts w:hint="eastAsia" w:ascii="宋体" w:hAnsi="宋体" w:eastAsia="宋体" w:cs="宋体"/>
                <w:color w:val="auto"/>
                <w:sz w:val="21"/>
                <w:szCs w:val="21"/>
                <w:highlight w:val="none"/>
              </w:rPr>
              <w:t>。</w:t>
            </w:r>
          </w:p>
          <w:p w14:paraId="66033DED">
            <w:pPr>
              <w:keepNext w:val="0"/>
              <w:keepLines w:val="0"/>
              <w:pageBreakBefore w:val="0"/>
              <w:widowControl/>
              <w:shd w:val="clear" w:color="auto" w:fill="FFFFFF"/>
              <w:kinsoku/>
              <w:wordWrap/>
              <w:overflowPunct/>
              <w:topLinePunct w:val="0"/>
              <w:autoSpaceDE/>
              <w:autoSpaceDN/>
              <w:bidi w:val="0"/>
              <w:snapToGrid/>
              <w:spacing w:line="360" w:lineRule="auto"/>
              <w:ind w:right="149" w:rightChars="71" w:firstLine="420" w:firstLineChars="200"/>
              <w:textAlignment w:val="auto"/>
              <w:rPr>
                <w:rFonts w:hint="eastAsia" w:ascii="宋体" w:hAnsi="宋体" w:eastAsia="宋体" w:cs="宋体"/>
                <w:color w:val="auto"/>
                <w:sz w:val="21"/>
                <w:szCs w:val="21"/>
                <w:highlight w:val="none"/>
              </w:rPr>
            </w:pPr>
            <w:r>
              <w:rPr>
                <w:rFonts w:hint="eastAsia" w:ascii="宋体" w:hAnsi="宋体" w:cs="宋体"/>
                <w:color w:val="auto"/>
                <w:sz w:val="21"/>
                <w:szCs w:val="21"/>
                <w:highlight w:val="none"/>
                <w:lang w:val="en-US" w:eastAsia="zh-CN"/>
              </w:rPr>
              <w:t>四</w:t>
            </w:r>
            <w:r>
              <w:rPr>
                <w:rFonts w:hint="eastAsia" w:ascii="宋体" w:hAnsi="宋体" w:eastAsia="宋体" w:cs="宋体"/>
                <w:color w:val="auto"/>
                <w:sz w:val="21"/>
                <w:szCs w:val="21"/>
                <w:highlight w:val="none"/>
              </w:rPr>
              <w:t>、</w:t>
            </w:r>
            <w:r>
              <w:rPr>
                <w:rFonts w:hint="eastAsia" w:ascii="宋体" w:hAnsi="宋体" w:cs="宋体"/>
                <w:color w:val="auto"/>
                <w:sz w:val="21"/>
                <w:szCs w:val="21"/>
                <w:highlight w:val="none"/>
                <w:lang w:val="en-US" w:eastAsia="zh-CN"/>
              </w:rPr>
              <w:t>报价</w:t>
            </w:r>
            <w:r>
              <w:rPr>
                <w:rFonts w:hint="eastAsia" w:ascii="宋体" w:hAnsi="宋体" w:eastAsia="宋体" w:cs="宋体"/>
                <w:color w:val="auto"/>
                <w:sz w:val="21"/>
                <w:szCs w:val="21"/>
                <w:highlight w:val="none"/>
              </w:rPr>
              <w:t>要求：</w:t>
            </w:r>
          </w:p>
          <w:p w14:paraId="4D916466">
            <w:pPr>
              <w:keepNext w:val="0"/>
              <w:keepLines w:val="0"/>
              <w:pageBreakBefore w:val="0"/>
              <w:tabs>
                <w:tab w:val="center" w:pos="4032"/>
              </w:tabs>
              <w:kinsoku/>
              <w:wordWrap/>
              <w:overflowPunct/>
              <w:topLinePunct w:val="0"/>
              <w:autoSpaceDE/>
              <w:autoSpaceDN/>
              <w:bidi w:val="0"/>
              <w:snapToGrid/>
              <w:spacing w:line="360" w:lineRule="auto"/>
              <w:ind w:right="149" w:rightChars="71" w:firstLine="420" w:firstLineChars="200"/>
              <w:textAlignment w:val="auto"/>
              <w:rPr>
                <w:rFonts w:hint="eastAsia" w:ascii="宋体" w:hAnsi="宋体" w:eastAsia="宋体" w:cs="宋体"/>
                <w:b/>
                <w:color w:val="auto"/>
                <w:sz w:val="21"/>
                <w:szCs w:val="21"/>
                <w:highlight w:val="none"/>
              </w:rPr>
            </w:pPr>
            <w:r>
              <w:rPr>
                <w:rFonts w:hint="eastAsia" w:ascii="宋体" w:hAnsi="宋体" w:eastAsia="宋体" w:cs="宋体"/>
                <w:color w:val="auto"/>
                <w:sz w:val="21"/>
                <w:szCs w:val="21"/>
                <w:highlight w:val="none"/>
              </w:rPr>
              <w:t>报价必须含以下部分，包括：</w:t>
            </w:r>
            <w:r>
              <w:rPr>
                <w:rFonts w:hint="eastAsia" w:ascii="宋体" w:hAnsi="宋体" w:eastAsia="宋体" w:cs="宋体"/>
                <w:color w:val="auto"/>
                <w:sz w:val="21"/>
                <w:szCs w:val="21"/>
                <w:highlight w:val="none"/>
              </w:rPr>
              <w:tab/>
            </w:r>
          </w:p>
          <w:p w14:paraId="34D823A6">
            <w:pPr>
              <w:keepNext w:val="0"/>
              <w:keepLines w:val="0"/>
              <w:pageBreakBefore w:val="0"/>
              <w:kinsoku/>
              <w:wordWrap/>
              <w:overflowPunct/>
              <w:topLinePunct w:val="0"/>
              <w:autoSpaceDE/>
              <w:autoSpaceDN/>
              <w:bidi w:val="0"/>
              <w:snapToGrid/>
              <w:spacing w:line="360" w:lineRule="auto"/>
              <w:ind w:right="149" w:rightChars="71"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（1）服务的价格；</w:t>
            </w:r>
          </w:p>
          <w:p w14:paraId="50D35046">
            <w:pPr>
              <w:keepNext w:val="0"/>
              <w:keepLines w:val="0"/>
              <w:pageBreakBefore w:val="0"/>
              <w:kinsoku/>
              <w:wordWrap/>
              <w:overflowPunct/>
              <w:topLinePunct w:val="0"/>
              <w:autoSpaceDE/>
              <w:autoSpaceDN/>
              <w:bidi w:val="0"/>
              <w:snapToGrid/>
              <w:spacing w:line="360" w:lineRule="auto"/>
              <w:ind w:right="149" w:rightChars="71"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（2）必要的保险费用和各项税金；</w:t>
            </w:r>
          </w:p>
          <w:p w14:paraId="49D56BB7">
            <w:pPr>
              <w:keepNext w:val="0"/>
              <w:keepLines w:val="0"/>
              <w:pageBreakBefore w:val="0"/>
              <w:tabs>
                <w:tab w:val="left" w:pos="3490"/>
                <w:tab w:val="left" w:pos="3670"/>
                <w:tab w:val="left" w:pos="3895"/>
              </w:tabs>
              <w:kinsoku/>
              <w:wordWrap/>
              <w:overflowPunct/>
              <w:topLinePunct w:val="0"/>
              <w:autoSpaceDE/>
              <w:autoSpaceDN/>
              <w:bidi w:val="0"/>
              <w:snapToGrid/>
              <w:spacing w:line="360" w:lineRule="auto"/>
              <w:ind w:right="149" w:rightChars="71" w:firstLine="420" w:firstLineChars="200"/>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（3）</w:t>
            </w:r>
            <w:r>
              <w:rPr>
                <w:rFonts w:hint="eastAsia" w:ascii="宋体" w:hAnsi="宋体" w:cs="宋体"/>
                <w:color w:val="auto"/>
                <w:sz w:val="21"/>
                <w:szCs w:val="21"/>
                <w:highlight w:val="none"/>
                <w:lang w:val="en-US" w:eastAsia="zh-CN"/>
              </w:rPr>
              <w:t>其他</w:t>
            </w:r>
            <w:r>
              <w:rPr>
                <w:rFonts w:hint="eastAsia" w:ascii="宋体" w:hAnsi="宋体" w:eastAsia="宋体" w:cs="宋体"/>
                <w:color w:val="auto"/>
                <w:sz w:val="21"/>
                <w:szCs w:val="21"/>
                <w:highlight w:val="none"/>
                <w:lang w:eastAsia="zh-CN"/>
              </w:rPr>
              <w:t>为实施和完成本项目服务内容的全部</w:t>
            </w:r>
            <w:r>
              <w:rPr>
                <w:rFonts w:hint="eastAsia" w:ascii="宋体" w:hAnsi="宋体" w:cs="宋体"/>
                <w:color w:val="auto"/>
                <w:sz w:val="21"/>
                <w:szCs w:val="21"/>
                <w:highlight w:val="none"/>
                <w:lang w:val="en-US" w:eastAsia="zh-CN"/>
              </w:rPr>
              <w:t>费用，</w:t>
            </w:r>
            <w:r>
              <w:rPr>
                <w:rFonts w:hint="eastAsia" w:ascii="宋体" w:hAnsi="宋体" w:eastAsia="宋体" w:cs="宋体"/>
                <w:color w:val="auto"/>
                <w:sz w:val="21"/>
                <w:szCs w:val="21"/>
                <w:highlight w:val="none"/>
                <w:lang w:eastAsia="zh-CN"/>
              </w:rPr>
              <w:t>包括基于</w:t>
            </w:r>
            <w:r>
              <w:rPr>
                <w:rFonts w:hint="eastAsia" w:ascii="宋体" w:hAnsi="宋体" w:cs="宋体"/>
                <w:color w:val="auto"/>
                <w:sz w:val="21"/>
                <w:szCs w:val="21"/>
                <w:highlight w:val="none"/>
                <w:lang w:val="en-US" w:eastAsia="zh-CN"/>
              </w:rPr>
              <w:t>专家指导费</w:t>
            </w:r>
            <w:r>
              <w:rPr>
                <w:rFonts w:hint="eastAsia" w:ascii="宋体" w:hAnsi="宋体" w:eastAsia="宋体" w:cs="宋体"/>
                <w:color w:val="auto"/>
                <w:sz w:val="21"/>
                <w:szCs w:val="21"/>
                <w:highlight w:val="none"/>
                <w:lang w:eastAsia="zh-CN"/>
              </w:rPr>
              <w:t>、</w:t>
            </w:r>
            <w:r>
              <w:rPr>
                <w:rFonts w:hint="eastAsia" w:ascii="宋体" w:hAnsi="宋体" w:cs="宋体"/>
                <w:color w:val="auto"/>
                <w:sz w:val="21"/>
                <w:szCs w:val="21"/>
                <w:highlight w:val="none"/>
                <w:lang w:val="en-US" w:eastAsia="zh-CN"/>
              </w:rPr>
              <w:t>课程</w:t>
            </w:r>
            <w:r>
              <w:rPr>
                <w:rFonts w:hint="eastAsia" w:ascii="宋体" w:hAnsi="宋体" w:eastAsia="宋体" w:cs="宋体"/>
                <w:color w:val="auto"/>
                <w:sz w:val="21"/>
                <w:szCs w:val="21"/>
                <w:highlight w:val="none"/>
                <w:lang w:eastAsia="zh-CN"/>
              </w:rPr>
              <w:t>研究、技术处理、培训、售后服务、税金、保险、招标代理服务费等相关的费用。除合同约定的变更以外，该费用不予增减。供应商自行考虑投标报价会出现的其他风险</w:t>
            </w:r>
            <w:r>
              <w:rPr>
                <w:rFonts w:hint="eastAsia" w:ascii="宋体" w:hAnsi="宋体" w:eastAsia="宋体" w:cs="宋体"/>
                <w:color w:val="auto"/>
                <w:sz w:val="21"/>
                <w:szCs w:val="21"/>
                <w:highlight w:val="none"/>
              </w:rPr>
              <w:t>。</w:t>
            </w:r>
          </w:p>
          <w:p w14:paraId="148B3761">
            <w:pPr>
              <w:keepNext w:val="0"/>
              <w:keepLines w:val="0"/>
              <w:pageBreakBefore w:val="0"/>
              <w:tabs>
                <w:tab w:val="left" w:pos="3490"/>
                <w:tab w:val="left" w:pos="3670"/>
                <w:tab w:val="left" w:pos="3895"/>
              </w:tabs>
              <w:kinsoku/>
              <w:wordWrap/>
              <w:overflowPunct/>
              <w:topLinePunct w:val="0"/>
              <w:autoSpaceDE/>
              <w:autoSpaceDN/>
              <w:bidi w:val="0"/>
              <w:snapToGrid/>
              <w:spacing w:line="360" w:lineRule="auto"/>
              <w:ind w:right="149" w:rightChars="71" w:firstLine="420" w:firstLineChars="200"/>
              <w:textAlignment w:val="auto"/>
              <w:rPr>
                <w:rFonts w:hint="eastAsia" w:ascii="宋体" w:hAnsi="宋体" w:eastAsia="宋体" w:cs="宋体"/>
                <w:color w:val="auto"/>
                <w:spacing w:val="0"/>
                <w:sz w:val="21"/>
                <w:szCs w:val="21"/>
                <w:highlight w:val="none"/>
                <w:lang w:eastAsia="zh-CN"/>
              </w:rPr>
            </w:pPr>
            <w:r>
              <w:rPr>
                <w:rFonts w:hint="eastAsia" w:ascii="宋体" w:hAnsi="宋体" w:cs="宋体"/>
                <w:color w:val="auto"/>
                <w:sz w:val="21"/>
                <w:szCs w:val="21"/>
                <w:highlight w:val="none"/>
                <w:lang w:val="en-US" w:eastAsia="zh-CN"/>
              </w:rPr>
              <w:t>五、</w:t>
            </w:r>
            <w:r>
              <w:rPr>
                <w:rFonts w:hint="eastAsia" w:ascii="宋体" w:hAnsi="宋体" w:eastAsia="宋体" w:cs="宋体"/>
                <w:color w:val="auto"/>
                <w:sz w:val="21"/>
                <w:szCs w:val="21"/>
                <w:highlight w:val="none"/>
              </w:rPr>
              <w:t>付款方式：</w:t>
            </w:r>
          </w:p>
          <w:p w14:paraId="755702DD">
            <w:pPr>
              <w:keepNext w:val="0"/>
              <w:keepLines w:val="0"/>
              <w:pageBreakBefore w:val="0"/>
              <w:tabs>
                <w:tab w:val="left" w:pos="3490"/>
                <w:tab w:val="left" w:pos="3670"/>
                <w:tab w:val="left" w:pos="3895"/>
              </w:tabs>
              <w:kinsoku/>
              <w:wordWrap/>
              <w:overflowPunct/>
              <w:topLinePunct w:val="0"/>
              <w:autoSpaceDE/>
              <w:autoSpaceDN/>
              <w:bidi w:val="0"/>
              <w:snapToGrid/>
              <w:spacing w:line="360" w:lineRule="auto"/>
              <w:ind w:right="149" w:rightChars="71"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（1）合同生效以及具备实施条件后15日内甲方向乙方预付合同金额的30％。</w:t>
            </w:r>
          </w:p>
          <w:p w14:paraId="642C056D">
            <w:pPr>
              <w:keepNext w:val="0"/>
              <w:keepLines w:val="0"/>
              <w:pageBreakBefore w:val="0"/>
              <w:tabs>
                <w:tab w:val="left" w:pos="3490"/>
                <w:tab w:val="left" w:pos="3670"/>
                <w:tab w:val="left" w:pos="3895"/>
              </w:tabs>
              <w:kinsoku/>
              <w:wordWrap/>
              <w:overflowPunct/>
              <w:topLinePunct w:val="0"/>
              <w:autoSpaceDE/>
              <w:autoSpaceDN/>
              <w:bidi w:val="0"/>
              <w:snapToGrid/>
              <w:spacing w:line="360" w:lineRule="auto"/>
              <w:ind w:right="149" w:rightChars="71"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（2）项目验收合格后30日内甲方向乙方支付剩余合同款。</w:t>
            </w:r>
          </w:p>
          <w:p w14:paraId="4F36FDF0">
            <w:pPr>
              <w:keepNext w:val="0"/>
              <w:keepLines w:val="0"/>
              <w:pageBreakBefore w:val="0"/>
              <w:tabs>
                <w:tab w:val="left" w:pos="3490"/>
                <w:tab w:val="left" w:pos="3670"/>
                <w:tab w:val="left" w:pos="3895"/>
              </w:tabs>
              <w:kinsoku/>
              <w:wordWrap/>
              <w:overflowPunct/>
              <w:topLinePunct w:val="0"/>
              <w:autoSpaceDE/>
              <w:autoSpaceDN/>
              <w:bidi w:val="0"/>
              <w:snapToGrid/>
              <w:spacing w:line="360" w:lineRule="auto"/>
              <w:ind w:right="149" w:rightChars="71"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（3）甲方每次支付前，乙方应当为甲方开具当次支付等额发票。</w:t>
            </w:r>
          </w:p>
          <w:p w14:paraId="46E662F3">
            <w:pPr>
              <w:keepNext w:val="0"/>
              <w:keepLines w:val="0"/>
              <w:pageBreakBefore w:val="0"/>
              <w:tabs>
                <w:tab w:val="left" w:pos="3490"/>
                <w:tab w:val="left" w:pos="3670"/>
                <w:tab w:val="left" w:pos="3895"/>
              </w:tabs>
              <w:kinsoku/>
              <w:wordWrap/>
              <w:overflowPunct/>
              <w:topLinePunct w:val="0"/>
              <w:autoSpaceDE/>
              <w:autoSpaceDN/>
              <w:bidi w:val="0"/>
              <w:snapToGrid/>
              <w:spacing w:line="360" w:lineRule="auto"/>
              <w:ind w:right="149" w:rightChars="71"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（4）甲方不得以机构变动、人员更替、政策调整等为由延迟付款，不得将采购文件和合同中未规定的义务作为向乙方付款的条件。</w:t>
            </w:r>
          </w:p>
          <w:p w14:paraId="5A3BCA6C">
            <w:pPr>
              <w:keepNext w:val="0"/>
              <w:keepLines w:val="0"/>
              <w:pageBreakBefore w:val="0"/>
              <w:kinsoku/>
              <w:wordWrap/>
              <w:overflowPunct/>
              <w:topLinePunct w:val="0"/>
              <w:autoSpaceDE/>
              <w:autoSpaceDN/>
              <w:bidi w:val="0"/>
              <w:snapToGrid/>
              <w:spacing w:line="360" w:lineRule="auto"/>
              <w:ind w:right="149" w:rightChars="71" w:firstLine="420" w:firstLineChars="200"/>
              <w:textAlignment w:val="auto"/>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t>六、</w:t>
            </w:r>
            <w:r>
              <w:rPr>
                <w:rFonts w:hint="eastAsia" w:ascii="宋体" w:hAnsi="宋体" w:cs="宋体"/>
                <w:color w:val="auto"/>
                <w:sz w:val="21"/>
                <w:szCs w:val="21"/>
                <w:highlight w:val="none"/>
                <w:lang w:val="en-US" w:eastAsia="zh-CN"/>
              </w:rPr>
              <w:t>验收要求</w:t>
            </w:r>
          </w:p>
          <w:p w14:paraId="3E37FC74">
            <w:pPr>
              <w:keepNext w:val="0"/>
              <w:keepLines w:val="0"/>
              <w:pageBreakBefore w:val="0"/>
              <w:widowControl/>
              <w:shd w:val="clear" w:color="auto" w:fill="FFFFFF"/>
              <w:kinsoku/>
              <w:wordWrap/>
              <w:overflowPunct/>
              <w:topLinePunct w:val="0"/>
              <w:autoSpaceDE/>
              <w:autoSpaceDN/>
              <w:bidi w:val="0"/>
              <w:snapToGrid/>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1、服务成果必须符合行业规范、地方通用标准以及本项目采购需求和采购人的要求。</w:t>
            </w:r>
          </w:p>
          <w:p w14:paraId="3335AFD1">
            <w:pPr>
              <w:keepNext w:val="0"/>
              <w:keepLines w:val="0"/>
              <w:pageBreakBefore w:val="0"/>
              <w:kinsoku/>
              <w:wordWrap/>
              <w:overflowPunct/>
              <w:topLinePunct w:val="0"/>
              <w:autoSpaceDE/>
              <w:autoSpaceDN/>
              <w:bidi w:val="0"/>
              <w:snapToGrid/>
              <w:spacing w:line="360" w:lineRule="auto"/>
              <w:ind w:right="149" w:rightChars="71"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2</w:t>
            </w:r>
            <w:r>
              <w:rPr>
                <w:rFonts w:hint="eastAsia" w:ascii="宋体" w:hAnsi="宋体" w:eastAsia="宋体" w:cs="宋体"/>
                <w:color w:val="auto"/>
                <w:sz w:val="21"/>
                <w:szCs w:val="21"/>
                <w:highlight w:val="none"/>
              </w:rPr>
              <w:t>、验收考核过程中所产生的一切费用均由中标人承担。报价时应考虑相关费用。</w:t>
            </w:r>
          </w:p>
          <w:p w14:paraId="1A639459">
            <w:pPr>
              <w:keepNext w:val="0"/>
              <w:keepLines w:val="0"/>
              <w:pageBreakBefore w:val="0"/>
              <w:kinsoku/>
              <w:wordWrap/>
              <w:overflowPunct/>
              <w:topLinePunct w:val="0"/>
              <w:autoSpaceDE/>
              <w:autoSpaceDN/>
              <w:bidi w:val="0"/>
              <w:snapToGrid/>
              <w:spacing w:line="360" w:lineRule="auto"/>
              <w:ind w:right="149" w:rightChars="71"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3</w:t>
            </w:r>
            <w:r>
              <w:rPr>
                <w:rFonts w:hint="eastAsia" w:ascii="宋体" w:hAnsi="宋体" w:eastAsia="宋体" w:cs="宋体"/>
                <w:color w:val="auto"/>
                <w:sz w:val="21"/>
                <w:szCs w:val="21"/>
                <w:highlight w:val="none"/>
              </w:rPr>
              <w:t>、中标人在服务验收时由采购单位对照公开招标文件及投标文件的功能目标及服务指标全面核对检验，如不符合投标文件的服务承诺和其他承诺以及提供虚假承诺的，按相关规定做违约处理，中标人承担所有责任和费用，采购人保留进一步追究责任的权利。</w:t>
            </w:r>
          </w:p>
          <w:p w14:paraId="7024D809">
            <w:pPr>
              <w:keepNext w:val="0"/>
              <w:keepLines w:val="0"/>
              <w:pageBreakBefore w:val="0"/>
              <w:kinsoku/>
              <w:wordWrap/>
              <w:overflowPunct/>
              <w:topLinePunct w:val="0"/>
              <w:autoSpaceDE/>
              <w:autoSpaceDN/>
              <w:bidi w:val="0"/>
              <w:snapToGrid/>
              <w:spacing w:line="360" w:lineRule="auto"/>
              <w:ind w:firstLine="420" w:firstLineChars="200"/>
              <w:jc w:val="left"/>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七、其他要求：</w:t>
            </w:r>
          </w:p>
          <w:p w14:paraId="2579E7C6">
            <w:pPr>
              <w:keepNext w:val="0"/>
              <w:keepLines w:val="0"/>
              <w:pageBreakBefore w:val="0"/>
              <w:kinsoku/>
              <w:wordWrap/>
              <w:overflowPunct/>
              <w:topLinePunct w:val="0"/>
              <w:autoSpaceDE/>
              <w:autoSpaceDN/>
              <w:bidi w:val="0"/>
              <w:snapToGrid/>
              <w:spacing w:line="360" w:lineRule="auto"/>
              <w:ind w:firstLine="420" w:firstLineChars="200"/>
              <w:jc w:val="left"/>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 xml:space="preserve">1.数据资料归属及保密：本项目所形成的数据和报告归采购人所有。未经采购人授权，不得将数据和报告提供给任何第三方。 </w:t>
            </w:r>
          </w:p>
          <w:p w14:paraId="55912762">
            <w:pPr>
              <w:keepNext w:val="0"/>
              <w:keepLines w:val="0"/>
              <w:pageBreakBefore w:val="0"/>
              <w:kinsoku/>
              <w:wordWrap/>
              <w:overflowPunct/>
              <w:topLinePunct w:val="0"/>
              <w:autoSpaceDE/>
              <w:autoSpaceDN/>
              <w:bidi w:val="0"/>
              <w:snapToGrid/>
              <w:spacing w:line="360" w:lineRule="auto"/>
              <w:ind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2.处理响应时间：供应商提供7×24小时通过远程或上门服务等方式为采购人提供完善的售前和售后技术咨询服务。</w:t>
            </w:r>
          </w:p>
        </w:tc>
      </w:tr>
    </w:tbl>
    <w:p w14:paraId="5DF9D722">
      <w:pPr>
        <w:shd w:val="clear"/>
        <w:spacing w:line="320" w:lineRule="exact"/>
        <w:rPr>
          <w:rFonts w:hint="eastAsia" w:ascii="宋体" w:hAnsi="宋体" w:eastAsia="宋体" w:cs="宋体"/>
          <w:color w:val="auto"/>
          <w:sz w:val="21"/>
          <w:szCs w:val="21"/>
          <w:highlight w:val="none"/>
        </w:rPr>
      </w:pPr>
    </w:p>
    <w:p w14:paraId="6A332EE3">
      <w:pPr>
        <w:pStyle w:val="17"/>
        <w:rPr>
          <w:rFonts w:hint="eastAsia"/>
          <w:color w:val="auto"/>
          <w:highlight w:val="none"/>
        </w:rPr>
        <w:sectPr>
          <w:footerReference r:id="rId6" w:type="default"/>
          <w:pgSz w:w="11905" w:h="16838"/>
          <w:pgMar w:top="1134" w:right="891" w:bottom="1134" w:left="1134" w:header="850" w:footer="850" w:gutter="0"/>
          <w:pgNumType w:fmt="decimal"/>
          <w:cols w:space="0" w:num="1"/>
          <w:titlePg/>
          <w:rtlGutter w:val="0"/>
          <w:docGrid w:linePitch="331" w:charSpace="0"/>
        </w:sectPr>
      </w:pPr>
    </w:p>
    <w:p w14:paraId="7FF698BD">
      <w:pPr>
        <w:rPr>
          <w:rFonts w:hint="eastAsia"/>
          <w:color w:val="auto"/>
          <w:highlight w:val="none"/>
        </w:rPr>
      </w:pPr>
    </w:p>
    <w:tbl>
      <w:tblPr>
        <w:tblStyle w:val="18"/>
        <w:tblW w:w="9576"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545"/>
        <w:gridCol w:w="739"/>
        <w:gridCol w:w="717"/>
        <w:gridCol w:w="5203"/>
        <w:gridCol w:w="1036"/>
        <w:gridCol w:w="1336"/>
      </w:tblGrid>
      <w:tr w14:paraId="01ABC48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16" w:hRule="atLeast"/>
          <w:jc w:val="center"/>
        </w:trPr>
        <w:tc>
          <w:tcPr>
            <w:tcW w:w="9576" w:type="dxa"/>
            <w:gridSpan w:val="6"/>
            <w:tcBorders>
              <w:top w:val="single" w:color="auto" w:sz="4" w:space="0"/>
              <w:left w:val="single" w:color="auto" w:sz="4" w:space="0"/>
              <w:bottom w:val="single" w:color="auto" w:sz="4" w:space="0"/>
              <w:right w:val="single" w:color="auto" w:sz="4" w:space="0"/>
            </w:tcBorders>
            <w:noWrap w:val="0"/>
            <w:tcMar>
              <w:top w:w="0" w:type="dxa"/>
              <w:left w:w="0" w:type="dxa"/>
              <w:bottom w:w="0" w:type="dxa"/>
              <w:right w:w="0" w:type="dxa"/>
            </w:tcMar>
            <w:vAlign w:val="center"/>
          </w:tcPr>
          <w:p w14:paraId="1B1DBF5A">
            <w:pPr>
              <w:keepNext w:val="0"/>
              <w:keepLines w:val="0"/>
              <w:pageBreakBefore w:val="0"/>
              <w:kinsoku/>
              <w:wordWrap/>
              <w:overflowPunct/>
              <w:topLinePunct w:val="0"/>
              <w:autoSpaceDE/>
              <w:autoSpaceDN/>
              <w:bidi w:val="0"/>
              <w:spacing w:line="360" w:lineRule="auto"/>
              <w:jc w:val="both"/>
              <w:textAlignment w:val="auto"/>
              <w:rPr>
                <w:rFonts w:hint="eastAsia" w:ascii="宋体" w:hAnsi="宋体" w:eastAsia="宋体" w:cs="宋体"/>
                <w:color w:val="auto"/>
                <w:sz w:val="21"/>
                <w:szCs w:val="21"/>
                <w:highlight w:val="none"/>
              </w:rPr>
            </w:pPr>
            <w:r>
              <w:rPr>
                <w:rFonts w:hint="eastAsia" w:ascii="宋体" w:hAnsi="宋体" w:eastAsia="宋体" w:cs="宋体"/>
                <w:b/>
                <w:bCs/>
                <w:color w:val="auto"/>
                <w:sz w:val="24"/>
                <w:szCs w:val="24"/>
                <w:highlight w:val="none"/>
                <w:lang w:eastAsia="zh-CN"/>
              </w:rPr>
              <w:t>一、</w:t>
            </w:r>
            <w:r>
              <w:rPr>
                <w:rFonts w:hint="eastAsia" w:ascii="宋体" w:hAnsi="宋体" w:eastAsia="宋体" w:cs="宋体"/>
                <w:b/>
                <w:bCs/>
                <w:color w:val="auto"/>
                <w:sz w:val="24"/>
                <w:szCs w:val="24"/>
                <w:highlight w:val="none"/>
              </w:rPr>
              <w:t>服务需求一览表</w:t>
            </w:r>
          </w:p>
        </w:tc>
      </w:tr>
      <w:tr w14:paraId="6D18FA7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16" w:hRule="atLeast"/>
          <w:jc w:val="center"/>
        </w:trPr>
        <w:tc>
          <w:tcPr>
            <w:tcW w:w="1284" w:type="dxa"/>
            <w:gridSpan w:val="2"/>
            <w:tcBorders>
              <w:top w:val="single" w:color="auto" w:sz="4" w:space="0"/>
              <w:left w:val="single" w:color="auto" w:sz="4" w:space="0"/>
              <w:bottom w:val="single" w:color="auto" w:sz="4" w:space="0"/>
              <w:right w:val="single" w:color="auto" w:sz="4" w:space="0"/>
            </w:tcBorders>
            <w:noWrap w:val="0"/>
            <w:tcMar>
              <w:top w:w="0" w:type="dxa"/>
              <w:left w:w="0" w:type="dxa"/>
              <w:bottom w:w="0" w:type="dxa"/>
              <w:right w:w="0" w:type="dxa"/>
            </w:tcMar>
            <w:vAlign w:val="center"/>
          </w:tcPr>
          <w:p w14:paraId="5A1991CE">
            <w:pPr>
              <w:pStyle w:val="12"/>
              <w:keepNext w:val="0"/>
              <w:keepLines w:val="0"/>
              <w:pageBreakBefore w:val="0"/>
              <w:kinsoku/>
              <w:wordWrap/>
              <w:overflowPunct/>
              <w:topLinePunct w:val="0"/>
              <w:autoSpaceDE/>
              <w:autoSpaceDN/>
              <w:bidi w:val="0"/>
              <w:snapToGrid w:val="0"/>
              <w:spacing w:line="360" w:lineRule="auto"/>
              <w:jc w:val="center"/>
              <w:textAlignment w:val="auto"/>
              <w:rPr>
                <w:rFonts w:hint="eastAsia" w:ascii="宋体" w:hAnsi="宋体" w:eastAsia="宋体" w:cs="宋体"/>
                <w:b/>
                <w:bCs/>
                <w:color w:val="auto"/>
                <w:sz w:val="21"/>
                <w:szCs w:val="21"/>
                <w:highlight w:val="none"/>
                <w:lang w:eastAsia="zh-CN"/>
              </w:rPr>
            </w:pPr>
            <w:r>
              <w:rPr>
                <w:rFonts w:hint="eastAsia" w:ascii="宋体" w:hAnsi="宋体" w:eastAsia="宋体" w:cs="宋体"/>
                <w:b/>
                <w:bCs/>
                <w:color w:val="auto"/>
                <w:sz w:val="21"/>
                <w:szCs w:val="21"/>
                <w:highlight w:val="none"/>
                <w:lang w:eastAsia="zh-CN"/>
              </w:rPr>
              <w:t>标段</w:t>
            </w:r>
          </w:p>
        </w:tc>
        <w:tc>
          <w:tcPr>
            <w:tcW w:w="8292" w:type="dxa"/>
            <w:gridSpan w:val="4"/>
            <w:tcBorders>
              <w:top w:val="single" w:color="auto" w:sz="4" w:space="0"/>
              <w:left w:val="single" w:color="auto" w:sz="4" w:space="0"/>
              <w:bottom w:val="single" w:color="auto" w:sz="4" w:space="0"/>
              <w:right w:val="single" w:color="auto" w:sz="4" w:space="0"/>
            </w:tcBorders>
            <w:noWrap w:val="0"/>
            <w:vAlign w:val="center"/>
          </w:tcPr>
          <w:p w14:paraId="2CE50B37">
            <w:pPr>
              <w:keepNext w:val="0"/>
              <w:keepLines w:val="0"/>
              <w:pageBreakBefore w:val="0"/>
              <w:kinsoku/>
              <w:wordWrap/>
              <w:overflowPunct/>
              <w:topLinePunct w:val="0"/>
              <w:autoSpaceDE/>
              <w:autoSpaceDN/>
              <w:bidi w:val="0"/>
              <w:spacing w:line="360" w:lineRule="auto"/>
              <w:jc w:val="left"/>
              <w:textAlignment w:val="auto"/>
              <w:rPr>
                <w:rFonts w:hint="eastAsia" w:ascii="宋体" w:hAnsi="宋体" w:eastAsia="宋体" w:cs="宋体"/>
                <w:b/>
                <w:bCs/>
                <w:color w:val="auto"/>
                <w:sz w:val="21"/>
                <w:szCs w:val="21"/>
                <w:highlight w:val="none"/>
                <w:lang w:val="en-US" w:eastAsia="zh-CN"/>
              </w:rPr>
            </w:pPr>
            <w:r>
              <w:rPr>
                <w:rFonts w:hint="eastAsia" w:ascii="宋体" w:hAnsi="宋体" w:eastAsia="宋体" w:cs="宋体"/>
                <w:b/>
                <w:bCs/>
                <w:color w:val="auto"/>
                <w:sz w:val="21"/>
                <w:szCs w:val="21"/>
                <w:highlight w:val="none"/>
                <w:lang w:eastAsia="zh-CN"/>
              </w:rPr>
              <w:t>分标</w:t>
            </w:r>
            <w:r>
              <w:rPr>
                <w:rFonts w:hint="eastAsia" w:ascii="宋体" w:hAnsi="宋体" w:cs="宋体"/>
                <w:b/>
                <w:bCs/>
                <w:color w:val="auto"/>
                <w:sz w:val="21"/>
                <w:szCs w:val="21"/>
                <w:highlight w:val="none"/>
                <w:lang w:val="en-US" w:eastAsia="zh-CN"/>
              </w:rPr>
              <w:t>2</w:t>
            </w:r>
          </w:p>
        </w:tc>
      </w:tr>
      <w:tr w14:paraId="0E5C98A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003" w:hRule="atLeast"/>
          <w:jc w:val="center"/>
        </w:trPr>
        <w:tc>
          <w:tcPr>
            <w:tcW w:w="545" w:type="dxa"/>
            <w:tcBorders>
              <w:top w:val="single" w:color="auto" w:sz="4" w:space="0"/>
              <w:left w:val="single" w:color="auto" w:sz="4" w:space="0"/>
              <w:bottom w:val="single" w:color="auto" w:sz="4" w:space="0"/>
              <w:right w:val="single" w:color="auto" w:sz="4" w:space="0"/>
            </w:tcBorders>
            <w:noWrap w:val="0"/>
            <w:tcMar>
              <w:top w:w="0" w:type="dxa"/>
              <w:left w:w="0" w:type="dxa"/>
              <w:bottom w:w="0" w:type="dxa"/>
              <w:right w:w="0" w:type="dxa"/>
            </w:tcMar>
            <w:vAlign w:val="center"/>
          </w:tcPr>
          <w:p w14:paraId="26CCEC23">
            <w:pPr>
              <w:keepNext w:val="0"/>
              <w:keepLines w:val="0"/>
              <w:pageBreakBefore w:val="0"/>
              <w:kinsoku/>
              <w:wordWrap/>
              <w:overflowPunct/>
              <w:topLinePunct w:val="0"/>
              <w:autoSpaceDE/>
              <w:autoSpaceDN/>
              <w:bidi w:val="0"/>
              <w:spacing w:line="360" w:lineRule="auto"/>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序号</w:t>
            </w:r>
          </w:p>
        </w:tc>
        <w:tc>
          <w:tcPr>
            <w:tcW w:w="739" w:type="dxa"/>
            <w:tcBorders>
              <w:top w:val="single" w:color="auto" w:sz="4" w:space="0"/>
              <w:left w:val="single" w:color="auto" w:sz="4" w:space="0"/>
              <w:bottom w:val="single" w:color="auto" w:sz="4" w:space="0"/>
              <w:right w:val="single" w:color="auto" w:sz="4" w:space="0"/>
            </w:tcBorders>
            <w:noWrap w:val="0"/>
            <w:vAlign w:val="center"/>
          </w:tcPr>
          <w:p w14:paraId="00D41724">
            <w:pPr>
              <w:pStyle w:val="12"/>
              <w:keepNext w:val="0"/>
              <w:keepLines w:val="0"/>
              <w:pageBreakBefore w:val="0"/>
              <w:kinsoku/>
              <w:wordWrap/>
              <w:overflowPunct/>
              <w:topLinePunct w:val="0"/>
              <w:autoSpaceDE/>
              <w:autoSpaceDN/>
              <w:bidi w:val="0"/>
              <w:snapToGrid w:val="0"/>
              <w:spacing w:line="360" w:lineRule="auto"/>
              <w:jc w:val="center"/>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标的名称</w:t>
            </w:r>
          </w:p>
        </w:tc>
        <w:tc>
          <w:tcPr>
            <w:tcW w:w="717" w:type="dxa"/>
            <w:tcBorders>
              <w:top w:val="single" w:color="auto" w:sz="4" w:space="0"/>
              <w:left w:val="single" w:color="auto" w:sz="4" w:space="0"/>
              <w:bottom w:val="single" w:color="auto" w:sz="4" w:space="0"/>
              <w:right w:val="single" w:color="auto" w:sz="4" w:space="0"/>
            </w:tcBorders>
            <w:noWrap w:val="0"/>
            <w:vAlign w:val="center"/>
          </w:tcPr>
          <w:p w14:paraId="7DB44517">
            <w:pPr>
              <w:pStyle w:val="12"/>
              <w:keepNext w:val="0"/>
              <w:keepLines w:val="0"/>
              <w:pageBreakBefore w:val="0"/>
              <w:kinsoku/>
              <w:wordWrap/>
              <w:overflowPunct/>
              <w:topLinePunct w:val="0"/>
              <w:autoSpaceDE/>
              <w:autoSpaceDN/>
              <w:bidi w:val="0"/>
              <w:snapToGrid w:val="0"/>
              <w:spacing w:line="360" w:lineRule="auto"/>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数量及</w:t>
            </w:r>
            <w:r>
              <w:rPr>
                <w:rFonts w:hint="eastAsia" w:hAnsi="宋体" w:cs="宋体"/>
                <w:color w:val="auto"/>
                <w:sz w:val="21"/>
                <w:szCs w:val="21"/>
                <w:highlight w:val="none"/>
                <w:lang w:eastAsia="zh-CN"/>
              </w:rPr>
              <w:t>单</w:t>
            </w:r>
            <w:r>
              <w:rPr>
                <w:rFonts w:hint="eastAsia" w:ascii="宋体" w:hAnsi="宋体" w:eastAsia="宋体" w:cs="宋体"/>
                <w:color w:val="auto"/>
                <w:sz w:val="21"/>
                <w:szCs w:val="21"/>
                <w:highlight w:val="none"/>
              </w:rPr>
              <w:t>位</w:t>
            </w:r>
          </w:p>
        </w:tc>
        <w:tc>
          <w:tcPr>
            <w:tcW w:w="5203" w:type="dxa"/>
            <w:tcBorders>
              <w:top w:val="single" w:color="auto" w:sz="4" w:space="0"/>
              <w:left w:val="single" w:color="auto" w:sz="4" w:space="0"/>
              <w:bottom w:val="single" w:color="auto" w:sz="4" w:space="0"/>
              <w:right w:val="single" w:color="auto" w:sz="4" w:space="0"/>
            </w:tcBorders>
            <w:noWrap w:val="0"/>
            <w:vAlign w:val="center"/>
          </w:tcPr>
          <w:p w14:paraId="11697F91">
            <w:pPr>
              <w:keepNext w:val="0"/>
              <w:keepLines w:val="0"/>
              <w:pageBreakBefore w:val="0"/>
              <w:kinsoku/>
              <w:wordWrap/>
              <w:overflowPunct/>
              <w:topLinePunct w:val="0"/>
              <w:autoSpaceDE/>
              <w:autoSpaceDN/>
              <w:bidi w:val="0"/>
              <w:spacing w:line="360" w:lineRule="auto"/>
              <w:jc w:val="center"/>
              <w:textAlignment w:val="auto"/>
              <w:rPr>
                <w:rFonts w:hint="eastAsia" w:ascii="宋体" w:hAnsi="宋体" w:eastAsia="宋体" w:cs="宋体"/>
                <w:color w:val="auto"/>
                <w:sz w:val="21"/>
                <w:szCs w:val="21"/>
                <w:highlight w:val="none"/>
                <w:lang w:eastAsia="zh-CN"/>
              </w:rPr>
            </w:pPr>
            <w:r>
              <w:rPr>
                <w:rFonts w:hint="eastAsia" w:ascii="宋体" w:hAnsi="宋体" w:cs="宋体"/>
                <w:color w:val="auto"/>
                <w:sz w:val="21"/>
                <w:szCs w:val="21"/>
                <w:highlight w:val="none"/>
                <w:lang w:eastAsia="zh-CN"/>
              </w:rPr>
              <w:t>服务参数</w:t>
            </w:r>
          </w:p>
        </w:tc>
        <w:tc>
          <w:tcPr>
            <w:tcW w:w="1036" w:type="dxa"/>
            <w:tcBorders>
              <w:top w:val="single" w:color="auto" w:sz="4" w:space="0"/>
              <w:left w:val="single" w:color="auto" w:sz="4" w:space="0"/>
              <w:bottom w:val="single" w:color="auto" w:sz="4" w:space="0"/>
              <w:right w:val="single" w:color="auto" w:sz="4" w:space="0"/>
            </w:tcBorders>
            <w:noWrap w:val="0"/>
            <w:vAlign w:val="center"/>
          </w:tcPr>
          <w:p w14:paraId="6AEA920F">
            <w:pPr>
              <w:keepNext w:val="0"/>
              <w:keepLines w:val="0"/>
              <w:pageBreakBefore w:val="0"/>
              <w:kinsoku/>
              <w:wordWrap/>
              <w:overflowPunct/>
              <w:topLinePunct w:val="0"/>
              <w:autoSpaceDE/>
              <w:autoSpaceDN/>
              <w:bidi w:val="0"/>
              <w:spacing w:line="360" w:lineRule="auto"/>
              <w:jc w:val="center"/>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预算金额（万元）</w:t>
            </w:r>
          </w:p>
        </w:tc>
        <w:tc>
          <w:tcPr>
            <w:tcW w:w="1336" w:type="dxa"/>
            <w:tcBorders>
              <w:top w:val="single" w:color="auto" w:sz="4" w:space="0"/>
              <w:left w:val="single" w:color="auto" w:sz="4" w:space="0"/>
              <w:bottom w:val="single" w:color="auto" w:sz="4" w:space="0"/>
              <w:right w:val="single" w:color="auto" w:sz="4" w:space="0"/>
            </w:tcBorders>
            <w:noWrap w:val="0"/>
            <w:vAlign w:val="center"/>
          </w:tcPr>
          <w:p w14:paraId="5034902C">
            <w:pPr>
              <w:keepNext w:val="0"/>
              <w:keepLines w:val="0"/>
              <w:pageBreakBefore w:val="0"/>
              <w:kinsoku/>
              <w:wordWrap/>
              <w:overflowPunct/>
              <w:topLinePunct w:val="0"/>
              <w:autoSpaceDE/>
              <w:autoSpaceDN/>
              <w:bidi w:val="0"/>
              <w:spacing w:line="360" w:lineRule="auto"/>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中小企业划分标准所属行业名称</w:t>
            </w:r>
          </w:p>
        </w:tc>
      </w:tr>
      <w:tr w14:paraId="5C3E838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07" w:hRule="atLeast"/>
          <w:jc w:val="center"/>
        </w:trPr>
        <w:tc>
          <w:tcPr>
            <w:tcW w:w="545" w:type="dxa"/>
            <w:tcBorders>
              <w:left w:val="single" w:color="auto" w:sz="4" w:space="0"/>
              <w:bottom w:val="single" w:color="auto" w:sz="4" w:space="0"/>
              <w:right w:val="single" w:color="auto" w:sz="4" w:space="0"/>
            </w:tcBorders>
            <w:noWrap w:val="0"/>
            <w:vAlign w:val="center"/>
          </w:tcPr>
          <w:p w14:paraId="49233763">
            <w:pPr>
              <w:keepNext w:val="0"/>
              <w:keepLines w:val="0"/>
              <w:pageBreakBefore w:val="0"/>
              <w:kinsoku/>
              <w:wordWrap/>
              <w:overflowPunct/>
              <w:topLinePunct w:val="0"/>
              <w:autoSpaceDE/>
              <w:autoSpaceDN/>
              <w:bidi w:val="0"/>
              <w:spacing w:line="360" w:lineRule="auto"/>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w:t>
            </w:r>
          </w:p>
        </w:tc>
        <w:tc>
          <w:tcPr>
            <w:tcW w:w="739" w:type="dxa"/>
            <w:tcBorders>
              <w:left w:val="single" w:color="auto" w:sz="4" w:space="0"/>
              <w:bottom w:val="single" w:color="auto" w:sz="4" w:space="0"/>
              <w:right w:val="single" w:color="auto" w:sz="4" w:space="0"/>
            </w:tcBorders>
            <w:noWrap w:val="0"/>
            <w:vAlign w:val="center"/>
          </w:tcPr>
          <w:p w14:paraId="4F9DE6FB">
            <w:pPr>
              <w:keepNext w:val="0"/>
              <w:keepLines w:val="0"/>
              <w:pageBreakBefore w:val="0"/>
              <w:kinsoku/>
              <w:wordWrap/>
              <w:overflowPunct/>
              <w:topLinePunct w:val="0"/>
              <w:autoSpaceDE/>
              <w:autoSpaceDN/>
              <w:bidi w:val="0"/>
              <w:spacing w:line="360" w:lineRule="auto"/>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技能大赛参赛能力提升培训</w:t>
            </w:r>
          </w:p>
        </w:tc>
        <w:tc>
          <w:tcPr>
            <w:tcW w:w="717" w:type="dxa"/>
            <w:tcBorders>
              <w:top w:val="single" w:color="auto" w:sz="4" w:space="0"/>
              <w:left w:val="single" w:color="auto" w:sz="4" w:space="0"/>
              <w:bottom w:val="single" w:color="auto" w:sz="4" w:space="0"/>
              <w:right w:val="single" w:color="auto" w:sz="4" w:space="0"/>
            </w:tcBorders>
            <w:noWrap w:val="0"/>
            <w:vAlign w:val="center"/>
          </w:tcPr>
          <w:p w14:paraId="02D09329">
            <w:pPr>
              <w:keepNext w:val="0"/>
              <w:keepLines w:val="0"/>
              <w:pageBreakBefore w:val="0"/>
              <w:kinsoku/>
              <w:wordWrap/>
              <w:overflowPunct/>
              <w:topLinePunct w:val="0"/>
              <w:autoSpaceDE/>
              <w:autoSpaceDN/>
              <w:bidi w:val="0"/>
              <w:spacing w:line="360" w:lineRule="auto"/>
              <w:jc w:val="center"/>
              <w:textAlignment w:val="auto"/>
              <w:rPr>
                <w:rFonts w:hint="eastAsia" w:ascii="宋体" w:hAnsi="宋体" w:eastAsia="宋体" w:cs="宋体"/>
                <w:color w:val="auto"/>
                <w:sz w:val="21"/>
                <w:szCs w:val="21"/>
                <w:highlight w:val="none"/>
              </w:rPr>
            </w:pPr>
            <w:r>
              <w:rPr>
                <w:rFonts w:hint="eastAsia" w:ascii="宋体" w:hAnsi="宋体" w:cs="宋体"/>
                <w:color w:val="auto"/>
                <w:sz w:val="21"/>
                <w:szCs w:val="21"/>
                <w:highlight w:val="none"/>
                <w:lang w:val="en-US" w:eastAsia="zh-CN"/>
              </w:rPr>
              <w:t>8</w:t>
            </w:r>
            <w:r>
              <w:rPr>
                <w:rFonts w:hint="eastAsia" w:ascii="宋体" w:hAnsi="宋体" w:eastAsia="宋体" w:cs="宋体"/>
                <w:color w:val="auto"/>
                <w:sz w:val="21"/>
                <w:szCs w:val="21"/>
                <w:highlight w:val="none"/>
              </w:rPr>
              <w:t>项</w:t>
            </w:r>
          </w:p>
        </w:tc>
        <w:tc>
          <w:tcPr>
            <w:tcW w:w="5203" w:type="dxa"/>
            <w:tcBorders>
              <w:top w:val="single" w:color="auto" w:sz="4" w:space="0"/>
              <w:left w:val="single" w:color="auto" w:sz="4" w:space="0"/>
              <w:bottom w:val="single" w:color="auto" w:sz="4" w:space="0"/>
              <w:right w:val="single" w:color="auto" w:sz="4" w:space="0"/>
            </w:tcBorders>
            <w:noWrap w:val="0"/>
            <w:vAlign w:val="center"/>
          </w:tcPr>
          <w:p w14:paraId="126AC4B2">
            <w:pPr>
              <w:keepNext w:val="0"/>
              <w:keepLines w:val="0"/>
              <w:pageBreakBefore w:val="0"/>
              <w:kinsoku/>
              <w:wordWrap/>
              <w:overflowPunct/>
              <w:topLinePunct w:val="0"/>
              <w:autoSpaceDE/>
              <w:autoSpaceDN/>
              <w:bidi w:val="0"/>
              <w:spacing w:line="360" w:lineRule="auto"/>
              <w:jc w:val="both"/>
              <w:textAlignment w:val="auto"/>
              <w:rPr>
                <w:rFonts w:hint="eastAsia" w:ascii="宋体" w:hAnsi="宋体" w:cs="宋体"/>
                <w:color w:val="auto"/>
                <w:sz w:val="21"/>
                <w:szCs w:val="21"/>
                <w:highlight w:val="none"/>
                <w:lang w:eastAsia="zh-CN"/>
              </w:rPr>
            </w:pPr>
            <w:r>
              <w:rPr>
                <w:rFonts w:hint="eastAsia" w:ascii="宋体" w:hAnsi="宋体" w:eastAsia="宋体" w:cs="宋体"/>
                <w:color w:val="auto"/>
                <w:sz w:val="21"/>
                <w:szCs w:val="21"/>
                <w:highlight w:val="none"/>
              </w:rPr>
              <w:t>指导学生参加省部级以上技能大赛8项</w:t>
            </w:r>
            <w:r>
              <w:rPr>
                <w:rFonts w:hint="eastAsia" w:ascii="宋体" w:hAnsi="宋体" w:cs="宋体"/>
                <w:color w:val="auto"/>
                <w:sz w:val="21"/>
                <w:szCs w:val="21"/>
                <w:highlight w:val="none"/>
                <w:lang w:eastAsia="zh-CN"/>
              </w:rPr>
              <w:t>。</w:t>
            </w:r>
          </w:p>
          <w:p w14:paraId="2B77AD17">
            <w:pPr>
              <w:keepNext w:val="0"/>
              <w:keepLines w:val="0"/>
              <w:pageBreakBefore w:val="0"/>
              <w:kinsoku/>
              <w:wordWrap/>
              <w:overflowPunct/>
              <w:topLinePunct w:val="0"/>
              <w:autoSpaceDE/>
              <w:autoSpaceDN/>
              <w:bidi w:val="0"/>
              <w:spacing w:line="360" w:lineRule="auto"/>
              <w:jc w:val="both"/>
              <w:textAlignment w:val="auto"/>
              <w:rPr>
                <w:rFonts w:hint="eastAsia" w:ascii="宋体" w:hAnsi="宋体" w:cs="宋体"/>
                <w:b/>
                <w:bCs/>
                <w:color w:val="auto"/>
                <w:sz w:val="21"/>
                <w:szCs w:val="21"/>
                <w:highlight w:val="none"/>
                <w:lang w:eastAsia="zh-CN"/>
              </w:rPr>
            </w:pPr>
            <w:r>
              <w:rPr>
                <w:rFonts w:hint="eastAsia" w:ascii="宋体" w:hAnsi="宋体" w:cs="宋体"/>
                <w:b/>
                <w:bCs/>
                <w:color w:val="auto"/>
                <w:sz w:val="21"/>
                <w:szCs w:val="21"/>
                <w:highlight w:val="none"/>
                <w:lang w:eastAsia="zh-CN"/>
              </w:rPr>
              <w:t>一、服务内容</w:t>
            </w:r>
          </w:p>
          <w:p w14:paraId="39EB0A8B">
            <w:pPr>
              <w:keepNext w:val="0"/>
              <w:keepLines w:val="0"/>
              <w:pageBreakBefore w:val="0"/>
              <w:kinsoku/>
              <w:wordWrap/>
              <w:overflowPunct/>
              <w:topLinePunct w:val="0"/>
              <w:autoSpaceDE/>
              <w:autoSpaceDN/>
              <w:bidi w:val="0"/>
              <w:spacing w:line="360" w:lineRule="auto"/>
              <w:jc w:val="both"/>
              <w:textAlignment w:val="auto"/>
              <w:rPr>
                <w:rFonts w:hint="eastAsia" w:ascii="宋体" w:hAnsi="宋体" w:cs="宋体"/>
                <w:color w:val="auto"/>
                <w:sz w:val="21"/>
                <w:szCs w:val="21"/>
                <w:highlight w:val="none"/>
                <w:lang w:eastAsia="zh-CN"/>
              </w:rPr>
            </w:pPr>
            <w:r>
              <w:rPr>
                <w:rFonts w:hint="eastAsia" w:ascii="宋体" w:hAnsi="宋体" w:cs="宋体"/>
                <w:color w:val="auto"/>
                <w:sz w:val="21"/>
                <w:szCs w:val="21"/>
                <w:highlight w:val="none"/>
                <w:lang w:eastAsia="zh-CN"/>
              </w:rPr>
              <w:t>1.聘请专家指导学生参加广西职业院校技能大赛</w:t>
            </w:r>
            <w:r>
              <w:rPr>
                <w:rFonts w:hint="eastAsia" w:ascii="宋体" w:hAnsi="宋体" w:cs="宋体"/>
                <w:color w:val="auto"/>
                <w:sz w:val="21"/>
                <w:szCs w:val="21"/>
                <w:highlight w:val="none"/>
                <w:lang w:val="en-US" w:eastAsia="zh-CN"/>
              </w:rPr>
              <w:t>6项</w:t>
            </w:r>
            <w:r>
              <w:rPr>
                <w:rFonts w:hint="eastAsia" w:ascii="宋体" w:hAnsi="宋体" w:cs="宋体"/>
                <w:color w:val="auto"/>
                <w:sz w:val="21"/>
                <w:szCs w:val="21"/>
                <w:highlight w:val="none"/>
                <w:lang w:eastAsia="zh-CN"/>
              </w:rPr>
              <w:t>。若有项目能进入全国职业院校技能大赛，则继续指导该项目，提升学生的参赛水平。</w:t>
            </w:r>
          </w:p>
          <w:p w14:paraId="2BFC8731">
            <w:pPr>
              <w:keepNext w:val="0"/>
              <w:keepLines w:val="0"/>
              <w:pageBreakBefore w:val="0"/>
              <w:kinsoku/>
              <w:wordWrap/>
              <w:overflowPunct/>
              <w:topLinePunct w:val="0"/>
              <w:autoSpaceDE/>
              <w:autoSpaceDN/>
              <w:bidi w:val="0"/>
              <w:spacing w:line="360" w:lineRule="auto"/>
              <w:jc w:val="both"/>
              <w:textAlignment w:val="auto"/>
              <w:rPr>
                <w:rFonts w:hint="eastAsia" w:ascii="宋体" w:hAnsi="宋体" w:cs="宋体"/>
                <w:strike/>
                <w:dstrike w:val="0"/>
                <w:color w:val="auto"/>
                <w:sz w:val="21"/>
                <w:szCs w:val="21"/>
                <w:highlight w:val="none"/>
                <w:lang w:eastAsia="zh-CN"/>
              </w:rPr>
            </w:pPr>
            <w:r>
              <w:rPr>
                <w:rFonts w:hint="eastAsia" w:ascii="宋体" w:hAnsi="宋体" w:cs="宋体"/>
                <w:strike w:val="0"/>
                <w:dstrike w:val="0"/>
                <w:color w:val="auto"/>
                <w:sz w:val="21"/>
                <w:szCs w:val="21"/>
                <w:highlight w:val="none"/>
                <w:lang w:eastAsia="zh-CN"/>
              </w:rPr>
              <w:t>2.聘请专家指导老师及学生参加广西院校创新创业大赛</w:t>
            </w:r>
            <w:r>
              <w:rPr>
                <w:rFonts w:hint="eastAsia" w:ascii="宋体" w:hAnsi="宋体" w:cs="宋体"/>
                <w:strike w:val="0"/>
                <w:dstrike w:val="0"/>
                <w:color w:val="auto"/>
                <w:sz w:val="21"/>
                <w:szCs w:val="21"/>
                <w:highlight w:val="none"/>
                <w:lang w:val="en-US" w:eastAsia="zh-CN"/>
              </w:rPr>
              <w:t>2项</w:t>
            </w:r>
            <w:r>
              <w:rPr>
                <w:rFonts w:hint="eastAsia" w:ascii="宋体" w:hAnsi="宋体" w:cs="宋体"/>
                <w:strike w:val="0"/>
                <w:dstrike w:val="0"/>
                <w:color w:val="auto"/>
                <w:sz w:val="21"/>
                <w:szCs w:val="21"/>
                <w:highlight w:val="none"/>
                <w:lang w:eastAsia="zh-CN"/>
              </w:rPr>
              <w:t>，若有项目能进入国赛，则继续指导该项目，提升老师及学生的参赛水平。</w:t>
            </w:r>
          </w:p>
          <w:p w14:paraId="7F39C88E">
            <w:pPr>
              <w:keepNext w:val="0"/>
              <w:keepLines w:val="0"/>
              <w:pageBreakBefore w:val="0"/>
              <w:kinsoku/>
              <w:wordWrap/>
              <w:overflowPunct/>
              <w:topLinePunct w:val="0"/>
              <w:autoSpaceDE/>
              <w:autoSpaceDN/>
              <w:bidi w:val="0"/>
              <w:spacing w:line="360" w:lineRule="auto"/>
              <w:jc w:val="both"/>
              <w:textAlignment w:val="auto"/>
              <w:rPr>
                <w:rFonts w:hint="eastAsia" w:ascii="宋体" w:hAnsi="宋体" w:cs="宋体"/>
                <w:b/>
                <w:bCs/>
                <w:color w:val="auto"/>
                <w:sz w:val="21"/>
                <w:szCs w:val="21"/>
                <w:highlight w:val="none"/>
                <w:lang w:eastAsia="zh-CN"/>
              </w:rPr>
            </w:pPr>
            <w:r>
              <w:rPr>
                <w:rFonts w:hint="eastAsia" w:ascii="宋体" w:hAnsi="宋体" w:cs="宋体"/>
                <w:b/>
                <w:bCs/>
                <w:color w:val="auto"/>
                <w:sz w:val="21"/>
                <w:szCs w:val="21"/>
                <w:highlight w:val="none"/>
                <w:lang w:eastAsia="zh-CN"/>
              </w:rPr>
              <w:t>二、服务要求</w:t>
            </w:r>
          </w:p>
          <w:p w14:paraId="3B70301F">
            <w:pPr>
              <w:keepNext w:val="0"/>
              <w:keepLines w:val="0"/>
              <w:pageBreakBefore w:val="0"/>
              <w:kinsoku/>
              <w:wordWrap/>
              <w:overflowPunct/>
              <w:topLinePunct w:val="0"/>
              <w:autoSpaceDE/>
              <w:autoSpaceDN/>
              <w:bidi w:val="0"/>
              <w:spacing w:line="360" w:lineRule="auto"/>
              <w:jc w:val="both"/>
              <w:textAlignment w:val="auto"/>
              <w:rPr>
                <w:rFonts w:hint="eastAsia" w:ascii="宋体" w:hAnsi="宋体" w:cs="宋体"/>
                <w:color w:val="auto"/>
                <w:sz w:val="21"/>
                <w:szCs w:val="21"/>
                <w:highlight w:val="none"/>
                <w:lang w:eastAsia="zh-CN"/>
              </w:rPr>
            </w:pPr>
            <w:r>
              <w:rPr>
                <w:rFonts w:hint="eastAsia" w:ascii="宋体" w:hAnsi="宋体" w:cs="宋体"/>
                <w:color w:val="auto"/>
                <w:sz w:val="21"/>
                <w:szCs w:val="21"/>
                <w:highlight w:val="none"/>
                <w:lang w:eastAsia="zh-CN"/>
              </w:rPr>
              <w:t>1.聘请具有国赛（比赛需由教育部、人力资源和社会保障部、工业和信息化部、国家发展和改革委员会四部委牵头或联合主办）参赛指导经验的专家或国赛带赛获奖教师指导师生提升技能，线下指导时间为10天，每天6课时，根据采购人要求安排时间；线上指导时间为1个月；专家须具有副高以上职称并具有高级技师，其职称专业大类应由采购人决定。比赛前45天进行大赛解读与获奖案例分析、对应赛道解读与备赛。</w:t>
            </w:r>
          </w:p>
          <w:p w14:paraId="19A257AF">
            <w:pPr>
              <w:keepNext w:val="0"/>
              <w:keepLines w:val="0"/>
              <w:pageBreakBefore w:val="0"/>
              <w:kinsoku/>
              <w:wordWrap/>
              <w:overflowPunct/>
              <w:topLinePunct w:val="0"/>
              <w:autoSpaceDE/>
              <w:autoSpaceDN/>
              <w:bidi w:val="0"/>
              <w:spacing w:line="360" w:lineRule="auto"/>
              <w:jc w:val="both"/>
              <w:textAlignment w:val="auto"/>
              <w:rPr>
                <w:rFonts w:hint="eastAsia" w:ascii="宋体" w:hAnsi="宋体" w:cs="宋体"/>
                <w:color w:val="auto"/>
                <w:sz w:val="21"/>
                <w:szCs w:val="21"/>
                <w:highlight w:val="none"/>
                <w:lang w:eastAsia="zh-CN"/>
              </w:rPr>
            </w:pPr>
            <w:r>
              <w:rPr>
                <w:rFonts w:hint="eastAsia" w:ascii="宋体" w:hAnsi="宋体" w:cs="宋体"/>
                <w:color w:val="auto"/>
                <w:sz w:val="21"/>
                <w:szCs w:val="21"/>
                <w:highlight w:val="none"/>
                <w:lang w:val="en-US" w:eastAsia="zh-CN"/>
              </w:rPr>
              <w:t>2</w:t>
            </w:r>
            <w:r>
              <w:rPr>
                <w:rFonts w:hint="eastAsia" w:ascii="宋体" w:hAnsi="宋体" w:cs="宋体"/>
                <w:color w:val="auto"/>
                <w:sz w:val="21"/>
                <w:szCs w:val="21"/>
                <w:highlight w:val="none"/>
                <w:lang w:eastAsia="zh-CN"/>
              </w:rPr>
              <w:t>.所聘请专家</w:t>
            </w:r>
            <w:r>
              <w:rPr>
                <w:rFonts w:hint="eastAsia" w:ascii="宋体" w:hAnsi="宋体" w:cs="宋体"/>
                <w:color w:val="auto"/>
                <w:sz w:val="21"/>
                <w:szCs w:val="21"/>
                <w:highlight w:val="none"/>
                <w:lang w:val="en-US" w:eastAsia="zh-CN"/>
              </w:rPr>
              <w:t>全程</w:t>
            </w:r>
            <w:r>
              <w:rPr>
                <w:rFonts w:hint="eastAsia" w:ascii="宋体" w:hAnsi="宋体" w:cs="宋体"/>
                <w:color w:val="auto"/>
                <w:sz w:val="21"/>
                <w:szCs w:val="21"/>
                <w:highlight w:val="none"/>
                <w:lang w:eastAsia="zh-CN"/>
              </w:rPr>
              <w:t>提供在线答疑。</w:t>
            </w:r>
          </w:p>
          <w:p w14:paraId="23B2BB18">
            <w:pPr>
              <w:keepNext w:val="0"/>
              <w:keepLines w:val="0"/>
              <w:pageBreakBefore w:val="0"/>
              <w:kinsoku/>
              <w:wordWrap/>
              <w:overflowPunct/>
              <w:topLinePunct w:val="0"/>
              <w:autoSpaceDE/>
              <w:autoSpaceDN/>
              <w:bidi w:val="0"/>
              <w:spacing w:line="360" w:lineRule="auto"/>
              <w:jc w:val="both"/>
              <w:textAlignment w:val="auto"/>
              <w:rPr>
                <w:rFonts w:hint="eastAsia" w:ascii="宋体" w:hAnsi="宋体" w:cs="宋体"/>
                <w:b/>
                <w:bCs/>
                <w:color w:val="auto"/>
                <w:sz w:val="21"/>
                <w:szCs w:val="21"/>
                <w:highlight w:val="none"/>
                <w:lang w:eastAsia="zh-CN"/>
              </w:rPr>
            </w:pPr>
            <w:r>
              <w:rPr>
                <w:rFonts w:hint="eastAsia" w:ascii="宋体" w:hAnsi="宋体" w:cs="宋体"/>
                <w:b/>
                <w:bCs/>
                <w:color w:val="auto"/>
                <w:sz w:val="21"/>
                <w:szCs w:val="21"/>
                <w:highlight w:val="none"/>
                <w:lang w:eastAsia="zh-CN"/>
              </w:rPr>
              <w:t>三、指导专家资质要求</w:t>
            </w:r>
          </w:p>
          <w:p w14:paraId="5DA4E439">
            <w:pPr>
              <w:keepNext w:val="0"/>
              <w:keepLines w:val="0"/>
              <w:pageBreakBefore w:val="0"/>
              <w:kinsoku/>
              <w:wordWrap/>
              <w:overflowPunct/>
              <w:topLinePunct w:val="0"/>
              <w:autoSpaceDE/>
              <w:autoSpaceDN/>
              <w:bidi w:val="0"/>
              <w:spacing w:line="360" w:lineRule="auto"/>
              <w:jc w:val="both"/>
              <w:textAlignment w:val="auto"/>
              <w:rPr>
                <w:rFonts w:hint="eastAsia" w:ascii="宋体" w:hAnsi="宋体" w:cs="宋体"/>
                <w:color w:val="auto"/>
                <w:sz w:val="21"/>
                <w:szCs w:val="21"/>
                <w:highlight w:val="none"/>
                <w:lang w:eastAsia="zh-CN"/>
              </w:rPr>
            </w:pPr>
            <w:r>
              <w:rPr>
                <w:rFonts w:hint="eastAsia" w:ascii="宋体" w:hAnsi="宋体" w:cs="宋体"/>
                <w:color w:val="auto"/>
                <w:sz w:val="21"/>
                <w:szCs w:val="21"/>
                <w:highlight w:val="none"/>
                <w:lang w:val="en-US" w:eastAsia="zh-CN"/>
              </w:rPr>
              <w:t>具备正</w:t>
            </w:r>
            <w:r>
              <w:rPr>
                <w:rFonts w:hint="eastAsia" w:ascii="宋体" w:hAnsi="宋体" w:cs="宋体"/>
                <w:color w:val="auto"/>
                <w:sz w:val="21"/>
                <w:szCs w:val="21"/>
                <w:highlight w:val="none"/>
                <w:lang w:eastAsia="zh-CN"/>
              </w:rPr>
              <w:t>高级职称或省级技术能手或近五年获国家级一类大赛铜奖以上选手，擅长领域与采购人参赛项目相对应。</w:t>
            </w:r>
          </w:p>
        </w:tc>
        <w:tc>
          <w:tcPr>
            <w:tcW w:w="1036" w:type="dxa"/>
            <w:tcBorders>
              <w:top w:val="single" w:color="auto" w:sz="4" w:space="0"/>
              <w:left w:val="single" w:color="auto" w:sz="4" w:space="0"/>
              <w:bottom w:val="single" w:color="auto" w:sz="4" w:space="0"/>
              <w:right w:val="single" w:color="auto" w:sz="4" w:space="0"/>
            </w:tcBorders>
            <w:noWrap w:val="0"/>
            <w:vAlign w:val="center"/>
          </w:tcPr>
          <w:p w14:paraId="4708B5C8">
            <w:pPr>
              <w:keepNext w:val="0"/>
              <w:keepLines w:val="0"/>
              <w:pageBreakBefore w:val="0"/>
              <w:kinsoku/>
              <w:wordWrap/>
              <w:overflowPunct/>
              <w:topLinePunct w:val="0"/>
              <w:autoSpaceDE/>
              <w:autoSpaceDN/>
              <w:bidi w:val="0"/>
              <w:spacing w:line="360" w:lineRule="auto"/>
              <w:ind w:right="19" w:rightChars="9"/>
              <w:jc w:val="center"/>
              <w:textAlignment w:val="auto"/>
              <w:rPr>
                <w:rFonts w:hint="default"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22.00</w:t>
            </w:r>
          </w:p>
        </w:tc>
        <w:tc>
          <w:tcPr>
            <w:tcW w:w="1336" w:type="dxa"/>
            <w:tcBorders>
              <w:top w:val="single" w:color="auto" w:sz="4" w:space="0"/>
              <w:left w:val="single" w:color="auto" w:sz="4" w:space="0"/>
              <w:bottom w:val="single" w:color="auto" w:sz="4" w:space="0"/>
              <w:right w:val="single" w:color="auto" w:sz="4" w:space="0"/>
            </w:tcBorders>
            <w:noWrap w:val="0"/>
            <w:vAlign w:val="center"/>
          </w:tcPr>
          <w:p w14:paraId="7DF75935">
            <w:pPr>
              <w:keepNext w:val="0"/>
              <w:keepLines w:val="0"/>
              <w:pageBreakBefore w:val="0"/>
              <w:kinsoku/>
              <w:wordWrap/>
              <w:overflowPunct/>
              <w:topLinePunct w:val="0"/>
              <w:autoSpaceDE/>
              <w:autoSpaceDN/>
              <w:bidi w:val="0"/>
              <w:spacing w:line="360" w:lineRule="auto"/>
              <w:ind w:right="19" w:rightChars="9"/>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其他未列明行业</w:t>
            </w:r>
          </w:p>
        </w:tc>
      </w:tr>
      <w:tr w14:paraId="4B9967C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545" w:type="dxa"/>
            <w:tcBorders>
              <w:left w:val="single" w:color="auto" w:sz="4" w:space="0"/>
              <w:bottom w:val="single" w:color="auto" w:sz="4" w:space="0"/>
              <w:right w:val="single" w:color="auto" w:sz="4" w:space="0"/>
            </w:tcBorders>
            <w:noWrap w:val="0"/>
            <w:vAlign w:val="center"/>
          </w:tcPr>
          <w:p w14:paraId="3E2A5D25">
            <w:pPr>
              <w:keepNext w:val="0"/>
              <w:keepLines w:val="0"/>
              <w:pageBreakBefore w:val="0"/>
              <w:kinsoku/>
              <w:wordWrap/>
              <w:overflowPunct/>
              <w:topLinePunct w:val="0"/>
              <w:autoSpaceDE/>
              <w:autoSpaceDN/>
              <w:bidi w:val="0"/>
              <w:spacing w:line="360" w:lineRule="auto"/>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w:t>
            </w:r>
          </w:p>
        </w:tc>
        <w:tc>
          <w:tcPr>
            <w:tcW w:w="739" w:type="dxa"/>
            <w:tcBorders>
              <w:left w:val="single" w:color="auto" w:sz="4" w:space="0"/>
              <w:bottom w:val="single" w:color="auto" w:sz="4" w:space="0"/>
              <w:right w:val="single" w:color="auto" w:sz="4" w:space="0"/>
            </w:tcBorders>
            <w:noWrap w:val="0"/>
            <w:vAlign w:val="center"/>
          </w:tcPr>
          <w:p w14:paraId="23AE2E65">
            <w:pPr>
              <w:keepNext w:val="0"/>
              <w:keepLines w:val="0"/>
              <w:pageBreakBefore w:val="0"/>
              <w:kinsoku/>
              <w:wordWrap/>
              <w:overflowPunct/>
              <w:topLinePunct w:val="0"/>
              <w:autoSpaceDE/>
              <w:autoSpaceDN/>
              <w:bidi w:val="0"/>
              <w:spacing w:line="360" w:lineRule="auto"/>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职业资格证培训及考证</w:t>
            </w:r>
          </w:p>
        </w:tc>
        <w:tc>
          <w:tcPr>
            <w:tcW w:w="717" w:type="dxa"/>
            <w:tcBorders>
              <w:top w:val="single" w:color="auto" w:sz="4" w:space="0"/>
              <w:left w:val="single" w:color="auto" w:sz="4" w:space="0"/>
              <w:bottom w:val="single" w:color="auto" w:sz="4" w:space="0"/>
              <w:right w:val="single" w:color="auto" w:sz="4" w:space="0"/>
            </w:tcBorders>
            <w:noWrap w:val="0"/>
            <w:vAlign w:val="center"/>
          </w:tcPr>
          <w:p w14:paraId="75993790">
            <w:pPr>
              <w:keepNext w:val="0"/>
              <w:keepLines w:val="0"/>
              <w:pageBreakBefore w:val="0"/>
              <w:kinsoku/>
              <w:wordWrap/>
              <w:overflowPunct/>
              <w:topLinePunct w:val="0"/>
              <w:autoSpaceDE/>
              <w:autoSpaceDN/>
              <w:bidi w:val="0"/>
              <w:spacing w:line="360" w:lineRule="auto"/>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10人</w:t>
            </w:r>
          </w:p>
        </w:tc>
        <w:tc>
          <w:tcPr>
            <w:tcW w:w="5203" w:type="dxa"/>
            <w:tcBorders>
              <w:top w:val="single" w:color="auto" w:sz="4" w:space="0"/>
              <w:left w:val="single" w:color="auto" w:sz="4" w:space="0"/>
              <w:bottom w:val="single" w:color="auto" w:sz="4" w:space="0"/>
              <w:right w:val="single" w:color="auto" w:sz="4" w:space="0"/>
            </w:tcBorders>
            <w:noWrap w:val="0"/>
            <w:vAlign w:val="center"/>
          </w:tcPr>
          <w:p w14:paraId="5AD26FD2">
            <w:pPr>
              <w:keepNext w:val="0"/>
              <w:keepLines w:val="0"/>
              <w:pageBreakBefore w:val="0"/>
              <w:kinsoku/>
              <w:wordWrap/>
              <w:overflowPunct/>
              <w:topLinePunct w:val="0"/>
              <w:autoSpaceDE/>
              <w:autoSpaceDN/>
              <w:bidi w:val="0"/>
              <w:spacing w:line="360" w:lineRule="auto"/>
              <w:jc w:val="left"/>
              <w:textAlignment w:val="auto"/>
              <w:rPr>
                <w:rFonts w:hint="default" w:ascii="宋体" w:hAnsi="宋体" w:eastAsia="宋体" w:cs="宋体"/>
                <w:b/>
                <w:bCs/>
                <w:color w:val="auto"/>
                <w:sz w:val="21"/>
                <w:szCs w:val="21"/>
                <w:highlight w:val="none"/>
                <w:lang w:val="en-US" w:eastAsia="zh-CN"/>
              </w:rPr>
            </w:pPr>
            <w:r>
              <w:rPr>
                <w:rFonts w:hint="eastAsia" w:ascii="宋体" w:hAnsi="宋体" w:cs="宋体"/>
                <w:b/>
                <w:bCs/>
                <w:color w:val="auto"/>
                <w:sz w:val="21"/>
                <w:szCs w:val="21"/>
                <w:highlight w:val="none"/>
                <w:lang w:val="en-US" w:eastAsia="zh-CN"/>
              </w:rPr>
              <w:t>一、服务内容</w:t>
            </w:r>
          </w:p>
          <w:p w14:paraId="71E04E6B">
            <w:pPr>
              <w:keepNext w:val="0"/>
              <w:keepLines w:val="0"/>
              <w:pageBreakBefore w:val="0"/>
              <w:kinsoku/>
              <w:wordWrap/>
              <w:overflowPunct/>
              <w:topLinePunct w:val="0"/>
              <w:autoSpaceDE/>
              <w:autoSpaceDN/>
              <w:bidi w:val="0"/>
              <w:spacing w:line="360" w:lineRule="auto"/>
              <w:jc w:val="left"/>
              <w:textAlignment w:val="auto"/>
              <w:rPr>
                <w:rFonts w:hint="eastAsia" w:ascii="宋体" w:hAnsi="宋体" w:cs="宋体"/>
                <w:color w:val="auto"/>
                <w:sz w:val="21"/>
                <w:szCs w:val="21"/>
                <w:highlight w:val="none"/>
                <w:lang w:eastAsia="zh-CN"/>
              </w:rPr>
            </w:pPr>
            <w:r>
              <w:rPr>
                <w:rFonts w:hint="eastAsia" w:ascii="宋体" w:hAnsi="宋体" w:eastAsia="宋体" w:cs="宋体"/>
                <w:color w:val="auto"/>
                <w:sz w:val="21"/>
                <w:szCs w:val="21"/>
                <w:highlight w:val="none"/>
              </w:rPr>
              <w:t>组织教师参加职业资格等级认证10人</w:t>
            </w:r>
            <w:r>
              <w:rPr>
                <w:rFonts w:hint="eastAsia" w:ascii="宋体" w:hAnsi="宋体" w:cs="宋体"/>
                <w:color w:val="auto"/>
                <w:sz w:val="21"/>
                <w:szCs w:val="21"/>
                <w:highlight w:val="none"/>
                <w:lang w:eastAsia="zh-CN"/>
              </w:rPr>
              <w:t>。</w:t>
            </w:r>
          </w:p>
          <w:p w14:paraId="736FEC56">
            <w:pPr>
              <w:keepNext w:val="0"/>
              <w:keepLines w:val="0"/>
              <w:pageBreakBefore w:val="0"/>
              <w:kinsoku/>
              <w:wordWrap/>
              <w:overflowPunct/>
              <w:topLinePunct w:val="0"/>
              <w:autoSpaceDE/>
              <w:autoSpaceDN/>
              <w:bidi w:val="0"/>
              <w:spacing w:line="360" w:lineRule="auto"/>
              <w:jc w:val="left"/>
              <w:textAlignment w:val="auto"/>
              <w:rPr>
                <w:rFonts w:hint="eastAsia" w:ascii="宋体" w:hAnsi="宋体" w:cs="宋体"/>
                <w:color w:val="auto"/>
                <w:sz w:val="21"/>
                <w:szCs w:val="21"/>
                <w:highlight w:val="none"/>
                <w:lang w:eastAsia="zh-CN"/>
              </w:rPr>
            </w:pPr>
            <w:r>
              <w:rPr>
                <w:rFonts w:hint="eastAsia" w:ascii="宋体" w:hAnsi="宋体" w:cs="宋体"/>
                <w:color w:val="auto"/>
                <w:sz w:val="21"/>
                <w:szCs w:val="21"/>
                <w:highlight w:val="none"/>
                <w:lang w:eastAsia="zh-CN"/>
              </w:rPr>
              <w:t>1.组织10人培训考证，获取高级工及以上职业资格证或职业技能等级证。</w:t>
            </w:r>
          </w:p>
          <w:p w14:paraId="4F396CB6">
            <w:pPr>
              <w:keepNext w:val="0"/>
              <w:keepLines w:val="0"/>
              <w:pageBreakBefore w:val="0"/>
              <w:kinsoku/>
              <w:wordWrap/>
              <w:overflowPunct/>
              <w:topLinePunct w:val="0"/>
              <w:autoSpaceDE/>
              <w:autoSpaceDN/>
              <w:bidi w:val="0"/>
              <w:spacing w:line="360" w:lineRule="auto"/>
              <w:jc w:val="left"/>
              <w:textAlignment w:val="auto"/>
              <w:rPr>
                <w:rFonts w:hint="eastAsia" w:ascii="宋体" w:hAnsi="宋体" w:cs="宋体"/>
                <w:color w:val="auto"/>
                <w:sz w:val="21"/>
                <w:szCs w:val="21"/>
                <w:highlight w:val="none"/>
                <w:lang w:eastAsia="zh-CN"/>
              </w:rPr>
            </w:pPr>
            <w:r>
              <w:rPr>
                <w:rFonts w:hint="eastAsia" w:ascii="宋体" w:hAnsi="宋体" w:cs="宋体"/>
                <w:color w:val="auto"/>
                <w:sz w:val="21"/>
                <w:szCs w:val="21"/>
                <w:highlight w:val="none"/>
                <w:lang w:eastAsia="zh-CN"/>
              </w:rPr>
              <w:t>2.含培训考试费用及差旅费。</w:t>
            </w:r>
          </w:p>
        </w:tc>
        <w:tc>
          <w:tcPr>
            <w:tcW w:w="1036" w:type="dxa"/>
            <w:tcBorders>
              <w:top w:val="single" w:color="auto" w:sz="4" w:space="0"/>
              <w:left w:val="single" w:color="auto" w:sz="4" w:space="0"/>
              <w:bottom w:val="single" w:color="auto" w:sz="4" w:space="0"/>
              <w:right w:val="single" w:color="auto" w:sz="4" w:space="0"/>
            </w:tcBorders>
            <w:noWrap w:val="0"/>
            <w:vAlign w:val="center"/>
          </w:tcPr>
          <w:p w14:paraId="00E49EF5">
            <w:pPr>
              <w:keepNext w:val="0"/>
              <w:keepLines w:val="0"/>
              <w:pageBreakBefore w:val="0"/>
              <w:kinsoku/>
              <w:wordWrap/>
              <w:overflowPunct/>
              <w:topLinePunct w:val="0"/>
              <w:autoSpaceDE/>
              <w:autoSpaceDN/>
              <w:bidi w:val="0"/>
              <w:spacing w:line="360" w:lineRule="auto"/>
              <w:ind w:right="19" w:rightChars="9"/>
              <w:jc w:val="center"/>
              <w:textAlignment w:val="auto"/>
              <w:rPr>
                <w:rFonts w:hint="default"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5.00</w:t>
            </w:r>
          </w:p>
        </w:tc>
        <w:tc>
          <w:tcPr>
            <w:tcW w:w="1336" w:type="dxa"/>
            <w:tcBorders>
              <w:top w:val="single" w:color="auto" w:sz="4" w:space="0"/>
              <w:left w:val="single" w:color="auto" w:sz="4" w:space="0"/>
              <w:bottom w:val="single" w:color="auto" w:sz="4" w:space="0"/>
              <w:right w:val="single" w:color="auto" w:sz="4" w:space="0"/>
            </w:tcBorders>
            <w:noWrap w:val="0"/>
            <w:vAlign w:val="center"/>
          </w:tcPr>
          <w:p w14:paraId="20E3C5B6">
            <w:pPr>
              <w:keepNext w:val="0"/>
              <w:keepLines w:val="0"/>
              <w:pageBreakBefore w:val="0"/>
              <w:kinsoku/>
              <w:wordWrap/>
              <w:overflowPunct/>
              <w:topLinePunct w:val="0"/>
              <w:autoSpaceDE/>
              <w:autoSpaceDN/>
              <w:bidi w:val="0"/>
              <w:spacing w:line="360" w:lineRule="auto"/>
              <w:ind w:right="19" w:rightChars="9"/>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其他未列明行业</w:t>
            </w:r>
          </w:p>
        </w:tc>
      </w:tr>
      <w:tr w14:paraId="4D67A3E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07" w:hRule="atLeast"/>
          <w:jc w:val="center"/>
        </w:trPr>
        <w:tc>
          <w:tcPr>
            <w:tcW w:w="545" w:type="dxa"/>
            <w:tcBorders>
              <w:left w:val="single" w:color="auto" w:sz="4" w:space="0"/>
              <w:bottom w:val="single" w:color="auto" w:sz="4" w:space="0"/>
              <w:right w:val="single" w:color="auto" w:sz="4" w:space="0"/>
            </w:tcBorders>
            <w:noWrap w:val="0"/>
            <w:vAlign w:val="center"/>
          </w:tcPr>
          <w:p w14:paraId="476A4E62">
            <w:pPr>
              <w:keepNext w:val="0"/>
              <w:keepLines w:val="0"/>
              <w:pageBreakBefore w:val="0"/>
              <w:kinsoku/>
              <w:wordWrap/>
              <w:overflowPunct/>
              <w:topLinePunct w:val="0"/>
              <w:autoSpaceDE/>
              <w:autoSpaceDN/>
              <w:bidi w:val="0"/>
              <w:spacing w:line="360" w:lineRule="auto"/>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3</w:t>
            </w:r>
          </w:p>
        </w:tc>
        <w:tc>
          <w:tcPr>
            <w:tcW w:w="739" w:type="dxa"/>
            <w:tcBorders>
              <w:left w:val="single" w:color="auto" w:sz="4" w:space="0"/>
              <w:bottom w:val="single" w:color="auto" w:sz="4" w:space="0"/>
              <w:right w:val="single" w:color="auto" w:sz="4" w:space="0"/>
            </w:tcBorders>
            <w:noWrap w:val="0"/>
            <w:vAlign w:val="center"/>
          </w:tcPr>
          <w:p w14:paraId="31DA3430">
            <w:pPr>
              <w:keepNext w:val="0"/>
              <w:keepLines w:val="0"/>
              <w:pageBreakBefore w:val="0"/>
              <w:kinsoku/>
              <w:wordWrap/>
              <w:overflowPunct/>
              <w:topLinePunct w:val="0"/>
              <w:autoSpaceDE/>
              <w:autoSpaceDN/>
              <w:bidi w:val="0"/>
              <w:spacing w:line="360" w:lineRule="auto"/>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教师数字素养</w:t>
            </w:r>
          </w:p>
        </w:tc>
        <w:tc>
          <w:tcPr>
            <w:tcW w:w="717" w:type="dxa"/>
            <w:tcBorders>
              <w:top w:val="single" w:color="auto" w:sz="4" w:space="0"/>
              <w:left w:val="single" w:color="auto" w:sz="4" w:space="0"/>
              <w:bottom w:val="single" w:color="auto" w:sz="4" w:space="0"/>
              <w:right w:val="single" w:color="auto" w:sz="4" w:space="0"/>
            </w:tcBorders>
            <w:noWrap w:val="0"/>
            <w:vAlign w:val="center"/>
          </w:tcPr>
          <w:p w14:paraId="551E6640">
            <w:pPr>
              <w:keepNext w:val="0"/>
              <w:keepLines w:val="0"/>
              <w:pageBreakBefore w:val="0"/>
              <w:kinsoku/>
              <w:wordWrap/>
              <w:overflowPunct/>
              <w:topLinePunct w:val="0"/>
              <w:autoSpaceDE/>
              <w:autoSpaceDN/>
              <w:bidi w:val="0"/>
              <w:spacing w:line="360" w:lineRule="auto"/>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1项</w:t>
            </w:r>
          </w:p>
        </w:tc>
        <w:tc>
          <w:tcPr>
            <w:tcW w:w="5203" w:type="dxa"/>
            <w:tcBorders>
              <w:top w:val="single" w:color="auto" w:sz="4" w:space="0"/>
              <w:left w:val="single" w:color="auto" w:sz="4" w:space="0"/>
              <w:bottom w:val="single" w:color="auto" w:sz="4" w:space="0"/>
              <w:right w:val="single" w:color="auto" w:sz="4" w:space="0"/>
            </w:tcBorders>
            <w:noWrap w:val="0"/>
            <w:vAlign w:val="center"/>
          </w:tcPr>
          <w:p w14:paraId="24777106">
            <w:pPr>
              <w:keepNext w:val="0"/>
              <w:keepLines w:val="0"/>
              <w:pageBreakBefore w:val="0"/>
              <w:kinsoku/>
              <w:wordWrap/>
              <w:overflowPunct/>
              <w:topLinePunct w:val="0"/>
              <w:autoSpaceDE/>
              <w:autoSpaceDN/>
              <w:bidi w:val="0"/>
              <w:spacing w:line="360" w:lineRule="auto"/>
              <w:jc w:val="left"/>
              <w:textAlignment w:val="auto"/>
              <w:rPr>
                <w:rFonts w:hint="eastAsia" w:ascii="宋体" w:hAnsi="宋体" w:cs="宋体"/>
                <w:color w:val="auto"/>
                <w:sz w:val="21"/>
                <w:szCs w:val="21"/>
                <w:highlight w:val="none"/>
                <w:lang w:eastAsia="zh-CN"/>
              </w:rPr>
            </w:pPr>
            <w:r>
              <w:rPr>
                <w:rFonts w:hint="eastAsia" w:ascii="宋体" w:hAnsi="宋体" w:eastAsia="宋体" w:cs="宋体"/>
                <w:color w:val="auto"/>
                <w:sz w:val="21"/>
                <w:szCs w:val="21"/>
                <w:highlight w:val="none"/>
              </w:rPr>
              <w:t>信息化能力培训</w:t>
            </w:r>
            <w:r>
              <w:rPr>
                <w:rFonts w:hint="eastAsia" w:ascii="宋体" w:hAnsi="宋体" w:cs="宋体"/>
                <w:color w:val="auto"/>
                <w:sz w:val="21"/>
                <w:szCs w:val="21"/>
                <w:highlight w:val="none"/>
                <w:lang w:eastAsia="zh-CN"/>
              </w:rPr>
              <w:t>。</w:t>
            </w:r>
          </w:p>
          <w:p w14:paraId="55B39040">
            <w:pPr>
              <w:keepNext w:val="0"/>
              <w:keepLines w:val="0"/>
              <w:pageBreakBefore w:val="0"/>
              <w:numPr>
                <w:ilvl w:val="0"/>
                <w:numId w:val="1"/>
              </w:numPr>
              <w:kinsoku/>
              <w:wordWrap/>
              <w:overflowPunct/>
              <w:topLinePunct w:val="0"/>
              <w:autoSpaceDE/>
              <w:autoSpaceDN/>
              <w:bidi w:val="0"/>
              <w:spacing w:line="360" w:lineRule="auto"/>
              <w:jc w:val="left"/>
              <w:textAlignment w:val="auto"/>
              <w:rPr>
                <w:rFonts w:hint="eastAsia" w:ascii="宋体" w:hAnsi="宋体" w:cs="宋体"/>
                <w:b/>
                <w:bCs/>
                <w:color w:val="auto"/>
                <w:sz w:val="21"/>
                <w:szCs w:val="21"/>
                <w:highlight w:val="none"/>
                <w:lang w:eastAsia="zh-CN"/>
              </w:rPr>
            </w:pPr>
            <w:r>
              <w:rPr>
                <w:rFonts w:hint="eastAsia" w:ascii="宋体" w:hAnsi="宋体" w:cs="宋体"/>
                <w:b/>
                <w:bCs/>
                <w:color w:val="auto"/>
                <w:sz w:val="21"/>
                <w:szCs w:val="21"/>
                <w:highlight w:val="none"/>
                <w:lang w:eastAsia="zh-CN"/>
              </w:rPr>
              <w:t>服务内容</w:t>
            </w:r>
          </w:p>
          <w:p w14:paraId="157C2A38">
            <w:pPr>
              <w:keepNext w:val="0"/>
              <w:keepLines w:val="0"/>
              <w:pageBreakBefore w:val="0"/>
              <w:numPr>
                <w:ilvl w:val="0"/>
                <w:numId w:val="0"/>
              </w:numPr>
              <w:kinsoku/>
              <w:wordWrap/>
              <w:overflowPunct/>
              <w:topLinePunct w:val="0"/>
              <w:autoSpaceDE/>
              <w:autoSpaceDN/>
              <w:bidi w:val="0"/>
              <w:spacing w:line="360" w:lineRule="auto"/>
              <w:jc w:val="left"/>
              <w:textAlignment w:val="auto"/>
              <w:rPr>
                <w:rFonts w:hint="default" w:ascii="宋体" w:hAnsi="宋体" w:cs="宋体"/>
                <w:b/>
                <w:bCs/>
                <w:color w:val="auto"/>
                <w:sz w:val="21"/>
                <w:szCs w:val="21"/>
                <w:highlight w:val="none"/>
                <w:lang w:val="en-US" w:eastAsia="zh-CN"/>
              </w:rPr>
            </w:pPr>
            <w:r>
              <w:rPr>
                <w:rFonts w:hint="eastAsia" w:ascii="宋体" w:hAnsi="宋体" w:cs="宋体"/>
                <w:b/>
                <w:bCs/>
                <w:color w:val="auto"/>
                <w:sz w:val="21"/>
                <w:szCs w:val="21"/>
                <w:highlight w:val="none"/>
                <w:lang w:val="en-US" w:eastAsia="zh-CN"/>
              </w:rPr>
              <w:t>1.线下集中培训（56学时）</w:t>
            </w:r>
          </w:p>
          <w:p w14:paraId="049A5F15">
            <w:pPr>
              <w:keepNext w:val="0"/>
              <w:keepLines w:val="0"/>
              <w:pageBreakBefore w:val="0"/>
              <w:kinsoku/>
              <w:wordWrap/>
              <w:overflowPunct/>
              <w:topLinePunct w:val="0"/>
              <w:autoSpaceDE/>
              <w:autoSpaceDN/>
              <w:bidi w:val="0"/>
              <w:spacing w:line="360" w:lineRule="auto"/>
              <w:jc w:val="left"/>
              <w:textAlignment w:val="auto"/>
              <w:rPr>
                <w:rFonts w:hint="eastAsia" w:ascii="宋体" w:hAnsi="宋体" w:cs="宋体"/>
                <w:color w:val="auto"/>
                <w:sz w:val="21"/>
                <w:szCs w:val="21"/>
                <w:highlight w:val="none"/>
                <w:lang w:eastAsia="zh-CN"/>
              </w:rPr>
            </w:pPr>
            <w:r>
              <w:rPr>
                <w:rFonts w:hint="eastAsia" w:ascii="宋体" w:hAnsi="宋体" w:cs="宋体"/>
                <w:color w:val="auto"/>
                <w:sz w:val="21"/>
                <w:szCs w:val="21"/>
                <w:highlight w:val="none"/>
                <w:lang w:eastAsia="zh-CN"/>
              </w:rPr>
              <w:t>（1）组织25名教师外出集中培训7天，每天8课时(包括但不限于师资劳务费、交通费、培训场地租金、餐费、教材资料费、会务费、住宿费等)。</w:t>
            </w:r>
          </w:p>
          <w:p w14:paraId="14C506B1">
            <w:pPr>
              <w:keepNext w:val="0"/>
              <w:keepLines w:val="0"/>
              <w:pageBreakBefore w:val="0"/>
              <w:kinsoku/>
              <w:wordWrap/>
              <w:overflowPunct/>
              <w:topLinePunct w:val="0"/>
              <w:autoSpaceDE/>
              <w:autoSpaceDN/>
              <w:bidi w:val="0"/>
              <w:spacing w:line="360" w:lineRule="auto"/>
              <w:jc w:val="left"/>
              <w:textAlignment w:val="auto"/>
              <w:rPr>
                <w:rFonts w:hint="eastAsia" w:ascii="宋体" w:hAnsi="宋体" w:cs="宋体"/>
                <w:color w:val="auto"/>
                <w:sz w:val="21"/>
                <w:szCs w:val="21"/>
                <w:highlight w:val="none"/>
                <w:lang w:eastAsia="zh-CN"/>
              </w:rPr>
            </w:pPr>
            <w:r>
              <w:rPr>
                <w:rFonts w:hint="eastAsia" w:ascii="宋体" w:hAnsi="宋体" w:cs="宋体"/>
                <w:color w:val="auto"/>
                <w:sz w:val="21"/>
                <w:szCs w:val="21"/>
                <w:highlight w:val="none"/>
                <w:lang w:eastAsia="zh-CN"/>
              </w:rPr>
              <w:t>（2）根据学校要求，针对此次培训开发相应的培训内容，并提供相应的PPT一套。</w:t>
            </w:r>
          </w:p>
          <w:p w14:paraId="10C52181">
            <w:pPr>
              <w:keepNext w:val="0"/>
              <w:keepLines w:val="0"/>
              <w:pageBreakBefore w:val="0"/>
              <w:kinsoku/>
              <w:wordWrap/>
              <w:overflowPunct/>
              <w:topLinePunct w:val="0"/>
              <w:autoSpaceDE/>
              <w:autoSpaceDN/>
              <w:bidi w:val="0"/>
              <w:spacing w:line="360" w:lineRule="auto"/>
              <w:jc w:val="left"/>
              <w:textAlignment w:val="auto"/>
              <w:rPr>
                <w:rFonts w:hint="eastAsia" w:ascii="宋体" w:hAnsi="宋体" w:cs="宋体"/>
                <w:color w:val="auto"/>
                <w:sz w:val="21"/>
                <w:szCs w:val="21"/>
                <w:highlight w:val="none"/>
                <w:lang w:eastAsia="zh-CN"/>
              </w:rPr>
            </w:pPr>
            <w:r>
              <w:rPr>
                <w:rFonts w:hint="eastAsia" w:ascii="宋体" w:hAnsi="宋体" w:cs="宋体"/>
                <w:color w:val="auto"/>
                <w:sz w:val="21"/>
                <w:szCs w:val="21"/>
                <w:highlight w:val="none"/>
                <w:lang w:eastAsia="zh-CN"/>
              </w:rPr>
              <w:t>（3）培训后提供继续教育承认的培训学时及培训证书。</w:t>
            </w:r>
          </w:p>
          <w:p w14:paraId="21B777C4">
            <w:pPr>
              <w:keepNext w:val="0"/>
              <w:keepLines w:val="0"/>
              <w:pageBreakBefore w:val="0"/>
              <w:kinsoku/>
              <w:wordWrap/>
              <w:overflowPunct/>
              <w:topLinePunct w:val="0"/>
              <w:autoSpaceDE/>
              <w:autoSpaceDN/>
              <w:bidi w:val="0"/>
              <w:spacing w:line="360" w:lineRule="auto"/>
              <w:jc w:val="left"/>
              <w:textAlignment w:val="auto"/>
              <w:rPr>
                <w:rFonts w:hint="eastAsia" w:ascii="宋体" w:hAnsi="宋体" w:cs="宋体"/>
                <w:color w:val="auto"/>
                <w:sz w:val="21"/>
                <w:szCs w:val="21"/>
                <w:highlight w:val="none"/>
                <w:lang w:eastAsia="zh-CN"/>
              </w:rPr>
            </w:pPr>
            <w:r>
              <w:rPr>
                <w:rFonts w:hint="eastAsia" w:ascii="宋体" w:hAnsi="宋体" w:cs="宋体"/>
                <w:color w:val="auto"/>
                <w:sz w:val="21"/>
                <w:szCs w:val="21"/>
                <w:highlight w:val="none"/>
                <w:lang w:eastAsia="zh-CN"/>
              </w:rPr>
              <w:t>（4）训后跟踪，在线指导1个月。</w:t>
            </w:r>
          </w:p>
          <w:p w14:paraId="6139FEB7">
            <w:pPr>
              <w:keepNext w:val="0"/>
              <w:keepLines w:val="0"/>
              <w:pageBreakBefore w:val="0"/>
              <w:kinsoku/>
              <w:wordWrap/>
              <w:overflowPunct/>
              <w:topLinePunct w:val="0"/>
              <w:autoSpaceDE/>
              <w:autoSpaceDN/>
              <w:bidi w:val="0"/>
              <w:spacing w:line="360" w:lineRule="auto"/>
              <w:jc w:val="left"/>
              <w:textAlignment w:val="auto"/>
              <w:rPr>
                <w:rFonts w:hint="eastAsia" w:ascii="宋体" w:hAnsi="宋体" w:cs="宋体"/>
                <w:b/>
                <w:bCs/>
                <w:color w:val="auto"/>
                <w:sz w:val="21"/>
                <w:szCs w:val="21"/>
                <w:highlight w:val="none"/>
                <w:lang w:val="en-US" w:eastAsia="zh-CN"/>
              </w:rPr>
            </w:pPr>
            <w:r>
              <w:rPr>
                <w:rFonts w:hint="eastAsia" w:ascii="宋体" w:hAnsi="宋体" w:cs="宋体"/>
                <w:b/>
                <w:bCs/>
                <w:color w:val="auto"/>
                <w:sz w:val="21"/>
                <w:szCs w:val="21"/>
                <w:highlight w:val="none"/>
                <w:lang w:val="en-US" w:eastAsia="zh-CN"/>
              </w:rPr>
              <w:t>2.组织线上培训（40学时，45分钟/学时）</w:t>
            </w:r>
          </w:p>
          <w:p w14:paraId="112457AB">
            <w:pPr>
              <w:keepNext w:val="0"/>
              <w:keepLines w:val="0"/>
              <w:pageBreakBefore w:val="0"/>
              <w:kinsoku/>
              <w:wordWrap/>
              <w:overflowPunct/>
              <w:topLinePunct w:val="0"/>
              <w:autoSpaceDE/>
              <w:autoSpaceDN/>
              <w:bidi w:val="0"/>
              <w:spacing w:line="360" w:lineRule="auto"/>
              <w:jc w:val="left"/>
              <w:textAlignment w:val="auto"/>
              <w:rPr>
                <w:rFonts w:hint="eastAsia" w:ascii="宋体" w:hAnsi="宋体" w:cs="宋体"/>
                <w:b w:val="0"/>
                <w:bCs w:val="0"/>
                <w:color w:val="auto"/>
                <w:sz w:val="21"/>
                <w:szCs w:val="21"/>
                <w:highlight w:val="none"/>
                <w:lang w:val="en-US" w:eastAsia="zh-CN"/>
              </w:rPr>
            </w:pPr>
            <w:r>
              <w:rPr>
                <w:rFonts w:hint="eastAsia" w:ascii="宋体" w:hAnsi="宋体" w:cs="宋体"/>
                <w:b w:val="0"/>
                <w:bCs w:val="0"/>
                <w:color w:val="auto"/>
                <w:sz w:val="21"/>
                <w:szCs w:val="21"/>
                <w:highlight w:val="none"/>
                <w:lang w:val="en-US" w:eastAsia="zh-CN"/>
              </w:rPr>
              <w:t>（1） 组织25名教师线上学习AI助力高效办公、AI赋能教学资源制作、AI助力教学设计与课堂教学管理、AI辅助论文选题与写作等相关内容，线上学习时长不少于1800分钟</w:t>
            </w:r>
            <w:r>
              <w:rPr>
                <w:rFonts w:hint="eastAsia" w:ascii="宋体" w:hAnsi="宋体" w:cs="宋体"/>
                <w:b/>
                <w:bCs/>
                <w:color w:val="auto"/>
                <w:sz w:val="21"/>
                <w:szCs w:val="21"/>
                <w:highlight w:val="none"/>
                <w:lang w:val="en-US" w:eastAsia="zh-CN"/>
              </w:rPr>
              <w:t>（40学时，45分钟/学时）。</w:t>
            </w:r>
          </w:p>
          <w:p w14:paraId="17044A15">
            <w:pPr>
              <w:keepNext w:val="0"/>
              <w:keepLines w:val="0"/>
              <w:pageBreakBefore w:val="0"/>
              <w:kinsoku/>
              <w:wordWrap/>
              <w:overflowPunct/>
              <w:topLinePunct w:val="0"/>
              <w:autoSpaceDE/>
              <w:autoSpaceDN/>
              <w:bidi w:val="0"/>
              <w:spacing w:line="360" w:lineRule="auto"/>
              <w:jc w:val="left"/>
              <w:textAlignment w:val="auto"/>
              <w:rPr>
                <w:rFonts w:hint="default" w:ascii="宋体" w:hAnsi="宋体" w:cs="宋体"/>
                <w:b w:val="0"/>
                <w:bCs w:val="0"/>
                <w:color w:val="auto"/>
                <w:sz w:val="21"/>
                <w:szCs w:val="21"/>
                <w:highlight w:val="none"/>
                <w:lang w:val="en-US" w:eastAsia="zh-CN"/>
              </w:rPr>
            </w:pPr>
            <w:r>
              <w:rPr>
                <w:rFonts w:hint="eastAsia" w:ascii="宋体" w:hAnsi="宋体" w:cs="宋体"/>
                <w:b w:val="0"/>
                <w:bCs w:val="0"/>
                <w:color w:val="auto"/>
                <w:sz w:val="21"/>
                <w:szCs w:val="21"/>
                <w:highlight w:val="none"/>
                <w:lang w:val="en-US" w:eastAsia="zh-CN"/>
              </w:rPr>
              <w:t>（2）</w:t>
            </w:r>
            <w:r>
              <w:rPr>
                <w:rFonts w:hint="eastAsia" w:ascii="宋体" w:hAnsi="宋体" w:cs="宋体"/>
                <w:b w:val="0"/>
                <w:bCs w:val="0"/>
                <w:color w:val="auto"/>
                <w:sz w:val="21"/>
                <w:szCs w:val="21"/>
                <w:highlight w:val="none"/>
                <w:lang w:eastAsia="zh-CN"/>
              </w:rPr>
              <w:t>培训</w:t>
            </w:r>
            <w:r>
              <w:rPr>
                <w:rFonts w:hint="eastAsia" w:ascii="宋体" w:hAnsi="宋体" w:cs="宋体"/>
                <w:b w:val="0"/>
                <w:bCs w:val="0"/>
                <w:color w:val="auto"/>
                <w:sz w:val="21"/>
                <w:szCs w:val="21"/>
                <w:highlight w:val="none"/>
                <w:lang w:val="en-US" w:eastAsia="zh-CN"/>
              </w:rPr>
              <w:t>考核合格</w:t>
            </w:r>
            <w:r>
              <w:rPr>
                <w:rFonts w:hint="eastAsia" w:ascii="宋体" w:hAnsi="宋体" w:cs="宋体"/>
                <w:b w:val="0"/>
                <w:bCs w:val="0"/>
                <w:color w:val="auto"/>
                <w:sz w:val="21"/>
                <w:szCs w:val="21"/>
                <w:highlight w:val="none"/>
                <w:lang w:eastAsia="zh-CN"/>
              </w:rPr>
              <w:t>后提供继续教育承认的培训学时及培训证书。</w:t>
            </w:r>
          </w:p>
          <w:p w14:paraId="4B2170E6">
            <w:pPr>
              <w:keepNext w:val="0"/>
              <w:keepLines w:val="0"/>
              <w:pageBreakBefore w:val="0"/>
              <w:kinsoku/>
              <w:wordWrap/>
              <w:overflowPunct/>
              <w:topLinePunct w:val="0"/>
              <w:autoSpaceDE/>
              <w:autoSpaceDN/>
              <w:bidi w:val="0"/>
              <w:spacing w:line="360" w:lineRule="auto"/>
              <w:jc w:val="left"/>
              <w:textAlignment w:val="auto"/>
              <w:rPr>
                <w:rFonts w:hint="eastAsia" w:ascii="宋体" w:hAnsi="宋体" w:cs="宋体"/>
                <w:b/>
                <w:bCs/>
                <w:color w:val="auto"/>
                <w:sz w:val="21"/>
                <w:szCs w:val="21"/>
                <w:highlight w:val="none"/>
                <w:lang w:eastAsia="zh-CN"/>
              </w:rPr>
            </w:pPr>
            <w:r>
              <w:rPr>
                <w:rFonts w:hint="eastAsia" w:ascii="宋体" w:hAnsi="宋体" w:cs="宋体"/>
                <w:b/>
                <w:bCs/>
                <w:color w:val="auto"/>
                <w:sz w:val="21"/>
                <w:szCs w:val="21"/>
                <w:highlight w:val="none"/>
                <w:lang w:eastAsia="zh-CN"/>
              </w:rPr>
              <w:t>二、服务要求</w:t>
            </w:r>
          </w:p>
          <w:p w14:paraId="3E7A0994">
            <w:pPr>
              <w:keepNext w:val="0"/>
              <w:keepLines w:val="0"/>
              <w:pageBreakBefore w:val="0"/>
              <w:kinsoku/>
              <w:wordWrap/>
              <w:overflowPunct/>
              <w:topLinePunct w:val="0"/>
              <w:autoSpaceDE/>
              <w:autoSpaceDN/>
              <w:bidi w:val="0"/>
              <w:spacing w:line="360" w:lineRule="auto"/>
              <w:jc w:val="left"/>
              <w:textAlignment w:val="auto"/>
              <w:rPr>
                <w:rFonts w:hint="eastAsia" w:ascii="宋体" w:hAnsi="宋体" w:cs="宋体"/>
                <w:color w:val="auto"/>
                <w:sz w:val="21"/>
                <w:szCs w:val="21"/>
                <w:highlight w:val="none"/>
                <w:lang w:eastAsia="zh-CN"/>
              </w:rPr>
            </w:pPr>
            <w:r>
              <w:rPr>
                <w:rFonts w:hint="eastAsia" w:ascii="宋体" w:hAnsi="宋体" w:cs="宋体"/>
                <w:color w:val="auto"/>
                <w:sz w:val="21"/>
                <w:szCs w:val="21"/>
                <w:highlight w:val="none"/>
                <w:lang w:val="en-US" w:eastAsia="zh-CN"/>
              </w:rPr>
              <w:t>（一）</w:t>
            </w:r>
            <w:r>
              <w:rPr>
                <w:rFonts w:hint="eastAsia" w:ascii="宋体" w:hAnsi="宋体" w:cs="宋体"/>
                <w:color w:val="auto"/>
                <w:sz w:val="21"/>
                <w:szCs w:val="21"/>
                <w:highlight w:val="none"/>
                <w:lang w:eastAsia="zh-CN"/>
              </w:rPr>
              <w:t>组织2</w:t>
            </w:r>
            <w:r>
              <w:rPr>
                <w:rFonts w:hint="eastAsia" w:ascii="宋体" w:hAnsi="宋体" w:cs="宋体"/>
                <w:color w:val="auto"/>
                <w:sz w:val="21"/>
                <w:szCs w:val="21"/>
                <w:highlight w:val="none"/>
                <w:lang w:val="en-US" w:eastAsia="zh-CN"/>
              </w:rPr>
              <w:t>5</w:t>
            </w:r>
            <w:r>
              <w:rPr>
                <w:rFonts w:hint="eastAsia" w:ascii="宋体" w:hAnsi="宋体" w:cs="宋体"/>
                <w:color w:val="auto"/>
                <w:sz w:val="21"/>
                <w:szCs w:val="21"/>
                <w:highlight w:val="none"/>
                <w:lang w:eastAsia="zh-CN"/>
              </w:rPr>
              <w:t>名教师外出培训(南宁等地区)，培训内容如下：</w:t>
            </w:r>
          </w:p>
          <w:p w14:paraId="6DF49A3F">
            <w:pPr>
              <w:keepNext w:val="0"/>
              <w:keepLines w:val="0"/>
              <w:pageBreakBefore w:val="0"/>
              <w:kinsoku/>
              <w:wordWrap/>
              <w:overflowPunct/>
              <w:topLinePunct w:val="0"/>
              <w:autoSpaceDE/>
              <w:autoSpaceDN/>
              <w:bidi w:val="0"/>
              <w:spacing w:line="360" w:lineRule="auto"/>
              <w:jc w:val="left"/>
              <w:textAlignment w:val="auto"/>
              <w:rPr>
                <w:rFonts w:hint="eastAsia" w:ascii="宋体" w:hAnsi="宋体" w:cs="宋体"/>
                <w:color w:val="auto"/>
                <w:sz w:val="21"/>
                <w:szCs w:val="21"/>
                <w:highlight w:val="none"/>
                <w:lang w:eastAsia="zh-CN"/>
              </w:rPr>
            </w:pPr>
            <w:r>
              <w:rPr>
                <w:rFonts w:hint="eastAsia" w:ascii="宋体" w:hAnsi="宋体" w:cs="宋体"/>
                <w:color w:val="auto"/>
                <w:sz w:val="21"/>
                <w:szCs w:val="21"/>
                <w:highlight w:val="none"/>
                <w:lang w:eastAsia="zh-CN"/>
              </w:rPr>
              <w:t>1.AI技术发展</w:t>
            </w:r>
          </w:p>
          <w:p w14:paraId="4D3E3B85">
            <w:pPr>
              <w:keepNext w:val="0"/>
              <w:keepLines w:val="0"/>
              <w:pageBreakBefore w:val="0"/>
              <w:kinsoku/>
              <w:wordWrap/>
              <w:overflowPunct/>
              <w:topLinePunct w:val="0"/>
              <w:autoSpaceDE/>
              <w:autoSpaceDN/>
              <w:bidi w:val="0"/>
              <w:spacing w:line="360" w:lineRule="auto"/>
              <w:jc w:val="left"/>
              <w:textAlignment w:val="auto"/>
              <w:rPr>
                <w:rFonts w:hint="eastAsia" w:ascii="宋体" w:hAnsi="宋体" w:cs="宋体"/>
                <w:color w:val="auto"/>
                <w:sz w:val="21"/>
                <w:szCs w:val="21"/>
                <w:highlight w:val="none"/>
                <w:lang w:eastAsia="zh-CN"/>
              </w:rPr>
            </w:pPr>
            <w:r>
              <w:rPr>
                <w:rFonts w:hint="eastAsia" w:ascii="宋体" w:hAnsi="宋体" w:cs="宋体"/>
                <w:color w:val="auto"/>
                <w:sz w:val="21"/>
                <w:szCs w:val="21"/>
                <w:highlight w:val="none"/>
                <w:lang w:eastAsia="zh-CN"/>
              </w:rPr>
              <w:t xml:space="preserve"> AI领域的发展，关键技术等。</w:t>
            </w:r>
          </w:p>
          <w:p w14:paraId="36C77FD8">
            <w:pPr>
              <w:keepNext w:val="0"/>
              <w:keepLines w:val="0"/>
              <w:pageBreakBefore w:val="0"/>
              <w:kinsoku/>
              <w:wordWrap/>
              <w:overflowPunct/>
              <w:topLinePunct w:val="0"/>
              <w:autoSpaceDE/>
              <w:autoSpaceDN/>
              <w:bidi w:val="0"/>
              <w:spacing w:line="360" w:lineRule="auto"/>
              <w:jc w:val="left"/>
              <w:textAlignment w:val="auto"/>
              <w:rPr>
                <w:rFonts w:hint="eastAsia" w:ascii="宋体" w:hAnsi="宋体" w:cs="宋体"/>
                <w:color w:val="auto"/>
                <w:sz w:val="21"/>
                <w:szCs w:val="21"/>
                <w:highlight w:val="none"/>
                <w:lang w:eastAsia="zh-CN"/>
              </w:rPr>
            </w:pPr>
            <w:r>
              <w:rPr>
                <w:rFonts w:hint="eastAsia" w:ascii="宋体" w:hAnsi="宋体" w:cs="宋体"/>
                <w:color w:val="auto"/>
                <w:sz w:val="21"/>
                <w:szCs w:val="21"/>
                <w:highlight w:val="none"/>
                <w:lang w:eastAsia="zh-CN"/>
              </w:rPr>
              <w:t>2.AIGC应用</w:t>
            </w:r>
          </w:p>
          <w:p w14:paraId="6EE6BAA7">
            <w:pPr>
              <w:keepNext w:val="0"/>
              <w:keepLines w:val="0"/>
              <w:pageBreakBefore w:val="0"/>
              <w:kinsoku/>
              <w:wordWrap/>
              <w:overflowPunct/>
              <w:topLinePunct w:val="0"/>
              <w:autoSpaceDE/>
              <w:autoSpaceDN/>
              <w:bidi w:val="0"/>
              <w:spacing w:line="360" w:lineRule="auto"/>
              <w:jc w:val="left"/>
              <w:textAlignment w:val="auto"/>
              <w:rPr>
                <w:rFonts w:hint="eastAsia" w:ascii="宋体" w:hAnsi="宋体" w:cs="宋体"/>
                <w:color w:val="auto"/>
                <w:sz w:val="21"/>
                <w:szCs w:val="21"/>
                <w:highlight w:val="none"/>
                <w:lang w:eastAsia="zh-CN"/>
              </w:rPr>
            </w:pPr>
            <w:r>
              <w:rPr>
                <w:rFonts w:hint="eastAsia" w:ascii="宋体" w:hAnsi="宋体" w:cs="宋体"/>
                <w:color w:val="auto"/>
                <w:sz w:val="21"/>
                <w:szCs w:val="21"/>
                <w:highlight w:val="none"/>
                <w:lang w:eastAsia="zh-CN"/>
              </w:rPr>
              <w:t>（1）AIGC (AI Generated Content)的概念和重要性。</w:t>
            </w:r>
          </w:p>
          <w:p w14:paraId="11EA81A4">
            <w:pPr>
              <w:keepNext w:val="0"/>
              <w:keepLines w:val="0"/>
              <w:pageBreakBefore w:val="0"/>
              <w:kinsoku/>
              <w:wordWrap/>
              <w:overflowPunct/>
              <w:topLinePunct w:val="0"/>
              <w:autoSpaceDE/>
              <w:autoSpaceDN/>
              <w:bidi w:val="0"/>
              <w:spacing w:line="360" w:lineRule="auto"/>
              <w:jc w:val="left"/>
              <w:textAlignment w:val="auto"/>
              <w:rPr>
                <w:rFonts w:hint="eastAsia" w:ascii="宋体" w:hAnsi="宋体" w:cs="宋体"/>
                <w:color w:val="auto"/>
                <w:sz w:val="21"/>
                <w:szCs w:val="21"/>
                <w:highlight w:val="none"/>
                <w:lang w:eastAsia="zh-CN"/>
              </w:rPr>
            </w:pPr>
            <w:r>
              <w:rPr>
                <w:rFonts w:hint="eastAsia" w:ascii="宋体" w:hAnsi="宋体" w:cs="宋体"/>
                <w:color w:val="auto"/>
                <w:sz w:val="21"/>
                <w:szCs w:val="21"/>
                <w:highlight w:val="none"/>
                <w:lang w:eastAsia="zh-CN"/>
              </w:rPr>
              <w:t>（2）文本生成技术的发展：从规则引擎到基于神经网络的语言模型。</w:t>
            </w:r>
          </w:p>
          <w:p w14:paraId="2737562E">
            <w:pPr>
              <w:keepNext w:val="0"/>
              <w:keepLines w:val="0"/>
              <w:pageBreakBefore w:val="0"/>
              <w:kinsoku/>
              <w:wordWrap/>
              <w:overflowPunct/>
              <w:topLinePunct w:val="0"/>
              <w:autoSpaceDE/>
              <w:autoSpaceDN/>
              <w:bidi w:val="0"/>
              <w:spacing w:line="360" w:lineRule="auto"/>
              <w:jc w:val="left"/>
              <w:textAlignment w:val="auto"/>
              <w:rPr>
                <w:rFonts w:hint="eastAsia" w:ascii="宋体" w:hAnsi="宋体" w:cs="宋体"/>
                <w:color w:val="auto"/>
                <w:sz w:val="21"/>
                <w:szCs w:val="21"/>
                <w:highlight w:val="none"/>
                <w:lang w:eastAsia="zh-CN"/>
              </w:rPr>
            </w:pPr>
            <w:r>
              <w:rPr>
                <w:rFonts w:hint="eastAsia" w:ascii="宋体" w:hAnsi="宋体" w:cs="宋体"/>
                <w:color w:val="auto"/>
                <w:sz w:val="21"/>
                <w:szCs w:val="21"/>
                <w:highlight w:val="none"/>
                <w:lang w:eastAsia="zh-CN"/>
              </w:rPr>
              <w:t>（3）图像、音频、视频等不同媒体内容生成的技术演进。</w:t>
            </w:r>
          </w:p>
          <w:p w14:paraId="6FF1D37C">
            <w:pPr>
              <w:keepNext w:val="0"/>
              <w:keepLines w:val="0"/>
              <w:pageBreakBefore w:val="0"/>
              <w:kinsoku/>
              <w:wordWrap/>
              <w:overflowPunct/>
              <w:topLinePunct w:val="0"/>
              <w:autoSpaceDE/>
              <w:autoSpaceDN/>
              <w:bidi w:val="0"/>
              <w:spacing w:line="360" w:lineRule="auto"/>
              <w:jc w:val="left"/>
              <w:textAlignment w:val="auto"/>
              <w:rPr>
                <w:rFonts w:hint="eastAsia" w:ascii="宋体" w:hAnsi="宋体" w:cs="宋体"/>
                <w:color w:val="auto"/>
                <w:sz w:val="21"/>
                <w:szCs w:val="21"/>
                <w:highlight w:val="none"/>
                <w:lang w:eastAsia="zh-CN"/>
              </w:rPr>
            </w:pPr>
            <w:r>
              <w:rPr>
                <w:rFonts w:hint="eastAsia" w:ascii="宋体" w:hAnsi="宋体" w:cs="宋体"/>
                <w:color w:val="auto"/>
                <w:sz w:val="21"/>
                <w:szCs w:val="21"/>
                <w:highlight w:val="none"/>
                <w:lang w:eastAsia="zh-CN"/>
              </w:rPr>
              <w:t>（4）当前 AIGC 的主要应用领域。</w:t>
            </w:r>
          </w:p>
          <w:p w14:paraId="014A0131">
            <w:pPr>
              <w:keepNext w:val="0"/>
              <w:keepLines w:val="0"/>
              <w:pageBreakBefore w:val="0"/>
              <w:kinsoku/>
              <w:wordWrap/>
              <w:overflowPunct/>
              <w:topLinePunct w:val="0"/>
              <w:autoSpaceDE/>
              <w:autoSpaceDN/>
              <w:bidi w:val="0"/>
              <w:spacing w:line="360" w:lineRule="auto"/>
              <w:jc w:val="left"/>
              <w:textAlignment w:val="auto"/>
              <w:rPr>
                <w:rFonts w:hint="eastAsia" w:ascii="宋体" w:hAnsi="宋体" w:cs="宋体"/>
                <w:color w:val="auto"/>
                <w:sz w:val="21"/>
                <w:szCs w:val="21"/>
                <w:highlight w:val="none"/>
                <w:lang w:eastAsia="zh-CN"/>
              </w:rPr>
            </w:pPr>
            <w:r>
              <w:rPr>
                <w:rFonts w:hint="eastAsia" w:ascii="宋体" w:hAnsi="宋体" w:cs="宋体"/>
                <w:color w:val="auto"/>
                <w:sz w:val="21"/>
                <w:szCs w:val="21"/>
                <w:highlight w:val="none"/>
                <w:lang w:eastAsia="zh-CN"/>
              </w:rPr>
              <w:t>4.优化提示词以提高生成文本的质量</w:t>
            </w:r>
          </w:p>
          <w:p w14:paraId="12A900D2">
            <w:pPr>
              <w:keepNext w:val="0"/>
              <w:keepLines w:val="0"/>
              <w:pageBreakBefore w:val="0"/>
              <w:kinsoku/>
              <w:wordWrap/>
              <w:overflowPunct/>
              <w:topLinePunct w:val="0"/>
              <w:autoSpaceDE/>
              <w:autoSpaceDN/>
              <w:bidi w:val="0"/>
              <w:spacing w:line="360" w:lineRule="auto"/>
              <w:jc w:val="left"/>
              <w:textAlignment w:val="auto"/>
              <w:rPr>
                <w:rFonts w:hint="eastAsia" w:ascii="宋体" w:hAnsi="宋体" w:cs="宋体"/>
                <w:color w:val="auto"/>
                <w:sz w:val="21"/>
                <w:szCs w:val="21"/>
                <w:highlight w:val="none"/>
                <w:lang w:eastAsia="zh-CN"/>
              </w:rPr>
            </w:pPr>
            <w:r>
              <w:rPr>
                <w:rFonts w:hint="eastAsia" w:ascii="宋体" w:hAnsi="宋体" w:cs="宋体"/>
                <w:color w:val="auto"/>
                <w:sz w:val="21"/>
                <w:szCs w:val="21"/>
                <w:highlight w:val="none"/>
                <w:lang w:eastAsia="zh-CN"/>
              </w:rPr>
              <w:t>（1）提示词工程的重要性。</w:t>
            </w:r>
          </w:p>
          <w:p w14:paraId="4BB38238">
            <w:pPr>
              <w:keepNext w:val="0"/>
              <w:keepLines w:val="0"/>
              <w:pageBreakBefore w:val="0"/>
              <w:kinsoku/>
              <w:wordWrap/>
              <w:overflowPunct/>
              <w:topLinePunct w:val="0"/>
              <w:autoSpaceDE/>
              <w:autoSpaceDN/>
              <w:bidi w:val="0"/>
              <w:spacing w:line="360" w:lineRule="auto"/>
              <w:jc w:val="left"/>
              <w:textAlignment w:val="auto"/>
              <w:rPr>
                <w:rFonts w:hint="eastAsia" w:ascii="宋体" w:hAnsi="宋体" w:cs="宋体"/>
                <w:color w:val="auto"/>
                <w:sz w:val="21"/>
                <w:szCs w:val="21"/>
                <w:highlight w:val="none"/>
                <w:lang w:eastAsia="zh-CN"/>
              </w:rPr>
            </w:pPr>
            <w:r>
              <w:rPr>
                <w:rFonts w:hint="eastAsia" w:ascii="宋体" w:hAnsi="宋体" w:cs="宋体"/>
                <w:color w:val="auto"/>
                <w:sz w:val="21"/>
                <w:szCs w:val="21"/>
                <w:highlight w:val="none"/>
                <w:lang w:eastAsia="zh-CN"/>
              </w:rPr>
              <w:t>（2）如何构建有效的提示词。</w:t>
            </w:r>
          </w:p>
          <w:p w14:paraId="06A3FD8A">
            <w:pPr>
              <w:keepNext w:val="0"/>
              <w:keepLines w:val="0"/>
              <w:pageBreakBefore w:val="0"/>
              <w:kinsoku/>
              <w:wordWrap/>
              <w:overflowPunct/>
              <w:topLinePunct w:val="0"/>
              <w:autoSpaceDE/>
              <w:autoSpaceDN/>
              <w:bidi w:val="0"/>
              <w:spacing w:line="360" w:lineRule="auto"/>
              <w:jc w:val="left"/>
              <w:textAlignment w:val="auto"/>
              <w:rPr>
                <w:rFonts w:hint="eastAsia" w:ascii="宋体" w:hAnsi="宋体" w:cs="宋体"/>
                <w:color w:val="auto"/>
                <w:sz w:val="21"/>
                <w:szCs w:val="21"/>
                <w:highlight w:val="none"/>
                <w:lang w:eastAsia="zh-CN"/>
              </w:rPr>
            </w:pPr>
            <w:r>
              <w:rPr>
                <w:rFonts w:hint="eastAsia" w:ascii="宋体" w:hAnsi="宋体" w:cs="宋体"/>
                <w:color w:val="auto"/>
                <w:sz w:val="21"/>
                <w:szCs w:val="21"/>
                <w:highlight w:val="none"/>
                <w:lang w:eastAsia="zh-CN"/>
              </w:rPr>
              <w:t>（3）实践案例：从错误提示词到高质量输出的转变。</w:t>
            </w:r>
          </w:p>
          <w:p w14:paraId="72432140">
            <w:pPr>
              <w:keepNext w:val="0"/>
              <w:keepLines w:val="0"/>
              <w:pageBreakBefore w:val="0"/>
              <w:kinsoku/>
              <w:wordWrap/>
              <w:overflowPunct/>
              <w:topLinePunct w:val="0"/>
              <w:autoSpaceDE/>
              <w:autoSpaceDN/>
              <w:bidi w:val="0"/>
              <w:spacing w:line="360" w:lineRule="auto"/>
              <w:jc w:val="left"/>
              <w:textAlignment w:val="auto"/>
              <w:rPr>
                <w:rFonts w:hint="eastAsia" w:ascii="宋体" w:hAnsi="宋体" w:cs="宋体"/>
                <w:color w:val="auto"/>
                <w:sz w:val="21"/>
                <w:szCs w:val="21"/>
                <w:highlight w:val="none"/>
                <w:lang w:eastAsia="zh-CN"/>
              </w:rPr>
            </w:pPr>
            <w:r>
              <w:rPr>
                <w:rFonts w:hint="eastAsia" w:ascii="宋体" w:hAnsi="宋体" w:cs="宋体"/>
                <w:color w:val="auto"/>
                <w:sz w:val="21"/>
                <w:szCs w:val="21"/>
                <w:highlight w:val="none"/>
                <w:lang w:eastAsia="zh-CN"/>
              </w:rPr>
              <w:t>（4）辅助文献综述编写的技巧。</w:t>
            </w:r>
          </w:p>
          <w:p w14:paraId="0C69241D">
            <w:pPr>
              <w:keepNext w:val="0"/>
              <w:keepLines w:val="0"/>
              <w:pageBreakBefore w:val="0"/>
              <w:kinsoku/>
              <w:wordWrap/>
              <w:overflowPunct/>
              <w:topLinePunct w:val="0"/>
              <w:autoSpaceDE/>
              <w:autoSpaceDN/>
              <w:bidi w:val="0"/>
              <w:spacing w:line="360" w:lineRule="auto"/>
              <w:jc w:val="left"/>
              <w:textAlignment w:val="auto"/>
              <w:rPr>
                <w:rFonts w:hint="eastAsia" w:ascii="宋体" w:hAnsi="宋体" w:cs="宋体"/>
                <w:color w:val="auto"/>
                <w:sz w:val="21"/>
                <w:szCs w:val="21"/>
                <w:highlight w:val="none"/>
                <w:lang w:eastAsia="zh-CN"/>
              </w:rPr>
            </w:pPr>
            <w:r>
              <w:rPr>
                <w:rFonts w:hint="eastAsia" w:ascii="宋体" w:hAnsi="宋体" w:cs="宋体"/>
                <w:color w:val="auto"/>
                <w:sz w:val="21"/>
                <w:szCs w:val="21"/>
                <w:highlight w:val="none"/>
                <w:lang w:eastAsia="zh-CN"/>
              </w:rPr>
              <w:t>4.AI在教育教学中的应用</w:t>
            </w:r>
          </w:p>
          <w:p w14:paraId="1CB7B7A5">
            <w:pPr>
              <w:keepNext w:val="0"/>
              <w:keepLines w:val="0"/>
              <w:pageBreakBefore w:val="0"/>
              <w:kinsoku/>
              <w:wordWrap/>
              <w:overflowPunct/>
              <w:topLinePunct w:val="0"/>
              <w:autoSpaceDE/>
              <w:autoSpaceDN/>
              <w:bidi w:val="0"/>
              <w:spacing w:line="360" w:lineRule="auto"/>
              <w:jc w:val="left"/>
              <w:textAlignment w:val="auto"/>
              <w:rPr>
                <w:rFonts w:hint="eastAsia" w:ascii="宋体" w:hAnsi="宋体" w:cs="宋体"/>
                <w:color w:val="auto"/>
                <w:sz w:val="21"/>
                <w:szCs w:val="21"/>
                <w:highlight w:val="none"/>
                <w:lang w:eastAsia="zh-CN"/>
              </w:rPr>
            </w:pPr>
            <w:r>
              <w:rPr>
                <w:rFonts w:hint="eastAsia" w:ascii="宋体" w:hAnsi="宋体" w:cs="宋体"/>
                <w:color w:val="auto"/>
                <w:sz w:val="21"/>
                <w:szCs w:val="21"/>
                <w:highlight w:val="none"/>
                <w:lang w:eastAsia="zh-CN"/>
              </w:rPr>
              <w:t>（1）图片的生成。</w:t>
            </w:r>
          </w:p>
          <w:p w14:paraId="6564F62A">
            <w:pPr>
              <w:keepNext w:val="0"/>
              <w:keepLines w:val="0"/>
              <w:pageBreakBefore w:val="0"/>
              <w:kinsoku/>
              <w:wordWrap/>
              <w:overflowPunct/>
              <w:topLinePunct w:val="0"/>
              <w:autoSpaceDE/>
              <w:autoSpaceDN/>
              <w:bidi w:val="0"/>
              <w:spacing w:line="360" w:lineRule="auto"/>
              <w:jc w:val="left"/>
              <w:textAlignment w:val="auto"/>
              <w:rPr>
                <w:rFonts w:hint="eastAsia" w:ascii="宋体" w:hAnsi="宋体" w:cs="宋体"/>
                <w:color w:val="auto"/>
                <w:sz w:val="21"/>
                <w:szCs w:val="21"/>
                <w:highlight w:val="none"/>
                <w:lang w:eastAsia="zh-CN"/>
              </w:rPr>
            </w:pPr>
            <w:r>
              <w:rPr>
                <w:rFonts w:hint="eastAsia" w:ascii="宋体" w:hAnsi="宋体" w:cs="宋体"/>
                <w:color w:val="auto"/>
                <w:sz w:val="21"/>
                <w:szCs w:val="21"/>
                <w:highlight w:val="none"/>
                <w:lang w:eastAsia="zh-CN"/>
              </w:rPr>
              <w:t>（2）PPT的生成及技巧。</w:t>
            </w:r>
          </w:p>
          <w:p w14:paraId="0E0E5C64">
            <w:pPr>
              <w:keepNext w:val="0"/>
              <w:keepLines w:val="0"/>
              <w:pageBreakBefore w:val="0"/>
              <w:kinsoku/>
              <w:wordWrap/>
              <w:overflowPunct/>
              <w:topLinePunct w:val="0"/>
              <w:autoSpaceDE/>
              <w:autoSpaceDN/>
              <w:bidi w:val="0"/>
              <w:spacing w:line="360" w:lineRule="auto"/>
              <w:jc w:val="left"/>
              <w:textAlignment w:val="auto"/>
              <w:rPr>
                <w:rFonts w:hint="eastAsia" w:ascii="宋体" w:hAnsi="宋体" w:cs="宋体"/>
                <w:color w:val="auto"/>
                <w:sz w:val="21"/>
                <w:szCs w:val="21"/>
                <w:highlight w:val="none"/>
                <w:lang w:eastAsia="zh-CN"/>
              </w:rPr>
            </w:pPr>
            <w:r>
              <w:rPr>
                <w:rFonts w:hint="eastAsia" w:ascii="宋体" w:hAnsi="宋体" w:cs="宋体"/>
                <w:color w:val="auto"/>
                <w:sz w:val="21"/>
                <w:szCs w:val="21"/>
                <w:highlight w:val="none"/>
                <w:lang w:eastAsia="zh-CN"/>
              </w:rPr>
              <w:t>（3）流程图、序列图等生成。</w:t>
            </w:r>
          </w:p>
          <w:p w14:paraId="16A0AAB3">
            <w:pPr>
              <w:keepNext w:val="0"/>
              <w:keepLines w:val="0"/>
              <w:pageBreakBefore w:val="0"/>
              <w:kinsoku/>
              <w:wordWrap/>
              <w:overflowPunct/>
              <w:topLinePunct w:val="0"/>
              <w:autoSpaceDE/>
              <w:autoSpaceDN/>
              <w:bidi w:val="0"/>
              <w:spacing w:line="360" w:lineRule="auto"/>
              <w:jc w:val="left"/>
              <w:textAlignment w:val="auto"/>
              <w:rPr>
                <w:rFonts w:hint="eastAsia" w:ascii="宋体" w:hAnsi="宋体" w:cs="宋体"/>
                <w:color w:val="auto"/>
                <w:sz w:val="21"/>
                <w:szCs w:val="21"/>
                <w:highlight w:val="none"/>
                <w:lang w:eastAsia="zh-CN"/>
              </w:rPr>
            </w:pPr>
            <w:r>
              <w:rPr>
                <w:rFonts w:hint="eastAsia" w:ascii="宋体" w:hAnsi="宋体" w:cs="宋体"/>
                <w:color w:val="auto"/>
                <w:sz w:val="21"/>
                <w:szCs w:val="21"/>
                <w:highlight w:val="none"/>
                <w:lang w:eastAsia="zh-CN"/>
              </w:rPr>
              <w:t>（4）思维导图的生成。</w:t>
            </w:r>
          </w:p>
          <w:p w14:paraId="6F67AFE7">
            <w:pPr>
              <w:keepNext w:val="0"/>
              <w:keepLines w:val="0"/>
              <w:pageBreakBefore w:val="0"/>
              <w:kinsoku/>
              <w:wordWrap/>
              <w:overflowPunct/>
              <w:topLinePunct w:val="0"/>
              <w:autoSpaceDE/>
              <w:autoSpaceDN/>
              <w:bidi w:val="0"/>
              <w:spacing w:line="360" w:lineRule="auto"/>
              <w:jc w:val="left"/>
              <w:textAlignment w:val="auto"/>
              <w:rPr>
                <w:rFonts w:hint="eastAsia" w:ascii="宋体" w:hAnsi="宋体" w:cs="宋体"/>
                <w:color w:val="auto"/>
                <w:sz w:val="21"/>
                <w:szCs w:val="21"/>
                <w:highlight w:val="none"/>
                <w:lang w:eastAsia="zh-CN"/>
              </w:rPr>
            </w:pPr>
            <w:r>
              <w:rPr>
                <w:rFonts w:hint="eastAsia" w:ascii="宋体" w:hAnsi="宋体" w:cs="宋体"/>
                <w:color w:val="auto"/>
                <w:sz w:val="21"/>
                <w:szCs w:val="21"/>
                <w:highlight w:val="none"/>
                <w:lang w:eastAsia="zh-CN"/>
              </w:rPr>
              <w:t>（5）视频和数字人的生成。</w:t>
            </w:r>
          </w:p>
          <w:p w14:paraId="19F209DE">
            <w:pPr>
              <w:keepNext w:val="0"/>
              <w:keepLines w:val="0"/>
              <w:pageBreakBefore w:val="0"/>
              <w:kinsoku/>
              <w:wordWrap/>
              <w:overflowPunct/>
              <w:topLinePunct w:val="0"/>
              <w:autoSpaceDE/>
              <w:autoSpaceDN/>
              <w:bidi w:val="0"/>
              <w:spacing w:line="360" w:lineRule="auto"/>
              <w:jc w:val="left"/>
              <w:textAlignment w:val="auto"/>
              <w:rPr>
                <w:rFonts w:hint="eastAsia" w:ascii="宋体" w:hAnsi="宋体" w:cs="宋体"/>
                <w:color w:val="auto"/>
                <w:sz w:val="21"/>
                <w:szCs w:val="21"/>
                <w:highlight w:val="none"/>
                <w:lang w:eastAsia="zh-CN"/>
              </w:rPr>
            </w:pPr>
            <w:r>
              <w:rPr>
                <w:rFonts w:hint="eastAsia" w:ascii="宋体" w:hAnsi="宋体" w:cs="宋体"/>
                <w:color w:val="auto"/>
                <w:sz w:val="21"/>
                <w:szCs w:val="21"/>
                <w:highlight w:val="none"/>
                <w:lang w:val="en-US" w:eastAsia="zh-CN"/>
              </w:rPr>
              <w:t>5</w:t>
            </w:r>
            <w:r>
              <w:rPr>
                <w:rFonts w:hint="eastAsia" w:ascii="宋体" w:hAnsi="宋体" w:cs="宋体"/>
                <w:color w:val="auto"/>
                <w:sz w:val="21"/>
                <w:szCs w:val="21"/>
                <w:highlight w:val="none"/>
                <w:lang w:eastAsia="zh-CN"/>
              </w:rPr>
              <w:t>.AI提升科研论文写作与研究效率</w:t>
            </w:r>
          </w:p>
          <w:p w14:paraId="0108E880">
            <w:pPr>
              <w:keepNext w:val="0"/>
              <w:keepLines w:val="0"/>
              <w:pageBreakBefore w:val="0"/>
              <w:kinsoku/>
              <w:wordWrap/>
              <w:overflowPunct/>
              <w:topLinePunct w:val="0"/>
              <w:autoSpaceDE/>
              <w:autoSpaceDN/>
              <w:bidi w:val="0"/>
              <w:spacing w:line="360" w:lineRule="auto"/>
              <w:jc w:val="left"/>
              <w:textAlignment w:val="auto"/>
              <w:rPr>
                <w:rFonts w:hint="eastAsia" w:ascii="宋体" w:hAnsi="宋体" w:cs="宋体"/>
                <w:color w:val="auto"/>
                <w:sz w:val="21"/>
                <w:szCs w:val="21"/>
                <w:highlight w:val="none"/>
                <w:lang w:eastAsia="zh-CN"/>
              </w:rPr>
            </w:pPr>
            <w:r>
              <w:rPr>
                <w:rFonts w:hint="eastAsia" w:ascii="宋体" w:hAnsi="宋体" w:cs="宋体"/>
                <w:color w:val="auto"/>
                <w:sz w:val="21"/>
                <w:szCs w:val="21"/>
                <w:highlight w:val="none"/>
                <w:lang w:eastAsia="zh-CN"/>
              </w:rPr>
              <w:t>利用国内外AI应用（deepseek、GPT），探索论文搜索平台，扩展研究文献网络，辨识AI生成内容，跨语言论文翻译，简化论文摘要撰写，自动生成文献综述，双语论文润色等。</w:t>
            </w:r>
          </w:p>
          <w:p w14:paraId="05783D1F">
            <w:pPr>
              <w:keepNext w:val="0"/>
              <w:keepLines w:val="0"/>
              <w:pageBreakBefore w:val="0"/>
              <w:kinsoku/>
              <w:wordWrap/>
              <w:overflowPunct/>
              <w:topLinePunct w:val="0"/>
              <w:autoSpaceDE/>
              <w:autoSpaceDN/>
              <w:bidi w:val="0"/>
              <w:spacing w:line="360" w:lineRule="auto"/>
              <w:jc w:val="left"/>
              <w:textAlignment w:val="auto"/>
              <w:rPr>
                <w:rFonts w:hint="default" w:ascii="宋体" w:hAnsi="宋体" w:cs="宋体"/>
                <w:color w:val="auto"/>
                <w:sz w:val="21"/>
                <w:szCs w:val="21"/>
                <w:highlight w:val="none"/>
                <w:lang w:val="en-US" w:eastAsia="zh-CN"/>
              </w:rPr>
            </w:pPr>
            <w:r>
              <w:rPr>
                <w:rFonts w:hint="eastAsia" w:ascii="宋体" w:hAnsi="宋体" w:cs="宋体"/>
                <w:color w:val="auto"/>
                <w:sz w:val="21"/>
                <w:szCs w:val="21"/>
                <w:highlight w:val="none"/>
                <w:lang w:val="en-US" w:eastAsia="zh-CN"/>
              </w:rPr>
              <w:t>6</w:t>
            </w:r>
            <w:r>
              <w:rPr>
                <w:rFonts w:hint="eastAsia" w:ascii="宋体" w:hAnsi="宋体" w:cs="宋体"/>
                <w:color w:val="auto"/>
                <w:sz w:val="21"/>
                <w:szCs w:val="21"/>
                <w:highlight w:val="none"/>
                <w:lang w:eastAsia="zh-CN"/>
              </w:rPr>
              <w:t>.</w:t>
            </w:r>
            <w:r>
              <w:rPr>
                <w:rFonts w:hint="eastAsia" w:ascii="宋体" w:hAnsi="宋体" w:cs="宋体"/>
                <w:color w:val="auto"/>
                <w:sz w:val="21"/>
                <w:szCs w:val="21"/>
                <w:highlight w:val="none"/>
                <w:lang w:val="en-US" w:eastAsia="zh-CN"/>
              </w:rPr>
              <w:t>知识库及智能体场景搭建</w:t>
            </w:r>
          </w:p>
          <w:p w14:paraId="3BEB88F7">
            <w:pPr>
              <w:keepNext w:val="0"/>
              <w:keepLines w:val="0"/>
              <w:pageBreakBefore w:val="0"/>
              <w:kinsoku/>
              <w:wordWrap/>
              <w:overflowPunct/>
              <w:topLinePunct w:val="0"/>
              <w:autoSpaceDE/>
              <w:autoSpaceDN/>
              <w:bidi w:val="0"/>
              <w:spacing w:line="360" w:lineRule="auto"/>
              <w:jc w:val="left"/>
              <w:textAlignment w:val="auto"/>
              <w:rPr>
                <w:rFonts w:hint="eastAsia" w:ascii="宋体" w:hAnsi="宋体" w:cs="宋体"/>
                <w:color w:val="auto"/>
                <w:sz w:val="21"/>
                <w:szCs w:val="21"/>
                <w:highlight w:val="none"/>
                <w:lang w:val="en-US" w:eastAsia="zh-CN"/>
              </w:rPr>
            </w:pPr>
            <w:r>
              <w:rPr>
                <w:rFonts w:hint="eastAsia" w:ascii="宋体" w:hAnsi="宋体" w:cs="宋体"/>
                <w:color w:val="auto"/>
                <w:sz w:val="21"/>
                <w:szCs w:val="21"/>
                <w:highlight w:val="none"/>
                <w:lang w:val="en-US" w:eastAsia="zh-CN"/>
              </w:rPr>
              <w:t>7.桂教通和数字基座介绍</w:t>
            </w:r>
          </w:p>
          <w:p w14:paraId="2DCD1F1D">
            <w:pPr>
              <w:keepNext w:val="0"/>
              <w:keepLines w:val="0"/>
              <w:pageBreakBefore w:val="0"/>
              <w:kinsoku/>
              <w:wordWrap/>
              <w:overflowPunct/>
              <w:topLinePunct w:val="0"/>
              <w:autoSpaceDE/>
              <w:autoSpaceDN/>
              <w:bidi w:val="0"/>
              <w:spacing w:line="360" w:lineRule="auto"/>
              <w:jc w:val="left"/>
              <w:textAlignment w:val="auto"/>
              <w:rPr>
                <w:rFonts w:hint="eastAsia" w:ascii="宋体" w:hAnsi="宋体" w:cs="宋体"/>
                <w:color w:val="auto"/>
                <w:sz w:val="21"/>
                <w:szCs w:val="21"/>
                <w:highlight w:val="none"/>
                <w:lang w:val="en-US" w:eastAsia="zh-CN"/>
              </w:rPr>
            </w:pPr>
            <w:r>
              <w:rPr>
                <w:rFonts w:hint="eastAsia" w:ascii="宋体" w:hAnsi="宋体" w:cs="宋体"/>
                <w:color w:val="auto"/>
                <w:sz w:val="21"/>
                <w:szCs w:val="21"/>
                <w:highlight w:val="none"/>
                <w:lang w:val="en-US" w:eastAsia="zh-CN"/>
              </w:rPr>
              <w:t xml:space="preserve">8.低代码应用开发实践 </w:t>
            </w:r>
          </w:p>
          <w:p w14:paraId="3A769E50">
            <w:pPr>
              <w:keepNext w:val="0"/>
              <w:keepLines w:val="0"/>
              <w:pageBreakBefore w:val="0"/>
              <w:kinsoku/>
              <w:wordWrap/>
              <w:overflowPunct/>
              <w:topLinePunct w:val="0"/>
              <w:autoSpaceDE/>
              <w:autoSpaceDN/>
              <w:bidi w:val="0"/>
              <w:spacing w:line="360" w:lineRule="auto"/>
              <w:jc w:val="left"/>
              <w:textAlignment w:val="auto"/>
              <w:rPr>
                <w:rFonts w:hint="eastAsia"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9.</w:t>
            </w:r>
            <w:r>
              <w:rPr>
                <w:rFonts w:hint="eastAsia" w:ascii="宋体" w:hAnsi="宋体" w:eastAsia="宋体" w:cs="宋体"/>
                <w:color w:val="auto"/>
                <w:sz w:val="21"/>
                <w:szCs w:val="21"/>
                <w:highlight w:val="none"/>
                <w:lang w:val="en-US" w:eastAsia="zh-CN"/>
              </w:rPr>
              <w:t>AI智能体创作实践</w:t>
            </w:r>
          </w:p>
          <w:p w14:paraId="4FDEEF56">
            <w:pPr>
              <w:keepNext w:val="0"/>
              <w:keepLines w:val="0"/>
              <w:pageBreakBefore w:val="0"/>
              <w:kinsoku/>
              <w:wordWrap/>
              <w:overflowPunct/>
              <w:topLinePunct w:val="0"/>
              <w:autoSpaceDE/>
              <w:autoSpaceDN/>
              <w:bidi w:val="0"/>
              <w:spacing w:line="360" w:lineRule="auto"/>
              <w:jc w:val="left"/>
              <w:textAlignment w:val="auto"/>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 xml:space="preserve">10.AI应用场景创作实践 </w:t>
            </w:r>
          </w:p>
          <w:p w14:paraId="017592B5">
            <w:pPr>
              <w:keepNext w:val="0"/>
              <w:keepLines w:val="0"/>
              <w:pageBreakBefore w:val="0"/>
              <w:numPr>
                <w:ilvl w:val="0"/>
                <w:numId w:val="2"/>
              </w:numPr>
              <w:kinsoku/>
              <w:wordWrap/>
              <w:overflowPunct/>
              <w:topLinePunct w:val="0"/>
              <w:autoSpaceDE/>
              <w:autoSpaceDN/>
              <w:bidi w:val="0"/>
              <w:spacing w:line="360" w:lineRule="auto"/>
              <w:jc w:val="left"/>
              <w:textAlignment w:val="auto"/>
              <w:rPr>
                <w:rFonts w:hint="eastAsia" w:ascii="宋体" w:hAnsi="宋体" w:cs="宋体"/>
                <w:color w:val="auto"/>
                <w:sz w:val="21"/>
                <w:szCs w:val="21"/>
                <w:highlight w:val="none"/>
                <w:lang w:val="en-US" w:eastAsia="zh-CN"/>
              </w:rPr>
            </w:pPr>
            <w:r>
              <w:rPr>
                <w:rFonts w:hint="eastAsia" w:ascii="宋体" w:hAnsi="宋体" w:cs="宋体"/>
                <w:color w:val="auto"/>
                <w:sz w:val="21"/>
                <w:szCs w:val="21"/>
                <w:highlight w:val="none"/>
                <w:lang w:val="en-US" w:eastAsia="zh-CN"/>
              </w:rPr>
              <w:t>组织线上学习不少于1800分钟（40学时，45分钟/学时）</w:t>
            </w:r>
          </w:p>
          <w:p w14:paraId="70129483">
            <w:pPr>
              <w:keepNext w:val="0"/>
              <w:keepLines w:val="0"/>
              <w:pageBreakBefore w:val="0"/>
              <w:numPr>
                <w:ilvl w:val="0"/>
                <w:numId w:val="0"/>
              </w:numPr>
              <w:kinsoku/>
              <w:wordWrap/>
              <w:overflowPunct/>
              <w:topLinePunct w:val="0"/>
              <w:autoSpaceDE/>
              <w:autoSpaceDN/>
              <w:bidi w:val="0"/>
              <w:spacing w:line="360" w:lineRule="auto"/>
              <w:jc w:val="left"/>
              <w:textAlignment w:val="auto"/>
              <w:rPr>
                <w:rFonts w:hint="default" w:ascii="宋体" w:hAnsi="宋体" w:cs="宋体"/>
                <w:b w:val="0"/>
                <w:bCs w:val="0"/>
                <w:color w:val="auto"/>
                <w:sz w:val="21"/>
                <w:szCs w:val="21"/>
                <w:highlight w:val="none"/>
                <w:lang w:val="en-US" w:eastAsia="zh-CN"/>
              </w:rPr>
            </w:pPr>
            <w:r>
              <w:rPr>
                <w:rFonts w:hint="eastAsia" w:ascii="宋体" w:hAnsi="宋体" w:eastAsia="宋体" w:cs="宋体"/>
                <w:b w:val="0"/>
                <w:bCs w:val="0"/>
                <w:color w:val="auto"/>
                <w:kern w:val="2"/>
                <w:sz w:val="21"/>
                <w:szCs w:val="21"/>
                <w:highlight w:val="none"/>
                <w:lang w:val="en-US" w:eastAsia="zh-CN" w:bidi="ar-SA"/>
              </w:rPr>
              <w:t>（1）</w:t>
            </w:r>
            <w:r>
              <w:rPr>
                <w:rFonts w:hint="eastAsia" w:ascii="宋体" w:hAnsi="宋体" w:cs="宋体"/>
                <w:b w:val="0"/>
                <w:bCs w:val="0"/>
                <w:color w:val="auto"/>
                <w:sz w:val="21"/>
                <w:szCs w:val="21"/>
                <w:highlight w:val="none"/>
                <w:lang w:val="en-US" w:eastAsia="zh-CN"/>
              </w:rPr>
              <w:t xml:space="preserve"> 组织25名教师线上学习AI助力高效办公、AI赋能教学资源制作、AI助力教学设计与课堂教学管理、AI辅助论文选题与写作等相关内容，线上学习时长不少于1800分钟</w:t>
            </w:r>
            <w:r>
              <w:rPr>
                <w:rFonts w:hint="eastAsia" w:ascii="宋体" w:hAnsi="宋体" w:cs="宋体"/>
                <w:b/>
                <w:bCs/>
                <w:color w:val="auto"/>
                <w:sz w:val="21"/>
                <w:szCs w:val="21"/>
                <w:highlight w:val="none"/>
                <w:lang w:val="en-US" w:eastAsia="zh-CN"/>
              </w:rPr>
              <w:t>（40学时，45分钟/学时）。</w:t>
            </w:r>
          </w:p>
          <w:p w14:paraId="15F47F99">
            <w:pPr>
              <w:keepNext w:val="0"/>
              <w:keepLines w:val="0"/>
              <w:pageBreakBefore w:val="0"/>
              <w:numPr>
                <w:ilvl w:val="0"/>
                <w:numId w:val="0"/>
              </w:numPr>
              <w:kinsoku/>
              <w:wordWrap/>
              <w:overflowPunct/>
              <w:topLinePunct w:val="0"/>
              <w:autoSpaceDE/>
              <w:autoSpaceDN/>
              <w:bidi w:val="0"/>
              <w:spacing w:line="360" w:lineRule="auto"/>
              <w:jc w:val="left"/>
              <w:textAlignment w:val="auto"/>
              <w:rPr>
                <w:rFonts w:hint="default" w:ascii="宋体" w:hAnsi="宋体" w:cs="宋体"/>
                <w:b w:val="0"/>
                <w:bCs w:val="0"/>
                <w:color w:val="auto"/>
                <w:sz w:val="21"/>
                <w:szCs w:val="21"/>
                <w:highlight w:val="none"/>
                <w:lang w:val="en-US" w:eastAsia="zh-CN"/>
              </w:rPr>
            </w:pPr>
            <w:r>
              <w:rPr>
                <w:rFonts w:hint="default" w:ascii="宋体" w:hAnsi="宋体" w:eastAsia="宋体" w:cs="宋体"/>
                <w:b w:val="0"/>
                <w:bCs w:val="0"/>
                <w:color w:val="auto"/>
                <w:kern w:val="2"/>
                <w:sz w:val="21"/>
                <w:szCs w:val="21"/>
                <w:highlight w:val="none"/>
                <w:lang w:val="en-US" w:eastAsia="zh-CN" w:bidi="ar-SA"/>
              </w:rPr>
              <w:t>（2）</w:t>
            </w:r>
            <w:r>
              <w:rPr>
                <w:rFonts w:hint="eastAsia" w:ascii="宋体" w:hAnsi="宋体" w:cs="宋体"/>
                <w:b w:val="0"/>
                <w:bCs w:val="0"/>
                <w:color w:val="auto"/>
                <w:sz w:val="21"/>
                <w:szCs w:val="21"/>
                <w:highlight w:val="none"/>
                <w:lang w:val="en-US" w:eastAsia="zh-CN"/>
              </w:rPr>
              <w:t>培训考核合格后颁发省级以上（含省级）教育行政部门的学时证书。</w:t>
            </w:r>
          </w:p>
        </w:tc>
        <w:tc>
          <w:tcPr>
            <w:tcW w:w="1036" w:type="dxa"/>
            <w:tcBorders>
              <w:top w:val="single" w:color="auto" w:sz="4" w:space="0"/>
              <w:left w:val="single" w:color="auto" w:sz="4" w:space="0"/>
              <w:bottom w:val="single" w:color="auto" w:sz="4" w:space="0"/>
              <w:right w:val="single" w:color="auto" w:sz="4" w:space="0"/>
            </w:tcBorders>
            <w:noWrap w:val="0"/>
            <w:vAlign w:val="center"/>
          </w:tcPr>
          <w:p w14:paraId="5A3952EC">
            <w:pPr>
              <w:keepNext w:val="0"/>
              <w:keepLines w:val="0"/>
              <w:pageBreakBefore w:val="0"/>
              <w:kinsoku/>
              <w:wordWrap/>
              <w:overflowPunct/>
              <w:topLinePunct w:val="0"/>
              <w:autoSpaceDE/>
              <w:autoSpaceDN/>
              <w:bidi w:val="0"/>
              <w:spacing w:line="360" w:lineRule="auto"/>
              <w:ind w:right="19" w:rightChars="9"/>
              <w:jc w:val="center"/>
              <w:textAlignment w:val="auto"/>
              <w:rPr>
                <w:rFonts w:hint="default"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26.00</w:t>
            </w:r>
          </w:p>
        </w:tc>
        <w:tc>
          <w:tcPr>
            <w:tcW w:w="1336" w:type="dxa"/>
            <w:tcBorders>
              <w:top w:val="single" w:color="auto" w:sz="4" w:space="0"/>
              <w:left w:val="single" w:color="auto" w:sz="4" w:space="0"/>
              <w:bottom w:val="single" w:color="auto" w:sz="4" w:space="0"/>
              <w:right w:val="single" w:color="auto" w:sz="4" w:space="0"/>
            </w:tcBorders>
            <w:noWrap w:val="0"/>
            <w:vAlign w:val="center"/>
          </w:tcPr>
          <w:p w14:paraId="0E47099D">
            <w:pPr>
              <w:keepNext w:val="0"/>
              <w:keepLines w:val="0"/>
              <w:pageBreakBefore w:val="0"/>
              <w:kinsoku/>
              <w:wordWrap/>
              <w:overflowPunct/>
              <w:topLinePunct w:val="0"/>
              <w:autoSpaceDE/>
              <w:autoSpaceDN/>
              <w:bidi w:val="0"/>
              <w:spacing w:line="360" w:lineRule="auto"/>
              <w:ind w:right="19" w:rightChars="9"/>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其他未列明行业</w:t>
            </w:r>
          </w:p>
        </w:tc>
      </w:tr>
      <w:tr w14:paraId="3DA9AD2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07" w:hRule="atLeast"/>
          <w:jc w:val="center"/>
        </w:trPr>
        <w:tc>
          <w:tcPr>
            <w:tcW w:w="545" w:type="dxa"/>
            <w:tcBorders>
              <w:left w:val="single" w:color="auto" w:sz="4" w:space="0"/>
              <w:bottom w:val="single" w:color="auto" w:sz="4" w:space="0"/>
              <w:right w:val="single" w:color="auto" w:sz="4" w:space="0"/>
            </w:tcBorders>
            <w:noWrap w:val="0"/>
            <w:vAlign w:val="center"/>
          </w:tcPr>
          <w:p w14:paraId="7D5DDDAD">
            <w:pPr>
              <w:keepNext w:val="0"/>
              <w:keepLines w:val="0"/>
              <w:pageBreakBefore w:val="0"/>
              <w:kinsoku/>
              <w:wordWrap/>
              <w:overflowPunct/>
              <w:topLinePunct w:val="0"/>
              <w:autoSpaceDE/>
              <w:autoSpaceDN/>
              <w:bidi w:val="0"/>
              <w:spacing w:line="360" w:lineRule="auto"/>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4</w:t>
            </w:r>
          </w:p>
        </w:tc>
        <w:tc>
          <w:tcPr>
            <w:tcW w:w="739" w:type="dxa"/>
            <w:tcBorders>
              <w:left w:val="single" w:color="auto" w:sz="4" w:space="0"/>
              <w:bottom w:val="single" w:color="auto" w:sz="4" w:space="0"/>
              <w:right w:val="single" w:color="auto" w:sz="4" w:space="0"/>
            </w:tcBorders>
            <w:noWrap w:val="0"/>
            <w:vAlign w:val="center"/>
          </w:tcPr>
          <w:p w14:paraId="48944EEA">
            <w:pPr>
              <w:keepNext w:val="0"/>
              <w:keepLines w:val="0"/>
              <w:pageBreakBefore w:val="0"/>
              <w:kinsoku/>
              <w:wordWrap/>
              <w:overflowPunct/>
              <w:topLinePunct w:val="0"/>
              <w:autoSpaceDE/>
              <w:autoSpaceDN/>
              <w:bidi w:val="0"/>
              <w:spacing w:line="360" w:lineRule="auto"/>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班主任队伍建设</w:t>
            </w:r>
          </w:p>
        </w:tc>
        <w:tc>
          <w:tcPr>
            <w:tcW w:w="717" w:type="dxa"/>
            <w:tcBorders>
              <w:top w:val="single" w:color="auto" w:sz="4" w:space="0"/>
              <w:left w:val="single" w:color="auto" w:sz="4" w:space="0"/>
              <w:bottom w:val="single" w:color="auto" w:sz="4" w:space="0"/>
              <w:right w:val="single" w:color="auto" w:sz="4" w:space="0"/>
            </w:tcBorders>
            <w:noWrap w:val="0"/>
            <w:vAlign w:val="center"/>
          </w:tcPr>
          <w:p w14:paraId="489207BB">
            <w:pPr>
              <w:keepNext w:val="0"/>
              <w:keepLines w:val="0"/>
              <w:pageBreakBefore w:val="0"/>
              <w:kinsoku/>
              <w:wordWrap/>
              <w:overflowPunct/>
              <w:topLinePunct w:val="0"/>
              <w:autoSpaceDE/>
              <w:autoSpaceDN/>
              <w:bidi w:val="0"/>
              <w:spacing w:line="360" w:lineRule="auto"/>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1项</w:t>
            </w:r>
          </w:p>
        </w:tc>
        <w:tc>
          <w:tcPr>
            <w:tcW w:w="5203" w:type="dxa"/>
            <w:tcBorders>
              <w:top w:val="single" w:color="auto" w:sz="4" w:space="0"/>
              <w:left w:val="single" w:color="auto" w:sz="4" w:space="0"/>
              <w:bottom w:val="single" w:color="auto" w:sz="4" w:space="0"/>
              <w:right w:val="single" w:color="auto" w:sz="4" w:space="0"/>
            </w:tcBorders>
            <w:noWrap w:val="0"/>
            <w:vAlign w:val="center"/>
          </w:tcPr>
          <w:p w14:paraId="50422332">
            <w:pPr>
              <w:keepNext w:val="0"/>
              <w:keepLines w:val="0"/>
              <w:pageBreakBefore w:val="0"/>
              <w:kinsoku/>
              <w:wordWrap/>
              <w:overflowPunct/>
              <w:topLinePunct w:val="0"/>
              <w:autoSpaceDE/>
              <w:autoSpaceDN/>
              <w:bidi w:val="0"/>
              <w:spacing w:line="360" w:lineRule="auto"/>
              <w:jc w:val="both"/>
              <w:textAlignment w:val="auto"/>
              <w:rPr>
                <w:rFonts w:hint="eastAsia" w:ascii="宋体" w:hAnsi="宋体" w:cs="宋体"/>
                <w:color w:val="auto"/>
                <w:sz w:val="21"/>
                <w:szCs w:val="21"/>
                <w:highlight w:val="none"/>
                <w:lang w:eastAsia="zh-CN"/>
              </w:rPr>
            </w:pPr>
            <w:r>
              <w:rPr>
                <w:rFonts w:hint="eastAsia" w:ascii="宋体" w:hAnsi="宋体" w:eastAsia="宋体" w:cs="宋体"/>
                <w:color w:val="auto"/>
                <w:sz w:val="21"/>
                <w:szCs w:val="21"/>
                <w:highlight w:val="none"/>
              </w:rPr>
              <w:t>中职班主任能力比赛提升培训</w:t>
            </w:r>
            <w:r>
              <w:rPr>
                <w:rFonts w:hint="eastAsia" w:ascii="宋体" w:hAnsi="宋体" w:cs="宋体"/>
                <w:color w:val="auto"/>
                <w:sz w:val="21"/>
                <w:szCs w:val="21"/>
                <w:highlight w:val="none"/>
                <w:lang w:eastAsia="zh-CN"/>
              </w:rPr>
              <w:t>。</w:t>
            </w:r>
          </w:p>
          <w:p w14:paraId="0B8705A7">
            <w:pPr>
              <w:keepNext w:val="0"/>
              <w:keepLines w:val="0"/>
              <w:pageBreakBefore w:val="0"/>
              <w:kinsoku/>
              <w:wordWrap/>
              <w:overflowPunct/>
              <w:topLinePunct w:val="0"/>
              <w:autoSpaceDE/>
              <w:autoSpaceDN/>
              <w:bidi w:val="0"/>
              <w:spacing w:line="360" w:lineRule="auto"/>
              <w:jc w:val="both"/>
              <w:textAlignment w:val="auto"/>
              <w:rPr>
                <w:rFonts w:hint="eastAsia" w:ascii="宋体" w:hAnsi="宋体" w:cs="宋体"/>
                <w:b/>
                <w:bCs/>
                <w:color w:val="auto"/>
                <w:sz w:val="21"/>
                <w:szCs w:val="21"/>
                <w:highlight w:val="none"/>
                <w:lang w:eastAsia="zh-CN"/>
              </w:rPr>
            </w:pPr>
            <w:r>
              <w:rPr>
                <w:rFonts w:hint="eastAsia" w:ascii="宋体" w:hAnsi="宋体" w:cs="宋体"/>
                <w:b/>
                <w:bCs/>
                <w:color w:val="auto"/>
                <w:sz w:val="21"/>
                <w:szCs w:val="21"/>
                <w:highlight w:val="none"/>
                <w:lang w:eastAsia="zh-CN"/>
              </w:rPr>
              <w:t>一、服务内容</w:t>
            </w:r>
          </w:p>
          <w:p w14:paraId="1A39742F">
            <w:pPr>
              <w:keepNext w:val="0"/>
              <w:keepLines w:val="0"/>
              <w:pageBreakBefore w:val="0"/>
              <w:kinsoku/>
              <w:wordWrap/>
              <w:overflowPunct/>
              <w:topLinePunct w:val="0"/>
              <w:autoSpaceDE/>
              <w:autoSpaceDN/>
              <w:bidi w:val="0"/>
              <w:spacing w:line="360" w:lineRule="auto"/>
              <w:jc w:val="both"/>
              <w:textAlignment w:val="auto"/>
              <w:rPr>
                <w:rFonts w:hint="eastAsia" w:ascii="宋体" w:hAnsi="宋体" w:cs="宋体"/>
                <w:color w:val="auto"/>
                <w:sz w:val="21"/>
                <w:szCs w:val="21"/>
                <w:highlight w:val="none"/>
                <w:lang w:eastAsia="zh-CN"/>
              </w:rPr>
            </w:pPr>
            <w:r>
              <w:rPr>
                <w:rFonts w:hint="eastAsia" w:ascii="宋体" w:hAnsi="宋体" w:cs="宋体"/>
                <w:color w:val="auto"/>
                <w:sz w:val="21"/>
                <w:szCs w:val="21"/>
                <w:highlight w:val="none"/>
                <w:lang w:eastAsia="zh-CN"/>
              </w:rPr>
              <w:t>1.召开中职班主任能力比赛提升培训讲座1次。</w:t>
            </w:r>
          </w:p>
          <w:p w14:paraId="22315CDA">
            <w:pPr>
              <w:keepNext w:val="0"/>
              <w:keepLines w:val="0"/>
              <w:pageBreakBefore w:val="0"/>
              <w:kinsoku/>
              <w:wordWrap/>
              <w:overflowPunct/>
              <w:topLinePunct w:val="0"/>
              <w:autoSpaceDE/>
              <w:autoSpaceDN/>
              <w:bidi w:val="0"/>
              <w:spacing w:line="360" w:lineRule="auto"/>
              <w:jc w:val="both"/>
              <w:textAlignment w:val="auto"/>
              <w:rPr>
                <w:rFonts w:hint="eastAsia" w:ascii="宋体" w:hAnsi="宋体" w:cs="宋体"/>
                <w:color w:val="auto"/>
                <w:sz w:val="21"/>
                <w:szCs w:val="21"/>
                <w:highlight w:val="none"/>
                <w:lang w:eastAsia="zh-CN"/>
              </w:rPr>
            </w:pPr>
            <w:r>
              <w:rPr>
                <w:rFonts w:hint="eastAsia" w:ascii="宋体" w:hAnsi="宋体" w:cs="宋体"/>
                <w:color w:val="auto"/>
                <w:sz w:val="21"/>
                <w:szCs w:val="21"/>
                <w:highlight w:val="none"/>
                <w:lang w:eastAsia="zh-CN"/>
              </w:rPr>
              <w:t>2.专家一对一指导：面向学校参赛班主任选手提供针对性指导，其中市赛辅导 3 组（累计指导 15 次）、区赛培育指导 1 组（累计指导 6 次），每次指导时长不少于 2 课时。指导内容包含比赛作品（班级建设方案、学年班级建设计划、管理育人案例、班级活动方案及实录视频、专业人才培养方案）打磨，以及决赛环节（班级建设情况介绍、班级活动策划、模拟情景处置、答辩）专项辅导。</w:t>
            </w:r>
          </w:p>
          <w:p w14:paraId="60189A31">
            <w:pPr>
              <w:keepNext w:val="0"/>
              <w:keepLines w:val="0"/>
              <w:pageBreakBefore w:val="0"/>
              <w:kinsoku/>
              <w:wordWrap/>
              <w:overflowPunct/>
              <w:topLinePunct w:val="0"/>
              <w:autoSpaceDE/>
              <w:autoSpaceDN/>
              <w:bidi w:val="0"/>
              <w:spacing w:line="360" w:lineRule="auto"/>
              <w:jc w:val="both"/>
              <w:textAlignment w:val="auto"/>
              <w:rPr>
                <w:rFonts w:hint="eastAsia" w:ascii="宋体" w:hAnsi="宋体" w:cs="宋体"/>
                <w:color w:val="auto"/>
                <w:sz w:val="21"/>
                <w:szCs w:val="21"/>
                <w:highlight w:val="none"/>
                <w:lang w:eastAsia="zh-CN"/>
              </w:rPr>
            </w:pPr>
            <w:r>
              <w:rPr>
                <w:rFonts w:hint="eastAsia" w:ascii="宋体" w:hAnsi="宋体" w:cs="宋体"/>
                <w:color w:val="auto"/>
                <w:sz w:val="21"/>
                <w:szCs w:val="21"/>
                <w:highlight w:val="none"/>
                <w:lang w:eastAsia="zh-CN"/>
              </w:rPr>
              <w:t>3.文本材料美化：提供班级建设方案插图及量表设计制作（图片数量≥12 张，单张图表原则上不超过半页）、班级建设计划插图及量表设计制作（图片数量≥8 张，单张图表原则上不超过半页），设计师将根据选手需求优化调整，直至符合要求；同时提供班级建设情况介绍、班主任队伍建设情况介绍、班级活动策划与情景模拟处置 PPT 美化服务。</w:t>
            </w:r>
          </w:p>
          <w:p w14:paraId="6888F5CB">
            <w:pPr>
              <w:keepNext w:val="0"/>
              <w:keepLines w:val="0"/>
              <w:pageBreakBefore w:val="0"/>
              <w:kinsoku/>
              <w:wordWrap/>
              <w:overflowPunct/>
              <w:topLinePunct w:val="0"/>
              <w:autoSpaceDE/>
              <w:autoSpaceDN/>
              <w:bidi w:val="0"/>
              <w:spacing w:line="360" w:lineRule="auto"/>
              <w:jc w:val="both"/>
              <w:textAlignment w:val="auto"/>
              <w:rPr>
                <w:rFonts w:hint="eastAsia" w:ascii="宋体" w:hAnsi="宋体" w:cs="宋体"/>
                <w:color w:val="auto"/>
                <w:sz w:val="21"/>
                <w:szCs w:val="21"/>
                <w:highlight w:val="none"/>
                <w:lang w:eastAsia="zh-CN"/>
              </w:rPr>
            </w:pPr>
            <w:r>
              <w:rPr>
                <w:rFonts w:hint="eastAsia" w:ascii="宋体" w:hAnsi="宋体" w:cs="宋体"/>
                <w:color w:val="auto"/>
                <w:sz w:val="21"/>
                <w:szCs w:val="21"/>
                <w:highlight w:val="none"/>
                <w:lang w:eastAsia="zh-CN"/>
              </w:rPr>
              <w:t>4.中标方负责中职班主任能力比赛作品拍摄。</w:t>
            </w:r>
          </w:p>
          <w:p w14:paraId="524EBC46">
            <w:pPr>
              <w:keepNext w:val="0"/>
              <w:keepLines w:val="0"/>
              <w:pageBreakBefore w:val="0"/>
              <w:kinsoku/>
              <w:wordWrap/>
              <w:overflowPunct/>
              <w:topLinePunct w:val="0"/>
              <w:autoSpaceDE/>
              <w:autoSpaceDN/>
              <w:bidi w:val="0"/>
              <w:spacing w:line="360" w:lineRule="auto"/>
              <w:jc w:val="both"/>
              <w:textAlignment w:val="auto"/>
              <w:rPr>
                <w:rFonts w:hint="eastAsia" w:ascii="宋体" w:hAnsi="宋体" w:cs="宋体"/>
                <w:color w:val="auto"/>
                <w:sz w:val="21"/>
                <w:szCs w:val="21"/>
                <w:highlight w:val="none"/>
                <w:lang w:eastAsia="zh-CN"/>
              </w:rPr>
            </w:pPr>
            <w:r>
              <w:rPr>
                <w:rFonts w:hint="eastAsia" w:ascii="宋体" w:hAnsi="宋体" w:cs="宋体"/>
                <w:color w:val="auto"/>
                <w:sz w:val="21"/>
                <w:szCs w:val="21"/>
                <w:highlight w:val="none"/>
                <w:lang w:eastAsia="zh-CN"/>
              </w:rPr>
              <w:t>5.</w:t>
            </w:r>
            <w:r>
              <w:rPr>
                <w:rFonts w:hint="eastAsia" w:ascii="宋体" w:hAnsi="宋体" w:cs="宋体"/>
                <w:color w:val="auto"/>
                <w:sz w:val="21"/>
                <w:szCs w:val="21"/>
                <w:highlight w:val="none"/>
                <w:lang w:val="en-US" w:eastAsia="zh-CN"/>
              </w:rPr>
              <w:t>如能参加</w:t>
            </w:r>
            <w:r>
              <w:rPr>
                <w:rFonts w:hint="eastAsia" w:ascii="宋体" w:hAnsi="宋体" w:cs="宋体"/>
                <w:color w:val="auto"/>
                <w:sz w:val="21"/>
                <w:szCs w:val="21"/>
                <w:highlight w:val="none"/>
                <w:lang w:eastAsia="zh-CN"/>
              </w:rPr>
              <w:t>自治区</w:t>
            </w:r>
            <w:r>
              <w:rPr>
                <w:rFonts w:hint="eastAsia" w:ascii="宋体" w:hAnsi="宋体" w:cs="宋体"/>
                <w:color w:val="auto"/>
                <w:sz w:val="21"/>
                <w:szCs w:val="21"/>
                <w:highlight w:val="none"/>
                <w:lang w:val="en-US" w:eastAsia="zh-CN"/>
              </w:rPr>
              <w:t>比</w:t>
            </w:r>
            <w:r>
              <w:rPr>
                <w:rFonts w:hint="eastAsia" w:ascii="宋体" w:hAnsi="宋体" w:cs="宋体"/>
                <w:color w:val="auto"/>
                <w:sz w:val="21"/>
                <w:szCs w:val="21"/>
                <w:highlight w:val="none"/>
                <w:lang w:eastAsia="zh-CN"/>
              </w:rPr>
              <w:t>赛，</w:t>
            </w:r>
            <w:r>
              <w:rPr>
                <w:rFonts w:hint="eastAsia" w:ascii="宋体" w:hAnsi="宋体" w:cs="宋体"/>
                <w:color w:val="auto"/>
                <w:sz w:val="21"/>
                <w:szCs w:val="21"/>
                <w:highlight w:val="none"/>
                <w:lang w:val="en-US" w:eastAsia="zh-CN"/>
              </w:rPr>
              <w:t>则</w:t>
            </w:r>
            <w:r>
              <w:rPr>
                <w:rFonts w:hint="eastAsia" w:ascii="宋体" w:hAnsi="宋体" w:cs="宋体"/>
                <w:color w:val="auto"/>
                <w:sz w:val="21"/>
                <w:szCs w:val="21"/>
                <w:highlight w:val="none"/>
                <w:lang w:eastAsia="zh-CN"/>
              </w:rPr>
              <w:t>延伸指导，</w:t>
            </w:r>
            <w:r>
              <w:rPr>
                <w:rFonts w:hint="eastAsia" w:ascii="宋体" w:hAnsi="宋体" w:cs="宋体"/>
                <w:color w:val="auto"/>
                <w:sz w:val="21"/>
                <w:szCs w:val="21"/>
                <w:highlight w:val="none"/>
                <w:lang w:val="en-US" w:eastAsia="zh-CN"/>
              </w:rPr>
              <w:t>如未能进自治区比赛则需组织线上学习不少于1800分钟（45分钟/学时，40学时），要求如下</w:t>
            </w:r>
            <w:r>
              <w:rPr>
                <w:rFonts w:hint="eastAsia" w:ascii="宋体" w:hAnsi="宋体" w:cs="宋体"/>
                <w:color w:val="auto"/>
                <w:sz w:val="21"/>
                <w:szCs w:val="21"/>
                <w:highlight w:val="none"/>
                <w:lang w:eastAsia="zh-CN"/>
              </w:rPr>
              <w:t>：</w:t>
            </w:r>
          </w:p>
          <w:p w14:paraId="7964986D">
            <w:pPr>
              <w:keepNext w:val="0"/>
              <w:keepLines w:val="0"/>
              <w:pageBreakBefore w:val="0"/>
              <w:kinsoku/>
              <w:wordWrap/>
              <w:overflowPunct/>
              <w:topLinePunct w:val="0"/>
              <w:autoSpaceDE/>
              <w:autoSpaceDN/>
              <w:bidi w:val="0"/>
              <w:spacing w:line="360" w:lineRule="auto"/>
              <w:jc w:val="both"/>
              <w:textAlignment w:val="auto"/>
              <w:rPr>
                <w:rFonts w:hint="eastAsia" w:ascii="宋体" w:hAnsi="宋体" w:cs="宋体"/>
                <w:color w:val="auto"/>
                <w:sz w:val="21"/>
                <w:szCs w:val="21"/>
                <w:highlight w:val="none"/>
                <w:lang w:eastAsia="zh-CN"/>
              </w:rPr>
            </w:pPr>
            <w:r>
              <w:rPr>
                <w:rFonts w:hint="eastAsia" w:ascii="宋体" w:hAnsi="宋体" w:cs="宋体"/>
                <w:color w:val="auto"/>
                <w:sz w:val="21"/>
                <w:szCs w:val="21"/>
                <w:highlight w:val="none"/>
                <w:lang w:eastAsia="zh-CN"/>
              </w:rPr>
              <w:t>（</w:t>
            </w:r>
            <w:r>
              <w:rPr>
                <w:rFonts w:hint="eastAsia" w:ascii="宋体" w:hAnsi="宋体" w:cs="宋体"/>
                <w:color w:val="auto"/>
                <w:sz w:val="21"/>
                <w:szCs w:val="21"/>
                <w:highlight w:val="none"/>
                <w:lang w:val="en-US" w:eastAsia="zh-CN"/>
              </w:rPr>
              <w:t>1</w:t>
            </w:r>
            <w:r>
              <w:rPr>
                <w:rFonts w:hint="eastAsia" w:ascii="宋体" w:hAnsi="宋体" w:cs="宋体"/>
                <w:color w:val="auto"/>
                <w:sz w:val="21"/>
                <w:szCs w:val="21"/>
                <w:highlight w:val="none"/>
                <w:lang w:eastAsia="zh-CN"/>
              </w:rPr>
              <w:t>）若教师成功晋级自治区比赛，将持续提供比赛作品深化指导、拍摄修改及全方位打磨服务。</w:t>
            </w:r>
          </w:p>
          <w:p w14:paraId="23A17890">
            <w:pPr>
              <w:keepNext w:val="0"/>
              <w:keepLines w:val="0"/>
              <w:pageBreakBefore w:val="0"/>
              <w:numPr>
                <w:ilvl w:val="0"/>
                <w:numId w:val="0"/>
              </w:numPr>
              <w:kinsoku/>
              <w:wordWrap/>
              <w:overflowPunct/>
              <w:topLinePunct w:val="0"/>
              <w:autoSpaceDE/>
              <w:autoSpaceDN/>
              <w:bidi w:val="0"/>
              <w:spacing w:line="360" w:lineRule="auto"/>
              <w:jc w:val="left"/>
              <w:textAlignment w:val="auto"/>
              <w:rPr>
                <w:rFonts w:hint="eastAsia" w:ascii="宋体" w:hAnsi="宋体" w:cs="宋体"/>
                <w:color w:val="auto"/>
                <w:sz w:val="21"/>
                <w:szCs w:val="21"/>
                <w:highlight w:val="none"/>
                <w:lang w:val="en-US" w:eastAsia="zh-CN"/>
              </w:rPr>
            </w:pPr>
            <w:r>
              <w:rPr>
                <w:rFonts w:hint="eastAsia" w:ascii="宋体" w:hAnsi="宋体" w:cs="宋体"/>
                <w:color w:val="auto"/>
                <w:sz w:val="21"/>
                <w:szCs w:val="21"/>
                <w:highlight w:val="none"/>
                <w:lang w:eastAsia="zh-CN"/>
              </w:rPr>
              <w:t>（</w:t>
            </w:r>
            <w:r>
              <w:rPr>
                <w:rFonts w:hint="eastAsia" w:ascii="宋体" w:hAnsi="宋体" w:cs="宋体"/>
                <w:color w:val="auto"/>
                <w:sz w:val="21"/>
                <w:szCs w:val="21"/>
                <w:highlight w:val="none"/>
                <w:lang w:val="en-US" w:eastAsia="zh-CN"/>
              </w:rPr>
              <w:t>2</w:t>
            </w:r>
            <w:r>
              <w:rPr>
                <w:rFonts w:hint="eastAsia" w:ascii="宋体" w:hAnsi="宋体" w:cs="宋体"/>
                <w:color w:val="auto"/>
                <w:sz w:val="21"/>
                <w:szCs w:val="21"/>
                <w:highlight w:val="none"/>
                <w:lang w:eastAsia="zh-CN"/>
              </w:rPr>
              <w:t>）</w:t>
            </w:r>
            <w:r>
              <w:rPr>
                <w:rFonts w:hint="eastAsia" w:ascii="宋体" w:hAnsi="宋体" w:cs="宋体"/>
                <w:color w:val="auto"/>
                <w:sz w:val="21"/>
                <w:szCs w:val="21"/>
                <w:highlight w:val="none"/>
                <w:lang w:val="en-US" w:eastAsia="zh-CN"/>
              </w:rPr>
              <w:t>若未能进自治区比赛，组织</w:t>
            </w:r>
            <w:r>
              <w:rPr>
                <w:rFonts w:hint="eastAsia" w:ascii="宋体" w:hAnsi="宋体" w:cs="宋体"/>
                <w:b w:val="0"/>
                <w:bCs w:val="0"/>
                <w:color w:val="auto"/>
                <w:sz w:val="21"/>
                <w:szCs w:val="21"/>
                <w:highlight w:val="none"/>
                <w:lang w:val="en-US" w:eastAsia="zh-CN"/>
              </w:rPr>
              <w:t>20名教师</w:t>
            </w:r>
            <w:r>
              <w:rPr>
                <w:rFonts w:hint="eastAsia" w:ascii="宋体" w:hAnsi="宋体" w:cs="宋体"/>
                <w:color w:val="auto"/>
                <w:sz w:val="21"/>
                <w:szCs w:val="21"/>
                <w:highlight w:val="none"/>
                <w:lang w:val="en-US" w:eastAsia="zh-CN"/>
              </w:rPr>
              <w:t>线上学习不少于1800分钟（45分钟/学时，40学时），</w:t>
            </w:r>
            <w:r>
              <w:rPr>
                <w:rFonts w:hint="eastAsia" w:ascii="宋体" w:hAnsi="宋体" w:cs="宋体"/>
                <w:b w:val="0"/>
                <w:bCs w:val="0"/>
                <w:color w:val="auto"/>
                <w:sz w:val="21"/>
                <w:szCs w:val="21"/>
                <w:highlight w:val="none"/>
                <w:lang w:val="en-US" w:eastAsia="zh-CN"/>
              </w:rPr>
              <w:t>培训考核合格后颁发省级以上（含省级）教育行政部门的学时证书。</w:t>
            </w:r>
          </w:p>
          <w:p w14:paraId="6911BD8E">
            <w:pPr>
              <w:keepNext w:val="0"/>
              <w:keepLines w:val="0"/>
              <w:pageBreakBefore w:val="0"/>
              <w:kinsoku/>
              <w:wordWrap/>
              <w:overflowPunct/>
              <w:topLinePunct w:val="0"/>
              <w:autoSpaceDE/>
              <w:autoSpaceDN/>
              <w:bidi w:val="0"/>
              <w:spacing w:line="360" w:lineRule="auto"/>
              <w:jc w:val="both"/>
              <w:textAlignment w:val="auto"/>
              <w:rPr>
                <w:rFonts w:hint="eastAsia" w:ascii="宋体" w:hAnsi="宋体" w:cs="宋体"/>
                <w:b/>
                <w:bCs/>
                <w:color w:val="auto"/>
                <w:sz w:val="21"/>
                <w:szCs w:val="21"/>
                <w:highlight w:val="none"/>
                <w:lang w:eastAsia="zh-CN"/>
              </w:rPr>
            </w:pPr>
            <w:r>
              <w:rPr>
                <w:rFonts w:hint="eastAsia" w:ascii="宋体" w:hAnsi="宋体" w:cs="宋体"/>
                <w:b/>
                <w:bCs/>
                <w:color w:val="auto"/>
                <w:sz w:val="21"/>
                <w:szCs w:val="21"/>
                <w:highlight w:val="none"/>
                <w:lang w:eastAsia="zh-CN"/>
              </w:rPr>
              <w:t>二、服务要求</w:t>
            </w:r>
          </w:p>
          <w:p w14:paraId="008183C3">
            <w:pPr>
              <w:keepNext w:val="0"/>
              <w:keepLines w:val="0"/>
              <w:pageBreakBefore w:val="0"/>
              <w:kinsoku/>
              <w:wordWrap/>
              <w:overflowPunct/>
              <w:topLinePunct w:val="0"/>
              <w:autoSpaceDE/>
              <w:autoSpaceDN/>
              <w:bidi w:val="0"/>
              <w:spacing w:line="360" w:lineRule="auto"/>
              <w:jc w:val="both"/>
              <w:textAlignment w:val="auto"/>
              <w:rPr>
                <w:rFonts w:hint="eastAsia" w:ascii="宋体" w:hAnsi="宋体" w:cs="宋体"/>
                <w:color w:val="auto"/>
                <w:sz w:val="21"/>
                <w:szCs w:val="21"/>
                <w:highlight w:val="none"/>
                <w:lang w:eastAsia="zh-CN"/>
              </w:rPr>
            </w:pPr>
            <w:r>
              <w:rPr>
                <w:rFonts w:hint="eastAsia" w:ascii="宋体" w:hAnsi="宋体" w:cs="宋体"/>
                <w:color w:val="auto"/>
                <w:sz w:val="21"/>
                <w:szCs w:val="21"/>
                <w:highlight w:val="none"/>
                <w:lang w:eastAsia="zh-CN"/>
              </w:rPr>
              <w:t>1.培训时间：根据学校实际需求灵活统筹安排。</w:t>
            </w:r>
          </w:p>
          <w:p w14:paraId="7637111E">
            <w:pPr>
              <w:keepNext w:val="0"/>
              <w:keepLines w:val="0"/>
              <w:pageBreakBefore w:val="0"/>
              <w:kinsoku/>
              <w:wordWrap/>
              <w:overflowPunct/>
              <w:topLinePunct w:val="0"/>
              <w:autoSpaceDE/>
              <w:autoSpaceDN/>
              <w:bidi w:val="0"/>
              <w:spacing w:line="360" w:lineRule="auto"/>
              <w:jc w:val="both"/>
              <w:textAlignment w:val="auto"/>
              <w:rPr>
                <w:rFonts w:hint="eastAsia" w:ascii="宋体" w:hAnsi="宋体" w:cs="宋体"/>
                <w:color w:val="auto"/>
                <w:sz w:val="21"/>
                <w:szCs w:val="21"/>
                <w:highlight w:val="none"/>
                <w:lang w:eastAsia="zh-CN"/>
              </w:rPr>
            </w:pPr>
            <w:r>
              <w:rPr>
                <w:rFonts w:hint="eastAsia" w:ascii="宋体" w:hAnsi="宋体" w:cs="宋体"/>
                <w:color w:val="auto"/>
                <w:sz w:val="21"/>
                <w:szCs w:val="21"/>
                <w:highlight w:val="none"/>
                <w:lang w:eastAsia="zh-CN"/>
              </w:rPr>
              <w:t>2.培训方案：需结合培训对象特点、项目目标需求精心研制，明确教学目标、合理规划教学内容、采用科学教学方法、建立有效教学评价机制，确保培训的针对性与实效性。</w:t>
            </w:r>
          </w:p>
          <w:p w14:paraId="20E5E6DF">
            <w:pPr>
              <w:keepNext w:val="0"/>
              <w:keepLines w:val="0"/>
              <w:pageBreakBefore w:val="0"/>
              <w:kinsoku/>
              <w:wordWrap/>
              <w:overflowPunct/>
              <w:topLinePunct w:val="0"/>
              <w:autoSpaceDE/>
              <w:autoSpaceDN/>
              <w:bidi w:val="0"/>
              <w:spacing w:line="360" w:lineRule="auto"/>
              <w:jc w:val="both"/>
              <w:textAlignment w:val="auto"/>
              <w:rPr>
                <w:rFonts w:hint="eastAsia" w:ascii="宋体" w:hAnsi="宋体" w:cs="宋体"/>
                <w:b/>
                <w:bCs/>
                <w:color w:val="auto"/>
                <w:sz w:val="21"/>
                <w:szCs w:val="21"/>
                <w:highlight w:val="none"/>
                <w:lang w:eastAsia="zh-CN"/>
              </w:rPr>
            </w:pPr>
            <w:r>
              <w:rPr>
                <w:rFonts w:hint="eastAsia" w:ascii="宋体" w:hAnsi="宋体" w:cs="宋体"/>
                <w:b/>
                <w:bCs/>
                <w:color w:val="auto"/>
                <w:sz w:val="21"/>
                <w:szCs w:val="21"/>
                <w:highlight w:val="none"/>
                <w:lang w:eastAsia="zh-CN"/>
              </w:rPr>
              <w:t>三、指导专家资质要求</w:t>
            </w:r>
          </w:p>
          <w:p w14:paraId="158359EE">
            <w:pPr>
              <w:keepNext w:val="0"/>
              <w:keepLines w:val="0"/>
              <w:pageBreakBefore w:val="0"/>
              <w:kinsoku/>
              <w:wordWrap/>
              <w:overflowPunct/>
              <w:topLinePunct w:val="0"/>
              <w:autoSpaceDE/>
              <w:autoSpaceDN/>
              <w:bidi w:val="0"/>
              <w:spacing w:line="360" w:lineRule="auto"/>
              <w:jc w:val="both"/>
              <w:textAlignment w:val="auto"/>
              <w:rPr>
                <w:rFonts w:hint="eastAsia" w:ascii="宋体" w:hAnsi="宋体" w:cs="宋体"/>
                <w:color w:val="auto"/>
                <w:sz w:val="21"/>
                <w:szCs w:val="21"/>
                <w:highlight w:val="none"/>
                <w:lang w:eastAsia="zh-CN"/>
              </w:rPr>
            </w:pPr>
            <w:r>
              <w:rPr>
                <w:rFonts w:hint="eastAsia" w:ascii="宋体" w:hAnsi="宋体" w:cs="宋体"/>
                <w:color w:val="auto"/>
                <w:sz w:val="21"/>
                <w:szCs w:val="21"/>
                <w:highlight w:val="none"/>
                <w:lang w:eastAsia="zh-CN"/>
              </w:rPr>
              <w:t>专家资质：需具备副高及以上职称，且满足以下条件之一：曾担任班主任能力比赛省赛及以上级别评委，或曾获得班主任能力比赛国赛二等奖及以上荣誉。</w:t>
            </w:r>
          </w:p>
        </w:tc>
        <w:tc>
          <w:tcPr>
            <w:tcW w:w="1036" w:type="dxa"/>
            <w:tcBorders>
              <w:top w:val="single" w:color="auto" w:sz="4" w:space="0"/>
              <w:left w:val="single" w:color="auto" w:sz="4" w:space="0"/>
              <w:bottom w:val="single" w:color="auto" w:sz="4" w:space="0"/>
              <w:right w:val="single" w:color="auto" w:sz="4" w:space="0"/>
            </w:tcBorders>
            <w:noWrap w:val="0"/>
            <w:vAlign w:val="center"/>
          </w:tcPr>
          <w:p w14:paraId="59A56C3B">
            <w:pPr>
              <w:keepNext w:val="0"/>
              <w:keepLines w:val="0"/>
              <w:pageBreakBefore w:val="0"/>
              <w:kinsoku/>
              <w:wordWrap/>
              <w:overflowPunct/>
              <w:topLinePunct w:val="0"/>
              <w:autoSpaceDE/>
              <w:autoSpaceDN/>
              <w:bidi w:val="0"/>
              <w:spacing w:line="360" w:lineRule="auto"/>
              <w:ind w:right="19" w:rightChars="9"/>
              <w:jc w:val="center"/>
              <w:textAlignment w:val="auto"/>
              <w:rPr>
                <w:rFonts w:hint="default"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12</w:t>
            </w:r>
          </w:p>
        </w:tc>
        <w:tc>
          <w:tcPr>
            <w:tcW w:w="1336" w:type="dxa"/>
            <w:tcBorders>
              <w:top w:val="single" w:color="auto" w:sz="4" w:space="0"/>
              <w:left w:val="single" w:color="auto" w:sz="4" w:space="0"/>
              <w:bottom w:val="single" w:color="auto" w:sz="4" w:space="0"/>
              <w:right w:val="single" w:color="auto" w:sz="4" w:space="0"/>
            </w:tcBorders>
            <w:noWrap w:val="0"/>
            <w:vAlign w:val="center"/>
          </w:tcPr>
          <w:p w14:paraId="7128EAAD">
            <w:pPr>
              <w:keepNext w:val="0"/>
              <w:keepLines w:val="0"/>
              <w:pageBreakBefore w:val="0"/>
              <w:kinsoku/>
              <w:wordWrap/>
              <w:overflowPunct/>
              <w:topLinePunct w:val="0"/>
              <w:autoSpaceDE/>
              <w:autoSpaceDN/>
              <w:bidi w:val="0"/>
              <w:spacing w:line="360" w:lineRule="auto"/>
              <w:ind w:right="19" w:rightChars="9"/>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其他未列明行业</w:t>
            </w:r>
          </w:p>
        </w:tc>
      </w:tr>
      <w:tr w14:paraId="28480E1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85" w:hRule="atLeast"/>
          <w:jc w:val="center"/>
        </w:trPr>
        <w:tc>
          <w:tcPr>
            <w:tcW w:w="9576" w:type="dxa"/>
            <w:gridSpan w:val="6"/>
            <w:tcBorders>
              <w:left w:val="single" w:color="auto" w:sz="4" w:space="0"/>
              <w:bottom w:val="single" w:color="auto" w:sz="4" w:space="0"/>
              <w:right w:val="single" w:color="auto" w:sz="4" w:space="0"/>
            </w:tcBorders>
            <w:noWrap w:val="0"/>
            <w:vAlign w:val="center"/>
          </w:tcPr>
          <w:p w14:paraId="5ABAD1DA">
            <w:pPr>
              <w:keepNext w:val="0"/>
              <w:keepLines w:val="0"/>
              <w:pageBreakBefore w:val="0"/>
              <w:kinsoku/>
              <w:wordWrap/>
              <w:overflowPunct/>
              <w:topLinePunct w:val="0"/>
              <w:autoSpaceDE/>
              <w:autoSpaceDN/>
              <w:bidi w:val="0"/>
              <w:spacing w:line="360" w:lineRule="auto"/>
              <w:jc w:val="both"/>
              <w:textAlignment w:val="auto"/>
              <w:rPr>
                <w:rFonts w:hint="eastAsia" w:ascii="宋体" w:hAnsi="宋体" w:eastAsia="宋体" w:cs="宋体"/>
                <w:color w:val="auto"/>
                <w:sz w:val="21"/>
                <w:szCs w:val="21"/>
                <w:highlight w:val="none"/>
                <w:lang w:eastAsia="zh-CN"/>
              </w:rPr>
            </w:pPr>
            <w:r>
              <w:rPr>
                <w:rFonts w:hint="eastAsia" w:ascii="宋体" w:hAnsi="宋体" w:eastAsia="宋体" w:cs="宋体"/>
                <w:b/>
                <w:bCs/>
                <w:color w:val="auto"/>
                <w:sz w:val="21"/>
                <w:szCs w:val="21"/>
                <w:highlight w:val="none"/>
                <w:lang w:eastAsia="zh-CN"/>
              </w:rPr>
              <w:t>二、商务条款</w:t>
            </w:r>
          </w:p>
        </w:tc>
      </w:tr>
      <w:tr w14:paraId="7EFDACD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07" w:hRule="atLeast"/>
          <w:jc w:val="center"/>
        </w:trPr>
        <w:tc>
          <w:tcPr>
            <w:tcW w:w="9576" w:type="dxa"/>
            <w:gridSpan w:val="6"/>
            <w:tcBorders>
              <w:left w:val="single" w:color="auto" w:sz="4" w:space="0"/>
              <w:bottom w:val="single" w:color="auto" w:sz="4" w:space="0"/>
              <w:right w:val="single" w:color="auto" w:sz="4" w:space="0"/>
            </w:tcBorders>
            <w:noWrap w:val="0"/>
            <w:vAlign w:val="center"/>
          </w:tcPr>
          <w:p w14:paraId="363AD7BA">
            <w:pPr>
              <w:keepNext w:val="0"/>
              <w:keepLines w:val="0"/>
              <w:pageBreakBefore w:val="0"/>
              <w:kinsoku/>
              <w:wordWrap/>
              <w:overflowPunct/>
              <w:topLinePunct w:val="0"/>
              <w:autoSpaceDE/>
              <w:autoSpaceDN/>
              <w:bidi w:val="0"/>
              <w:adjustRightInd w:val="0"/>
              <w:snapToGrid/>
              <w:spacing w:line="360" w:lineRule="auto"/>
              <w:ind w:right="149" w:rightChars="71" w:firstLine="420" w:firstLineChars="200"/>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一、合同签订期：自中标通知书发出之日起</w:t>
            </w:r>
            <w:r>
              <w:rPr>
                <w:rFonts w:hint="eastAsia" w:ascii="宋体" w:hAnsi="宋体" w:eastAsia="宋体" w:cs="宋体"/>
                <w:color w:val="auto"/>
                <w:sz w:val="21"/>
                <w:szCs w:val="21"/>
                <w:highlight w:val="none"/>
                <w:u w:val="single"/>
              </w:rPr>
              <w:t>25</w:t>
            </w:r>
            <w:r>
              <w:rPr>
                <w:rFonts w:hint="eastAsia" w:ascii="宋体" w:hAnsi="宋体" w:eastAsia="宋体" w:cs="宋体"/>
                <w:color w:val="auto"/>
                <w:sz w:val="21"/>
                <w:szCs w:val="21"/>
                <w:highlight w:val="none"/>
              </w:rPr>
              <w:t>日内</w:t>
            </w:r>
            <w:r>
              <w:rPr>
                <w:rFonts w:hint="eastAsia" w:ascii="宋体" w:hAnsi="宋体" w:eastAsia="宋体" w:cs="宋体"/>
                <w:color w:val="auto"/>
                <w:sz w:val="21"/>
                <w:szCs w:val="21"/>
                <w:highlight w:val="none"/>
                <w:lang w:eastAsia="zh-CN"/>
              </w:rPr>
              <w:t>。</w:t>
            </w:r>
          </w:p>
          <w:p w14:paraId="54974930">
            <w:pPr>
              <w:keepNext w:val="0"/>
              <w:keepLines w:val="0"/>
              <w:pageBreakBefore w:val="0"/>
              <w:widowControl/>
              <w:shd w:val="clear" w:color="auto" w:fill="FFFFFF"/>
              <w:kinsoku/>
              <w:wordWrap/>
              <w:overflowPunct/>
              <w:topLinePunct w:val="0"/>
              <w:autoSpaceDE/>
              <w:autoSpaceDN/>
              <w:bidi w:val="0"/>
              <w:snapToGrid/>
              <w:spacing w:line="360" w:lineRule="auto"/>
              <w:ind w:right="149" w:rightChars="71" w:firstLine="420" w:firstLineChars="200"/>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二、</w:t>
            </w:r>
            <w:r>
              <w:rPr>
                <w:rFonts w:hint="eastAsia" w:ascii="宋体" w:hAnsi="宋体" w:cs="宋体"/>
                <w:color w:val="auto"/>
                <w:sz w:val="21"/>
                <w:szCs w:val="21"/>
                <w:highlight w:val="none"/>
                <w:lang w:val="en-US" w:eastAsia="zh-CN"/>
              </w:rPr>
              <w:t>提交服务成果时间</w:t>
            </w:r>
            <w:r>
              <w:rPr>
                <w:rFonts w:hint="eastAsia" w:ascii="宋体" w:hAnsi="宋体" w:eastAsia="宋体" w:cs="宋体"/>
                <w:bCs/>
                <w:color w:val="auto"/>
                <w:sz w:val="21"/>
                <w:szCs w:val="21"/>
                <w:highlight w:val="none"/>
              </w:rPr>
              <w:t>：自签订合同之日起</w:t>
            </w:r>
            <w:r>
              <w:rPr>
                <w:rFonts w:hint="eastAsia" w:ascii="宋体" w:hAnsi="宋体" w:cs="宋体"/>
                <w:bCs/>
                <w:color w:val="auto"/>
                <w:sz w:val="21"/>
                <w:szCs w:val="21"/>
                <w:highlight w:val="none"/>
                <w:u w:val="single"/>
                <w:lang w:val="en-US" w:eastAsia="zh-CN"/>
              </w:rPr>
              <w:t>300</w:t>
            </w:r>
            <w:r>
              <w:rPr>
                <w:rFonts w:hint="eastAsia" w:ascii="宋体" w:hAnsi="宋体" w:eastAsia="宋体" w:cs="宋体"/>
                <w:bCs/>
                <w:color w:val="auto"/>
                <w:sz w:val="21"/>
                <w:szCs w:val="21"/>
                <w:highlight w:val="none"/>
              </w:rPr>
              <w:t>天内完成。</w:t>
            </w:r>
          </w:p>
          <w:p w14:paraId="0D30C539">
            <w:pPr>
              <w:keepNext w:val="0"/>
              <w:keepLines w:val="0"/>
              <w:pageBreakBefore w:val="0"/>
              <w:widowControl/>
              <w:shd w:val="clear" w:color="auto" w:fill="FFFFFF"/>
              <w:kinsoku/>
              <w:wordWrap/>
              <w:overflowPunct/>
              <w:topLinePunct w:val="0"/>
              <w:autoSpaceDE/>
              <w:autoSpaceDN/>
              <w:bidi w:val="0"/>
              <w:snapToGrid/>
              <w:spacing w:line="360" w:lineRule="auto"/>
              <w:ind w:right="149" w:rightChars="71"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三、</w:t>
            </w:r>
            <w:r>
              <w:rPr>
                <w:rFonts w:hint="eastAsia" w:ascii="宋体" w:hAnsi="宋体" w:cs="宋体"/>
                <w:color w:val="auto"/>
                <w:sz w:val="21"/>
                <w:szCs w:val="21"/>
                <w:highlight w:val="none"/>
                <w:lang w:val="en-US" w:eastAsia="zh-CN"/>
              </w:rPr>
              <w:t>提交</w:t>
            </w:r>
            <w:r>
              <w:rPr>
                <w:rFonts w:hint="eastAsia" w:ascii="宋体" w:hAnsi="宋体" w:eastAsia="宋体" w:cs="宋体"/>
                <w:bCs/>
                <w:color w:val="auto"/>
                <w:sz w:val="21"/>
                <w:szCs w:val="21"/>
                <w:highlight w:val="none"/>
              </w:rPr>
              <w:t>服务</w:t>
            </w:r>
            <w:r>
              <w:rPr>
                <w:rFonts w:hint="eastAsia" w:ascii="宋体" w:hAnsi="宋体" w:cs="宋体"/>
                <w:bCs/>
                <w:color w:val="auto"/>
                <w:sz w:val="21"/>
                <w:szCs w:val="21"/>
                <w:highlight w:val="none"/>
                <w:lang w:val="en-US" w:eastAsia="zh-CN"/>
              </w:rPr>
              <w:t>成果</w:t>
            </w:r>
            <w:r>
              <w:rPr>
                <w:rFonts w:hint="eastAsia" w:ascii="宋体" w:hAnsi="宋体" w:eastAsia="宋体" w:cs="宋体"/>
                <w:bCs/>
                <w:color w:val="auto"/>
                <w:sz w:val="21"/>
                <w:szCs w:val="21"/>
                <w:highlight w:val="none"/>
              </w:rPr>
              <w:t>地点：</w:t>
            </w:r>
            <w:r>
              <w:rPr>
                <w:rFonts w:hint="eastAsia" w:ascii="宋体" w:hAnsi="宋体" w:cs="宋体"/>
                <w:bCs/>
                <w:color w:val="auto"/>
                <w:sz w:val="21"/>
                <w:szCs w:val="21"/>
                <w:highlight w:val="none"/>
                <w:lang w:val="en-US" w:eastAsia="zh-CN"/>
              </w:rPr>
              <w:t>钦州市浦北县（</w:t>
            </w:r>
            <w:r>
              <w:rPr>
                <w:rFonts w:hint="eastAsia" w:ascii="宋体" w:hAnsi="宋体" w:eastAsia="宋体" w:cs="宋体"/>
                <w:color w:val="auto"/>
                <w:sz w:val="21"/>
                <w:szCs w:val="21"/>
                <w:highlight w:val="none"/>
                <w:lang w:eastAsia="zh-CN"/>
              </w:rPr>
              <w:t>采购</w:t>
            </w:r>
            <w:r>
              <w:rPr>
                <w:rFonts w:hint="eastAsia" w:ascii="宋体" w:hAnsi="宋体" w:eastAsia="宋体" w:cs="宋体"/>
                <w:color w:val="auto"/>
                <w:sz w:val="21"/>
                <w:szCs w:val="21"/>
                <w:highlight w:val="none"/>
              </w:rPr>
              <w:t>单位指定地点</w:t>
            </w:r>
            <w:r>
              <w:rPr>
                <w:rFonts w:hint="eastAsia" w:ascii="宋体" w:hAnsi="宋体" w:cs="宋体"/>
                <w:color w:val="auto"/>
                <w:sz w:val="21"/>
                <w:szCs w:val="21"/>
                <w:highlight w:val="none"/>
                <w:lang w:eastAsia="zh-CN"/>
              </w:rPr>
              <w:t>）</w:t>
            </w:r>
            <w:r>
              <w:rPr>
                <w:rFonts w:hint="eastAsia" w:ascii="宋体" w:hAnsi="宋体" w:eastAsia="宋体" w:cs="宋体"/>
                <w:color w:val="auto"/>
                <w:sz w:val="21"/>
                <w:szCs w:val="21"/>
                <w:highlight w:val="none"/>
              </w:rPr>
              <w:t>。</w:t>
            </w:r>
          </w:p>
          <w:p w14:paraId="5FAA79BA">
            <w:pPr>
              <w:keepNext w:val="0"/>
              <w:keepLines w:val="0"/>
              <w:pageBreakBefore w:val="0"/>
              <w:widowControl/>
              <w:shd w:val="clear" w:color="auto" w:fill="FFFFFF"/>
              <w:kinsoku/>
              <w:wordWrap/>
              <w:overflowPunct/>
              <w:topLinePunct w:val="0"/>
              <w:autoSpaceDE/>
              <w:autoSpaceDN/>
              <w:bidi w:val="0"/>
              <w:snapToGrid/>
              <w:spacing w:line="360" w:lineRule="auto"/>
              <w:ind w:right="149" w:rightChars="71" w:firstLine="420" w:firstLineChars="200"/>
              <w:textAlignment w:val="auto"/>
              <w:rPr>
                <w:rFonts w:hint="eastAsia" w:ascii="宋体" w:hAnsi="宋体" w:eastAsia="宋体" w:cs="宋体"/>
                <w:color w:val="auto"/>
                <w:sz w:val="21"/>
                <w:szCs w:val="21"/>
                <w:highlight w:val="none"/>
              </w:rPr>
            </w:pPr>
            <w:r>
              <w:rPr>
                <w:rFonts w:hint="eastAsia" w:ascii="宋体" w:hAnsi="宋体" w:cs="宋体"/>
                <w:color w:val="auto"/>
                <w:sz w:val="21"/>
                <w:szCs w:val="21"/>
                <w:highlight w:val="none"/>
                <w:lang w:val="en-US" w:eastAsia="zh-CN"/>
              </w:rPr>
              <w:t>四</w:t>
            </w:r>
            <w:r>
              <w:rPr>
                <w:rFonts w:hint="eastAsia" w:ascii="宋体" w:hAnsi="宋体" w:eastAsia="宋体" w:cs="宋体"/>
                <w:color w:val="auto"/>
                <w:sz w:val="21"/>
                <w:szCs w:val="21"/>
                <w:highlight w:val="none"/>
              </w:rPr>
              <w:t>、</w:t>
            </w:r>
            <w:r>
              <w:rPr>
                <w:rFonts w:hint="eastAsia" w:ascii="宋体" w:hAnsi="宋体" w:cs="宋体"/>
                <w:color w:val="auto"/>
                <w:sz w:val="21"/>
                <w:szCs w:val="21"/>
                <w:highlight w:val="none"/>
                <w:lang w:val="en-US" w:eastAsia="zh-CN"/>
              </w:rPr>
              <w:t>报价</w:t>
            </w:r>
            <w:r>
              <w:rPr>
                <w:rFonts w:hint="eastAsia" w:ascii="宋体" w:hAnsi="宋体" w:eastAsia="宋体" w:cs="宋体"/>
                <w:color w:val="auto"/>
                <w:sz w:val="21"/>
                <w:szCs w:val="21"/>
                <w:highlight w:val="none"/>
              </w:rPr>
              <w:t>要求：</w:t>
            </w:r>
          </w:p>
          <w:p w14:paraId="4E1A86BC">
            <w:pPr>
              <w:keepNext w:val="0"/>
              <w:keepLines w:val="0"/>
              <w:pageBreakBefore w:val="0"/>
              <w:tabs>
                <w:tab w:val="center" w:pos="4032"/>
              </w:tabs>
              <w:kinsoku/>
              <w:wordWrap/>
              <w:overflowPunct/>
              <w:topLinePunct w:val="0"/>
              <w:autoSpaceDE/>
              <w:autoSpaceDN/>
              <w:bidi w:val="0"/>
              <w:snapToGrid/>
              <w:spacing w:line="360" w:lineRule="auto"/>
              <w:ind w:right="149" w:rightChars="71" w:firstLine="420" w:firstLineChars="200"/>
              <w:textAlignment w:val="auto"/>
              <w:rPr>
                <w:rFonts w:hint="eastAsia" w:ascii="宋体" w:hAnsi="宋体" w:eastAsia="宋体" w:cs="宋体"/>
                <w:b/>
                <w:color w:val="auto"/>
                <w:sz w:val="21"/>
                <w:szCs w:val="21"/>
                <w:highlight w:val="none"/>
              </w:rPr>
            </w:pPr>
            <w:r>
              <w:rPr>
                <w:rFonts w:hint="eastAsia" w:ascii="宋体" w:hAnsi="宋体" w:eastAsia="宋体" w:cs="宋体"/>
                <w:color w:val="auto"/>
                <w:sz w:val="21"/>
                <w:szCs w:val="21"/>
                <w:highlight w:val="none"/>
              </w:rPr>
              <w:t>报价必须含以下部分，包括：</w:t>
            </w:r>
            <w:r>
              <w:rPr>
                <w:rFonts w:hint="eastAsia" w:ascii="宋体" w:hAnsi="宋体" w:eastAsia="宋体" w:cs="宋体"/>
                <w:color w:val="auto"/>
                <w:sz w:val="21"/>
                <w:szCs w:val="21"/>
                <w:highlight w:val="none"/>
              </w:rPr>
              <w:tab/>
            </w:r>
          </w:p>
          <w:p w14:paraId="0BD7BD69">
            <w:pPr>
              <w:keepNext w:val="0"/>
              <w:keepLines w:val="0"/>
              <w:pageBreakBefore w:val="0"/>
              <w:kinsoku/>
              <w:wordWrap/>
              <w:overflowPunct/>
              <w:topLinePunct w:val="0"/>
              <w:autoSpaceDE/>
              <w:autoSpaceDN/>
              <w:bidi w:val="0"/>
              <w:snapToGrid/>
              <w:spacing w:line="360" w:lineRule="auto"/>
              <w:ind w:right="149" w:rightChars="71"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（1）服务的价格；</w:t>
            </w:r>
          </w:p>
          <w:p w14:paraId="52FA9EDE">
            <w:pPr>
              <w:keepNext w:val="0"/>
              <w:keepLines w:val="0"/>
              <w:pageBreakBefore w:val="0"/>
              <w:kinsoku/>
              <w:wordWrap/>
              <w:overflowPunct/>
              <w:topLinePunct w:val="0"/>
              <w:autoSpaceDE/>
              <w:autoSpaceDN/>
              <w:bidi w:val="0"/>
              <w:snapToGrid/>
              <w:spacing w:line="360" w:lineRule="auto"/>
              <w:ind w:right="149" w:rightChars="71"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（2）必要的保险费用和各项税金；</w:t>
            </w:r>
          </w:p>
          <w:p w14:paraId="1A2AA6D6">
            <w:pPr>
              <w:keepNext w:val="0"/>
              <w:keepLines w:val="0"/>
              <w:pageBreakBefore w:val="0"/>
              <w:tabs>
                <w:tab w:val="left" w:pos="3490"/>
                <w:tab w:val="left" w:pos="3670"/>
                <w:tab w:val="left" w:pos="3895"/>
              </w:tabs>
              <w:kinsoku/>
              <w:wordWrap/>
              <w:overflowPunct/>
              <w:topLinePunct w:val="0"/>
              <w:autoSpaceDE/>
              <w:autoSpaceDN/>
              <w:bidi w:val="0"/>
              <w:snapToGrid/>
              <w:spacing w:line="360" w:lineRule="auto"/>
              <w:ind w:right="149" w:rightChars="71" w:firstLine="420" w:firstLineChars="200"/>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（3）</w:t>
            </w:r>
            <w:r>
              <w:rPr>
                <w:rFonts w:hint="eastAsia" w:ascii="宋体" w:hAnsi="宋体" w:cs="宋体"/>
                <w:color w:val="auto"/>
                <w:sz w:val="21"/>
                <w:szCs w:val="21"/>
                <w:highlight w:val="none"/>
                <w:lang w:val="en-US" w:eastAsia="zh-CN"/>
              </w:rPr>
              <w:t>其他</w:t>
            </w:r>
            <w:r>
              <w:rPr>
                <w:rFonts w:hint="eastAsia" w:ascii="宋体" w:hAnsi="宋体" w:eastAsia="宋体" w:cs="宋体"/>
                <w:color w:val="auto"/>
                <w:sz w:val="21"/>
                <w:szCs w:val="21"/>
                <w:highlight w:val="none"/>
                <w:lang w:eastAsia="zh-CN"/>
              </w:rPr>
              <w:t>为实施和完成本项目服务内容的全部</w:t>
            </w:r>
            <w:r>
              <w:rPr>
                <w:rFonts w:hint="eastAsia" w:ascii="宋体" w:hAnsi="宋体" w:cs="宋体"/>
                <w:color w:val="auto"/>
                <w:sz w:val="21"/>
                <w:szCs w:val="21"/>
                <w:highlight w:val="none"/>
                <w:lang w:val="en-US" w:eastAsia="zh-CN"/>
              </w:rPr>
              <w:t>费用，</w:t>
            </w:r>
            <w:r>
              <w:rPr>
                <w:rFonts w:hint="eastAsia" w:ascii="宋体" w:hAnsi="宋体" w:eastAsia="宋体" w:cs="宋体"/>
                <w:color w:val="auto"/>
                <w:sz w:val="21"/>
                <w:szCs w:val="21"/>
                <w:highlight w:val="none"/>
                <w:lang w:eastAsia="zh-CN"/>
              </w:rPr>
              <w:t>包括基于</w:t>
            </w:r>
            <w:r>
              <w:rPr>
                <w:rFonts w:hint="eastAsia" w:ascii="宋体" w:hAnsi="宋体" w:cs="宋体"/>
                <w:color w:val="auto"/>
                <w:sz w:val="21"/>
                <w:szCs w:val="21"/>
                <w:highlight w:val="none"/>
                <w:lang w:val="en-US" w:eastAsia="zh-CN"/>
              </w:rPr>
              <w:t>专家指导费</w:t>
            </w:r>
            <w:r>
              <w:rPr>
                <w:rFonts w:hint="eastAsia" w:ascii="宋体" w:hAnsi="宋体" w:eastAsia="宋体" w:cs="宋体"/>
                <w:color w:val="auto"/>
                <w:sz w:val="21"/>
                <w:szCs w:val="21"/>
                <w:highlight w:val="none"/>
                <w:lang w:eastAsia="zh-CN"/>
              </w:rPr>
              <w:t>、</w:t>
            </w:r>
            <w:r>
              <w:rPr>
                <w:rFonts w:hint="eastAsia" w:ascii="宋体" w:hAnsi="宋体" w:cs="宋体"/>
                <w:color w:val="auto"/>
                <w:sz w:val="21"/>
                <w:szCs w:val="21"/>
                <w:highlight w:val="none"/>
                <w:lang w:val="en-US" w:eastAsia="zh-CN"/>
              </w:rPr>
              <w:t>课程</w:t>
            </w:r>
            <w:r>
              <w:rPr>
                <w:rFonts w:hint="eastAsia" w:ascii="宋体" w:hAnsi="宋体" w:eastAsia="宋体" w:cs="宋体"/>
                <w:color w:val="auto"/>
                <w:sz w:val="21"/>
                <w:szCs w:val="21"/>
                <w:highlight w:val="none"/>
                <w:lang w:eastAsia="zh-CN"/>
              </w:rPr>
              <w:t>研究、技术处理、培训、售后服务、税金、保险、招标代理服务费等相关的费用。除合同约定的变更以外，该费用不予增减。供应商自行考虑投标报价会出现的其他风险</w:t>
            </w:r>
            <w:r>
              <w:rPr>
                <w:rFonts w:hint="eastAsia" w:ascii="宋体" w:hAnsi="宋体" w:eastAsia="宋体" w:cs="宋体"/>
                <w:color w:val="auto"/>
                <w:sz w:val="21"/>
                <w:szCs w:val="21"/>
                <w:highlight w:val="none"/>
              </w:rPr>
              <w:t>。</w:t>
            </w:r>
          </w:p>
          <w:p w14:paraId="3DE929AE">
            <w:pPr>
              <w:keepNext w:val="0"/>
              <w:keepLines w:val="0"/>
              <w:pageBreakBefore w:val="0"/>
              <w:tabs>
                <w:tab w:val="left" w:pos="3490"/>
                <w:tab w:val="left" w:pos="3670"/>
                <w:tab w:val="left" w:pos="3895"/>
              </w:tabs>
              <w:kinsoku/>
              <w:wordWrap/>
              <w:overflowPunct/>
              <w:topLinePunct w:val="0"/>
              <w:autoSpaceDE/>
              <w:autoSpaceDN/>
              <w:bidi w:val="0"/>
              <w:snapToGrid/>
              <w:spacing w:line="360" w:lineRule="auto"/>
              <w:ind w:right="149" w:rightChars="71" w:firstLine="420" w:firstLineChars="200"/>
              <w:textAlignment w:val="auto"/>
              <w:rPr>
                <w:rFonts w:hint="eastAsia" w:ascii="宋体" w:hAnsi="宋体" w:eastAsia="宋体" w:cs="宋体"/>
                <w:color w:val="auto"/>
                <w:spacing w:val="0"/>
                <w:sz w:val="21"/>
                <w:szCs w:val="21"/>
                <w:highlight w:val="none"/>
                <w:lang w:eastAsia="zh-CN"/>
              </w:rPr>
            </w:pPr>
            <w:r>
              <w:rPr>
                <w:rFonts w:hint="eastAsia" w:ascii="宋体" w:hAnsi="宋体" w:cs="宋体"/>
                <w:color w:val="auto"/>
                <w:sz w:val="21"/>
                <w:szCs w:val="21"/>
                <w:highlight w:val="none"/>
                <w:lang w:val="en-US" w:eastAsia="zh-CN"/>
              </w:rPr>
              <w:t>五、</w:t>
            </w:r>
            <w:r>
              <w:rPr>
                <w:rFonts w:hint="eastAsia" w:ascii="宋体" w:hAnsi="宋体" w:eastAsia="宋体" w:cs="宋体"/>
                <w:color w:val="auto"/>
                <w:sz w:val="21"/>
                <w:szCs w:val="21"/>
                <w:highlight w:val="none"/>
              </w:rPr>
              <w:t>付款方式：</w:t>
            </w:r>
          </w:p>
          <w:p w14:paraId="564F499E">
            <w:pPr>
              <w:keepNext w:val="0"/>
              <w:keepLines w:val="0"/>
              <w:pageBreakBefore w:val="0"/>
              <w:kinsoku/>
              <w:wordWrap/>
              <w:overflowPunct/>
              <w:topLinePunct w:val="0"/>
              <w:autoSpaceDE/>
              <w:autoSpaceDN/>
              <w:bidi w:val="0"/>
              <w:snapToGrid/>
              <w:spacing w:line="360" w:lineRule="auto"/>
              <w:ind w:right="149" w:rightChars="71"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（1）合同生效以及具备实施条件后15日内甲方向乙方预付合同金额的30％。</w:t>
            </w:r>
          </w:p>
          <w:p w14:paraId="6C85DE40">
            <w:pPr>
              <w:keepNext w:val="0"/>
              <w:keepLines w:val="0"/>
              <w:pageBreakBefore w:val="0"/>
              <w:kinsoku/>
              <w:wordWrap/>
              <w:overflowPunct/>
              <w:topLinePunct w:val="0"/>
              <w:autoSpaceDE/>
              <w:autoSpaceDN/>
              <w:bidi w:val="0"/>
              <w:snapToGrid/>
              <w:spacing w:line="360" w:lineRule="auto"/>
              <w:ind w:right="149" w:rightChars="71"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（2）项目验收合格后30日内甲方向乙方支付剩余合同款。</w:t>
            </w:r>
          </w:p>
          <w:p w14:paraId="1641EB84">
            <w:pPr>
              <w:keepNext w:val="0"/>
              <w:keepLines w:val="0"/>
              <w:pageBreakBefore w:val="0"/>
              <w:kinsoku/>
              <w:wordWrap/>
              <w:overflowPunct/>
              <w:topLinePunct w:val="0"/>
              <w:autoSpaceDE/>
              <w:autoSpaceDN/>
              <w:bidi w:val="0"/>
              <w:snapToGrid/>
              <w:spacing w:line="360" w:lineRule="auto"/>
              <w:ind w:right="149" w:rightChars="71"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（3）甲方每次支付前，乙方应当为甲方开具当次支付等额发票。</w:t>
            </w:r>
          </w:p>
          <w:p w14:paraId="5A3ABC09">
            <w:pPr>
              <w:keepNext w:val="0"/>
              <w:keepLines w:val="0"/>
              <w:pageBreakBefore w:val="0"/>
              <w:kinsoku/>
              <w:wordWrap/>
              <w:overflowPunct/>
              <w:topLinePunct w:val="0"/>
              <w:autoSpaceDE/>
              <w:autoSpaceDN/>
              <w:bidi w:val="0"/>
              <w:snapToGrid/>
              <w:spacing w:line="360" w:lineRule="auto"/>
              <w:ind w:right="149" w:rightChars="71"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（4）甲方不得以机构变动、人员更替、政策调整等为由延迟付款，不得将采购文件和合同中未规定的义务作为向乙方付款的条件。</w:t>
            </w:r>
          </w:p>
          <w:p w14:paraId="09520B18">
            <w:pPr>
              <w:keepNext w:val="0"/>
              <w:keepLines w:val="0"/>
              <w:pageBreakBefore w:val="0"/>
              <w:kinsoku/>
              <w:wordWrap/>
              <w:overflowPunct/>
              <w:topLinePunct w:val="0"/>
              <w:autoSpaceDE/>
              <w:autoSpaceDN/>
              <w:bidi w:val="0"/>
              <w:snapToGrid/>
              <w:spacing w:line="360" w:lineRule="auto"/>
              <w:ind w:right="149" w:rightChars="71" w:firstLine="420" w:firstLineChars="200"/>
              <w:textAlignment w:val="auto"/>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t>六、</w:t>
            </w:r>
            <w:r>
              <w:rPr>
                <w:rFonts w:hint="eastAsia" w:ascii="宋体" w:hAnsi="宋体" w:cs="宋体"/>
                <w:color w:val="auto"/>
                <w:sz w:val="21"/>
                <w:szCs w:val="21"/>
                <w:highlight w:val="none"/>
                <w:lang w:val="en-US" w:eastAsia="zh-CN"/>
              </w:rPr>
              <w:t>验收要求</w:t>
            </w:r>
          </w:p>
          <w:p w14:paraId="1973667C">
            <w:pPr>
              <w:keepNext w:val="0"/>
              <w:keepLines w:val="0"/>
              <w:pageBreakBefore w:val="0"/>
              <w:widowControl/>
              <w:shd w:val="clear" w:color="auto" w:fill="FFFFFF"/>
              <w:kinsoku/>
              <w:wordWrap/>
              <w:overflowPunct/>
              <w:topLinePunct w:val="0"/>
              <w:autoSpaceDE/>
              <w:autoSpaceDN/>
              <w:bidi w:val="0"/>
              <w:snapToGrid/>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1、服务成果必须符合行业规范、地方通用标准以及本项目采购需求和采购人的要求。</w:t>
            </w:r>
          </w:p>
          <w:p w14:paraId="4C426696">
            <w:pPr>
              <w:keepNext w:val="0"/>
              <w:keepLines w:val="0"/>
              <w:pageBreakBefore w:val="0"/>
              <w:kinsoku/>
              <w:wordWrap/>
              <w:overflowPunct/>
              <w:topLinePunct w:val="0"/>
              <w:autoSpaceDE/>
              <w:autoSpaceDN/>
              <w:bidi w:val="0"/>
              <w:snapToGrid/>
              <w:spacing w:line="360" w:lineRule="auto"/>
              <w:ind w:right="149" w:rightChars="71"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2</w:t>
            </w:r>
            <w:r>
              <w:rPr>
                <w:rFonts w:hint="eastAsia" w:ascii="宋体" w:hAnsi="宋体" w:eastAsia="宋体" w:cs="宋体"/>
                <w:color w:val="auto"/>
                <w:sz w:val="21"/>
                <w:szCs w:val="21"/>
                <w:highlight w:val="none"/>
              </w:rPr>
              <w:t>、验收考核过程中所产生的一切费用均由中标人承担。报价时应考虑相关费用。</w:t>
            </w:r>
          </w:p>
          <w:p w14:paraId="3F0CEA79">
            <w:pPr>
              <w:keepNext w:val="0"/>
              <w:keepLines w:val="0"/>
              <w:pageBreakBefore w:val="0"/>
              <w:kinsoku/>
              <w:wordWrap/>
              <w:overflowPunct/>
              <w:topLinePunct w:val="0"/>
              <w:autoSpaceDE/>
              <w:autoSpaceDN/>
              <w:bidi w:val="0"/>
              <w:snapToGrid/>
              <w:spacing w:line="360" w:lineRule="auto"/>
              <w:ind w:right="149" w:rightChars="71"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3</w:t>
            </w:r>
            <w:r>
              <w:rPr>
                <w:rFonts w:hint="eastAsia" w:ascii="宋体" w:hAnsi="宋体" w:eastAsia="宋体" w:cs="宋体"/>
                <w:color w:val="auto"/>
                <w:sz w:val="21"/>
                <w:szCs w:val="21"/>
                <w:highlight w:val="none"/>
              </w:rPr>
              <w:t>、中标人在服务验收时由采购单位对照公开招标文件及投标文件的功能目标及服务指标全面核对检验，如不符合投标文件的服务承诺和其他承诺以及提供虚假承诺的，按相关规定做违约处理，中标人承担所有责任和费用，采购人保留进一步追究责任的权利。</w:t>
            </w:r>
          </w:p>
          <w:p w14:paraId="2EC64AAC">
            <w:pPr>
              <w:keepNext w:val="0"/>
              <w:keepLines w:val="0"/>
              <w:pageBreakBefore w:val="0"/>
              <w:kinsoku/>
              <w:wordWrap/>
              <w:overflowPunct/>
              <w:topLinePunct w:val="0"/>
              <w:autoSpaceDE/>
              <w:autoSpaceDN/>
              <w:bidi w:val="0"/>
              <w:snapToGrid/>
              <w:spacing w:line="360" w:lineRule="auto"/>
              <w:ind w:firstLine="420" w:firstLineChars="200"/>
              <w:jc w:val="left"/>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七、其他要求：</w:t>
            </w:r>
          </w:p>
          <w:p w14:paraId="6262569C">
            <w:pPr>
              <w:keepNext w:val="0"/>
              <w:keepLines w:val="0"/>
              <w:pageBreakBefore w:val="0"/>
              <w:kinsoku/>
              <w:wordWrap/>
              <w:overflowPunct/>
              <w:topLinePunct w:val="0"/>
              <w:autoSpaceDE/>
              <w:autoSpaceDN/>
              <w:bidi w:val="0"/>
              <w:snapToGrid/>
              <w:spacing w:line="360" w:lineRule="auto"/>
              <w:ind w:firstLine="420" w:firstLineChars="200"/>
              <w:jc w:val="left"/>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 xml:space="preserve">1.数据资料归属及保密：本项目所形成的数据和报告归采购人所有。未经采购人授权，不得将数据和报告提供给任何第三方。 </w:t>
            </w:r>
          </w:p>
          <w:p w14:paraId="73EDC3C8">
            <w:pPr>
              <w:keepNext w:val="0"/>
              <w:keepLines w:val="0"/>
              <w:pageBreakBefore w:val="0"/>
              <w:kinsoku/>
              <w:wordWrap/>
              <w:overflowPunct/>
              <w:topLinePunct w:val="0"/>
              <w:autoSpaceDE/>
              <w:autoSpaceDN/>
              <w:bidi w:val="0"/>
              <w:snapToGrid/>
              <w:spacing w:line="360" w:lineRule="auto"/>
              <w:ind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2.处理响应时间：供应商提供7×24小时通过远程或上门服务等方式为采购人提供完善的售前和售后技术咨询服务。</w:t>
            </w:r>
          </w:p>
        </w:tc>
      </w:tr>
    </w:tbl>
    <w:p w14:paraId="05B3CE2B">
      <w:pPr>
        <w:shd w:val="clear"/>
        <w:spacing w:line="428" w:lineRule="exact"/>
        <w:ind w:left="119"/>
        <w:rPr>
          <w:rFonts w:hint="eastAsia" w:ascii="宋体" w:hAnsi="宋体" w:eastAsia="宋体" w:cs="宋体"/>
          <w:color w:val="auto"/>
          <w:highlight w:val="none"/>
        </w:rPr>
      </w:pPr>
    </w:p>
    <w:p w14:paraId="510282FE">
      <w:pPr>
        <w:shd w:val="clear"/>
        <w:spacing w:line="428" w:lineRule="exact"/>
        <w:ind w:left="119"/>
        <w:rPr>
          <w:rFonts w:hint="eastAsia" w:ascii="宋体" w:hAnsi="宋体" w:eastAsia="宋体" w:cs="宋体"/>
          <w:color w:val="auto"/>
          <w:highlight w:val="none"/>
        </w:rPr>
        <w:sectPr>
          <w:pgSz w:w="11905" w:h="16838"/>
          <w:pgMar w:top="1134" w:right="891" w:bottom="1134" w:left="1134" w:header="850" w:footer="850" w:gutter="0"/>
          <w:pgNumType w:fmt="decimal"/>
          <w:cols w:space="0" w:num="1"/>
          <w:titlePg/>
          <w:rtlGutter w:val="0"/>
          <w:docGrid w:linePitch="331" w:charSpace="0"/>
        </w:sectPr>
      </w:pPr>
    </w:p>
    <w:tbl>
      <w:tblPr>
        <w:tblStyle w:val="18"/>
        <w:tblW w:w="9576"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545"/>
        <w:gridCol w:w="739"/>
        <w:gridCol w:w="717"/>
        <w:gridCol w:w="5203"/>
        <w:gridCol w:w="1036"/>
        <w:gridCol w:w="1336"/>
      </w:tblGrid>
      <w:tr w14:paraId="55E6F47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16" w:hRule="atLeast"/>
          <w:jc w:val="center"/>
        </w:trPr>
        <w:tc>
          <w:tcPr>
            <w:tcW w:w="9576" w:type="dxa"/>
            <w:gridSpan w:val="6"/>
            <w:tcBorders>
              <w:top w:val="single" w:color="auto" w:sz="4" w:space="0"/>
              <w:left w:val="single" w:color="auto" w:sz="4" w:space="0"/>
              <w:bottom w:val="single" w:color="auto" w:sz="4" w:space="0"/>
              <w:right w:val="single" w:color="auto" w:sz="4" w:space="0"/>
            </w:tcBorders>
            <w:noWrap w:val="0"/>
            <w:tcMar>
              <w:top w:w="0" w:type="dxa"/>
              <w:left w:w="0" w:type="dxa"/>
              <w:bottom w:w="0" w:type="dxa"/>
              <w:right w:w="0" w:type="dxa"/>
            </w:tcMar>
            <w:vAlign w:val="center"/>
          </w:tcPr>
          <w:p w14:paraId="35FBBBEC">
            <w:pPr>
              <w:keepNext w:val="0"/>
              <w:keepLines w:val="0"/>
              <w:pageBreakBefore w:val="0"/>
              <w:kinsoku/>
              <w:wordWrap/>
              <w:overflowPunct/>
              <w:topLinePunct w:val="0"/>
              <w:autoSpaceDE/>
              <w:autoSpaceDN/>
              <w:bidi w:val="0"/>
              <w:spacing w:line="360" w:lineRule="auto"/>
              <w:jc w:val="both"/>
              <w:textAlignment w:val="auto"/>
              <w:rPr>
                <w:rFonts w:hint="eastAsia" w:ascii="宋体" w:hAnsi="宋体" w:eastAsia="宋体" w:cs="宋体"/>
                <w:color w:val="auto"/>
                <w:sz w:val="21"/>
                <w:szCs w:val="21"/>
                <w:highlight w:val="none"/>
              </w:rPr>
            </w:pPr>
            <w:r>
              <w:rPr>
                <w:rFonts w:hint="eastAsia" w:ascii="宋体" w:hAnsi="宋体" w:eastAsia="宋体" w:cs="宋体"/>
                <w:b/>
                <w:bCs/>
                <w:color w:val="auto"/>
                <w:sz w:val="24"/>
                <w:szCs w:val="24"/>
                <w:highlight w:val="none"/>
                <w:lang w:eastAsia="zh-CN"/>
              </w:rPr>
              <w:t>一、</w:t>
            </w:r>
            <w:r>
              <w:rPr>
                <w:rFonts w:hint="eastAsia" w:ascii="宋体" w:hAnsi="宋体" w:eastAsia="宋体" w:cs="宋体"/>
                <w:b/>
                <w:bCs/>
                <w:color w:val="auto"/>
                <w:sz w:val="24"/>
                <w:szCs w:val="24"/>
                <w:highlight w:val="none"/>
              </w:rPr>
              <w:t>服务需求一览表</w:t>
            </w:r>
          </w:p>
        </w:tc>
      </w:tr>
      <w:tr w14:paraId="17816BB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16" w:hRule="atLeast"/>
          <w:jc w:val="center"/>
        </w:trPr>
        <w:tc>
          <w:tcPr>
            <w:tcW w:w="1284" w:type="dxa"/>
            <w:gridSpan w:val="2"/>
            <w:tcBorders>
              <w:top w:val="single" w:color="auto" w:sz="4" w:space="0"/>
              <w:left w:val="single" w:color="auto" w:sz="4" w:space="0"/>
              <w:bottom w:val="single" w:color="auto" w:sz="4" w:space="0"/>
              <w:right w:val="single" w:color="auto" w:sz="4" w:space="0"/>
            </w:tcBorders>
            <w:noWrap w:val="0"/>
            <w:tcMar>
              <w:top w:w="0" w:type="dxa"/>
              <w:left w:w="0" w:type="dxa"/>
              <w:bottom w:w="0" w:type="dxa"/>
              <w:right w:w="0" w:type="dxa"/>
            </w:tcMar>
            <w:vAlign w:val="center"/>
          </w:tcPr>
          <w:p w14:paraId="387F70D8">
            <w:pPr>
              <w:pStyle w:val="12"/>
              <w:keepNext w:val="0"/>
              <w:keepLines w:val="0"/>
              <w:pageBreakBefore w:val="0"/>
              <w:kinsoku/>
              <w:wordWrap/>
              <w:overflowPunct/>
              <w:topLinePunct w:val="0"/>
              <w:autoSpaceDE/>
              <w:autoSpaceDN/>
              <w:bidi w:val="0"/>
              <w:snapToGrid w:val="0"/>
              <w:spacing w:line="360" w:lineRule="auto"/>
              <w:jc w:val="center"/>
              <w:textAlignment w:val="auto"/>
              <w:rPr>
                <w:rFonts w:hint="eastAsia" w:ascii="宋体" w:hAnsi="宋体" w:eastAsia="宋体" w:cs="宋体"/>
                <w:b/>
                <w:bCs/>
                <w:color w:val="auto"/>
                <w:sz w:val="21"/>
                <w:szCs w:val="21"/>
                <w:highlight w:val="none"/>
                <w:lang w:eastAsia="zh-CN"/>
              </w:rPr>
            </w:pPr>
            <w:r>
              <w:rPr>
                <w:rFonts w:hint="eastAsia" w:ascii="宋体" w:hAnsi="宋体" w:eastAsia="宋体" w:cs="宋体"/>
                <w:b/>
                <w:bCs/>
                <w:color w:val="auto"/>
                <w:sz w:val="21"/>
                <w:szCs w:val="21"/>
                <w:highlight w:val="none"/>
                <w:lang w:eastAsia="zh-CN"/>
              </w:rPr>
              <w:t>标段</w:t>
            </w:r>
          </w:p>
        </w:tc>
        <w:tc>
          <w:tcPr>
            <w:tcW w:w="8292" w:type="dxa"/>
            <w:gridSpan w:val="4"/>
            <w:tcBorders>
              <w:top w:val="single" w:color="auto" w:sz="4" w:space="0"/>
              <w:left w:val="single" w:color="auto" w:sz="4" w:space="0"/>
              <w:bottom w:val="single" w:color="auto" w:sz="4" w:space="0"/>
              <w:right w:val="single" w:color="auto" w:sz="4" w:space="0"/>
            </w:tcBorders>
            <w:noWrap w:val="0"/>
            <w:vAlign w:val="center"/>
          </w:tcPr>
          <w:p w14:paraId="1FED4D35">
            <w:pPr>
              <w:keepNext w:val="0"/>
              <w:keepLines w:val="0"/>
              <w:pageBreakBefore w:val="0"/>
              <w:kinsoku/>
              <w:wordWrap/>
              <w:overflowPunct/>
              <w:topLinePunct w:val="0"/>
              <w:autoSpaceDE/>
              <w:autoSpaceDN/>
              <w:bidi w:val="0"/>
              <w:spacing w:line="360" w:lineRule="auto"/>
              <w:jc w:val="left"/>
              <w:textAlignment w:val="auto"/>
              <w:rPr>
                <w:rFonts w:hint="eastAsia" w:ascii="宋体" w:hAnsi="宋体" w:eastAsia="宋体" w:cs="宋体"/>
                <w:b/>
                <w:bCs/>
                <w:color w:val="auto"/>
                <w:sz w:val="21"/>
                <w:szCs w:val="21"/>
                <w:highlight w:val="none"/>
                <w:lang w:val="en-US" w:eastAsia="zh-CN"/>
              </w:rPr>
            </w:pPr>
            <w:r>
              <w:rPr>
                <w:rFonts w:hint="eastAsia" w:ascii="宋体" w:hAnsi="宋体" w:eastAsia="宋体" w:cs="宋体"/>
                <w:b/>
                <w:bCs/>
                <w:color w:val="auto"/>
                <w:sz w:val="21"/>
                <w:szCs w:val="21"/>
                <w:highlight w:val="none"/>
                <w:lang w:eastAsia="zh-CN"/>
              </w:rPr>
              <w:t>分标</w:t>
            </w:r>
            <w:r>
              <w:rPr>
                <w:rFonts w:hint="eastAsia" w:ascii="宋体" w:hAnsi="宋体" w:cs="宋体"/>
                <w:b/>
                <w:bCs/>
                <w:color w:val="auto"/>
                <w:sz w:val="21"/>
                <w:szCs w:val="21"/>
                <w:highlight w:val="none"/>
                <w:lang w:val="en-US" w:eastAsia="zh-CN"/>
              </w:rPr>
              <w:t>3</w:t>
            </w:r>
          </w:p>
        </w:tc>
      </w:tr>
      <w:tr w14:paraId="4B7DF51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003" w:hRule="atLeast"/>
          <w:jc w:val="center"/>
        </w:trPr>
        <w:tc>
          <w:tcPr>
            <w:tcW w:w="545" w:type="dxa"/>
            <w:tcBorders>
              <w:top w:val="single" w:color="auto" w:sz="4" w:space="0"/>
              <w:left w:val="single" w:color="auto" w:sz="4" w:space="0"/>
              <w:bottom w:val="single" w:color="auto" w:sz="4" w:space="0"/>
              <w:right w:val="single" w:color="auto" w:sz="4" w:space="0"/>
            </w:tcBorders>
            <w:noWrap w:val="0"/>
            <w:tcMar>
              <w:top w:w="0" w:type="dxa"/>
              <w:left w:w="0" w:type="dxa"/>
              <w:bottom w:w="0" w:type="dxa"/>
              <w:right w:w="0" w:type="dxa"/>
            </w:tcMar>
            <w:vAlign w:val="center"/>
          </w:tcPr>
          <w:p w14:paraId="5DF465E3">
            <w:pPr>
              <w:keepNext w:val="0"/>
              <w:keepLines w:val="0"/>
              <w:pageBreakBefore w:val="0"/>
              <w:kinsoku/>
              <w:wordWrap/>
              <w:overflowPunct/>
              <w:topLinePunct w:val="0"/>
              <w:autoSpaceDE/>
              <w:autoSpaceDN/>
              <w:bidi w:val="0"/>
              <w:spacing w:line="360" w:lineRule="auto"/>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序号</w:t>
            </w:r>
          </w:p>
        </w:tc>
        <w:tc>
          <w:tcPr>
            <w:tcW w:w="739" w:type="dxa"/>
            <w:tcBorders>
              <w:top w:val="single" w:color="auto" w:sz="4" w:space="0"/>
              <w:left w:val="single" w:color="auto" w:sz="4" w:space="0"/>
              <w:bottom w:val="single" w:color="auto" w:sz="4" w:space="0"/>
              <w:right w:val="single" w:color="auto" w:sz="4" w:space="0"/>
            </w:tcBorders>
            <w:noWrap w:val="0"/>
            <w:vAlign w:val="center"/>
          </w:tcPr>
          <w:p w14:paraId="232961C6">
            <w:pPr>
              <w:pStyle w:val="12"/>
              <w:keepNext w:val="0"/>
              <w:keepLines w:val="0"/>
              <w:pageBreakBefore w:val="0"/>
              <w:kinsoku/>
              <w:wordWrap/>
              <w:overflowPunct/>
              <w:topLinePunct w:val="0"/>
              <w:autoSpaceDE/>
              <w:autoSpaceDN/>
              <w:bidi w:val="0"/>
              <w:snapToGrid w:val="0"/>
              <w:spacing w:line="360" w:lineRule="auto"/>
              <w:jc w:val="center"/>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标的名称</w:t>
            </w:r>
          </w:p>
        </w:tc>
        <w:tc>
          <w:tcPr>
            <w:tcW w:w="717" w:type="dxa"/>
            <w:tcBorders>
              <w:top w:val="single" w:color="auto" w:sz="4" w:space="0"/>
              <w:left w:val="single" w:color="auto" w:sz="4" w:space="0"/>
              <w:bottom w:val="single" w:color="auto" w:sz="4" w:space="0"/>
              <w:right w:val="single" w:color="auto" w:sz="4" w:space="0"/>
            </w:tcBorders>
            <w:noWrap w:val="0"/>
            <w:vAlign w:val="center"/>
          </w:tcPr>
          <w:p w14:paraId="664E8FD0">
            <w:pPr>
              <w:pStyle w:val="12"/>
              <w:keepNext w:val="0"/>
              <w:keepLines w:val="0"/>
              <w:pageBreakBefore w:val="0"/>
              <w:kinsoku/>
              <w:wordWrap/>
              <w:overflowPunct/>
              <w:topLinePunct w:val="0"/>
              <w:autoSpaceDE/>
              <w:autoSpaceDN/>
              <w:bidi w:val="0"/>
              <w:snapToGrid w:val="0"/>
              <w:spacing w:line="360" w:lineRule="auto"/>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数量及</w:t>
            </w:r>
            <w:r>
              <w:rPr>
                <w:rFonts w:hint="eastAsia" w:hAnsi="宋体" w:cs="宋体"/>
                <w:color w:val="auto"/>
                <w:sz w:val="21"/>
                <w:szCs w:val="21"/>
                <w:highlight w:val="none"/>
                <w:lang w:eastAsia="zh-CN"/>
              </w:rPr>
              <w:t>单</w:t>
            </w:r>
            <w:r>
              <w:rPr>
                <w:rFonts w:hint="eastAsia" w:ascii="宋体" w:hAnsi="宋体" w:eastAsia="宋体" w:cs="宋体"/>
                <w:color w:val="auto"/>
                <w:sz w:val="21"/>
                <w:szCs w:val="21"/>
                <w:highlight w:val="none"/>
              </w:rPr>
              <w:t>位</w:t>
            </w:r>
          </w:p>
        </w:tc>
        <w:tc>
          <w:tcPr>
            <w:tcW w:w="5203" w:type="dxa"/>
            <w:tcBorders>
              <w:top w:val="single" w:color="auto" w:sz="4" w:space="0"/>
              <w:left w:val="single" w:color="auto" w:sz="4" w:space="0"/>
              <w:bottom w:val="single" w:color="auto" w:sz="4" w:space="0"/>
              <w:right w:val="single" w:color="auto" w:sz="4" w:space="0"/>
            </w:tcBorders>
            <w:noWrap w:val="0"/>
            <w:vAlign w:val="center"/>
          </w:tcPr>
          <w:p w14:paraId="0B32C53A">
            <w:pPr>
              <w:keepNext w:val="0"/>
              <w:keepLines w:val="0"/>
              <w:pageBreakBefore w:val="0"/>
              <w:kinsoku/>
              <w:wordWrap/>
              <w:overflowPunct/>
              <w:topLinePunct w:val="0"/>
              <w:autoSpaceDE/>
              <w:autoSpaceDN/>
              <w:bidi w:val="0"/>
              <w:spacing w:line="360" w:lineRule="auto"/>
              <w:jc w:val="center"/>
              <w:textAlignment w:val="auto"/>
              <w:rPr>
                <w:rFonts w:hint="eastAsia" w:ascii="宋体" w:hAnsi="宋体" w:eastAsia="宋体" w:cs="宋体"/>
                <w:color w:val="auto"/>
                <w:sz w:val="21"/>
                <w:szCs w:val="21"/>
                <w:highlight w:val="none"/>
                <w:lang w:eastAsia="zh-CN"/>
              </w:rPr>
            </w:pPr>
            <w:r>
              <w:rPr>
                <w:rFonts w:hint="eastAsia" w:ascii="宋体" w:hAnsi="宋体" w:cs="宋体"/>
                <w:color w:val="auto"/>
                <w:sz w:val="21"/>
                <w:szCs w:val="21"/>
                <w:highlight w:val="none"/>
                <w:lang w:eastAsia="zh-CN"/>
              </w:rPr>
              <w:t>服务参数</w:t>
            </w:r>
          </w:p>
        </w:tc>
        <w:tc>
          <w:tcPr>
            <w:tcW w:w="1036" w:type="dxa"/>
            <w:tcBorders>
              <w:top w:val="single" w:color="auto" w:sz="4" w:space="0"/>
              <w:left w:val="single" w:color="auto" w:sz="4" w:space="0"/>
              <w:bottom w:val="single" w:color="auto" w:sz="4" w:space="0"/>
              <w:right w:val="single" w:color="auto" w:sz="4" w:space="0"/>
            </w:tcBorders>
            <w:noWrap w:val="0"/>
            <w:vAlign w:val="center"/>
          </w:tcPr>
          <w:p w14:paraId="733A224D">
            <w:pPr>
              <w:keepNext w:val="0"/>
              <w:keepLines w:val="0"/>
              <w:pageBreakBefore w:val="0"/>
              <w:kinsoku/>
              <w:wordWrap/>
              <w:overflowPunct/>
              <w:topLinePunct w:val="0"/>
              <w:autoSpaceDE/>
              <w:autoSpaceDN/>
              <w:bidi w:val="0"/>
              <w:spacing w:line="360" w:lineRule="auto"/>
              <w:jc w:val="center"/>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预算金额（万元）</w:t>
            </w:r>
          </w:p>
        </w:tc>
        <w:tc>
          <w:tcPr>
            <w:tcW w:w="1336" w:type="dxa"/>
            <w:tcBorders>
              <w:top w:val="single" w:color="auto" w:sz="4" w:space="0"/>
              <w:left w:val="single" w:color="auto" w:sz="4" w:space="0"/>
              <w:bottom w:val="single" w:color="auto" w:sz="4" w:space="0"/>
              <w:right w:val="single" w:color="auto" w:sz="4" w:space="0"/>
            </w:tcBorders>
            <w:noWrap w:val="0"/>
            <w:vAlign w:val="center"/>
          </w:tcPr>
          <w:p w14:paraId="605830F1">
            <w:pPr>
              <w:keepNext w:val="0"/>
              <w:keepLines w:val="0"/>
              <w:pageBreakBefore w:val="0"/>
              <w:kinsoku/>
              <w:wordWrap/>
              <w:overflowPunct/>
              <w:topLinePunct w:val="0"/>
              <w:autoSpaceDE/>
              <w:autoSpaceDN/>
              <w:bidi w:val="0"/>
              <w:spacing w:line="360" w:lineRule="auto"/>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中小企业划分标准所属行业名称</w:t>
            </w:r>
          </w:p>
        </w:tc>
      </w:tr>
      <w:tr w14:paraId="3210BBE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07" w:hRule="atLeast"/>
          <w:jc w:val="center"/>
        </w:trPr>
        <w:tc>
          <w:tcPr>
            <w:tcW w:w="545" w:type="dxa"/>
            <w:tcBorders>
              <w:left w:val="single" w:color="auto" w:sz="4" w:space="0"/>
              <w:bottom w:val="single" w:color="auto" w:sz="4" w:space="0"/>
              <w:right w:val="single" w:color="auto" w:sz="4" w:space="0"/>
            </w:tcBorders>
            <w:noWrap w:val="0"/>
            <w:vAlign w:val="center"/>
          </w:tcPr>
          <w:p w14:paraId="76926F08">
            <w:pPr>
              <w:keepNext w:val="0"/>
              <w:keepLines w:val="0"/>
              <w:pageBreakBefore w:val="0"/>
              <w:kinsoku/>
              <w:wordWrap/>
              <w:overflowPunct/>
              <w:topLinePunct w:val="0"/>
              <w:autoSpaceDE/>
              <w:autoSpaceDN/>
              <w:bidi w:val="0"/>
              <w:spacing w:line="360" w:lineRule="auto"/>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w:t>
            </w:r>
          </w:p>
        </w:tc>
        <w:tc>
          <w:tcPr>
            <w:tcW w:w="739" w:type="dxa"/>
            <w:tcBorders>
              <w:left w:val="single" w:color="auto" w:sz="4" w:space="0"/>
              <w:bottom w:val="single" w:color="auto" w:sz="4" w:space="0"/>
              <w:right w:val="single" w:color="auto" w:sz="4" w:space="0"/>
            </w:tcBorders>
            <w:noWrap w:val="0"/>
            <w:vAlign w:val="center"/>
          </w:tcPr>
          <w:p w14:paraId="1A650957">
            <w:pPr>
              <w:keepNext w:val="0"/>
              <w:keepLines w:val="0"/>
              <w:pageBreakBefore w:val="0"/>
              <w:kinsoku/>
              <w:wordWrap/>
              <w:overflowPunct/>
              <w:topLinePunct w:val="0"/>
              <w:autoSpaceDE/>
              <w:autoSpaceDN/>
              <w:bidi w:val="0"/>
              <w:spacing w:line="360" w:lineRule="auto"/>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新形态教材开发建设</w:t>
            </w:r>
          </w:p>
        </w:tc>
        <w:tc>
          <w:tcPr>
            <w:tcW w:w="717" w:type="dxa"/>
            <w:tcBorders>
              <w:top w:val="single" w:color="auto" w:sz="4" w:space="0"/>
              <w:left w:val="single" w:color="auto" w:sz="4" w:space="0"/>
              <w:bottom w:val="single" w:color="auto" w:sz="4" w:space="0"/>
              <w:right w:val="single" w:color="auto" w:sz="4" w:space="0"/>
            </w:tcBorders>
            <w:noWrap w:val="0"/>
            <w:vAlign w:val="center"/>
          </w:tcPr>
          <w:p w14:paraId="3F10E2D2">
            <w:pPr>
              <w:keepNext w:val="0"/>
              <w:keepLines w:val="0"/>
              <w:pageBreakBefore w:val="0"/>
              <w:kinsoku/>
              <w:wordWrap/>
              <w:overflowPunct/>
              <w:topLinePunct w:val="0"/>
              <w:autoSpaceDE/>
              <w:autoSpaceDN/>
              <w:bidi w:val="0"/>
              <w:spacing w:line="360" w:lineRule="auto"/>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2本</w:t>
            </w:r>
          </w:p>
        </w:tc>
        <w:tc>
          <w:tcPr>
            <w:tcW w:w="5203" w:type="dxa"/>
            <w:tcBorders>
              <w:top w:val="single" w:color="auto" w:sz="4" w:space="0"/>
              <w:left w:val="single" w:color="auto" w:sz="4" w:space="0"/>
              <w:bottom w:val="single" w:color="auto" w:sz="4" w:space="0"/>
              <w:right w:val="single" w:color="auto" w:sz="4" w:space="0"/>
            </w:tcBorders>
            <w:noWrap w:val="0"/>
            <w:vAlign w:val="center"/>
          </w:tcPr>
          <w:p w14:paraId="735D9779">
            <w:pPr>
              <w:keepNext w:val="0"/>
              <w:keepLines w:val="0"/>
              <w:pageBreakBefore w:val="0"/>
              <w:kinsoku/>
              <w:wordWrap/>
              <w:overflowPunct/>
              <w:topLinePunct w:val="0"/>
              <w:autoSpaceDE/>
              <w:autoSpaceDN/>
              <w:bidi w:val="0"/>
              <w:spacing w:line="360" w:lineRule="auto"/>
              <w:jc w:val="both"/>
              <w:textAlignment w:val="auto"/>
              <w:rPr>
                <w:rFonts w:hint="eastAsia" w:ascii="宋体" w:hAnsi="宋体" w:cs="宋体"/>
                <w:color w:val="auto"/>
                <w:sz w:val="21"/>
                <w:szCs w:val="21"/>
                <w:highlight w:val="none"/>
                <w:lang w:eastAsia="zh-CN"/>
              </w:rPr>
            </w:pPr>
            <w:r>
              <w:rPr>
                <w:rFonts w:hint="eastAsia" w:ascii="宋体" w:hAnsi="宋体" w:cs="宋体"/>
                <w:color w:val="auto"/>
                <w:sz w:val="21"/>
                <w:szCs w:val="21"/>
                <w:highlight w:val="none"/>
                <w:lang w:eastAsia="zh-CN"/>
              </w:rPr>
              <w:t>筹备并开展自治区“十五五”职业教育规划教材建设。</w:t>
            </w:r>
          </w:p>
          <w:p w14:paraId="7AAA21A0">
            <w:pPr>
              <w:keepNext w:val="0"/>
              <w:keepLines w:val="0"/>
              <w:pageBreakBefore w:val="0"/>
              <w:kinsoku/>
              <w:wordWrap/>
              <w:overflowPunct/>
              <w:topLinePunct w:val="0"/>
              <w:autoSpaceDE/>
              <w:autoSpaceDN/>
              <w:bidi w:val="0"/>
              <w:spacing w:line="360" w:lineRule="auto"/>
              <w:jc w:val="both"/>
              <w:textAlignment w:val="auto"/>
              <w:rPr>
                <w:rFonts w:hint="eastAsia" w:ascii="宋体" w:hAnsi="宋体" w:cs="宋体"/>
                <w:b/>
                <w:bCs/>
                <w:color w:val="auto"/>
                <w:sz w:val="21"/>
                <w:szCs w:val="21"/>
                <w:highlight w:val="none"/>
                <w:lang w:eastAsia="zh-CN"/>
              </w:rPr>
            </w:pPr>
            <w:r>
              <w:rPr>
                <w:rFonts w:hint="eastAsia" w:ascii="宋体" w:hAnsi="宋体" w:cs="宋体"/>
                <w:b/>
                <w:bCs/>
                <w:color w:val="auto"/>
                <w:sz w:val="21"/>
                <w:szCs w:val="21"/>
                <w:highlight w:val="none"/>
                <w:lang w:eastAsia="zh-CN"/>
              </w:rPr>
              <w:t>一、服务内容</w:t>
            </w:r>
          </w:p>
          <w:p w14:paraId="77A58A69">
            <w:pPr>
              <w:keepNext w:val="0"/>
              <w:keepLines w:val="0"/>
              <w:pageBreakBefore w:val="0"/>
              <w:kinsoku/>
              <w:wordWrap/>
              <w:overflowPunct/>
              <w:topLinePunct w:val="0"/>
              <w:autoSpaceDE/>
              <w:autoSpaceDN/>
              <w:bidi w:val="0"/>
              <w:spacing w:line="360" w:lineRule="auto"/>
              <w:jc w:val="both"/>
              <w:textAlignment w:val="auto"/>
              <w:rPr>
                <w:rFonts w:hint="eastAsia" w:ascii="宋体" w:hAnsi="宋体" w:cs="宋体"/>
                <w:color w:val="auto"/>
                <w:sz w:val="21"/>
                <w:szCs w:val="21"/>
                <w:highlight w:val="none"/>
                <w:lang w:eastAsia="zh-CN"/>
              </w:rPr>
            </w:pPr>
            <w:r>
              <w:rPr>
                <w:rFonts w:hint="eastAsia" w:ascii="宋体" w:hAnsi="宋体" w:cs="宋体"/>
                <w:color w:val="auto"/>
                <w:sz w:val="21"/>
                <w:szCs w:val="21"/>
                <w:highlight w:val="none"/>
                <w:lang w:eastAsia="zh-CN"/>
              </w:rPr>
              <w:t>1.完成2</w:t>
            </w:r>
            <w:r>
              <w:rPr>
                <w:rFonts w:hint="eastAsia" w:ascii="宋体" w:hAnsi="宋体" w:cs="宋体"/>
                <w:color w:val="auto"/>
                <w:sz w:val="21"/>
                <w:szCs w:val="21"/>
                <w:highlight w:val="none"/>
                <w:lang w:val="en-US" w:eastAsia="zh-CN"/>
              </w:rPr>
              <w:t>部</w:t>
            </w:r>
            <w:r>
              <w:rPr>
                <w:rFonts w:hint="eastAsia" w:ascii="宋体" w:hAnsi="宋体" w:cs="宋体"/>
                <w:color w:val="auto"/>
                <w:sz w:val="21"/>
                <w:szCs w:val="21"/>
                <w:highlight w:val="none"/>
                <w:lang w:eastAsia="zh-CN"/>
              </w:rPr>
              <w:t>数字教材开发建设。其中，1</w:t>
            </w:r>
            <w:r>
              <w:rPr>
                <w:rFonts w:hint="eastAsia" w:ascii="宋体" w:hAnsi="宋体" w:cs="宋体"/>
                <w:color w:val="auto"/>
                <w:sz w:val="21"/>
                <w:szCs w:val="21"/>
                <w:highlight w:val="none"/>
                <w:lang w:val="en-US" w:eastAsia="zh-CN"/>
              </w:rPr>
              <w:t>部</w:t>
            </w:r>
            <w:r>
              <w:rPr>
                <w:rFonts w:hint="eastAsia" w:ascii="宋体" w:hAnsi="宋体" w:cs="宋体"/>
                <w:color w:val="auto"/>
                <w:sz w:val="21"/>
                <w:szCs w:val="21"/>
                <w:highlight w:val="none"/>
                <w:lang w:eastAsia="zh-CN"/>
              </w:rPr>
              <w:t>为数控技术</w:t>
            </w:r>
            <w:r>
              <w:rPr>
                <w:rFonts w:hint="eastAsia" w:ascii="宋体" w:hAnsi="宋体" w:cs="宋体"/>
                <w:color w:val="auto"/>
                <w:sz w:val="21"/>
                <w:szCs w:val="21"/>
                <w:highlight w:val="none"/>
                <w:lang w:val="en-US" w:eastAsia="zh-CN"/>
              </w:rPr>
              <w:t>专业教材</w:t>
            </w:r>
            <w:r>
              <w:rPr>
                <w:rFonts w:hint="eastAsia" w:ascii="宋体" w:hAnsi="宋体" w:cs="宋体"/>
                <w:color w:val="auto"/>
                <w:sz w:val="21"/>
                <w:szCs w:val="21"/>
                <w:highlight w:val="none"/>
                <w:lang w:eastAsia="zh-CN"/>
              </w:rPr>
              <w:t>，1</w:t>
            </w:r>
            <w:r>
              <w:rPr>
                <w:rFonts w:hint="eastAsia" w:ascii="宋体" w:hAnsi="宋体" w:cs="宋体"/>
                <w:color w:val="auto"/>
                <w:sz w:val="21"/>
                <w:szCs w:val="21"/>
                <w:highlight w:val="none"/>
                <w:lang w:val="en-US" w:eastAsia="zh-CN"/>
              </w:rPr>
              <w:t>部</w:t>
            </w:r>
            <w:r>
              <w:rPr>
                <w:rFonts w:hint="eastAsia" w:ascii="宋体" w:hAnsi="宋体" w:cs="宋体"/>
                <w:color w:val="auto"/>
                <w:sz w:val="21"/>
                <w:szCs w:val="21"/>
                <w:highlight w:val="none"/>
                <w:lang w:eastAsia="zh-CN"/>
              </w:rPr>
              <w:t>为计算机应用</w:t>
            </w:r>
            <w:r>
              <w:rPr>
                <w:rFonts w:hint="eastAsia" w:ascii="宋体" w:hAnsi="宋体" w:cs="宋体"/>
                <w:color w:val="auto"/>
                <w:sz w:val="21"/>
                <w:szCs w:val="21"/>
                <w:highlight w:val="none"/>
                <w:lang w:val="en-US" w:eastAsia="zh-CN"/>
              </w:rPr>
              <w:t>专业教材</w:t>
            </w:r>
            <w:r>
              <w:rPr>
                <w:rFonts w:hint="eastAsia" w:ascii="宋体" w:hAnsi="宋体" w:cs="宋体"/>
                <w:color w:val="auto"/>
                <w:sz w:val="21"/>
                <w:szCs w:val="21"/>
                <w:highlight w:val="none"/>
                <w:lang w:eastAsia="zh-CN"/>
              </w:rPr>
              <w:t>。</w:t>
            </w:r>
          </w:p>
          <w:p w14:paraId="5E6E9F1B">
            <w:pPr>
              <w:keepNext w:val="0"/>
              <w:keepLines w:val="0"/>
              <w:pageBreakBefore w:val="0"/>
              <w:kinsoku/>
              <w:wordWrap/>
              <w:overflowPunct/>
              <w:topLinePunct w:val="0"/>
              <w:autoSpaceDE/>
              <w:autoSpaceDN/>
              <w:bidi w:val="0"/>
              <w:spacing w:line="360" w:lineRule="auto"/>
              <w:jc w:val="both"/>
              <w:textAlignment w:val="auto"/>
              <w:rPr>
                <w:rFonts w:hint="eastAsia" w:ascii="宋体" w:hAnsi="宋体" w:cs="宋体"/>
                <w:color w:val="auto"/>
                <w:sz w:val="21"/>
                <w:szCs w:val="21"/>
                <w:highlight w:val="none"/>
                <w:lang w:val="en-US" w:eastAsia="zh-CN"/>
              </w:rPr>
            </w:pPr>
            <w:r>
              <w:rPr>
                <w:rFonts w:hint="eastAsia" w:ascii="宋体" w:hAnsi="宋体" w:cs="宋体"/>
                <w:color w:val="auto"/>
                <w:sz w:val="21"/>
                <w:szCs w:val="21"/>
                <w:highlight w:val="none"/>
                <w:lang w:val="en-US" w:eastAsia="zh-CN"/>
              </w:rPr>
              <w:t>2.指导完成规划教材申报书。</w:t>
            </w:r>
          </w:p>
          <w:p w14:paraId="395AA1BD">
            <w:pPr>
              <w:keepNext w:val="0"/>
              <w:keepLines w:val="0"/>
              <w:pageBreakBefore w:val="0"/>
              <w:kinsoku/>
              <w:wordWrap/>
              <w:overflowPunct/>
              <w:topLinePunct w:val="0"/>
              <w:autoSpaceDE/>
              <w:autoSpaceDN/>
              <w:bidi w:val="0"/>
              <w:spacing w:line="360" w:lineRule="auto"/>
              <w:jc w:val="both"/>
              <w:textAlignment w:val="auto"/>
              <w:rPr>
                <w:rFonts w:hint="eastAsia" w:ascii="宋体" w:hAnsi="宋体" w:cs="宋体"/>
                <w:b w:val="0"/>
                <w:bCs w:val="0"/>
                <w:color w:val="auto"/>
                <w:sz w:val="21"/>
                <w:szCs w:val="21"/>
                <w:highlight w:val="none"/>
                <w:lang w:val="en-US" w:eastAsia="zh-CN"/>
              </w:rPr>
            </w:pPr>
            <w:r>
              <w:rPr>
                <w:rFonts w:hint="eastAsia" w:ascii="宋体" w:hAnsi="宋体" w:cs="宋体"/>
                <w:b w:val="0"/>
                <w:bCs w:val="0"/>
                <w:color w:val="auto"/>
                <w:sz w:val="21"/>
                <w:szCs w:val="21"/>
                <w:highlight w:val="none"/>
                <w:lang w:val="en-US" w:eastAsia="zh-CN"/>
              </w:rPr>
              <w:t>3.线上培训（40学时，45分钟/学时）</w:t>
            </w:r>
          </w:p>
          <w:p w14:paraId="6BE43A3A">
            <w:pPr>
              <w:keepNext w:val="0"/>
              <w:keepLines w:val="0"/>
              <w:pageBreakBefore w:val="0"/>
              <w:kinsoku/>
              <w:wordWrap/>
              <w:overflowPunct/>
              <w:topLinePunct w:val="0"/>
              <w:autoSpaceDE/>
              <w:autoSpaceDN/>
              <w:bidi w:val="0"/>
              <w:spacing w:line="360" w:lineRule="auto"/>
              <w:jc w:val="both"/>
              <w:textAlignment w:val="auto"/>
              <w:rPr>
                <w:rFonts w:hint="eastAsia" w:ascii="宋体" w:hAnsi="宋体" w:cs="宋体"/>
                <w:b w:val="0"/>
                <w:bCs w:val="0"/>
                <w:color w:val="auto"/>
                <w:sz w:val="21"/>
                <w:szCs w:val="21"/>
                <w:highlight w:val="none"/>
                <w:lang w:val="en-US" w:eastAsia="zh-CN"/>
              </w:rPr>
            </w:pPr>
            <w:r>
              <w:rPr>
                <w:rFonts w:hint="eastAsia" w:ascii="宋体" w:hAnsi="宋体" w:cs="宋体"/>
                <w:b w:val="0"/>
                <w:bCs w:val="0"/>
                <w:color w:val="auto"/>
                <w:sz w:val="21"/>
                <w:szCs w:val="21"/>
                <w:highlight w:val="none"/>
                <w:lang w:val="en-US" w:eastAsia="zh-CN"/>
              </w:rPr>
              <w:t>（1）组织20名骨干教师线上学习基于工作过程系统化的课程开发与教材开发、活页式、工作手册式教材建设、数字教材建设、优质教材建设等相关内容，线上学习时长不少于1800分钟（40学时，45分钟/学时）；</w:t>
            </w:r>
          </w:p>
          <w:p w14:paraId="7C0ECAB0">
            <w:pPr>
              <w:keepNext w:val="0"/>
              <w:keepLines w:val="0"/>
              <w:pageBreakBefore w:val="0"/>
              <w:kinsoku/>
              <w:wordWrap/>
              <w:overflowPunct/>
              <w:topLinePunct w:val="0"/>
              <w:autoSpaceDE/>
              <w:autoSpaceDN/>
              <w:bidi w:val="0"/>
              <w:spacing w:line="360" w:lineRule="auto"/>
              <w:jc w:val="both"/>
              <w:textAlignment w:val="auto"/>
              <w:rPr>
                <w:rFonts w:hint="eastAsia" w:ascii="宋体" w:hAnsi="宋体" w:cs="宋体"/>
                <w:b w:val="0"/>
                <w:bCs w:val="0"/>
                <w:color w:val="auto"/>
                <w:sz w:val="21"/>
                <w:szCs w:val="21"/>
                <w:highlight w:val="none"/>
                <w:lang w:val="en-US" w:eastAsia="zh-CN"/>
              </w:rPr>
            </w:pPr>
            <w:r>
              <w:rPr>
                <w:rFonts w:hint="eastAsia" w:ascii="宋体" w:hAnsi="宋体" w:cs="宋体"/>
                <w:b w:val="0"/>
                <w:bCs w:val="0"/>
                <w:color w:val="auto"/>
                <w:sz w:val="21"/>
                <w:szCs w:val="21"/>
                <w:highlight w:val="none"/>
                <w:lang w:val="en-US" w:eastAsia="zh-CN"/>
              </w:rPr>
              <w:t>（2）培训考核合格后提供继续教育承认的培训学时及培训证书。</w:t>
            </w:r>
          </w:p>
          <w:p w14:paraId="16608FF6">
            <w:pPr>
              <w:keepNext w:val="0"/>
              <w:keepLines w:val="0"/>
              <w:pageBreakBefore w:val="0"/>
              <w:kinsoku/>
              <w:wordWrap/>
              <w:overflowPunct/>
              <w:topLinePunct w:val="0"/>
              <w:autoSpaceDE/>
              <w:autoSpaceDN/>
              <w:bidi w:val="0"/>
              <w:spacing w:line="360" w:lineRule="auto"/>
              <w:jc w:val="both"/>
              <w:textAlignment w:val="auto"/>
              <w:rPr>
                <w:rFonts w:hint="eastAsia" w:ascii="宋体" w:hAnsi="宋体" w:cs="宋体"/>
                <w:b/>
                <w:bCs/>
                <w:color w:val="auto"/>
                <w:sz w:val="21"/>
                <w:szCs w:val="21"/>
                <w:highlight w:val="none"/>
                <w:lang w:eastAsia="zh-CN"/>
              </w:rPr>
            </w:pPr>
            <w:r>
              <w:rPr>
                <w:rFonts w:hint="eastAsia" w:ascii="宋体" w:hAnsi="宋体" w:cs="宋体"/>
                <w:b/>
                <w:bCs/>
                <w:color w:val="auto"/>
                <w:sz w:val="21"/>
                <w:szCs w:val="21"/>
                <w:highlight w:val="none"/>
                <w:lang w:eastAsia="zh-CN"/>
              </w:rPr>
              <w:t>二、服务要求</w:t>
            </w:r>
          </w:p>
          <w:p w14:paraId="6F2EDC41">
            <w:pPr>
              <w:keepNext w:val="0"/>
              <w:keepLines w:val="0"/>
              <w:pageBreakBefore w:val="0"/>
              <w:kinsoku/>
              <w:wordWrap/>
              <w:overflowPunct/>
              <w:topLinePunct w:val="0"/>
              <w:autoSpaceDE/>
              <w:autoSpaceDN/>
              <w:bidi w:val="0"/>
              <w:spacing w:line="360" w:lineRule="auto"/>
              <w:jc w:val="both"/>
              <w:textAlignment w:val="auto"/>
              <w:rPr>
                <w:rFonts w:hint="eastAsia" w:ascii="宋体" w:hAnsi="宋体" w:cs="宋体"/>
                <w:b/>
                <w:bCs/>
                <w:color w:val="auto"/>
                <w:sz w:val="21"/>
                <w:szCs w:val="21"/>
                <w:highlight w:val="none"/>
                <w:lang w:eastAsia="zh-CN"/>
              </w:rPr>
            </w:pPr>
            <w:r>
              <w:rPr>
                <w:rFonts w:hint="eastAsia" w:ascii="宋体" w:hAnsi="宋体" w:cs="宋体"/>
                <w:b/>
                <w:bCs/>
                <w:color w:val="auto"/>
                <w:sz w:val="21"/>
                <w:szCs w:val="21"/>
                <w:highlight w:val="none"/>
                <w:lang w:eastAsia="zh-CN"/>
              </w:rPr>
              <w:t>(一)内容设计要求</w:t>
            </w:r>
          </w:p>
          <w:p w14:paraId="7F4D1E72">
            <w:pPr>
              <w:keepNext w:val="0"/>
              <w:keepLines w:val="0"/>
              <w:pageBreakBefore w:val="0"/>
              <w:kinsoku/>
              <w:wordWrap/>
              <w:overflowPunct/>
              <w:topLinePunct w:val="0"/>
              <w:autoSpaceDE/>
              <w:autoSpaceDN/>
              <w:bidi w:val="0"/>
              <w:spacing w:line="360" w:lineRule="auto"/>
              <w:jc w:val="both"/>
              <w:textAlignment w:val="auto"/>
              <w:rPr>
                <w:rFonts w:hint="eastAsia" w:ascii="宋体" w:hAnsi="宋体" w:cs="宋体"/>
                <w:color w:val="auto"/>
                <w:sz w:val="21"/>
                <w:szCs w:val="21"/>
                <w:highlight w:val="none"/>
                <w:lang w:eastAsia="zh-CN"/>
              </w:rPr>
            </w:pPr>
            <w:r>
              <w:rPr>
                <w:rFonts w:hint="eastAsia" w:ascii="宋体" w:hAnsi="宋体" w:cs="宋体"/>
                <w:color w:val="auto"/>
                <w:sz w:val="21"/>
                <w:szCs w:val="21"/>
                <w:highlight w:val="none"/>
                <w:lang w:eastAsia="zh-CN"/>
              </w:rPr>
              <w:t>1.中标人制定教材编写计划(著者名单及分工、校企开发分工等信息)，采用校企双元开发。</w:t>
            </w:r>
          </w:p>
          <w:p w14:paraId="61EC4B3D">
            <w:pPr>
              <w:keepNext w:val="0"/>
              <w:keepLines w:val="0"/>
              <w:pageBreakBefore w:val="0"/>
              <w:kinsoku/>
              <w:wordWrap/>
              <w:overflowPunct/>
              <w:topLinePunct w:val="0"/>
              <w:autoSpaceDE/>
              <w:autoSpaceDN/>
              <w:bidi w:val="0"/>
              <w:spacing w:line="360" w:lineRule="auto"/>
              <w:jc w:val="both"/>
              <w:textAlignment w:val="auto"/>
              <w:rPr>
                <w:rFonts w:hint="eastAsia" w:ascii="宋体" w:hAnsi="宋体" w:cs="宋体"/>
                <w:color w:val="auto"/>
                <w:sz w:val="21"/>
                <w:szCs w:val="21"/>
                <w:highlight w:val="none"/>
                <w:lang w:eastAsia="zh-CN"/>
              </w:rPr>
            </w:pPr>
            <w:r>
              <w:rPr>
                <w:rFonts w:hint="eastAsia" w:ascii="宋体" w:hAnsi="宋体" w:cs="宋体"/>
                <w:color w:val="auto"/>
                <w:sz w:val="21"/>
                <w:szCs w:val="21"/>
                <w:highlight w:val="none"/>
                <w:lang w:eastAsia="zh-CN"/>
              </w:rPr>
              <w:t>2.中标人应针对本次项目组建专门的</w:t>
            </w:r>
            <w:r>
              <w:rPr>
                <w:rFonts w:hint="eastAsia" w:ascii="宋体" w:hAnsi="宋体" w:cs="宋体"/>
                <w:color w:val="auto"/>
                <w:sz w:val="21"/>
                <w:szCs w:val="21"/>
                <w:highlight w:val="none"/>
                <w:lang w:val="en-US" w:eastAsia="zh-CN"/>
              </w:rPr>
              <w:t>教材</w:t>
            </w:r>
            <w:r>
              <w:rPr>
                <w:rFonts w:hint="eastAsia" w:ascii="宋体" w:hAnsi="宋体" w:cs="宋体"/>
                <w:color w:val="auto"/>
                <w:sz w:val="21"/>
                <w:szCs w:val="21"/>
                <w:highlight w:val="none"/>
                <w:lang w:eastAsia="zh-CN"/>
              </w:rPr>
              <w:t>开发专家指导小组，应包括从事出版行业的编审专家及规划教材主编两名。</w:t>
            </w:r>
          </w:p>
          <w:p w14:paraId="7EA853DC">
            <w:pPr>
              <w:keepNext w:val="0"/>
              <w:keepLines w:val="0"/>
              <w:pageBreakBefore w:val="0"/>
              <w:kinsoku/>
              <w:wordWrap/>
              <w:overflowPunct/>
              <w:topLinePunct w:val="0"/>
              <w:autoSpaceDE/>
              <w:autoSpaceDN/>
              <w:bidi w:val="0"/>
              <w:spacing w:line="360" w:lineRule="auto"/>
              <w:jc w:val="both"/>
              <w:textAlignment w:val="auto"/>
              <w:rPr>
                <w:rFonts w:hint="eastAsia" w:ascii="宋体" w:hAnsi="宋体" w:cs="宋体"/>
                <w:color w:val="auto"/>
                <w:sz w:val="21"/>
                <w:szCs w:val="21"/>
                <w:highlight w:val="none"/>
                <w:lang w:eastAsia="zh-CN"/>
              </w:rPr>
            </w:pPr>
            <w:r>
              <w:rPr>
                <w:rFonts w:hint="eastAsia" w:ascii="宋体" w:hAnsi="宋体" w:cs="宋体"/>
                <w:color w:val="auto"/>
                <w:sz w:val="21"/>
                <w:szCs w:val="21"/>
                <w:highlight w:val="none"/>
                <w:lang w:eastAsia="zh-CN"/>
              </w:rPr>
              <w:t>3.中标人提供教材编撰全程指导，包含选题筛选策划、结构形式设计、内容设计等。</w:t>
            </w:r>
          </w:p>
          <w:p w14:paraId="06174B15">
            <w:pPr>
              <w:keepNext w:val="0"/>
              <w:keepLines w:val="0"/>
              <w:pageBreakBefore w:val="0"/>
              <w:kinsoku/>
              <w:wordWrap/>
              <w:overflowPunct/>
              <w:topLinePunct w:val="0"/>
              <w:autoSpaceDE/>
              <w:autoSpaceDN/>
              <w:bidi w:val="0"/>
              <w:spacing w:line="360" w:lineRule="auto"/>
              <w:jc w:val="both"/>
              <w:textAlignment w:val="auto"/>
              <w:rPr>
                <w:rFonts w:hint="eastAsia" w:ascii="宋体" w:hAnsi="宋体" w:cs="宋体"/>
                <w:color w:val="auto"/>
                <w:sz w:val="21"/>
                <w:szCs w:val="21"/>
                <w:highlight w:val="none"/>
                <w:lang w:eastAsia="zh-CN"/>
              </w:rPr>
            </w:pPr>
            <w:r>
              <w:rPr>
                <w:rFonts w:hint="eastAsia" w:ascii="宋体" w:hAnsi="宋体" w:cs="宋体"/>
                <w:color w:val="auto"/>
                <w:sz w:val="21"/>
                <w:szCs w:val="21"/>
                <w:highlight w:val="none"/>
                <w:lang w:eastAsia="zh-CN"/>
              </w:rPr>
              <w:t>4.在开发过程中，编辑与专家利用线上形式配合教师完成大纲拟定、内容编写等工作，指导次数为3次。</w:t>
            </w:r>
          </w:p>
          <w:p w14:paraId="70C4E110">
            <w:pPr>
              <w:keepNext w:val="0"/>
              <w:keepLines w:val="0"/>
              <w:pageBreakBefore w:val="0"/>
              <w:kinsoku/>
              <w:wordWrap/>
              <w:overflowPunct/>
              <w:topLinePunct w:val="0"/>
              <w:autoSpaceDE/>
              <w:autoSpaceDN/>
              <w:bidi w:val="0"/>
              <w:spacing w:line="360" w:lineRule="auto"/>
              <w:jc w:val="both"/>
              <w:textAlignment w:val="auto"/>
              <w:rPr>
                <w:rFonts w:hint="eastAsia" w:ascii="宋体" w:hAnsi="宋体" w:cs="宋体"/>
                <w:color w:val="auto"/>
                <w:sz w:val="21"/>
                <w:szCs w:val="21"/>
                <w:highlight w:val="none"/>
                <w:lang w:eastAsia="zh-CN"/>
              </w:rPr>
            </w:pPr>
            <w:r>
              <w:rPr>
                <w:rFonts w:hint="eastAsia" w:ascii="宋体" w:hAnsi="宋体" w:cs="宋体"/>
                <w:color w:val="auto"/>
                <w:sz w:val="21"/>
                <w:szCs w:val="21"/>
                <w:highlight w:val="none"/>
                <w:lang w:eastAsia="zh-CN"/>
              </w:rPr>
              <w:t>5.确定教材内容框架，编辑与专家线上形式指导教师完成专著初稿和修订稿，使之达到“十五五”规划教材标准，初稿指导次数为3次，修订稿指导次数为6次。</w:t>
            </w:r>
          </w:p>
          <w:p w14:paraId="19A384F1">
            <w:pPr>
              <w:keepNext w:val="0"/>
              <w:keepLines w:val="0"/>
              <w:pageBreakBefore w:val="0"/>
              <w:kinsoku/>
              <w:wordWrap/>
              <w:overflowPunct/>
              <w:topLinePunct w:val="0"/>
              <w:autoSpaceDE/>
              <w:autoSpaceDN/>
              <w:bidi w:val="0"/>
              <w:spacing w:line="360" w:lineRule="auto"/>
              <w:jc w:val="both"/>
              <w:textAlignment w:val="auto"/>
              <w:rPr>
                <w:rFonts w:hint="eastAsia" w:ascii="宋体" w:hAnsi="宋体" w:cs="宋体"/>
                <w:color w:val="auto"/>
                <w:sz w:val="21"/>
                <w:szCs w:val="21"/>
                <w:highlight w:val="none"/>
                <w:lang w:eastAsia="zh-CN"/>
              </w:rPr>
            </w:pPr>
            <w:r>
              <w:rPr>
                <w:rFonts w:hint="eastAsia" w:ascii="宋体" w:hAnsi="宋体" w:cs="宋体"/>
                <w:color w:val="auto"/>
                <w:sz w:val="21"/>
                <w:szCs w:val="21"/>
                <w:highlight w:val="none"/>
                <w:lang w:eastAsia="zh-CN"/>
              </w:rPr>
              <w:t>6.专业编辑提供策划、设计、编写方面的辅助支持。</w:t>
            </w:r>
          </w:p>
          <w:p w14:paraId="31C5C6CB">
            <w:pPr>
              <w:keepNext w:val="0"/>
              <w:keepLines w:val="0"/>
              <w:pageBreakBefore w:val="0"/>
              <w:kinsoku/>
              <w:wordWrap/>
              <w:overflowPunct/>
              <w:topLinePunct w:val="0"/>
              <w:autoSpaceDE/>
              <w:autoSpaceDN/>
              <w:bidi w:val="0"/>
              <w:spacing w:line="360" w:lineRule="auto"/>
              <w:jc w:val="both"/>
              <w:textAlignment w:val="auto"/>
              <w:rPr>
                <w:rFonts w:hint="eastAsia" w:ascii="宋体" w:hAnsi="宋体" w:cs="宋体"/>
                <w:color w:val="auto"/>
                <w:sz w:val="21"/>
                <w:szCs w:val="21"/>
                <w:highlight w:val="none"/>
                <w:lang w:eastAsia="zh-CN"/>
              </w:rPr>
            </w:pPr>
            <w:r>
              <w:rPr>
                <w:rFonts w:hint="eastAsia" w:ascii="宋体" w:hAnsi="宋体" w:cs="宋体"/>
                <w:color w:val="auto"/>
                <w:sz w:val="21"/>
                <w:szCs w:val="21"/>
                <w:highlight w:val="none"/>
                <w:lang w:eastAsia="zh-CN"/>
              </w:rPr>
              <w:t>7.教材出版必须是正规出版社，需提供国家统一书号(国家版本数据中心可查)。</w:t>
            </w:r>
          </w:p>
          <w:p w14:paraId="1CA734D5">
            <w:pPr>
              <w:keepNext w:val="0"/>
              <w:keepLines w:val="0"/>
              <w:pageBreakBefore w:val="0"/>
              <w:kinsoku/>
              <w:wordWrap/>
              <w:overflowPunct/>
              <w:topLinePunct w:val="0"/>
              <w:autoSpaceDE/>
              <w:autoSpaceDN/>
              <w:bidi w:val="0"/>
              <w:spacing w:line="360" w:lineRule="auto"/>
              <w:jc w:val="both"/>
              <w:textAlignment w:val="auto"/>
              <w:rPr>
                <w:rFonts w:hint="eastAsia" w:ascii="宋体" w:hAnsi="宋体" w:cs="宋体"/>
                <w:color w:val="auto"/>
                <w:sz w:val="21"/>
                <w:szCs w:val="21"/>
                <w:highlight w:val="none"/>
                <w:lang w:eastAsia="zh-CN"/>
              </w:rPr>
            </w:pPr>
            <w:r>
              <w:rPr>
                <w:rFonts w:hint="eastAsia" w:ascii="宋体" w:hAnsi="宋体" w:cs="宋体"/>
                <w:color w:val="auto"/>
                <w:sz w:val="21"/>
                <w:szCs w:val="21"/>
                <w:highlight w:val="none"/>
                <w:lang w:eastAsia="zh-CN"/>
              </w:rPr>
              <w:t>8.教材出版的最终书名以出版的名称为准。</w:t>
            </w:r>
          </w:p>
          <w:p w14:paraId="5995874F">
            <w:pPr>
              <w:keepNext w:val="0"/>
              <w:keepLines w:val="0"/>
              <w:pageBreakBefore w:val="0"/>
              <w:kinsoku/>
              <w:wordWrap/>
              <w:overflowPunct/>
              <w:topLinePunct w:val="0"/>
              <w:autoSpaceDE/>
              <w:autoSpaceDN/>
              <w:bidi w:val="0"/>
              <w:spacing w:line="360" w:lineRule="auto"/>
              <w:jc w:val="both"/>
              <w:textAlignment w:val="auto"/>
              <w:rPr>
                <w:rFonts w:hint="eastAsia" w:ascii="宋体" w:hAnsi="宋体" w:cs="宋体"/>
                <w:color w:val="auto"/>
                <w:sz w:val="21"/>
                <w:szCs w:val="21"/>
                <w:highlight w:val="none"/>
                <w:lang w:eastAsia="zh-CN"/>
              </w:rPr>
            </w:pPr>
            <w:r>
              <w:rPr>
                <w:rFonts w:hint="eastAsia" w:ascii="宋体" w:hAnsi="宋体" w:cs="宋体"/>
                <w:color w:val="auto"/>
                <w:sz w:val="21"/>
                <w:szCs w:val="21"/>
                <w:highlight w:val="none"/>
                <w:lang w:eastAsia="zh-CN"/>
              </w:rPr>
              <w:t>9.聘请专家指导撰写申报规划教材申报书。</w:t>
            </w:r>
          </w:p>
          <w:p w14:paraId="2E376FB8">
            <w:pPr>
              <w:keepNext w:val="0"/>
              <w:keepLines w:val="0"/>
              <w:pageBreakBefore w:val="0"/>
              <w:kinsoku/>
              <w:wordWrap/>
              <w:overflowPunct/>
              <w:topLinePunct w:val="0"/>
              <w:autoSpaceDE/>
              <w:autoSpaceDN/>
              <w:bidi w:val="0"/>
              <w:spacing w:line="360" w:lineRule="auto"/>
              <w:jc w:val="both"/>
              <w:textAlignment w:val="auto"/>
              <w:rPr>
                <w:rFonts w:hint="eastAsia" w:ascii="宋体" w:hAnsi="宋体" w:cs="宋体"/>
                <w:color w:val="auto"/>
                <w:sz w:val="21"/>
                <w:szCs w:val="21"/>
                <w:highlight w:val="none"/>
                <w:lang w:eastAsia="zh-CN"/>
              </w:rPr>
            </w:pPr>
            <w:r>
              <w:rPr>
                <w:rFonts w:hint="eastAsia" w:ascii="宋体" w:hAnsi="宋体" w:cs="宋体"/>
                <w:color w:val="auto"/>
                <w:sz w:val="21"/>
                <w:szCs w:val="21"/>
                <w:highlight w:val="none"/>
                <w:lang w:eastAsia="zh-CN"/>
              </w:rPr>
              <w:t>10.教材出版前召开教材审定会议1次，不少于3位副高级以上专家。</w:t>
            </w:r>
          </w:p>
          <w:p w14:paraId="0F13AF7B">
            <w:pPr>
              <w:keepNext w:val="0"/>
              <w:keepLines w:val="0"/>
              <w:pageBreakBefore w:val="0"/>
              <w:kinsoku/>
              <w:wordWrap/>
              <w:overflowPunct/>
              <w:topLinePunct w:val="0"/>
              <w:autoSpaceDE/>
              <w:autoSpaceDN/>
              <w:bidi w:val="0"/>
              <w:spacing w:line="360" w:lineRule="auto"/>
              <w:jc w:val="both"/>
              <w:textAlignment w:val="auto"/>
              <w:rPr>
                <w:rFonts w:hint="default" w:ascii="宋体" w:hAnsi="宋体" w:cs="宋体"/>
                <w:color w:val="auto"/>
                <w:sz w:val="21"/>
                <w:szCs w:val="21"/>
                <w:highlight w:val="none"/>
                <w:lang w:val="en-US" w:eastAsia="zh-CN"/>
              </w:rPr>
            </w:pPr>
            <w:r>
              <w:rPr>
                <w:rFonts w:hint="eastAsia" w:ascii="宋体" w:hAnsi="宋体" w:cs="宋体"/>
                <w:color w:val="auto"/>
                <w:sz w:val="21"/>
                <w:szCs w:val="21"/>
                <w:highlight w:val="none"/>
                <w:lang w:eastAsia="zh-CN"/>
              </w:rPr>
              <w:t>11.指导申报“十五五”规划教材，指导申报书撰写不少于3次</w:t>
            </w:r>
            <w:r>
              <w:rPr>
                <w:rFonts w:hint="eastAsia" w:ascii="宋体" w:hAnsi="宋体" w:cs="宋体"/>
                <w:color w:val="auto"/>
                <w:sz w:val="21"/>
                <w:szCs w:val="21"/>
                <w:highlight w:val="none"/>
                <w:lang w:val="en-US" w:eastAsia="zh-CN"/>
              </w:rPr>
              <w:t>。</w:t>
            </w:r>
          </w:p>
          <w:p w14:paraId="48A84406">
            <w:pPr>
              <w:keepNext w:val="0"/>
              <w:keepLines w:val="0"/>
              <w:pageBreakBefore w:val="0"/>
              <w:kinsoku/>
              <w:wordWrap/>
              <w:overflowPunct/>
              <w:topLinePunct w:val="0"/>
              <w:autoSpaceDE/>
              <w:autoSpaceDN/>
              <w:bidi w:val="0"/>
              <w:spacing w:line="360" w:lineRule="auto"/>
              <w:jc w:val="both"/>
              <w:textAlignment w:val="auto"/>
              <w:rPr>
                <w:rFonts w:hint="eastAsia" w:ascii="宋体" w:hAnsi="宋体" w:cs="宋体"/>
                <w:b/>
                <w:bCs/>
                <w:color w:val="auto"/>
                <w:sz w:val="21"/>
                <w:szCs w:val="21"/>
                <w:highlight w:val="none"/>
                <w:lang w:eastAsia="zh-CN"/>
              </w:rPr>
            </w:pPr>
            <w:r>
              <w:rPr>
                <w:rFonts w:hint="eastAsia" w:ascii="宋体" w:hAnsi="宋体" w:cs="宋体"/>
                <w:b/>
                <w:bCs/>
                <w:color w:val="auto"/>
                <w:sz w:val="21"/>
                <w:szCs w:val="21"/>
                <w:highlight w:val="none"/>
                <w:lang w:eastAsia="zh-CN"/>
              </w:rPr>
              <w:t>(二)数字教材服务参数</w:t>
            </w:r>
          </w:p>
          <w:p w14:paraId="7815DF5A">
            <w:pPr>
              <w:keepNext w:val="0"/>
              <w:keepLines w:val="0"/>
              <w:pageBreakBefore w:val="0"/>
              <w:kinsoku/>
              <w:wordWrap/>
              <w:overflowPunct/>
              <w:topLinePunct w:val="0"/>
              <w:autoSpaceDE/>
              <w:autoSpaceDN/>
              <w:bidi w:val="0"/>
              <w:spacing w:line="360" w:lineRule="auto"/>
              <w:jc w:val="both"/>
              <w:textAlignment w:val="auto"/>
              <w:rPr>
                <w:rFonts w:hint="eastAsia" w:ascii="宋体" w:hAnsi="宋体" w:cs="宋体"/>
                <w:color w:val="auto"/>
                <w:sz w:val="21"/>
                <w:szCs w:val="21"/>
                <w:highlight w:val="none"/>
                <w:lang w:eastAsia="zh-CN"/>
              </w:rPr>
            </w:pPr>
            <w:r>
              <w:rPr>
                <w:rFonts w:hint="eastAsia" w:ascii="宋体" w:hAnsi="宋体" w:cs="宋体"/>
                <w:color w:val="auto"/>
                <w:sz w:val="21"/>
                <w:szCs w:val="21"/>
                <w:highlight w:val="none"/>
                <w:lang w:eastAsia="zh-CN"/>
              </w:rPr>
              <w:t>(1)B/S架构、跨平台、跨终端</w:t>
            </w:r>
          </w:p>
          <w:p w14:paraId="7C19A3AF">
            <w:pPr>
              <w:keepNext w:val="0"/>
              <w:keepLines w:val="0"/>
              <w:pageBreakBefore w:val="0"/>
              <w:kinsoku/>
              <w:wordWrap/>
              <w:overflowPunct/>
              <w:topLinePunct w:val="0"/>
              <w:autoSpaceDE/>
              <w:autoSpaceDN/>
              <w:bidi w:val="0"/>
              <w:spacing w:line="360" w:lineRule="auto"/>
              <w:jc w:val="both"/>
              <w:textAlignment w:val="auto"/>
              <w:rPr>
                <w:rFonts w:hint="eastAsia" w:ascii="宋体" w:hAnsi="宋体" w:cs="宋体"/>
                <w:color w:val="auto"/>
                <w:sz w:val="21"/>
                <w:szCs w:val="21"/>
                <w:highlight w:val="none"/>
                <w:lang w:eastAsia="zh-CN"/>
              </w:rPr>
            </w:pPr>
            <w:r>
              <w:rPr>
                <w:rFonts w:hint="eastAsia" w:ascii="宋体" w:hAnsi="宋体" w:cs="宋体"/>
                <w:color w:val="auto"/>
                <w:sz w:val="21"/>
                <w:szCs w:val="21"/>
                <w:highlight w:val="none"/>
                <w:lang w:eastAsia="zh-CN"/>
              </w:rPr>
              <w:t>系统基于B/S架构，用户无需下载客户端软件，便可通过浏览器访问系统云平台，用户可通过手机、平板、电脑使用云平台的阅读器阅读使用数字教材，阅读器支持手机、平板、电脑三端自适应，使用期间，也无需下载其他资源文件，便可进行阅读使用，便于读者节省本地存储空间。</w:t>
            </w:r>
          </w:p>
          <w:p w14:paraId="298644D9">
            <w:pPr>
              <w:keepNext w:val="0"/>
              <w:keepLines w:val="0"/>
              <w:pageBreakBefore w:val="0"/>
              <w:kinsoku/>
              <w:wordWrap/>
              <w:overflowPunct/>
              <w:topLinePunct w:val="0"/>
              <w:autoSpaceDE/>
              <w:autoSpaceDN/>
              <w:bidi w:val="0"/>
              <w:spacing w:line="360" w:lineRule="auto"/>
              <w:jc w:val="both"/>
              <w:textAlignment w:val="auto"/>
              <w:rPr>
                <w:rFonts w:hint="eastAsia" w:ascii="宋体" w:hAnsi="宋体" w:cs="宋体"/>
                <w:color w:val="auto"/>
                <w:sz w:val="21"/>
                <w:szCs w:val="21"/>
                <w:highlight w:val="none"/>
                <w:lang w:eastAsia="zh-CN"/>
              </w:rPr>
            </w:pPr>
            <w:r>
              <w:rPr>
                <w:rFonts w:hint="eastAsia" w:ascii="宋体" w:hAnsi="宋体" w:cs="宋体"/>
                <w:color w:val="auto"/>
                <w:sz w:val="21"/>
                <w:szCs w:val="21"/>
                <w:highlight w:val="none"/>
                <w:lang w:eastAsia="zh-CN"/>
              </w:rPr>
              <w:t>(2)编辑器基本功能</w:t>
            </w:r>
          </w:p>
          <w:p w14:paraId="2B67A96C">
            <w:pPr>
              <w:keepNext w:val="0"/>
              <w:keepLines w:val="0"/>
              <w:pageBreakBefore w:val="0"/>
              <w:kinsoku/>
              <w:wordWrap/>
              <w:overflowPunct/>
              <w:topLinePunct w:val="0"/>
              <w:autoSpaceDE/>
              <w:autoSpaceDN/>
              <w:bidi w:val="0"/>
              <w:spacing w:line="360" w:lineRule="auto"/>
              <w:jc w:val="both"/>
              <w:textAlignment w:val="auto"/>
              <w:rPr>
                <w:rFonts w:hint="eastAsia" w:ascii="宋体" w:hAnsi="宋体" w:cs="宋体"/>
                <w:color w:val="auto"/>
                <w:sz w:val="21"/>
                <w:szCs w:val="21"/>
                <w:highlight w:val="none"/>
                <w:lang w:eastAsia="zh-CN"/>
              </w:rPr>
            </w:pPr>
            <w:r>
              <w:rPr>
                <w:rFonts w:hint="eastAsia" w:ascii="宋体" w:hAnsi="宋体" w:cs="宋体"/>
                <w:color w:val="auto"/>
                <w:sz w:val="21"/>
                <w:szCs w:val="21"/>
                <w:highlight w:val="none"/>
                <w:lang w:eastAsia="zh-CN"/>
              </w:rPr>
              <w:t>编辑器支持标题与正文的快捷切换，标题支持H1-H5共五级标题，支持引用、加粗、下划线、斜体、删除线、行内代码、上标、下标、文字颜色、背景色、字号、字体、行高、有序列表、无序列表、对齐方式、快捷缩进、格式刷、全文替换、插入图片、表格、代码块、分割线、链接、音视频等富文本编辑器常用的基本功能。</w:t>
            </w:r>
          </w:p>
          <w:p w14:paraId="3ADFBF0F">
            <w:pPr>
              <w:keepNext w:val="0"/>
              <w:keepLines w:val="0"/>
              <w:pageBreakBefore w:val="0"/>
              <w:kinsoku/>
              <w:wordWrap/>
              <w:overflowPunct/>
              <w:topLinePunct w:val="0"/>
              <w:autoSpaceDE/>
              <w:autoSpaceDN/>
              <w:bidi w:val="0"/>
              <w:spacing w:line="360" w:lineRule="auto"/>
              <w:jc w:val="both"/>
              <w:textAlignment w:val="auto"/>
              <w:rPr>
                <w:rFonts w:hint="eastAsia" w:ascii="宋体" w:hAnsi="宋体" w:cs="宋体"/>
                <w:color w:val="auto"/>
                <w:sz w:val="21"/>
                <w:szCs w:val="21"/>
                <w:highlight w:val="none"/>
                <w:lang w:eastAsia="zh-CN"/>
              </w:rPr>
            </w:pPr>
            <w:r>
              <w:rPr>
                <w:rFonts w:hint="eastAsia" w:ascii="宋体" w:hAnsi="宋体" w:cs="宋体"/>
                <w:color w:val="auto"/>
                <w:sz w:val="21"/>
                <w:szCs w:val="21"/>
                <w:highlight w:val="none"/>
                <w:lang w:eastAsia="zh-CN"/>
              </w:rPr>
              <w:t>(3)数字教材编辑器特色功能</w:t>
            </w:r>
          </w:p>
          <w:p w14:paraId="53ADA1AE">
            <w:pPr>
              <w:keepNext w:val="0"/>
              <w:keepLines w:val="0"/>
              <w:pageBreakBefore w:val="0"/>
              <w:kinsoku/>
              <w:wordWrap/>
              <w:overflowPunct/>
              <w:topLinePunct w:val="0"/>
              <w:autoSpaceDE/>
              <w:autoSpaceDN/>
              <w:bidi w:val="0"/>
              <w:spacing w:line="360" w:lineRule="auto"/>
              <w:jc w:val="both"/>
              <w:textAlignment w:val="auto"/>
              <w:rPr>
                <w:rFonts w:hint="eastAsia" w:ascii="宋体" w:hAnsi="宋体" w:cs="宋体"/>
                <w:color w:val="auto"/>
                <w:sz w:val="21"/>
                <w:szCs w:val="21"/>
                <w:highlight w:val="none"/>
                <w:lang w:eastAsia="zh-CN"/>
              </w:rPr>
            </w:pPr>
            <w:r>
              <w:rPr>
                <w:rFonts w:hint="eastAsia" w:ascii="宋体" w:hAnsi="宋体" w:cs="宋体"/>
                <w:color w:val="auto"/>
                <w:sz w:val="21"/>
                <w:szCs w:val="21"/>
                <w:highlight w:val="none"/>
                <w:lang w:eastAsia="zh-CN"/>
              </w:rPr>
              <w:t>为满足数字教材版式多样化、快捷排版的需求，编辑器提供一键版式切换的功能，且提供不少于20个可供一键切换的版式。同时提供自定义模块、背景色块、章头、节头、图文绕排、扩展阅读等功能，可供编写者更灵活地对教材内容进行排版设计。编辑器支持插入交互练习、气泡、画廊、3D模型等功能便于数字教材的交互式学习。在公式编辑上，系统提供快捷工具及公式模板，让编辑者更快捷的插入数学、物理、化学公式。</w:t>
            </w:r>
          </w:p>
          <w:p w14:paraId="0353DBC3">
            <w:pPr>
              <w:keepNext w:val="0"/>
              <w:keepLines w:val="0"/>
              <w:pageBreakBefore w:val="0"/>
              <w:kinsoku/>
              <w:wordWrap/>
              <w:overflowPunct/>
              <w:topLinePunct w:val="0"/>
              <w:autoSpaceDE/>
              <w:autoSpaceDN/>
              <w:bidi w:val="0"/>
              <w:spacing w:line="360" w:lineRule="auto"/>
              <w:jc w:val="both"/>
              <w:textAlignment w:val="auto"/>
              <w:rPr>
                <w:rFonts w:hint="eastAsia" w:ascii="宋体" w:hAnsi="宋体" w:cs="宋体"/>
                <w:color w:val="auto"/>
                <w:sz w:val="21"/>
                <w:szCs w:val="21"/>
                <w:highlight w:val="none"/>
                <w:lang w:eastAsia="zh-CN"/>
              </w:rPr>
            </w:pPr>
            <w:r>
              <w:rPr>
                <w:rFonts w:hint="eastAsia" w:ascii="宋体" w:hAnsi="宋体" w:cs="宋体"/>
                <w:color w:val="auto"/>
                <w:sz w:val="21"/>
                <w:szCs w:val="21"/>
                <w:highlight w:val="none"/>
                <w:lang w:eastAsia="zh-CN"/>
              </w:rPr>
              <w:t>(4)编辑器内容保护功能，防止内容丢失</w:t>
            </w:r>
          </w:p>
          <w:p w14:paraId="5E3E2C20">
            <w:pPr>
              <w:keepNext w:val="0"/>
              <w:keepLines w:val="0"/>
              <w:pageBreakBefore w:val="0"/>
              <w:kinsoku/>
              <w:wordWrap/>
              <w:overflowPunct/>
              <w:topLinePunct w:val="0"/>
              <w:autoSpaceDE/>
              <w:autoSpaceDN/>
              <w:bidi w:val="0"/>
              <w:spacing w:line="360" w:lineRule="auto"/>
              <w:jc w:val="both"/>
              <w:textAlignment w:val="auto"/>
              <w:rPr>
                <w:rFonts w:hint="eastAsia" w:ascii="宋体" w:hAnsi="宋体" w:cs="宋体"/>
                <w:color w:val="auto"/>
                <w:sz w:val="21"/>
                <w:szCs w:val="21"/>
                <w:highlight w:val="none"/>
                <w:lang w:eastAsia="zh-CN"/>
              </w:rPr>
            </w:pPr>
            <w:r>
              <w:rPr>
                <w:rFonts w:hint="eastAsia" w:ascii="宋体" w:hAnsi="宋体" w:cs="宋体"/>
                <w:color w:val="auto"/>
                <w:sz w:val="21"/>
                <w:szCs w:val="21"/>
                <w:highlight w:val="none"/>
                <w:lang w:eastAsia="zh-CN"/>
              </w:rPr>
              <w:t>系统支持对正在编辑的教材进行历史保存记录备份，防止因为操作系统、网络、误操作等不可控因素导致内容丢失的问题。系统会对用户之前保存过的内容进行备份(备份内容不包含图片、音视频等文件内容),如果发生内容丢失问题，用户可查看历史保存记录进行内容回滚操作。至少备份前两次的保存记录。</w:t>
            </w:r>
          </w:p>
          <w:p w14:paraId="2324CA36">
            <w:pPr>
              <w:keepNext w:val="0"/>
              <w:keepLines w:val="0"/>
              <w:pageBreakBefore w:val="0"/>
              <w:kinsoku/>
              <w:wordWrap/>
              <w:overflowPunct/>
              <w:topLinePunct w:val="0"/>
              <w:autoSpaceDE/>
              <w:autoSpaceDN/>
              <w:bidi w:val="0"/>
              <w:spacing w:line="360" w:lineRule="auto"/>
              <w:jc w:val="both"/>
              <w:textAlignment w:val="auto"/>
              <w:rPr>
                <w:rFonts w:hint="eastAsia" w:ascii="宋体" w:hAnsi="宋体" w:cs="宋体"/>
                <w:color w:val="auto"/>
                <w:sz w:val="21"/>
                <w:szCs w:val="21"/>
                <w:highlight w:val="none"/>
                <w:lang w:eastAsia="zh-CN"/>
              </w:rPr>
            </w:pPr>
            <w:r>
              <w:rPr>
                <w:rFonts w:hint="eastAsia" w:ascii="宋体" w:hAnsi="宋体" w:cs="宋体"/>
                <w:color w:val="auto"/>
                <w:sz w:val="21"/>
                <w:szCs w:val="21"/>
                <w:highlight w:val="none"/>
                <w:lang w:eastAsia="zh-CN"/>
              </w:rPr>
              <w:t>(5)数字教材线上审核发布全流程管理系统提供针对数字教材从创建、编写、审核、发布的线上全流程管理功能，在数字教材编写上，系统支持多人同时对同本教材内容进行编辑；编辑完成后，可提交审核，后台可指定该教材的审核编辑，指定的审核编辑收到审核任务后可在线浏览该教材内容，并对教材内容进行在线审核，审核时可对原文内容进行审核批注；审核完成后，作者可在审核中心查看审核批注，每个批注点击后，均可直接跳转至原文对应位置(支持跨章节跳转)；审核通过后可进行发布操作，发布成功后可通过后台上架到书城。</w:t>
            </w:r>
          </w:p>
          <w:p w14:paraId="33F3325F">
            <w:pPr>
              <w:keepNext w:val="0"/>
              <w:keepLines w:val="0"/>
              <w:pageBreakBefore w:val="0"/>
              <w:kinsoku/>
              <w:wordWrap/>
              <w:overflowPunct/>
              <w:topLinePunct w:val="0"/>
              <w:autoSpaceDE/>
              <w:autoSpaceDN/>
              <w:bidi w:val="0"/>
              <w:spacing w:line="360" w:lineRule="auto"/>
              <w:jc w:val="both"/>
              <w:textAlignment w:val="auto"/>
              <w:rPr>
                <w:rFonts w:hint="eastAsia" w:ascii="宋体" w:hAnsi="宋体" w:cs="宋体"/>
                <w:color w:val="auto"/>
                <w:sz w:val="21"/>
                <w:szCs w:val="21"/>
                <w:highlight w:val="none"/>
                <w:lang w:eastAsia="zh-CN"/>
              </w:rPr>
            </w:pPr>
            <w:r>
              <w:rPr>
                <w:rFonts w:hint="eastAsia" w:ascii="宋体" w:hAnsi="宋体" w:cs="宋体"/>
                <w:color w:val="auto"/>
                <w:sz w:val="21"/>
                <w:szCs w:val="21"/>
                <w:highlight w:val="none"/>
                <w:lang w:eastAsia="zh-CN"/>
              </w:rPr>
              <w:t>(6)基本学习功能</w:t>
            </w:r>
          </w:p>
          <w:p w14:paraId="1CE1C426">
            <w:pPr>
              <w:keepNext w:val="0"/>
              <w:keepLines w:val="0"/>
              <w:pageBreakBefore w:val="0"/>
              <w:kinsoku/>
              <w:wordWrap/>
              <w:overflowPunct/>
              <w:topLinePunct w:val="0"/>
              <w:autoSpaceDE/>
              <w:autoSpaceDN/>
              <w:bidi w:val="0"/>
              <w:spacing w:line="360" w:lineRule="auto"/>
              <w:jc w:val="both"/>
              <w:textAlignment w:val="auto"/>
              <w:rPr>
                <w:rFonts w:hint="eastAsia" w:ascii="宋体" w:hAnsi="宋体" w:cs="宋体"/>
                <w:color w:val="auto"/>
                <w:sz w:val="21"/>
                <w:szCs w:val="21"/>
                <w:highlight w:val="none"/>
                <w:lang w:eastAsia="zh-CN"/>
              </w:rPr>
            </w:pPr>
            <w:r>
              <w:rPr>
                <w:rFonts w:hint="eastAsia" w:ascii="宋体" w:hAnsi="宋体" w:cs="宋体"/>
                <w:color w:val="auto"/>
                <w:sz w:val="21"/>
                <w:szCs w:val="21"/>
                <w:highlight w:val="none"/>
                <w:lang w:eastAsia="zh-CN"/>
              </w:rPr>
              <w:t>支持数字教材的混合媒体一体化编排设计的阅读和浏览，支持文字、图片、画廊、语音、视频、3D模型在一个场景里的沉浸式学习；支持流式版式的上下滑动，支持字号大小的设定，支持按照章节目录索引。</w:t>
            </w:r>
          </w:p>
          <w:p w14:paraId="0B7B3BA5">
            <w:pPr>
              <w:keepNext w:val="0"/>
              <w:keepLines w:val="0"/>
              <w:pageBreakBefore w:val="0"/>
              <w:kinsoku/>
              <w:wordWrap/>
              <w:overflowPunct/>
              <w:topLinePunct w:val="0"/>
              <w:autoSpaceDE/>
              <w:autoSpaceDN/>
              <w:bidi w:val="0"/>
              <w:spacing w:line="360" w:lineRule="auto"/>
              <w:jc w:val="both"/>
              <w:textAlignment w:val="auto"/>
              <w:rPr>
                <w:rFonts w:hint="eastAsia" w:ascii="宋体" w:hAnsi="宋体" w:cs="宋体"/>
                <w:color w:val="auto"/>
                <w:sz w:val="21"/>
                <w:szCs w:val="21"/>
                <w:highlight w:val="none"/>
                <w:lang w:eastAsia="zh-CN"/>
              </w:rPr>
            </w:pPr>
            <w:r>
              <w:rPr>
                <w:rFonts w:hint="eastAsia" w:ascii="宋体" w:hAnsi="宋体" w:cs="宋体"/>
                <w:color w:val="auto"/>
                <w:sz w:val="21"/>
                <w:szCs w:val="21"/>
                <w:highlight w:val="none"/>
                <w:lang w:eastAsia="zh-CN"/>
              </w:rPr>
              <w:t>(7)编辑器素材库功能</w:t>
            </w:r>
          </w:p>
          <w:p w14:paraId="5B0F637E">
            <w:pPr>
              <w:keepNext w:val="0"/>
              <w:keepLines w:val="0"/>
              <w:pageBreakBefore w:val="0"/>
              <w:kinsoku/>
              <w:wordWrap/>
              <w:overflowPunct/>
              <w:topLinePunct w:val="0"/>
              <w:autoSpaceDE/>
              <w:autoSpaceDN/>
              <w:bidi w:val="0"/>
              <w:spacing w:line="360" w:lineRule="auto"/>
              <w:jc w:val="both"/>
              <w:textAlignment w:val="auto"/>
              <w:rPr>
                <w:rFonts w:hint="eastAsia" w:ascii="宋体" w:hAnsi="宋体" w:cs="宋体"/>
                <w:color w:val="auto"/>
                <w:sz w:val="21"/>
                <w:szCs w:val="21"/>
                <w:highlight w:val="none"/>
                <w:lang w:eastAsia="zh-CN"/>
              </w:rPr>
            </w:pPr>
            <w:r>
              <w:rPr>
                <w:rFonts w:hint="eastAsia" w:ascii="宋体" w:hAnsi="宋体" w:cs="宋体"/>
                <w:color w:val="auto"/>
                <w:sz w:val="21"/>
                <w:szCs w:val="21"/>
                <w:highlight w:val="none"/>
                <w:lang w:eastAsia="zh-CN"/>
              </w:rPr>
              <w:t>系统提供素材库功能，数字教材编辑者可将编辑过程中所用到的图片、音频、视频、3D模型、附件等内容上传到素材库中，允许其他编辑者在做数字教材内容编辑时快捷导入素材库中的内容。</w:t>
            </w:r>
          </w:p>
          <w:p w14:paraId="7A30A63F">
            <w:pPr>
              <w:keepNext w:val="0"/>
              <w:keepLines w:val="0"/>
              <w:pageBreakBefore w:val="0"/>
              <w:kinsoku/>
              <w:wordWrap/>
              <w:overflowPunct/>
              <w:topLinePunct w:val="0"/>
              <w:autoSpaceDE/>
              <w:autoSpaceDN/>
              <w:bidi w:val="0"/>
              <w:spacing w:line="360" w:lineRule="auto"/>
              <w:jc w:val="both"/>
              <w:textAlignment w:val="auto"/>
              <w:rPr>
                <w:rFonts w:hint="eastAsia" w:ascii="宋体" w:hAnsi="宋体" w:cs="宋体"/>
                <w:color w:val="auto"/>
                <w:sz w:val="21"/>
                <w:szCs w:val="21"/>
                <w:highlight w:val="none"/>
                <w:lang w:eastAsia="zh-CN"/>
              </w:rPr>
            </w:pPr>
            <w:r>
              <w:rPr>
                <w:rFonts w:hint="eastAsia" w:ascii="宋体" w:hAnsi="宋体" w:cs="宋体"/>
                <w:color w:val="auto"/>
                <w:sz w:val="21"/>
                <w:szCs w:val="21"/>
                <w:highlight w:val="none"/>
                <w:lang w:eastAsia="zh-CN"/>
              </w:rPr>
              <w:t>(8)资源列表功能</w:t>
            </w:r>
          </w:p>
          <w:p w14:paraId="307EF792">
            <w:pPr>
              <w:keepNext w:val="0"/>
              <w:keepLines w:val="0"/>
              <w:pageBreakBefore w:val="0"/>
              <w:kinsoku/>
              <w:wordWrap/>
              <w:overflowPunct/>
              <w:topLinePunct w:val="0"/>
              <w:autoSpaceDE/>
              <w:autoSpaceDN/>
              <w:bidi w:val="0"/>
              <w:spacing w:line="360" w:lineRule="auto"/>
              <w:jc w:val="both"/>
              <w:textAlignment w:val="auto"/>
              <w:rPr>
                <w:rFonts w:hint="eastAsia" w:ascii="宋体" w:hAnsi="宋体" w:cs="宋体"/>
                <w:color w:val="auto"/>
                <w:sz w:val="21"/>
                <w:szCs w:val="21"/>
                <w:highlight w:val="none"/>
                <w:lang w:eastAsia="zh-CN"/>
              </w:rPr>
            </w:pPr>
            <w:r>
              <w:rPr>
                <w:rFonts w:hint="eastAsia" w:ascii="宋体" w:hAnsi="宋体" w:cs="宋体"/>
                <w:color w:val="auto"/>
                <w:sz w:val="21"/>
                <w:szCs w:val="21"/>
                <w:highlight w:val="none"/>
                <w:lang w:eastAsia="zh-CN"/>
              </w:rPr>
              <w:t>系统能将教材中所有图片、音频、视频、3D模型、附件等都汇聚在资源列表中，读者在教材页面的系统化学习和资源列表的快捷碎片化学习中切换，所有图片、音频、视频、3D模型、附件等都可以直接点击学习。</w:t>
            </w:r>
          </w:p>
          <w:p w14:paraId="4BFC3495">
            <w:pPr>
              <w:keepNext w:val="0"/>
              <w:keepLines w:val="0"/>
              <w:pageBreakBefore w:val="0"/>
              <w:kinsoku/>
              <w:wordWrap/>
              <w:overflowPunct/>
              <w:topLinePunct w:val="0"/>
              <w:autoSpaceDE/>
              <w:autoSpaceDN/>
              <w:bidi w:val="0"/>
              <w:spacing w:line="360" w:lineRule="auto"/>
              <w:jc w:val="both"/>
              <w:textAlignment w:val="auto"/>
              <w:rPr>
                <w:rFonts w:hint="eastAsia" w:ascii="宋体" w:hAnsi="宋体" w:cs="宋体"/>
                <w:color w:val="auto"/>
                <w:sz w:val="21"/>
                <w:szCs w:val="21"/>
                <w:highlight w:val="none"/>
                <w:lang w:eastAsia="zh-CN"/>
              </w:rPr>
            </w:pPr>
            <w:r>
              <w:rPr>
                <w:rFonts w:hint="eastAsia" w:ascii="宋体" w:hAnsi="宋体" w:cs="宋体"/>
                <w:color w:val="auto"/>
                <w:sz w:val="21"/>
                <w:szCs w:val="21"/>
                <w:highlight w:val="none"/>
                <w:lang w:eastAsia="zh-CN"/>
              </w:rPr>
              <w:t>(9)交互学习功能</w:t>
            </w:r>
          </w:p>
          <w:p w14:paraId="7B0423B4">
            <w:pPr>
              <w:keepNext w:val="0"/>
              <w:keepLines w:val="0"/>
              <w:pageBreakBefore w:val="0"/>
              <w:kinsoku/>
              <w:wordWrap/>
              <w:overflowPunct/>
              <w:topLinePunct w:val="0"/>
              <w:autoSpaceDE/>
              <w:autoSpaceDN/>
              <w:bidi w:val="0"/>
              <w:spacing w:line="360" w:lineRule="auto"/>
              <w:jc w:val="both"/>
              <w:textAlignment w:val="auto"/>
              <w:rPr>
                <w:rFonts w:hint="eastAsia" w:ascii="宋体" w:hAnsi="宋体" w:cs="宋体"/>
                <w:color w:val="auto"/>
                <w:sz w:val="21"/>
                <w:szCs w:val="21"/>
                <w:highlight w:val="none"/>
                <w:lang w:eastAsia="zh-CN"/>
              </w:rPr>
            </w:pPr>
            <w:r>
              <w:rPr>
                <w:rFonts w:hint="eastAsia" w:ascii="宋体" w:hAnsi="宋体" w:cs="宋体"/>
                <w:color w:val="auto"/>
                <w:sz w:val="21"/>
                <w:szCs w:val="21"/>
                <w:highlight w:val="none"/>
                <w:lang w:eastAsia="zh-CN"/>
              </w:rPr>
              <w:t>支持阅读数字教材的交互学习点，学、练、测在一个场景里完成，具体的交互学习点包括：</w:t>
            </w:r>
          </w:p>
          <w:p w14:paraId="014FA7CE">
            <w:pPr>
              <w:keepNext w:val="0"/>
              <w:keepLines w:val="0"/>
              <w:pageBreakBefore w:val="0"/>
              <w:kinsoku/>
              <w:wordWrap/>
              <w:overflowPunct/>
              <w:topLinePunct w:val="0"/>
              <w:autoSpaceDE/>
              <w:autoSpaceDN/>
              <w:bidi w:val="0"/>
              <w:spacing w:line="360" w:lineRule="auto"/>
              <w:jc w:val="both"/>
              <w:textAlignment w:val="auto"/>
              <w:rPr>
                <w:rFonts w:hint="eastAsia" w:ascii="宋体" w:hAnsi="宋体" w:cs="宋体"/>
                <w:color w:val="auto"/>
                <w:sz w:val="21"/>
                <w:szCs w:val="21"/>
                <w:highlight w:val="none"/>
                <w:lang w:eastAsia="zh-CN"/>
              </w:rPr>
            </w:pPr>
            <w:r>
              <w:rPr>
                <w:rFonts w:hint="eastAsia" w:ascii="宋体" w:hAnsi="宋体" w:cs="宋体"/>
                <w:color w:val="auto"/>
                <w:sz w:val="21"/>
                <w:szCs w:val="21"/>
                <w:highlight w:val="none"/>
                <w:lang w:eastAsia="zh-CN"/>
              </w:rPr>
              <w:t>知识点气泡：读者点击知识点，会弹出扩展解释，点击百度图标还会跳转到百度百科页面，得到对知识点更深入的讲解。</w:t>
            </w:r>
          </w:p>
          <w:p w14:paraId="4DABC0DD">
            <w:pPr>
              <w:keepNext w:val="0"/>
              <w:keepLines w:val="0"/>
              <w:pageBreakBefore w:val="0"/>
              <w:kinsoku/>
              <w:wordWrap/>
              <w:overflowPunct/>
              <w:topLinePunct w:val="0"/>
              <w:autoSpaceDE/>
              <w:autoSpaceDN/>
              <w:bidi w:val="0"/>
              <w:spacing w:line="360" w:lineRule="auto"/>
              <w:jc w:val="both"/>
              <w:textAlignment w:val="auto"/>
              <w:rPr>
                <w:rFonts w:hint="eastAsia" w:ascii="宋体" w:hAnsi="宋体" w:cs="宋体"/>
                <w:color w:val="auto"/>
                <w:sz w:val="21"/>
                <w:szCs w:val="21"/>
                <w:highlight w:val="none"/>
                <w:lang w:eastAsia="zh-CN"/>
              </w:rPr>
            </w:pPr>
            <w:r>
              <w:rPr>
                <w:rFonts w:hint="eastAsia" w:ascii="宋体" w:hAnsi="宋体" w:cs="宋体"/>
                <w:color w:val="auto"/>
                <w:sz w:val="21"/>
                <w:szCs w:val="21"/>
                <w:highlight w:val="none"/>
                <w:lang w:eastAsia="zh-CN"/>
              </w:rPr>
              <w:t>交互组件：平台具有解析阅读趣味化、情景化的交互测试、交互学习、交互组件的能力。</w:t>
            </w:r>
          </w:p>
          <w:p w14:paraId="4B84E1C0">
            <w:pPr>
              <w:keepNext w:val="0"/>
              <w:keepLines w:val="0"/>
              <w:pageBreakBefore w:val="0"/>
              <w:kinsoku/>
              <w:wordWrap/>
              <w:overflowPunct/>
              <w:topLinePunct w:val="0"/>
              <w:autoSpaceDE/>
              <w:autoSpaceDN/>
              <w:bidi w:val="0"/>
              <w:spacing w:line="360" w:lineRule="auto"/>
              <w:jc w:val="both"/>
              <w:textAlignment w:val="auto"/>
              <w:rPr>
                <w:rFonts w:hint="eastAsia" w:ascii="宋体" w:hAnsi="宋体" w:cs="宋体"/>
                <w:color w:val="auto"/>
                <w:sz w:val="21"/>
                <w:szCs w:val="21"/>
                <w:highlight w:val="none"/>
                <w:lang w:eastAsia="zh-CN"/>
              </w:rPr>
            </w:pPr>
            <w:r>
              <w:rPr>
                <w:rFonts w:hint="eastAsia" w:ascii="宋体" w:hAnsi="宋体" w:cs="宋体"/>
                <w:color w:val="auto"/>
                <w:sz w:val="21"/>
                <w:szCs w:val="21"/>
                <w:highlight w:val="none"/>
                <w:lang w:eastAsia="zh-CN"/>
              </w:rPr>
              <w:t>(10)批注和笔记功能</w:t>
            </w:r>
          </w:p>
          <w:p w14:paraId="2EC70761">
            <w:pPr>
              <w:keepNext w:val="0"/>
              <w:keepLines w:val="0"/>
              <w:pageBreakBefore w:val="0"/>
              <w:kinsoku/>
              <w:wordWrap/>
              <w:overflowPunct/>
              <w:topLinePunct w:val="0"/>
              <w:autoSpaceDE/>
              <w:autoSpaceDN/>
              <w:bidi w:val="0"/>
              <w:spacing w:line="360" w:lineRule="auto"/>
              <w:jc w:val="both"/>
              <w:textAlignment w:val="auto"/>
              <w:rPr>
                <w:rFonts w:hint="eastAsia" w:ascii="宋体" w:hAnsi="宋体" w:cs="宋体"/>
                <w:color w:val="auto"/>
                <w:sz w:val="21"/>
                <w:szCs w:val="21"/>
                <w:highlight w:val="none"/>
                <w:lang w:eastAsia="zh-CN"/>
              </w:rPr>
            </w:pPr>
            <w:r>
              <w:rPr>
                <w:rFonts w:hint="eastAsia" w:ascii="宋体" w:hAnsi="宋体" w:cs="宋体"/>
                <w:color w:val="auto"/>
                <w:sz w:val="21"/>
                <w:szCs w:val="21"/>
                <w:highlight w:val="none"/>
                <w:lang w:eastAsia="zh-CN"/>
              </w:rPr>
              <w:t>支持在教材正文中任意一段文字可以进行高亮标注，高亮可以选择颜色。</w:t>
            </w:r>
          </w:p>
          <w:p w14:paraId="40495BA3">
            <w:pPr>
              <w:keepNext w:val="0"/>
              <w:keepLines w:val="0"/>
              <w:pageBreakBefore w:val="0"/>
              <w:kinsoku/>
              <w:wordWrap/>
              <w:overflowPunct/>
              <w:topLinePunct w:val="0"/>
              <w:autoSpaceDE/>
              <w:autoSpaceDN/>
              <w:bidi w:val="0"/>
              <w:spacing w:line="360" w:lineRule="auto"/>
              <w:jc w:val="both"/>
              <w:textAlignment w:val="auto"/>
              <w:rPr>
                <w:rFonts w:hint="eastAsia" w:ascii="宋体" w:hAnsi="宋体" w:cs="宋体"/>
                <w:color w:val="auto"/>
                <w:sz w:val="21"/>
                <w:szCs w:val="21"/>
                <w:highlight w:val="none"/>
                <w:lang w:eastAsia="zh-CN"/>
              </w:rPr>
            </w:pPr>
            <w:r>
              <w:rPr>
                <w:rFonts w:hint="eastAsia" w:ascii="宋体" w:hAnsi="宋体" w:cs="宋体"/>
                <w:color w:val="auto"/>
                <w:sz w:val="21"/>
                <w:szCs w:val="21"/>
                <w:highlight w:val="none"/>
                <w:lang w:eastAsia="zh-CN"/>
              </w:rPr>
              <w:t>支持在教材正文中可以选择任意位置记录笔记，同时记录批注或笔记的时间和位置；</w:t>
            </w:r>
          </w:p>
          <w:p w14:paraId="400AE5AF">
            <w:pPr>
              <w:keepNext w:val="0"/>
              <w:keepLines w:val="0"/>
              <w:pageBreakBefore w:val="0"/>
              <w:kinsoku/>
              <w:wordWrap/>
              <w:overflowPunct/>
              <w:topLinePunct w:val="0"/>
              <w:autoSpaceDE/>
              <w:autoSpaceDN/>
              <w:bidi w:val="0"/>
              <w:spacing w:line="360" w:lineRule="auto"/>
              <w:jc w:val="both"/>
              <w:textAlignment w:val="auto"/>
              <w:rPr>
                <w:rFonts w:hint="eastAsia" w:ascii="宋体" w:hAnsi="宋体" w:cs="宋体"/>
                <w:color w:val="auto"/>
                <w:sz w:val="21"/>
                <w:szCs w:val="21"/>
                <w:highlight w:val="none"/>
                <w:lang w:eastAsia="zh-CN"/>
              </w:rPr>
            </w:pPr>
            <w:r>
              <w:rPr>
                <w:rFonts w:hint="eastAsia" w:ascii="宋体" w:hAnsi="宋体" w:cs="宋体"/>
                <w:color w:val="auto"/>
                <w:sz w:val="21"/>
                <w:szCs w:val="21"/>
                <w:highlight w:val="none"/>
                <w:lang w:eastAsia="zh-CN"/>
              </w:rPr>
              <w:t>所有高亮和笔记可以统一索引管理，点击每个高亮和笔记可以快速跳转至相应的原文位置(可跨章节跳转)。</w:t>
            </w:r>
          </w:p>
          <w:p w14:paraId="3BE9A5F7">
            <w:pPr>
              <w:keepNext w:val="0"/>
              <w:keepLines w:val="0"/>
              <w:pageBreakBefore w:val="0"/>
              <w:kinsoku/>
              <w:wordWrap/>
              <w:overflowPunct/>
              <w:topLinePunct w:val="0"/>
              <w:autoSpaceDE/>
              <w:autoSpaceDN/>
              <w:bidi w:val="0"/>
              <w:spacing w:line="360" w:lineRule="auto"/>
              <w:jc w:val="both"/>
              <w:textAlignment w:val="auto"/>
              <w:rPr>
                <w:rFonts w:hint="eastAsia" w:ascii="宋体" w:hAnsi="宋体" w:cs="宋体"/>
                <w:color w:val="auto"/>
                <w:sz w:val="21"/>
                <w:szCs w:val="21"/>
                <w:highlight w:val="none"/>
                <w:lang w:eastAsia="zh-CN"/>
              </w:rPr>
            </w:pPr>
            <w:r>
              <w:rPr>
                <w:rFonts w:hint="eastAsia" w:ascii="宋体" w:hAnsi="宋体" w:cs="宋体"/>
                <w:color w:val="auto"/>
                <w:sz w:val="21"/>
                <w:szCs w:val="21"/>
                <w:highlight w:val="none"/>
                <w:lang w:eastAsia="zh-CN"/>
              </w:rPr>
              <w:t>(11)支持3D平台支持3D模型学习内容嵌入和沉浸式学习体验。</w:t>
            </w:r>
          </w:p>
          <w:p w14:paraId="0E9E2265">
            <w:pPr>
              <w:keepNext w:val="0"/>
              <w:keepLines w:val="0"/>
              <w:pageBreakBefore w:val="0"/>
              <w:kinsoku/>
              <w:wordWrap/>
              <w:overflowPunct/>
              <w:topLinePunct w:val="0"/>
              <w:autoSpaceDE/>
              <w:autoSpaceDN/>
              <w:bidi w:val="0"/>
              <w:spacing w:line="360" w:lineRule="auto"/>
              <w:jc w:val="both"/>
              <w:textAlignment w:val="auto"/>
              <w:rPr>
                <w:rFonts w:hint="eastAsia" w:ascii="宋体" w:hAnsi="宋体" w:cs="宋体"/>
                <w:color w:val="auto"/>
                <w:sz w:val="21"/>
                <w:szCs w:val="21"/>
                <w:highlight w:val="none"/>
                <w:lang w:eastAsia="zh-CN"/>
              </w:rPr>
            </w:pPr>
            <w:r>
              <w:rPr>
                <w:rFonts w:hint="eastAsia" w:ascii="宋体" w:hAnsi="宋体" w:cs="宋体"/>
                <w:color w:val="auto"/>
                <w:sz w:val="21"/>
                <w:szCs w:val="21"/>
                <w:highlight w:val="none"/>
                <w:lang w:eastAsia="zh-CN"/>
              </w:rPr>
              <w:t>(12)支持全文检索功能</w:t>
            </w:r>
          </w:p>
          <w:p w14:paraId="478634EB">
            <w:pPr>
              <w:keepNext w:val="0"/>
              <w:keepLines w:val="0"/>
              <w:pageBreakBefore w:val="0"/>
              <w:kinsoku/>
              <w:wordWrap/>
              <w:overflowPunct/>
              <w:topLinePunct w:val="0"/>
              <w:autoSpaceDE/>
              <w:autoSpaceDN/>
              <w:bidi w:val="0"/>
              <w:spacing w:line="360" w:lineRule="auto"/>
              <w:jc w:val="both"/>
              <w:textAlignment w:val="auto"/>
              <w:rPr>
                <w:rFonts w:hint="eastAsia" w:ascii="宋体" w:hAnsi="宋体" w:cs="宋体"/>
                <w:color w:val="auto"/>
                <w:sz w:val="21"/>
                <w:szCs w:val="21"/>
                <w:highlight w:val="none"/>
                <w:lang w:eastAsia="zh-CN"/>
              </w:rPr>
            </w:pPr>
            <w:r>
              <w:rPr>
                <w:rFonts w:hint="eastAsia" w:ascii="宋体" w:hAnsi="宋体" w:cs="宋体"/>
                <w:color w:val="auto"/>
                <w:sz w:val="21"/>
                <w:szCs w:val="21"/>
                <w:highlight w:val="none"/>
                <w:lang w:eastAsia="zh-CN"/>
              </w:rPr>
              <w:t>正文检索：支持数字教材的全文检索功能，可输入关键字符，在全书所有文字范围内进行搜索，输出的结果中会包含章节信息(即哪一章哪一节),以及结果位置的上下文，以便于用户联想原文；点击某个结果后可快速跳转至原文位置(可跨章节跳转)。</w:t>
            </w:r>
          </w:p>
          <w:p w14:paraId="366B682B">
            <w:pPr>
              <w:keepNext w:val="0"/>
              <w:keepLines w:val="0"/>
              <w:pageBreakBefore w:val="0"/>
              <w:kinsoku/>
              <w:wordWrap/>
              <w:overflowPunct/>
              <w:topLinePunct w:val="0"/>
              <w:autoSpaceDE/>
              <w:autoSpaceDN/>
              <w:bidi w:val="0"/>
              <w:spacing w:line="360" w:lineRule="auto"/>
              <w:jc w:val="both"/>
              <w:textAlignment w:val="auto"/>
              <w:rPr>
                <w:rFonts w:hint="eastAsia" w:ascii="宋体" w:hAnsi="宋体" w:cs="宋体"/>
                <w:color w:val="auto"/>
                <w:sz w:val="21"/>
                <w:szCs w:val="21"/>
                <w:highlight w:val="none"/>
                <w:lang w:eastAsia="zh-CN"/>
              </w:rPr>
            </w:pPr>
            <w:r>
              <w:rPr>
                <w:rFonts w:hint="eastAsia" w:ascii="宋体" w:hAnsi="宋体" w:cs="宋体"/>
                <w:color w:val="auto"/>
                <w:sz w:val="21"/>
                <w:szCs w:val="21"/>
                <w:highlight w:val="none"/>
                <w:lang w:eastAsia="zh-CN"/>
              </w:rPr>
              <w:t>文件检索：支持数字教材的文件检索功能，可输入关键字符，通过文件标题及描述检索全文的图片、音频、视频、3D模型、附件文件内容。</w:t>
            </w:r>
          </w:p>
          <w:p w14:paraId="153F6681">
            <w:pPr>
              <w:keepNext w:val="0"/>
              <w:keepLines w:val="0"/>
              <w:pageBreakBefore w:val="0"/>
              <w:kinsoku/>
              <w:wordWrap/>
              <w:overflowPunct/>
              <w:topLinePunct w:val="0"/>
              <w:autoSpaceDE/>
              <w:autoSpaceDN/>
              <w:bidi w:val="0"/>
              <w:spacing w:line="360" w:lineRule="auto"/>
              <w:jc w:val="both"/>
              <w:textAlignment w:val="auto"/>
              <w:rPr>
                <w:rFonts w:hint="eastAsia" w:ascii="宋体" w:hAnsi="宋体" w:cs="宋体"/>
                <w:color w:val="auto"/>
                <w:sz w:val="21"/>
                <w:szCs w:val="21"/>
                <w:highlight w:val="none"/>
                <w:lang w:eastAsia="zh-CN"/>
              </w:rPr>
            </w:pPr>
            <w:r>
              <w:rPr>
                <w:rFonts w:hint="eastAsia" w:ascii="宋体" w:hAnsi="宋体" w:cs="宋体"/>
                <w:color w:val="auto"/>
                <w:sz w:val="21"/>
                <w:szCs w:val="21"/>
                <w:highlight w:val="none"/>
                <w:lang w:eastAsia="zh-CN"/>
              </w:rPr>
              <w:t>(13)学习记忆及学习报告功能</w:t>
            </w:r>
          </w:p>
          <w:p w14:paraId="0D098028">
            <w:pPr>
              <w:keepNext w:val="0"/>
              <w:keepLines w:val="0"/>
              <w:pageBreakBefore w:val="0"/>
              <w:kinsoku/>
              <w:wordWrap/>
              <w:overflowPunct/>
              <w:topLinePunct w:val="0"/>
              <w:autoSpaceDE/>
              <w:autoSpaceDN/>
              <w:bidi w:val="0"/>
              <w:spacing w:line="360" w:lineRule="auto"/>
              <w:jc w:val="both"/>
              <w:textAlignment w:val="auto"/>
              <w:rPr>
                <w:rFonts w:hint="eastAsia" w:ascii="宋体" w:hAnsi="宋体" w:cs="宋体"/>
                <w:color w:val="auto"/>
                <w:sz w:val="21"/>
                <w:szCs w:val="21"/>
                <w:highlight w:val="none"/>
                <w:lang w:eastAsia="zh-CN"/>
              </w:rPr>
            </w:pPr>
            <w:r>
              <w:rPr>
                <w:rFonts w:hint="eastAsia" w:ascii="宋体" w:hAnsi="宋体" w:cs="宋体"/>
                <w:color w:val="auto"/>
                <w:sz w:val="21"/>
                <w:szCs w:val="21"/>
                <w:highlight w:val="none"/>
                <w:lang w:eastAsia="zh-CN"/>
              </w:rPr>
              <w:t>系统自动实时记忆阅读位置，下次打开数字教材可自动快速跳转至上次阅读的章节，防止遗忘。</w:t>
            </w:r>
          </w:p>
          <w:p w14:paraId="61F3CBDC">
            <w:pPr>
              <w:keepNext w:val="0"/>
              <w:keepLines w:val="0"/>
              <w:pageBreakBefore w:val="0"/>
              <w:kinsoku/>
              <w:wordWrap/>
              <w:overflowPunct/>
              <w:topLinePunct w:val="0"/>
              <w:autoSpaceDE/>
              <w:autoSpaceDN/>
              <w:bidi w:val="0"/>
              <w:spacing w:line="360" w:lineRule="auto"/>
              <w:jc w:val="both"/>
              <w:textAlignment w:val="auto"/>
              <w:rPr>
                <w:rFonts w:hint="eastAsia" w:ascii="宋体" w:hAnsi="宋体" w:cs="宋体"/>
                <w:color w:val="auto"/>
                <w:sz w:val="21"/>
                <w:szCs w:val="21"/>
                <w:highlight w:val="none"/>
                <w:lang w:eastAsia="zh-CN"/>
              </w:rPr>
            </w:pPr>
            <w:r>
              <w:rPr>
                <w:rFonts w:hint="eastAsia" w:ascii="宋体" w:hAnsi="宋体" w:cs="宋体"/>
                <w:color w:val="auto"/>
                <w:sz w:val="21"/>
                <w:szCs w:val="21"/>
                <w:highlight w:val="none"/>
                <w:lang w:eastAsia="zh-CN"/>
              </w:rPr>
              <w:t>用户可在目录界面随时查看自己的学习进度，进行查漏补缺。</w:t>
            </w:r>
          </w:p>
          <w:p w14:paraId="79A143D1">
            <w:pPr>
              <w:keepNext w:val="0"/>
              <w:keepLines w:val="0"/>
              <w:pageBreakBefore w:val="0"/>
              <w:kinsoku/>
              <w:wordWrap/>
              <w:overflowPunct/>
              <w:topLinePunct w:val="0"/>
              <w:autoSpaceDE/>
              <w:autoSpaceDN/>
              <w:bidi w:val="0"/>
              <w:spacing w:line="360" w:lineRule="auto"/>
              <w:jc w:val="both"/>
              <w:textAlignment w:val="auto"/>
              <w:rPr>
                <w:rFonts w:hint="eastAsia" w:ascii="宋体" w:hAnsi="宋体" w:cs="宋体"/>
                <w:color w:val="auto"/>
                <w:sz w:val="21"/>
                <w:szCs w:val="21"/>
                <w:highlight w:val="none"/>
                <w:lang w:eastAsia="zh-CN"/>
              </w:rPr>
            </w:pPr>
            <w:r>
              <w:rPr>
                <w:rFonts w:hint="eastAsia" w:ascii="宋体" w:hAnsi="宋体" w:cs="宋体"/>
                <w:color w:val="auto"/>
                <w:sz w:val="21"/>
                <w:szCs w:val="21"/>
                <w:highlight w:val="none"/>
                <w:lang w:eastAsia="zh-CN"/>
              </w:rPr>
              <w:t>支持学习报告功能，可分别统计学习时长、学习进度、答题情况，其中学习时长包括学习总时长、音频学习时长、视频学习时长、3D模型学习时长；学习进度和答题情况包括总学习进度及答题情况，以及各章学习进度及答题情况；学习报告可导出为图片及xlsx表格文件，导出的图片及xlsx表格文件包含用户名信息。</w:t>
            </w:r>
          </w:p>
          <w:p w14:paraId="44F8C9A0">
            <w:pPr>
              <w:keepNext w:val="0"/>
              <w:keepLines w:val="0"/>
              <w:pageBreakBefore w:val="0"/>
              <w:kinsoku/>
              <w:wordWrap/>
              <w:overflowPunct/>
              <w:topLinePunct w:val="0"/>
              <w:autoSpaceDE/>
              <w:autoSpaceDN/>
              <w:bidi w:val="0"/>
              <w:spacing w:line="360" w:lineRule="auto"/>
              <w:jc w:val="both"/>
              <w:textAlignment w:val="auto"/>
              <w:rPr>
                <w:rFonts w:hint="eastAsia" w:ascii="宋体" w:hAnsi="宋体" w:cs="宋体"/>
                <w:color w:val="auto"/>
                <w:sz w:val="21"/>
                <w:szCs w:val="21"/>
                <w:highlight w:val="none"/>
                <w:lang w:eastAsia="zh-CN"/>
              </w:rPr>
            </w:pPr>
            <w:r>
              <w:rPr>
                <w:rFonts w:hint="eastAsia" w:ascii="宋体" w:hAnsi="宋体" w:cs="宋体"/>
                <w:color w:val="auto"/>
                <w:sz w:val="21"/>
                <w:szCs w:val="21"/>
                <w:highlight w:val="none"/>
                <w:lang w:eastAsia="zh-CN"/>
              </w:rPr>
              <w:t>每道交互练习题都有提交次数和准确率的统计，实时反馈交互练习题的难易程度。</w:t>
            </w:r>
          </w:p>
          <w:p w14:paraId="021AC5C0">
            <w:pPr>
              <w:keepNext w:val="0"/>
              <w:keepLines w:val="0"/>
              <w:pageBreakBefore w:val="0"/>
              <w:kinsoku/>
              <w:wordWrap/>
              <w:overflowPunct/>
              <w:topLinePunct w:val="0"/>
              <w:autoSpaceDE/>
              <w:autoSpaceDN/>
              <w:bidi w:val="0"/>
              <w:spacing w:line="360" w:lineRule="auto"/>
              <w:jc w:val="both"/>
              <w:textAlignment w:val="auto"/>
              <w:rPr>
                <w:rFonts w:hint="eastAsia" w:ascii="宋体" w:hAnsi="宋体" w:cs="宋体"/>
                <w:color w:val="auto"/>
                <w:sz w:val="21"/>
                <w:szCs w:val="21"/>
                <w:highlight w:val="none"/>
                <w:lang w:eastAsia="zh-CN"/>
              </w:rPr>
            </w:pPr>
            <w:r>
              <w:rPr>
                <w:rFonts w:hint="eastAsia" w:ascii="宋体" w:hAnsi="宋体" w:cs="宋体"/>
                <w:color w:val="auto"/>
                <w:sz w:val="21"/>
                <w:szCs w:val="21"/>
                <w:highlight w:val="none"/>
                <w:lang w:eastAsia="zh-CN"/>
              </w:rPr>
              <w:t>(14)脑图功能</w:t>
            </w:r>
          </w:p>
          <w:p w14:paraId="7ACEC544">
            <w:pPr>
              <w:keepNext w:val="0"/>
              <w:keepLines w:val="0"/>
              <w:pageBreakBefore w:val="0"/>
              <w:kinsoku/>
              <w:wordWrap/>
              <w:overflowPunct/>
              <w:topLinePunct w:val="0"/>
              <w:autoSpaceDE/>
              <w:autoSpaceDN/>
              <w:bidi w:val="0"/>
              <w:spacing w:line="360" w:lineRule="auto"/>
              <w:jc w:val="both"/>
              <w:textAlignment w:val="auto"/>
              <w:rPr>
                <w:rFonts w:hint="eastAsia" w:ascii="宋体" w:hAnsi="宋体" w:cs="宋体"/>
                <w:color w:val="auto"/>
                <w:sz w:val="21"/>
                <w:szCs w:val="21"/>
                <w:highlight w:val="none"/>
                <w:lang w:eastAsia="zh-CN"/>
              </w:rPr>
            </w:pPr>
            <w:r>
              <w:rPr>
                <w:rFonts w:hint="eastAsia" w:ascii="宋体" w:hAnsi="宋体" w:cs="宋体"/>
                <w:color w:val="auto"/>
                <w:sz w:val="21"/>
                <w:szCs w:val="21"/>
                <w:highlight w:val="none"/>
                <w:lang w:eastAsia="zh-CN"/>
              </w:rPr>
              <w:t>支持以思维导图的方式，对标注内容进行整理，建立起全书知识点的层次关系，让用户在使用该功能的过程中，加深对全书知识点的理解，建立起各知识点间的关系，并对全书重点内容有一个整体上的认识。</w:t>
            </w:r>
          </w:p>
          <w:p w14:paraId="6C4C5115">
            <w:pPr>
              <w:keepNext w:val="0"/>
              <w:keepLines w:val="0"/>
              <w:pageBreakBefore w:val="0"/>
              <w:kinsoku/>
              <w:wordWrap/>
              <w:overflowPunct/>
              <w:topLinePunct w:val="0"/>
              <w:autoSpaceDE/>
              <w:autoSpaceDN/>
              <w:bidi w:val="0"/>
              <w:spacing w:line="360" w:lineRule="auto"/>
              <w:jc w:val="both"/>
              <w:textAlignment w:val="auto"/>
              <w:rPr>
                <w:rFonts w:hint="eastAsia" w:ascii="宋体" w:hAnsi="宋体" w:cs="宋体"/>
                <w:color w:val="auto"/>
                <w:sz w:val="21"/>
                <w:szCs w:val="21"/>
                <w:highlight w:val="none"/>
                <w:lang w:eastAsia="zh-CN"/>
              </w:rPr>
            </w:pPr>
            <w:r>
              <w:rPr>
                <w:rFonts w:hint="eastAsia" w:ascii="宋体" w:hAnsi="宋体" w:cs="宋体"/>
                <w:color w:val="auto"/>
                <w:sz w:val="21"/>
                <w:szCs w:val="21"/>
                <w:highlight w:val="none"/>
                <w:lang w:eastAsia="zh-CN"/>
              </w:rPr>
              <w:t>用户在阅读使用平台数字教材中，可对重点内容进行标注(高亮或笔记),用户可把标注内容添加到脑图节点，并可对脑图节点进行自由拖动，建立标注之间的层次关系，最终形成整书的知识点脑图。</w:t>
            </w:r>
          </w:p>
          <w:p w14:paraId="3BE03B6D">
            <w:pPr>
              <w:keepNext w:val="0"/>
              <w:keepLines w:val="0"/>
              <w:pageBreakBefore w:val="0"/>
              <w:kinsoku/>
              <w:wordWrap/>
              <w:overflowPunct/>
              <w:topLinePunct w:val="0"/>
              <w:autoSpaceDE/>
              <w:autoSpaceDN/>
              <w:bidi w:val="0"/>
              <w:spacing w:line="360" w:lineRule="auto"/>
              <w:jc w:val="both"/>
              <w:textAlignment w:val="auto"/>
              <w:rPr>
                <w:rFonts w:hint="eastAsia" w:ascii="宋体" w:hAnsi="宋体" w:cs="宋体"/>
                <w:color w:val="auto"/>
                <w:sz w:val="21"/>
                <w:szCs w:val="21"/>
                <w:highlight w:val="none"/>
                <w:lang w:eastAsia="zh-CN"/>
              </w:rPr>
            </w:pPr>
            <w:r>
              <w:rPr>
                <w:rFonts w:hint="eastAsia" w:ascii="宋体" w:hAnsi="宋体" w:cs="宋体"/>
                <w:color w:val="auto"/>
                <w:sz w:val="21"/>
                <w:szCs w:val="21"/>
                <w:highlight w:val="none"/>
                <w:lang w:eastAsia="zh-CN"/>
              </w:rPr>
              <w:t>用户在使用脑图功能过程中，既可通过标注添加脑图节点，也可以在脑图界面中自己添加不包含标注的脑图节点，更加灵活的让用户整理出只属于自己的知识点脑图。脑图编辑界面支持思维导图基本功能，其中包括：拖拽节点改变节点位置、剪切/复制/粘贴/删除/折叠/展开节点、修改节点内容、添加子节点、添加兄弟节点，并且支持双击包含标注的节点可直接跳转至原文内容对应位置的功能(可跨章节跳转)。</w:t>
            </w:r>
          </w:p>
          <w:p w14:paraId="4AD8E689">
            <w:pPr>
              <w:keepNext w:val="0"/>
              <w:keepLines w:val="0"/>
              <w:pageBreakBefore w:val="0"/>
              <w:kinsoku/>
              <w:wordWrap/>
              <w:overflowPunct/>
              <w:topLinePunct w:val="0"/>
              <w:autoSpaceDE/>
              <w:autoSpaceDN/>
              <w:bidi w:val="0"/>
              <w:spacing w:line="360" w:lineRule="auto"/>
              <w:jc w:val="both"/>
              <w:textAlignment w:val="auto"/>
              <w:rPr>
                <w:rFonts w:hint="eastAsia" w:ascii="宋体" w:hAnsi="宋体" w:cs="宋体"/>
                <w:color w:val="auto"/>
                <w:sz w:val="21"/>
                <w:szCs w:val="21"/>
                <w:highlight w:val="none"/>
                <w:lang w:eastAsia="zh-CN"/>
              </w:rPr>
            </w:pPr>
            <w:r>
              <w:rPr>
                <w:rFonts w:hint="eastAsia" w:ascii="宋体" w:hAnsi="宋体" w:cs="宋体"/>
                <w:color w:val="auto"/>
                <w:sz w:val="21"/>
                <w:szCs w:val="21"/>
                <w:highlight w:val="none"/>
                <w:lang w:eastAsia="zh-CN"/>
              </w:rPr>
              <w:t>15.公共云平台服务</w:t>
            </w:r>
          </w:p>
          <w:p w14:paraId="7CBAD63D">
            <w:pPr>
              <w:keepNext w:val="0"/>
              <w:keepLines w:val="0"/>
              <w:pageBreakBefore w:val="0"/>
              <w:kinsoku/>
              <w:wordWrap/>
              <w:overflowPunct/>
              <w:topLinePunct w:val="0"/>
              <w:autoSpaceDE/>
              <w:autoSpaceDN/>
              <w:bidi w:val="0"/>
              <w:spacing w:line="360" w:lineRule="auto"/>
              <w:jc w:val="both"/>
              <w:textAlignment w:val="auto"/>
              <w:rPr>
                <w:rFonts w:hint="eastAsia" w:ascii="宋体" w:hAnsi="宋体" w:cs="宋体"/>
                <w:color w:val="auto"/>
                <w:sz w:val="21"/>
                <w:szCs w:val="21"/>
                <w:highlight w:val="none"/>
                <w:lang w:eastAsia="zh-CN"/>
              </w:rPr>
            </w:pPr>
            <w:r>
              <w:rPr>
                <w:rFonts w:hint="eastAsia" w:ascii="宋体" w:hAnsi="宋体" w:cs="宋体"/>
                <w:color w:val="auto"/>
                <w:sz w:val="21"/>
                <w:szCs w:val="21"/>
                <w:highlight w:val="none"/>
                <w:lang w:eastAsia="zh-CN"/>
              </w:rPr>
              <w:t>系统支持公共云服务，为老师和学生提供免费的公共云服务，保证老师和学生在校外随时随地的沟通学习。所有数字教材及资源库也都在云端永久保存。数字教材的学生学习行为数据也全部存储、备份在公共云平台。</w:t>
            </w:r>
          </w:p>
          <w:p w14:paraId="11D4ECC2">
            <w:pPr>
              <w:keepNext w:val="0"/>
              <w:keepLines w:val="0"/>
              <w:pageBreakBefore w:val="0"/>
              <w:kinsoku/>
              <w:wordWrap/>
              <w:overflowPunct/>
              <w:topLinePunct w:val="0"/>
              <w:autoSpaceDE/>
              <w:autoSpaceDN/>
              <w:bidi w:val="0"/>
              <w:spacing w:line="360" w:lineRule="auto"/>
              <w:jc w:val="both"/>
              <w:textAlignment w:val="auto"/>
              <w:rPr>
                <w:rFonts w:hint="eastAsia" w:ascii="宋体" w:hAnsi="宋体" w:cs="宋体"/>
                <w:color w:val="auto"/>
                <w:sz w:val="21"/>
                <w:szCs w:val="21"/>
                <w:highlight w:val="none"/>
                <w:lang w:eastAsia="zh-CN"/>
              </w:rPr>
            </w:pPr>
            <w:r>
              <w:rPr>
                <w:rFonts w:hint="eastAsia" w:ascii="宋体" w:hAnsi="宋体" w:cs="宋体"/>
                <w:color w:val="auto"/>
                <w:sz w:val="21"/>
                <w:szCs w:val="21"/>
                <w:highlight w:val="none"/>
                <w:lang w:eastAsia="zh-CN"/>
              </w:rPr>
              <w:t>（</w:t>
            </w:r>
            <w:r>
              <w:rPr>
                <w:rFonts w:hint="eastAsia" w:ascii="宋体" w:hAnsi="宋体" w:cs="宋体"/>
                <w:color w:val="auto"/>
                <w:sz w:val="21"/>
                <w:szCs w:val="21"/>
                <w:highlight w:val="none"/>
                <w:lang w:val="en-US" w:eastAsia="zh-CN"/>
              </w:rPr>
              <w:t>三</w:t>
            </w:r>
            <w:r>
              <w:rPr>
                <w:rFonts w:hint="eastAsia" w:ascii="宋体" w:hAnsi="宋体" w:cs="宋体"/>
                <w:color w:val="auto"/>
                <w:sz w:val="21"/>
                <w:szCs w:val="21"/>
                <w:highlight w:val="none"/>
                <w:lang w:eastAsia="zh-CN"/>
              </w:rPr>
              <w:t>）</w:t>
            </w:r>
            <w:r>
              <w:rPr>
                <w:rFonts w:hint="default" w:ascii="宋体" w:hAnsi="宋体" w:cs="宋体"/>
                <w:b/>
                <w:bCs/>
                <w:color w:val="auto"/>
                <w:sz w:val="21"/>
                <w:szCs w:val="21"/>
                <w:highlight w:val="none"/>
                <w:lang w:val="en-US" w:eastAsia="zh-CN"/>
              </w:rPr>
              <w:t>培训考核合格后颁发省级以上（含省级）教育行政部门的学时证书。</w:t>
            </w:r>
          </w:p>
          <w:p w14:paraId="71471424">
            <w:pPr>
              <w:keepNext w:val="0"/>
              <w:keepLines w:val="0"/>
              <w:pageBreakBefore w:val="0"/>
              <w:kinsoku/>
              <w:wordWrap/>
              <w:overflowPunct/>
              <w:topLinePunct w:val="0"/>
              <w:autoSpaceDE/>
              <w:autoSpaceDN/>
              <w:bidi w:val="0"/>
              <w:spacing w:line="360" w:lineRule="auto"/>
              <w:jc w:val="both"/>
              <w:textAlignment w:val="auto"/>
              <w:rPr>
                <w:rFonts w:hint="eastAsia" w:ascii="宋体" w:hAnsi="宋体" w:cs="宋体"/>
                <w:b/>
                <w:bCs/>
                <w:color w:val="auto"/>
                <w:sz w:val="21"/>
                <w:szCs w:val="21"/>
                <w:highlight w:val="none"/>
                <w:lang w:eastAsia="zh-CN"/>
              </w:rPr>
            </w:pPr>
            <w:r>
              <w:rPr>
                <w:rFonts w:hint="eastAsia" w:ascii="宋体" w:hAnsi="宋体" w:cs="宋体"/>
                <w:b/>
                <w:bCs/>
                <w:color w:val="auto"/>
                <w:sz w:val="21"/>
                <w:szCs w:val="21"/>
                <w:highlight w:val="none"/>
                <w:lang w:eastAsia="zh-CN"/>
              </w:rPr>
              <w:t>三、指导专家资质要求</w:t>
            </w:r>
          </w:p>
          <w:p w14:paraId="041553A4">
            <w:pPr>
              <w:keepNext w:val="0"/>
              <w:keepLines w:val="0"/>
              <w:pageBreakBefore w:val="0"/>
              <w:kinsoku/>
              <w:wordWrap/>
              <w:overflowPunct/>
              <w:topLinePunct w:val="0"/>
              <w:autoSpaceDE/>
              <w:autoSpaceDN/>
              <w:bidi w:val="0"/>
              <w:spacing w:line="360" w:lineRule="auto"/>
              <w:jc w:val="both"/>
              <w:textAlignment w:val="auto"/>
              <w:rPr>
                <w:rFonts w:hint="eastAsia" w:ascii="宋体" w:hAnsi="宋体" w:cs="宋体"/>
                <w:color w:val="auto"/>
                <w:sz w:val="21"/>
                <w:szCs w:val="21"/>
                <w:highlight w:val="none"/>
                <w:lang w:eastAsia="zh-CN"/>
              </w:rPr>
            </w:pPr>
            <w:r>
              <w:rPr>
                <w:rFonts w:hint="eastAsia" w:ascii="宋体" w:hAnsi="宋体" w:cs="宋体"/>
                <w:color w:val="auto"/>
                <w:sz w:val="21"/>
                <w:szCs w:val="21"/>
                <w:highlight w:val="none"/>
                <w:lang w:eastAsia="zh-CN"/>
              </w:rPr>
              <w:t>具有</w:t>
            </w:r>
            <w:r>
              <w:rPr>
                <w:rFonts w:hint="eastAsia" w:ascii="宋体" w:hAnsi="宋体" w:cs="宋体"/>
                <w:color w:val="auto"/>
                <w:sz w:val="21"/>
                <w:szCs w:val="21"/>
                <w:highlight w:val="none"/>
                <w:lang w:val="en-US" w:eastAsia="zh-CN"/>
              </w:rPr>
              <w:t>正</w:t>
            </w:r>
            <w:r>
              <w:rPr>
                <w:rFonts w:hint="eastAsia" w:ascii="宋体" w:hAnsi="宋体" w:cs="宋体"/>
                <w:color w:val="auto"/>
                <w:sz w:val="21"/>
                <w:szCs w:val="21"/>
                <w:highlight w:val="none"/>
                <w:lang w:eastAsia="zh-CN"/>
              </w:rPr>
              <w:t>高级以上职称</w:t>
            </w:r>
            <w:r>
              <w:rPr>
                <w:rFonts w:hint="eastAsia" w:ascii="宋体" w:hAnsi="宋体" w:cs="宋体"/>
                <w:color w:val="auto"/>
                <w:sz w:val="21"/>
                <w:szCs w:val="21"/>
                <w:highlight w:val="none"/>
                <w:lang w:val="en-US" w:eastAsia="zh-CN"/>
              </w:rPr>
              <w:t>且是“十四五”省级以上规划教材第一主编或具有正高级职称且获第二批“十四五”国家规划教材公示（第一主编）专家</w:t>
            </w:r>
            <w:r>
              <w:rPr>
                <w:rFonts w:hint="eastAsia" w:ascii="宋体" w:hAnsi="宋体" w:cs="宋体"/>
                <w:color w:val="auto"/>
                <w:sz w:val="21"/>
                <w:szCs w:val="21"/>
                <w:highlight w:val="none"/>
                <w:lang w:eastAsia="zh-CN"/>
              </w:rPr>
              <w:t>。</w:t>
            </w:r>
          </w:p>
        </w:tc>
        <w:tc>
          <w:tcPr>
            <w:tcW w:w="1036" w:type="dxa"/>
            <w:tcBorders>
              <w:top w:val="single" w:color="auto" w:sz="4" w:space="0"/>
              <w:left w:val="single" w:color="auto" w:sz="4" w:space="0"/>
              <w:bottom w:val="single" w:color="auto" w:sz="4" w:space="0"/>
              <w:right w:val="single" w:color="auto" w:sz="4" w:space="0"/>
            </w:tcBorders>
            <w:noWrap w:val="0"/>
            <w:vAlign w:val="center"/>
          </w:tcPr>
          <w:p w14:paraId="219C35FA">
            <w:pPr>
              <w:keepNext w:val="0"/>
              <w:keepLines w:val="0"/>
              <w:pageBreakBefore w:val="0"/>
              <w:kinsoku/>
              <w:wordWrap/>
              <w:overflowPunct/>
              <w:topLinePunct w:val="0"/>
              <w:autoSpaceDE/>
              <w:autoSpaceDN/>
              <w:bidi w:val="0"/>
              <w:spacing w:line="360" w:lineRule="auto"/>
              <w:ind w:right="19" w:rightChars="9"/>
              <w:jc w:val="center"/>
              <w:textAlignment w:val="auto"/>
              <w:rPr>
                <w:rFonts w:hint="default"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40.00</w:t>
            </w:r>
          </w:p>
        </w:tc>
        <w:tc>
          <w:tcPr>
            <w:tcW w:w="1336" w:type="dxa"/>
            <w:tcBorders>
              <w:top w:val="single" w:color="auto" w:sz="4" w:space="0"/>
              <w:left w:val="single" w:color="auto" w:sz="4" w:space="0"/>
              <w:bottom w:val="single" w:color="auto" w:sz="4" w:space="0"/>
              <w:right w:val="single" w:color="auto" w:sz="4" w:space="0"/>
            </w:tcBorders>
            <w:noWrap w:val="0"/>
            <w:vAlign w:val="center"/>
          </w:tcPr>
          <w:p w14:paraId="76D61014">
            <w:pPr>
              <w:keepNext w:val="0"/>
              <w:keepLines w:val="0"/>
              <w:pageBreakBefore w:val="0"/>
              <w:kinsoku/>
              <w:wordWrap/>
              <w:overflowPunct/>
              <w:topLinePunct w:val="0"/>
              <w:autoSpaceDE/>
              <w:autoSpaceDN/>
              <w:bidi w:val="0"/>
              <w:spacing w:line="360" w:lineRule="auto"/>
              <w:ind w:right="19" w:rightChars="9"/>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其他未列明行业</w:t>
            </w:r>
          </w:p>
        </w:tc>
      </w:tr>
      <w:tr w14:paraId="6A9E8A3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545" w:type="dxa"/>
            <w:tcBorders>
              <w:left w:val="single" w:color="auto" w:sz="4" w:space="0"/>
              <w:bottom w:val="single" w:color="auto" w:sz="4" w:space="0"/>
              <w:right w:val="single" w:color="auto" w:sz="4" w:space="0"/>
            </w:tcBorders>
            <w:noWrap w:val="0"/>
            <w:vAlign w:val="center"/>
          </w:tcPr>
          <w:p w14:paraId="6A8FAA4B">
            <w:pPr>
              <w:keepNext w:val="0"/>
              <w:keepLines w:val="0"/>
              <w:pageBreakBefore w:val="0"/>
              <w:kinsoku/>
              <w:wordWrap/>
              <w:overflowPunct/>
              <w:topLinePunct w:val="0"/>
              <w:autoSpaceDE/>
              <w:autoSpaceDN/>
              <w:bidi w:val="0"/>
              <w:spacing w:line="360" w:lineRule="auto"/>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w:t>
            </w:r>
          </w:p>
        </w:tc>
        <w:tc>
          <w:tcPr>
            <w:tcW w:w="739" w:type="dxa"/>
            <w:tcBorders>
              <w:left w:val="single" w:color="auto" w:sz="4" w:space="0"/>
              <w:bottom w:val="single" w:color="auto" w:sz="4" w:space="0"/>
              <w:right w:val="single" w:color="auto" w:sz="4" w:space="0"/>
            </w:tcBorders>
            <w:noWrap w:val="0"/>
            <w:vAlign w:val="center"/>
          </w:tcPr>
          <w:p w14:paraId="1EEE4FFC">
            <w:pPr>
              <w:keepNext w:val="0"/>
              <w:keepLines w:val="0"/>
              <w:pageBreakBefore w:val="0"/>
              <w:kinsoku/>
              <w:wordWrap/>
              <w:overflowPunct/>
              <w:topLinePunct w:val="0"/>
              <w:autoSpaceDE/>
              <w:autoSpaceDN/>
              <w:bidi w:val="0"/>
              <w:spacing w:line="360" w:lineRule="auto"/>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双优专业群在线课程建设</w:t>
            </w:r>
          </w:p>
        </w:tc>
        <w:tc>
          <w:tcPr>
            <w:tcW w:w="717" w:type="dxa"/>
            <w:tcBorders>
              <w:top w:val="single" w:color="auto" w:sz="4" w:space="0"/>
              <w:left w:val="single" w:color="auto" w:sz="4" w:space="0"/>
              <w:bottom w:val="single" w:color="auto" w:sz="4" w:space="0"/>
              <w:right w:val="single" w:color="auto" w:sz="4" w:space="0"/>
            </w:tcBorders>
            <w:noWrap w:val="0"/>
            <w:vAlign w:val="center"/>
          </w:tcPr>
          <w:p w14:paraId="215C302C">
            <w:pPr>
              <w:keepNext w:val="0"/>
              <w:keepLines w:val="0"/>
              <w:pageBreakBefore w:val="0"/>
              <w:kinsoku/>
              <w:wordWrap/>
              <w:overflowPunct/>
              <w:topLinePunct w:val="0"/>
              <w:autoSpaceDE/>
              <w:autoSpaceDN/>
              <w:bidi w:val="0"/>
              <w:spacing w:line="360" w:lineRule="auto"/>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2门</w:t>
            </w:r>
          </w:p>
        </w:tc>
        <w:tc>
          <w:tcPr>
            <w:tcW w:w="5203" w:type="dxa"/>
            <w:tcBorders>
              <w:top w:val="single" w:color="auto" w:sz="4" w:space="0"/>
              <w:left w:val="single" w:color="auto" w:sz="4" w:space="0"/>
              <w:bottom w:val="single" w:color="auto" w:sz="4" w:space="0"/>
              <w:right w:val="single" w:color="auto" w:sz="4" w:space="0"/>
            </w:tcBorders>
            <w:noWrap w:val="0"/>
            <w:vAlign w:val="center"/>
          </w:tcPr>
          <w:p w14:paraId="5273BE85">
            <w:pPr>
              <w:keepNext w:val="0"/>
              <w:keepLines w:val="0"/>
              <w:pageBreakBefore w:val="0"/>
              <w:kinsoku/>
              <w:wordWrap/>
              <w:overflowPunct/>
              <w:topLinePunct w:val="0"/>
              <w:autoSpaceDE/>
              <w:autoSpaceDN/>
              <w:bidi w:val="0"/>
              <w:spacing w:line="360" w:lineRule="auto"/>
              <w:jc w:val="left"/>
              <w:textAlignment w:val="auto"/>
              <w:rPr>
                <w:rFonts w:hint="eastAsia" w:ascii="宋体" w:hAnsi="宋体" w:cs="宋体"/>
                <w:color w:val="auto"/>
                <w:sz w:val="21"/>
                <w:szCs w:val="21"/>
                <w:highlight w:val="none"/>
                <w:lang w:eastAsia="zh-CN"/>
              </w:rPr>
            </w:pPr>
            <w:r>
              <w:rPr>
                <w:rFonts w:hint="eastAsia" w:ascii="宋体" w:hAnsi="宋体" w:cs="宋体"/>
                <w:color w:val="auto"/>
                <w:sz w:val="21"/>
                <w:szCs w:val="21"/>
                <w:highlight w:val="none"/>
                <w:lang w:val="en-US" w:eastAsia="zh-CN"/>
              </w:rPr>
              <w:t>参照精品标准，指导</w:t>
            </w:r>
            <w:r>
              <w:rPr>
                <w:rFonts w:hint="eastAsia" w:ascii="宋体" w:hAnsi="宋体" w:cs="宋体"/>
                <w:color w:val="auto"/>
                <w:sz w:val="21"/>
                <w:szCs w:val="21"/>
                <w:highlight w:val="none"/>
                <w:lang w:eastAsia="zh-CN"/>
              </w:rPr>
              <w:t>在线精品课程</w:t>
            </w:r>
            <w:r>
              <w:rPr>
                <w:rFonts w:hint="eastAsia" w:ascii="宋体" w:hAnsi="宋体" w:cs="宋体"/>
                <w:color w:val="auto"/>
                <w:sz w:val="21"/>
                <w:szCs w:val="21"/>
                <w:highlight w:val="none"/>
                <w:lang w:val="en-US" w:eastAsia="zh-CN"/>
              </w:rPr>
              <w:t>建设2项</w:t>
            </w:r>
            <w:r>
              <w:rPr>
                <w:rFonts w:hint="eastAsia" w:ascii="宋体" w:hAnsi="宋体" w:cs="宋体"/>
                <w:color w:val="auto"/>
                <w:sz w:val="21"/>
                <w:szCs w:val="21"/>
                <w:highlight w:val="none"/>
                <w:lang w:eastAsia="zh-CN"/>
              </w:rPr>
              <w:t>。</w:t>
            </w:r>
          </w:p>
          <w:p w14:paraId="26EA8E17">
            <w:pPr>
              <w:keepNext w:val="0"/>
              <w:keepLines w:val="0"/>
              <w:pageBreakBefore w:val="0"/>
              <w:kinsoku/>
              <w:wordWrap/>
              <w:overflowPunct/>
              <w:topLinePunct w:val="0"/>
              <w:autoSpaceDE/>
              <w:autoSpaceDN/>
              <w:bidi w:val="0"/>
              <w:spacing w:line="360" w:lineRule="auto"/>
              <w:jc w:val="left"/>
              <w:textAlignment w:val="auto"/>
              <w:rPr>
                <w:rFonts w:hint="eastAsia" w:ascii="宋体" w:hAnsi="宋体" w:cs="宋体"/>
                <w:b/>
                <w:bCs/>
                <w:color w:val="auto"/>
                <w:sz w:val="21"/>
                <w:szCs w:val="21"/>
                <w:highlight w:val="none"/>
                <w:lang w:eastAsia="zh-CN"/>
              </w:rPr>
            </w:pPr>
            <w:r>
              <w:rPr>
                <w:rFonts w:hint="eastAsia" w:ascii="宋体" w:hAnsi="宋体" w:cs="宋体"/>
                <w:b/>
                <w:bCs/>
                <w:color w:val="auto"/>
                <w:sz w:val="21"/>
                <w:szCs w:val="21"/>
                <w:highlight w:val="none"/>
                <w:lang w:eastAsia="zh-CN"/>
              </w:rPr>
              <w:t>一、服务内容</w:t>
            </w:r>
          </w:p>
          <w:p w14:paraId="37ED6258">
            <w:pPr>
              <w:keepNext w:val="0"/>
              <w:keepLines w:val="0"/>
              <w:pageBreakBefore w:val="0"/>
              <w:kinsoku/>
              <w:wordWrap/>
              <w:overflowPunct/>
              <w:topLinePunct w:val="0"/>
              <w:autoSpaceDE/>
              <w:autoSpaceDN/>
              <w:bidi w:val="0"/>
              <w:spacing w:line="360" w:lineRule="auto"/>
              <w:jc w:val="left"/>
              <w:textAlignment w:val="auto"/>
              <w:rPr>
                <w:rFonts w:hint="eastAsia" w:ascii="宋体" w:hAnsi="宋体" w:cs="宋体"/>
                <w:color w:val="auto"/>
                <w:sz w:val="21"/>
                <w:szCs w:val="21"/>
                <w:highlight w:val="none"/>
                <w:lang w:eastAsia="zh-CN"/>
              </w:rPr>
            </w:pPr>
            <w:r>
              <w:rPr>
                <w:rFonts w:hint="eastAsia" w:ascii="宋体" w:hAnsi="宋体" w:cs="宋体"/>
                <w:color w:val="auto"/>
                <w:sz w:val="21"/>
                <w:szCs w:val="21"/>
                <w:highlight w:val="none"/>
                <w:lang w:eastAsia="zh-CN"/>
              </w:rPr>
              <w:t>1.指导完成 2 门在线课程建设，课程内容需融入新知识、新技术、新工艺、新方法，与行业先进水平保持同步。</w:t>
            </w:r>
          </w:p>
          <w:p w14:paraId="6D9CA689">
            <w:pPr>
              <w:keepNext w:val="0"/>
              <w:keepLines w:val="0"/>
              <w:pageBreakBefore w:val="0"/>
              <w:kinsoku/>
              <w:wordWrap/>
              <w:overflowPunct/>
              <w:topLinePunct w:val="0"/>
              <w:autoSpaceDE/>
              <w:autoSpaceDN/>
              <w:bidi w:val="0"/>
              <w:spacing w:line="360" w:lineRule="auto"/>
              <w:jc w:val="left"/>
              <w:textAlignment w:val="auto"/>
              <w:rPr>
                <w:rFonts w:hint="eastAsia" w:ascii="宋体" w:hAnsi="宋体" w:cs="宋体"/>
                <w:color w:val="auto"/>
                <w:sz w:val="21"/>
                <w:szCs w:val="21"/>
                <w:highlight w:val="none"/>
                <w:lang w:eastAsia="zh-CN"/>
              </w:rPr>
            </w:pPr>
            <w:r>
              <w:rPr>
                <w:rFonts w:hint="eastAsia" w:ascii="宋体" w:hAnsi="宋体" w:cs="宋体"/>
                <w:color w:val="auto"/>
                <w:sz w:val="21"/>
                <w:szCs w:val="21"/>
                <w:highlight w:val="none"/>
                <w:lang w:eastAsia="zh-CN"/>
              </w:rPr>
              <w:t>2.明确课程建设成果交付：包括数字教材平台账号、完整的数字教材内容及配套教学资源。</w:t>
            </w:r>
          </w:p>
          <w:p w14:paraId="5FC4CCEC">
            <w:pPr>
              <w:keepNext w:val="0"/>
              <w:keepLines w:val="0"/>
              <w:pageBreakBefore w:val="0"/>
              <w:kinsoku/>
              <w:wordWrap/>
              <w:overflowPunct/>
              <w:topLinePunct w:val="0"/>
              <w:autoSpaceDE/>
              <w:autoSpaceDN/>
              <w:bidi w:val="0"/>
              <w:spacing w:line="360" w:lineRule="auto"/>
              <w:jc w:val="left"/>
              <w:textAlignment w:val="auto"/>
              <w:rPr>
                <w:rFonts w:hint="eastAsia" w:ascii="宋体" w:hAnsi="宋体" w:cs="宋体"/>
                <w:color w:val="auto"/>
                <w:sz w:val="21"/>
                <w:szCs w:val="21"/>
                <w:highlight w:val="none"/>
                <w:lang w:eastAsia="zh-CN"/>
              </w:rPr>
            </w:pPr>
            <w:r>
              <w:rPr>
                <w:rFonts w:hint="eastAsia" w:ascii="宋体" w:hAnsi="宋体" w:cs="宋体"/>
                <w:color w:val="auto"/>
                <w:sz w:val="21"/>
                <w:szCs w:val="21"/>
                <w:highlight w:val="none"/>
                <w:lang w:eastAsia="zh-CN"/>
              </w:rPr>
              <w:t>3.确保课程建设全程符合自治区精品在线课程建设标准要求。</w:t>
            </w:r>
          </w:p>
          <w:p w14:paraId="1A596A49">
            <w:pPr>
              <w:keepNext w:val="0"/>
              <w:keepLines w:val="0"/>
              <w:pageBreakBefore w:val="0"/>
              <w:kinsoku/>
              <w:wordWrap/>
              <w:overflowPunct/>
              <w:topLinePunct w:val="0"/>
              <w:autoSpaceDE/>
              <w:autoSpaceDN/>
              <w:bidi w:val="0"/>
              <w:spacing w:line="360" w:lineRule="auto"/>
              <w:jc w:val="left"/>
              <w:textAlignment w:val="auto"/>
              <w:rPr>
                <w:rFonts w:hint="eastAsia" w:ascii="宋体" w:hAnsi="宋体" w:cs="宋体"/>
                <w:color w:val="auto"/>
                <w:sz w:val="21"/>
                <w:szCs w:val="21"/>
                <w:highlight w:val="none"/>
                <w:lang w:eastAsia="zh-CN"/>
              </w:rPr>
            </w:pPr>
            <w:r>
              <w:rPr>
                <w:rFonts w:hint="eastAsia" w:ascii="宋体" w:hAnsi="宋体" w:cs="宋体"/>
                <w:color w:val="auto"/>
                <w:sz w:val="21"/>
                <w:szCs w:val="21"/>
                <w:highlight w:val="none"/>
                <w:lang w:eastAsia="zh-CN"/>
              </w:rPr>
              <w:t>教学资源上线前开展审定会议1次，不少于3位副高级（</w:t>
            </w:r>
            <w:r>
              <w:rPr>
                <w:rFonts w:hint="eastAsia" w:ascii="宋体" w:hAnsi="宋体" w:cs="宋体"/>
                <w:color w:val="auto"/>
                <w:sz w:val="21"/>
                <w:szCs w:val="21"/>
                <w:highlight w:val="none"/>
                <w:lang w:val="en-US" w:eastAsia="zh-CN"/>
              </w:rPr>
              <w:t>含）</w:t>
            </w:r>
            <w:r>
              <w:rPr>
                <w:rFonts w:hint="eastAsia" w:ascii="宋体" w:hAnsi="宋体" w:cs="宋体"/>
                <w:color w:val="auto"/>
                <w:sz w:val="21"/>
                <w:szCs w:val="21"/>
                <w:highlight w:val="none"/>
                <w:lang w:eastAsia="zh-CN"/>
              </w:rPr>
              <w:t>以上专家。</w:t>
            </w:r>
          </w:p>
          <w:p w14:paraId="4ACF64E3">
            <w:pPr>
              <w:keepNext w:val="0"/>
              <w:keepLines w:val="0"/>
              <w:pageBreakBefore w:val="0"/>
              <w:kinsoku/>
              <w:wordWrap/>
              <w:overflowPunct/>
              <w:topLinePunct w:val="0"/>
              <w:autoSpaceDE/>
              <w:autoSpaceDN/>
              <w:bidi w:val="0"/>
              <w:spacing w:line="360" w:lineRule="auto"/>
              <w:jc w:val="left"/>
              <w:textAlignment w:val="auto"/>
              <w:rPr>
                <w:rFonts w:hint="eastAsia" w:ascii="宋体" w:hAnsi="宋体" w:cs="宋体"/>
                <w:b/>
                <w:bCs/>
                <w:color w:val="auto"/>
                <w:sz w:val="21"/>
                <w:szCs w:val="21"/>
                <w:highlight w:val="none"/>
                <w:lang w:eastAsia="zh-CN"/>
              </w:rPr>
            </w:pPr>
            <w:r>
              <w:rPr>
                <w:rFonts w:hint="eastAsia" w:ascii="宋体" w:hAnsi="宋体" w:cs="宋体"/>
                <w:b/>
                <w:bCs/>
                <w:color w:val="auto"/>
                <w:sz w:val="21"/>
                <w:szCs w:val="21"/>
                <w:highlight w:val="none"/>
                <w:lang w:eastAsia="zh-CN"/>
              </w:rPr>
              <w:t>二、服务要求</w:t>
            </w:r>
          </w:p>
          <w:p w14:paraId="04AF551C">
            <w:pPr>
              <w:keepNext w:val="0"/>
              <w:keepLines w:val="0"/>
              <w:pageBreakBefore w:val="0"/>
              <w:kinsoku/>
              <w:wordWrap/>
              <w:overflowPunct/>
              <w:topLinePunct w:val="0"/>
              <w:autoSpaceDE/>
              <w:autoSpaceDN/>
              <w:bidi w:val="0"/>
              <w:spacing w:line="360" w:lineRule="auto"/>
              <w:jc w:val="left"/>
              <w:textAlignment w:val="auto"/>
              <w:rPr>
                <w:rFonts w:hint="eastAsia" w:ascii="宋体" w:hAnsi="宋体" w:cs="宋体"/>
                <w:b/>
                <w:bCs/>
                <w:color w:val="auto"/>
                <w:sz w:val="21"/>
                <w:szCs w:val="21"/>
                <w:highlight w:val="none"/>
                <w:lang w:eastAsia="zh-CN"/>
              </w:rPr>
            </w:pPr>
            <w:r>
              <w:rPr>
                <w:rFonts w:hint="eastAsia" w:ascii="宋体" w:hAnsi="宋体" w:cs="宋体"/>
                <w:b/>
                <w:bCs/>
                <w:color w:val="auto"/>
                <w:sz w:val="21"/>
                <w:szCs w:val="21"/>
                <w:highlight w:val="none"/>
                <w:lang w:eastAsia="zh-CN"/>
              </w:rPr>
              <w:t>资源数量要求：</w:t>
            </w:r>
          </w:p>
          <w:p w14:paraId="1F6888DB">
            <w:pPr>
              <w:keepNext w:val="0"/>
              <w:keepLines w:val="0"/>
              <w:pageBreakBefore w:val="0"/>
              <w:kinsoku/>
              <w:wordWrap/>
              <w:overflowPunct/>
              <w:topLinePunct w:val="0"/>
              <w:autoSpaceDE/>
              <w:autoSpaceDN/>
              <w:bidi w:val="0"/>
              <w:spacing w:line="360" w:lineRule="auto"/>
              <w:jc w:val="left"/>
              <w:textAlignment w:val="auto"/>
              <w:rPr>
                <w:rFonts w:hint="eastAsia" w:ascii="宋体" w:hAnsi="宋体" w:cs="宋体"/>
                <w:color w:val="auto"/>
                <w:sz w:val="21"/>
                <w:szCs w:val="21"/>
                <w:highlight w:val="none"/>
                <w:lang w:eastAsia="zh-CN"/>
              </w:rPr>
            </w:pPr>
            <w:r>
              <w:rPr>
                <w:rFonts w:hint="eastAsia" w:ascii="宋体" w:hAnsi="宋体" w:cs="宋体"/>
                <w:color w:val="auto"/>
                <w:sz w:val="21"/>
                <w:szCs w:val="21"/>
                <w:highlight w:val="none"/>
                <w:lang w:eastAsia="zh-CN"/>
              </w:rPr>
              <w:t>课程介绍：2个，5-10分钟。</w:t>
            </w:r>
          </w:p>
          <w:p w14:paraId="5D2A05FB">
            <w:pPr>
              <w:keepNext w:val="0"/>
              <w:keepLines w:val="0"/>
              <w:pageBreakBefore w:val="0"/>
              <w:kinsoku/>
              <w:wordWrap/>
              <w:overflowPunct/>
              <w:topLinePunct w:val="0"/>
              <w:autoSpaceDE/>
              <w:autoSpaceDN/>
              <w:bidi w:val="0"/>
              <w:spacing w:line="360" w:lineRule="auto"/>
              <w:jc w:val="left"/>
              <w:textAlignment w:val="auto"/>
              <w:rPr>
                <w:rFonts w:hint="eastAsia" w:ascii="宋体" w:hAnsi="宋体" w:cs="宋体"/>
                <w:color w:val="auto"/>
                <w:sz w:val="21"/>
                <w:szCs w:val="21"/>
                <w:highlight w:val="none"/>
                <w:lang w:eastAsia="zh-CN"/>
              </w:rPr>
            </w:pPr>
            <w:r>
              <w:rPr>
                <w:rFonts w:hint="eastAsia" w:ascii="宋体" w:hAnsi="宋体" w:cs="宋体"/>
                <w:color w:val="auto"/>
                <w:sz w:val="21"/>
                <w:szCs w:val="21"/>
                <w:highlight w:val="none"/>
                <w:lang w:eastAsia="zh-CN"/>
              </w:rPr>
              <w:t>微课：350分钟/门(5个动画/门)时长 3-10 分钟/门。匹配教学内容中的重点、难点，以视频形式讲解、演示，使学生通过灵活、活泼的形式学习知识点。</w:t>
            </w:r>
          </w:p>
          <w:p w14:paraId="76A9CF78">
            <w:pPr>
              <w:keepNext w:val="0"/>
              <w:keepLines w:val="0"/>
              <w:pageBreakBefore w:val="0"/>
              <w:kinsoku/>
              <w:wordWrap/>
              <w:overflowPunct/>
              <w:topLinePunct w:val="0"/>
              <w:autoSpaceDE/>
              <w:autoSpaceDN/>
              <w:bidi w:val="0"/>
              <w:spacing w:line="360" w:lineRule="auto"/>
              <w:jc w:val="left"/>
              <w:textAlignment w:val="auto"/>
              <w:rPr>
                <w:rFonts w:hint="eastAsia" w:ascii="宋体" w:hAnsi="宋体" w:cs="宋体"/>
                <w:color w:val="auto"/>
                <w:sz w:val="21"/>
                <w:szCs w:val="21"/>
                <w:highlight w:val="none"/>
                <w:lang w:eastAsia="zh-CN"/>
              </w:rPr>
            </w:pPr>
            <w:r>
              <w:rPr>
                <w:rFonts w:hint="eastAsia" w:ascii="宋体" w:hAnsi="宋体" w:cs="宋体"/>
                <w:color w:val="auto"/>
                <w:sz w:val="21"/>
                <w:szCs w:val="21"/>
                <w:highlight w:val="none"/>
                <w:lang w:eastAsia="zh-CN"/>
              </w:rPr>
              <w:t>指导课件制作：2套以 PPT 形式融合教学目标、各种参考资料、学习素材等。</w:t>
            </w:r>
          </w:p>
          <w:p w14:paraId="22639403">
            <w:pPr>
              <w:keepNext w:val="0"/>
              <w:keepLines w:val="0"/>
              <w:pageBreakBefore w:val="0"/>
              <w:kinsoku/>
              <w:wordWrap/>
              <w:overflowPunct/>
              <w:topLinePunct w:val="0"/>
              <w:autoSpaceDE/>
              <w:autoSpaceDN/>
              <w:bidi w:val="0"/>
              <w:spacing w:line="360" w:lineRule="auto"/>
              <w:jc w:val="left"/>
              <w:textAlignment w:val="auto"/>
              <w:rPr>
                <w:rFonts w:hint="eastAsia" w:ascii="宋体" w:hAnsi="宋体" w:cs="宋体"/>
                <w:color w:val="auto"/>
                <w:sz w:val="21"/>
                <w:szCs w:val="21"/>
                <w:highlight w:val="none"/>
                <w:lang w:eastAsia="zh-CN"/>
              </w:rPr>
            </w:pPr>
            <w:r>
              <w:rPr>
                <w:rFonts w:hint="eastAsia" w:ascii="宋体" w:hAnsi="宋体" w:cs="宋体"/>
                <w:color w:val="auto"/>
                <w:sz w:val="21"/>
                <w:szCs w:val="21"/>
                <w:highlight w:val="none"/>
                <w:lang w:eastAsia="zh-CN"/>
              </w:rPr>
              <w:t>指导完成试题库：2套含课后练习题和单元自测题，课后检验学习成果和重难点掌握情况。</w:t>
            </w:r>
          </w:p>
          <w:p w14:paraId="56F23A93">
            <w:pPr>
              <w:keepNext w:val="0"/>
              <w:keepLines w:val="0"/>
              <w:pageBreakBefore w:val="0"/>
              <w:kinsoku/>
              <w:wordWrap/>
              <w:overflowPunct/>
              <w:topLinePunct w:val="0"/>
              <w:autoSpaceDE/>
              <w:autoSpaceDN/>
              <w:bidi w:val="0"/>
              <w:spacing w:line="360" w:lineRule="auto"/>
              <w:jc w:val="left"/>
              <w:textAlignment w:val="auto"/>
              <w:rPr>
                <w:rFonts w:hint="eastAsia" w:ascii="宋体" w:hAnsi="宋体" w:cs="宋体"/>
                <w:color w:val="auto"/>
                <w:sz w:val="21"/>
                <w:szCs w:val="21"/>
                <w:highlight w:val="none"/>
                <w:lang w:eastAsia="zh-CN"/>
              </w:rPr>
            </w:pPr>
            <w:r>
              <w:rPr>
                <w:rFonts w:hint="eastAsia" w:ascii="宋体" w:hAnsi="宋体" w:cs="宋体"/>
                <w:color w:val="auto"/>
                <w:sz w:val="21"/>
                <w:szCs w:val="21"/>
                <w:highlight w:val="none"/>
                <w:lang w:eastAsia="zh-CN"/>
              </w:rPr>
              <w:t>指导完成图库建设：2套以组合图片形式代替传统教材中的单个插图，提高辅助学习效果。包含思维导等。</w:t>
            </w:r>
          </w:p>
          <w:p w14:paraId="3CA438A1">
            <w:pPr>
              <w:keepNext w:val="0"/>
              <w:keepLines w:val="0"/>
              <w:pageBreakBefore w:val="0"/>
              <w:kinsoku/>
              <w:wordWrap/>
              <w:overflowPunct/>
              <w:topLinePunct w:val="0"/>
              <w:autoSpaceDE/>
              <w:autoSpaceDN/>
              <w:bidi w:val="0"/>
              <w:spacing w:line="360" w:lineRule="auto"/>
              <w:jc w:val="left"/>
              <w:textAlignment w:val="auto"/>
              <w:rPr>
                <w:rFonts w:hint="eastAsia" w:ascii="宋体" w:hAnsi="宋体" w:cs="宋体"/>
                <w:color w:val="auto"/>
                <w:sz w:val="21"/>
                <w:szCs w:val="21"/>
                <w:highlight w:val="none"/>
                <w:lang w:eastAsia="zh-CN"/>
              </w:rPr>
            </w:pPr>
            <w:r>
              <w:rPr>
                <w:rFonts w:hint="eastAsia" w:ascii="宋体" w:hAnsi="宋体" w:cs="宋体"/>
                <w:color w:val="auto"/>
                <w:sz w:val="21"/>
                <w:szCs w:val="21"/>
                <w:highlight w:val="none"/>
                <w:lang w:eastAsia="zh-CN"/>
              </w:rPr>
              <w:t>指导完成教学设计：2套，覆盖全部学时。</w:t>
            </w:r>
          </w:p>
          <w:p w14:paraId="4294C3DF">
            <w:pPr>
              <w:keepNext w:val="0"/>
              <w:keepLines w:val="0"/>
              <w:pageBreakBefore w:val="0"/>
              <w:kinsoku/>
              <w:wordWrap/>
              <w:overflowPunct/>
              <w:topLinePunct w:val="0"/>
              <w:autoSpaceDE/>
              <w:autoSpaceDN/>
              <w:bidi w:val="0"/>
              <w:spacing w:line="360" w:lineRule="auto"/>
              <w:jc w:val="left"/>
              <w:textAlignment w:val="auto"/>
              <w:rPr>
                <w:rFonts w:hint="eastAsia" w:ascii="宋体" w:hAnsi="宋体" w:cs="宋体"/>
                <w:color w:val="auto"/>
                <w:sz w:val="21"/>
                <w:szCs w:val="21"/>
                <w:highlight w:val="none"/>
                <w:lang w:eastAsia="zh-CN"/>
              </w:rPr>
            </w:pPr>
            <w:r>
              <w:rPr>
                <w:rFonts w:hint="eastAsia" w:ascii="宋体" w:hAnsi="宋体" w:cs="宋体"/>
                <w:color w:val="auto"/>
                <w:sz w:val="21"/>
                <w:szCs w:val="21"/>
                <w:highlight w:val="none"/>
                <w:lang w:eastAsia="zh-CN"/>
              </w:rPr>
              <w:t>指导完成课程标准：2个，完成课程性质、课程目标、内容目标、实施建议、课程评价。</w:t>
            </w:r>
          </w:p>
          <w:p w14:paraId="25107C7D">
            <w:pPr>
              <w:keepNext w:val="0"/>
              <w:keepLines w:val="0"/>
              <w:pageBreakBefore w:val="0"/>
              <w:kinsoku/>
              <w:wordWrap/>
              <w:overflowPunct/>
              <w:topLinePunct w:val="0"/>
              <w:autoSpaceDE/>
              <w:autoSpaceDN/>
              <w:bidi w:val="0"/>
              <w:spacing w:line="360" w:lineRule="auto"/>
              <w:jc w:val="left"/>
              <w:textAlignment w:val="auto"/>
              <w:rPr>
                <w:rFonts w:hint="eastAsia" w:ascii="宋体" w:hAnsi="宋体" w:cs="宋体"/>
                <w:b/>
                <w:bCs/>
                <w:color w:val="auto"/>
                <w:sz w:val="21"/>
                <w:szCs w:val="21"/>
                <w:highlight w:val="none"/>
                <w:lang w:eastAsia="zh-CN"/>
              </w:rPr>
            </w:pPr>
            <w:r>
              <w:rPr>
                <w:rFonts w:hint="eastAsia" w:ascii="宋体" w:hAnsi="宋体" w:cs="宋体"/>
                <w:b/>
                <w:bCs/>
                <w:color w:val="auto"/>
                <w:sz w:val="21"/>
                <w:szCs w:val="21"/>
                <w:highlight w:val="none"/>
                <w:lang w:eastAsia="zh-CN"/>
              </w:rPr>
              <w:t>课程资源技术要求：</w:t>
            </w:r>
          </w:p>
          <w:p w14:paraId="0C2CB017">
            <w:pPr>
              <w:keepNext w:val="0"/>
              <w:keepLines w:val="0"/>
              <w:pageBreakBefore w:val="0"/>
              <w:kinsoku/>
              <w:wordWrap/>
              <w:overflowPunct/>
              <w:topLinePunct w:val="0"/>
              <w:autoSpaceDE/>
              <w:autoSpaceDN/>
              <w:bidi w:val="0"/>
              <w:spacing w:line="360" w:lineRule="auto"/>
              <w:jc w:val="left"/>
              <w:textAlignment w:val="auto"/>
              <w:rPr>
                <w:rFonts w:hint="eastAsia" w:ascii="宋体" w:hAnsi="宋体" w:cs="宋体"/>
                <w:b/>
                <w:bCs/>
                <w:color w:val="auto"/>
                <w:sz w:val="21"/>
                <w:szCs w:val="21"/>
                <w:highlight w:val="none"/>
                <w:lang w:eastAsia="zh-CN"/>
              </w:rPr>
            </w:pPr>
            <w:r>
              <w:rPr>
                <w:rFonts w:hint="eastAsia" w:ascii="宋体" w:hAnsi="宋体" w:cs="宋体"/>
                <w:b/>
                <w:bCs/>
                <w:color w:val="auto"/>
                <w:sz w:val="21"/>
                <w:szCs w:val="21"/>
                <w:highlight w:val="none"/>
                <w:lang w:eastAsia="zh-CN"/>
              </w:rPr>
              <w:t>(一)课程建设指导</w:t>
            </w:r>
          </w:p>
          <w:p w14:paraId="5959588E">
            <w:pPr>
              <w:keepNext w:val="0"/>
              <w:keepLines w:val="0"/>
              <w:pageBreakBefore w:val="0"/>
              <w:kinsoku/>
              <w:wordWrap/>
              <w:overflowPunct/>
              <w:topLinePunct w:val="0"/>
              <w:autoSpaceDE/>
              <w:autoSpaceDN/>
              <w:bidi w:val="0"/>
              <w:spacing w:line="360" w:lineRule="auto"/>
              <w:jc w:val="left"/>
              <w:textAlignment w:val="auto"/>
              <w:rPr>
                <w:rFonts w:hint="eastAsia" w:ascii="宋体" w:hAnsi="宋体" w:cs="宋体"/>
                <w:color w:val="auto"/>
                <w:sz w:val="21"/>
                <w:szCs w:val="21"/>
                <w:highlight w:val="none"/>
                <w:lang w:eastAsia="zh-CN"/>
              </w:rPr>
            </w:pPr>
            <w:r>
              <w:rPr>
                <w:rFonts w:hint="eastAsia" w:ascii="宋体" w:hAnsi="宋体" w:cs="宋体"/>
                <w:color w:val="auto"/>
                <w:sz w:val="21"/>
                <w:szCs w:val="21"/>
                <w:highlight w:val="none"/>
                <w:lang w:eastAsia="zh-CN"/>
              </w:rPr>
              <w:t>1.聘请国内知名在线精品课程专家开展课程设计思路与逻辑指导2次，针对现有课程教学设计进行优化。</w:t>
            </w:r>
          </w:p>
          <w:p w14:paraId="36D9B9C8">
            <w:pPr>
              <w:keepNext w:val="0"/>
              <w:keepLines w:val="0"/>
              <w:pageBreakBefore w:val="0"/>
              <w:kinsoku/>
              <w:wordWrap/>
              <w:overflowPunct/>
              <w:topLinePunct w:val="0"/>
              <w:autoSpaceDE/>
              <w:autoSpaceDN/>
              <w:bidi w:val="0"/>
              <w:spacing w:line="360" w:lineRule="auto"/>
              <w:jc w:val="left"/>
              <w:textAlignment w:val="auto"/>
              <w:rPr>
                <w:rFonts w:hint="eastAsia" w:ascii="宋体" w:hAnsi="宋体" w:cs="宋体"/>
                <w:color w:val="auto"/>
                <w:sz w:val="21"/>
                <w:szCs w:val="21"/>
                <w:highlight w:val="none"/>
                <w:lang w:eastAsia="zh-CN"/>
              </w:rPr>
            </w:pPr>
            <w:r>
              <w:rPr>
                <w:rFonts w:hint="eastAsia" w:ascii="宋体" w:hAnsi="宋体" w:cs="宋体"/>
                <w:color w:val="auto"/>
                <w:sz w:val="21"/>
                <w:szCs w:val="21"/>
                <w:highlight w:val="none"/>
                <w:lang w:eastAsia="zh-CN"/>
              </w:rPr>
              <w:t>2.课程思政元素优化指导。</w:t>
            </w:r>
          </w:p>
          <w:p w14:paraId="500B7110">
            <w:pPr>
              <w:keepNext w:val="0"/>
              <w:keepLines w:val="0"/>
              <w:pageBreakBefore w:val="0"/>
              <w:kinsoku/>
              <w:wordWrap/>
              <w:overflowPunct/>
              <w:topLinePunct w:val="0"/>
              <w:autoSpaceDE/>
              <w:autoSpaceDN/>
              <w:bidi w:val="0"/>
              <w:spacing w:line="360" w:lineRule="auto"/>
              <w:jc w:val="left"/>
              <w:textAlignment w:val="auto"/>
              <w:rPr>
                <w:rFonts w:hint="eastAsia" w:ascii="宋体" w:hAnsi="宋体" w:cs="宋体"/>
                <w:color w:val="auto"/>
                <w:sz w:val="21"/>
                <w:szCs w:val="21"/>
                <w:highlight w:val="none"/>
                <w:lang w:eastAsia="zh-CN"/>
              </w:rPr>
            </w:pPr>
            <w:r>
              <w:rPr>
                <w:rFonts w:hint="eastAsia" w:ascii="宋体" w:hAnsi="宋体" w:cs="宋体"/>
                <w:color w:val="auto"/>
                <w:sz w:val="21"/>
                <w:szCs w:val="21"/>
                <w:highlight w:val="none"/>
                <w:lang w:eastAsia="zh-CN"/>
              </w:rPr>
              <w:t>3.安排技术人员到校进行建课和使用等方面的指导。</w:t>
            </w:r>
            <w:r>
              <w:rPr>
                <w:rFonts w:hint="eastAsia" w:ascii="宋体" w:hAnsi="宋体" w:cs="宋体"/>
                <w:color w:val="auto"/>
                <w:sz w:val="21"/>
                <w:szCs w:val="21"/>
                <w:highlight w:val="none"/>
                <w:lang w:val="en-US" w:eastAsia="zh-CN"/>
              </w:rPr>
              <w:t>中</w:t>
            </w:r>
            <w:r>
              <w:rPr>
                <w:rFonts w:hint="eastAsia" w:ascii="宋体" w:hAnsi="宋体" w:cs="宋体"/>
                <w:color w:val="auto"/>
                <w:sz w:val="21"/>
                <w:szCs w:val="21"/>
                <w:highlight w:val="none"/>
                <w:lang w:eastAsia="zh-CN"/>
              </w:rPr>
              <w:t>标人专业技术人员与教师共同进行资源设计与开发，资源内容包括课程介绍、教学课件、微课、二维动画、教学设计、题库、图库等。</w:t>
            </w:r>
          </w:p>
          <w:p w14:paraId="2C1BA60B">
            <w:pPr>
              <w:keepNext w:val="0"/>
              <w:keepLines w:val="0"/>
              <w:pageBreakBefore w:val="0"/>
              <w:kinsoku/>
              <w:wordWrap/>
              <w:overflowPunct/>
              <w:topLinePunct w:val="0"/>
              <w:autoSpaceDE/>
              <w:autoSpaceDN/>
              <w:bidi w:val="0"/>
              <w:spacing w:line="360" w:lineRule="auto"/>
              <w:jc w:val="left"/>
              <w:textAlignment w:val="auto"/>
              <w:rPr>
                <w:rFonts w:hint="eastAsia" w:ascii="宋体" w:hAnsi="宋体" w:cs="宋体"/>
                <w:color w:val="auto"/>
                <w:sz w:val="21"/>
                <w:szCs w:val="21"/>
                <w:highlight w:val="none"/>
                <w:lang w:eastAsia="zh-CN"/>
              </w:rPr>
            </w:pPr>
            <w:r>
              <w:rPr>
                <w:rFonts w:hint="eastAsia" w:ascii="宋体" w:hAnsi="宋体" w:cs="宋体"/>
                <w:color w:val="auto"/>
                <w:sz w:val="21"/>
                <w:szCs w:val="21"/>
                <w:highlight w:val="none"/>
                <w:lang w:eastAsia="zh-CN"/>
              </w:rPr>
              <w:t>4.将典型工作案例中抽象的理论原理、操作步骤、操作规范等内容，借助课程网络平台上的相应资源来呈现，汇总各类课程资源，如微课、图解、课件、参考资料等，形成线上运行的精品课程。</w:t>
            </w:r>
          </w:p>
          <w:p w14:paraId="4E22EE5F">
            <w:pPr>
              <w:keepNext w:val="0"/>
              <w:keepLines w:val="0"/>
              <w:pageBreakBefore w:val="0"/>
              <w:kinsoku/>
              <w:wordWrap/>
              <w:overflowPunct/>
              <w:topLinePunct w:val="0"/>
              <w:autoSpaceDE/>
              <w:autoSpaceDN/>
              <w:bidi w:val="0"/>
              <w:spacing w:line="360" w:lineRule="auto"/>
              <w:jc w:val="left"/>
              <w:textAlignment w:val="auto"/>
              <w:rPr>
                <w:rFonts w:hint="eastAsia" w:ascii="宋体" w:hAnsi="宋体" w:cs="宋体"/>
                <w:color w:val="auto"/>
                <w:sz w:val="21"/>
                <w:szCs w:val="21"/>
                <w:highlight w:val="none"/>
                <w:lang w:eastAsia="zh-CN"/>
              </w:rPr>
            </w:pPr>
            <w:r>
              <w:rPr>
                <w:rFonts w:hint="eastAsia" w:ascii="宋体" w:hAnsi="宋体" w:cs="宋体"/>
                <w:color w:val="auto"/>
                <w:sz w:val="21"/>
                <w:szCs w:val="21"/>
                <w:highlight w:val="none"/>
                <w:lang w:eastAsia="zh-CN"/>
              </w:rPr>
              <w:t>5.辅助上传平台。</w:t>
            </w:r>
          </w:p>
          <w:p w14:paraId="5AF5216B">
            <w:pPr>
              <w:keepNext w:val="0"/>
              <w:keepLines w:val="0"/>
              <w:pageBreakBefore w:val="0"/>
              <w:kinsoku/>
              <w:wordWrap/>
              <w:overflowPunct/>
              <w:topLinePunct w:val="0"/>
              <w:autoSpaceDE/>
              <w:autoSpaceDN/>
              <w:bidi w:val="0"/>
              <w:spacing w:line="360" w:lineRule="auto"/>
              <w:jc w:val="left"/>
              <w:textAlignment w:val="auto"/>
              <w:rPr>
                <w:rFonts w:hint="eastAsia" w:ascii="宋体" w:hAnsi="宋体" w:cs="宋体"/>
                <w:b/>
                <w:bCs/>
                <w:color w:val="auto"/>
                <w:sz w:val="21"/>
                <w:szCs w:val="21"/>
                <w:highlight w:val="none"/>
                <w:lang w:eastAsia="zh-CN"/>
              </w:rPr>
            </w:pPr>
            <w:r>
              <w:rPr>
                <w:rFonts w:hint="eastAsia" w:ascii="宋体" w:hAnsi="宋体" w:cs="宋体"/>
                <w:b/>
                <w:bCs/>
                <w:color w:val="auto"/>
                <w:sz w:val="21"/>
                <w:szCs w:val="21"/>
                <w:highlight w:val="none"/>
                <w:lang w:eastAsia="zh-CN"/>
              </w:rPr>
              <w:t>(二)思政元素设计融入</w:t>
            </w:r>
          </w:p>
          <w:p w14:paraId="6C79C60C">
            <w:pPr>
              <w:keepNext w:val="0"/>
              <w:keepLines w:val="0"/>
              <w:pageBreakBefore w:val="0"/>
              <w:kinsoku/>
              <w:wordWrap/>
              <w:overflowPunct/>
              <w:topLinePunct w:val="0"/>
              <w:autoSpaceDE/>
              <w:autoSpaceDN/>
              <w:bidi w:val="0"/>
              <w:spacing w:line="360" w:lineRule="auto"/>
              <w:jc w:val="left"/>
              <w:textAlignment w:val="auto"/>
              <w:rPr>
                <w:rFonts w:hint="eastAsia" w:ascii="宋体" w:hAnsi="宋体" w:cs="宋体"/>
                <w:color w:val="auto"/>
                <w:sz w:val="21"/>
                <w:szCs w:val="21"/>
                <w:highlight w:val="none"/>
                <w:lang w:eastAsia="zh-CN"/>
              </w:rPr>
            </w:pPr>
            <w:r>
              <w:rPr>
                <w:rFonts w:hint="eastAsia" w:ascii="宋体" w:hAnsi="宋体" w:cs="宋体"/>
                <w:color w:val="auto"/>
                <w:sz w:val="21"/>
                <w:szCs w:val="21"/>
                <w:highlight w:val="none"/>
                <w:lang w:eastAsia="zh-CN"/>
              </w:rPr>
              <w:t>通过相关专家培训与指导，在课程与知识点规划阶段就考虑思政元素与专业内的重难点进行融合，以工学一体化培养模式为基础，实现教学信息量充足,并符合学习者认知规律，具有较好的高阶性、创新性和挑战度。思政建设</w:t>
            </w:r>
          </w:p>
          <w:p w14:paraId="70755469">
            <w:pPr>
              <w:keepNext w:val="0"/>
              <w:keepLines w:val="0"/>
              <w:pageBreakBefore w:val="0"/>
              <w:kinsoku/>
              <w:wordWrap/>
              <w:overflowPunct/>
              <w:topLinePunct w:val="0"/>
              <w:autoSpaceDE/>
              <w:autoSpaceDN/>
              <w:bidi w:val="0"/>
              <w:spacing w:line="360" w:lineRule="auto"/>
              <w:jc w:val="left"/>
              <w:textAlignment w:val="auto"/>
              <w:rPr>
                <w:rFonts w:hint="eastAsia" w:ascii="宋体" w:hAnsi="宋体" w:cs="宋体"/>
                <w:color w:val="auto"/>
                <w:sz w:val="21"/>
                <w:szCs w:val="21"/>
                <w:highlight w:val="none"/>
                <w:lang w:eastAsia="zh-CN"/>
              </w:rPr>
            </w:pPr>
            <w:r>
              <w:rPr>
                <w:rFonts w:hint="eastAsia" w:ascii="宋体" w:hAnsi="宋体" w:cs="宋体"/>
                <w:color w:val="auto"/>
                <w:sz w:val="21"/>
                <w:szCs w:val="21"/>
                <w:highlight w:val="none"/>
                <w:lang w:eastAsia="zh-CN"/>
              </w:rPr>
              <w:t>目标如下：</w:t>
            </w:r>
          </w:p>
          <w:p w14:paraId="3C77B6CD">
            <w:pPr>
              <w:keepNext w:val="0"/>
              <w:keepLines w:val="0"/>
              <w:pageBreakBefore w:val="0"/>
              <w:kinsoku/>
              <w:wordWrap/>
              <w:overflowPunct/>
              <w:topLinePunct w:val="0"/>
              <w:autoSpaceDE/>
              <w:autoSpaceDN/>
              <w:bidi w:val="0"/>
              <w:spacing w:line="360" w:lineRule="auto"/>
              <w:jc w:val="left"/>
              <w:textAlignment w:val="auto"/>
              <w:rPr>
                <w:rFonts w:hint="eastAsia" w:ascii="宋体" w:hAnsi="宋体" w:cs="宋体"/>
                <w:color w:val="auto"/>
                <w:sz w:val="21"/>
                <w:szCs w:val="21"/>
                <w:highlight w:val="none"/>
                <w:lang w:eastAsia="zh-CN"/>
              </w:rPr>
            </w:pPr>
            <w:r>
              <w:rPr>
                <w:rFonts w:hint="eastAsia" w:ascii="宋体" w:hAnsi="宋体" w:cs="宋体"/>
                <w:color w:val="auto"/>
                <w:sz w:val="21"/>
                <w:szCs w:val="21"/>
                <w:highlight w:val="none"/>
                <w:lang w:eastAsia="zh-CN"/>
              </w:rPr>
              <w:t>1.运用思想政治理论教育的学科思维处理专业知识和教学目标，组织教学内容，融入政治认同、家国情怀、文化素养、宪法法治意识、道德修养等要素，潜移默化地对学习和的思想意识、行为举止产生积极影响，实现价值塑造、知识传授和能力培养相融合、教书与育人相统一。</w:t>
            </w:r>
          </w:p>
          <w:p w14:paraId="1E4CBC3F">
            <w:pPr>
              <w:keepNext w:val="0"/>
              <w:keepLines w:val="0"/>
              <w:pageBreakBefore w:val="0"/>
              <w:kinsoku/>
              <w:wordWrap/>
              <w:overflowPunct/>
              <w:topLinePunct w:val="0"/>
              <w:autoSpaceDE/>
              <w:autoSpaceDN/>
              <w:bidi w:val="0"/>
              <w:spacing w:line="360" w:lineRule="auto"/>
              <w:jc w:val="left"/>
              <w:textAlignment w:val="auto"/>
              <w:rPr>
                <w:rFonts w:hint="eastAsia" w:ascii="宋体" w:hAnsi="宋体" w:cs="宋体"/>
                <w:color w:val="auto"/>
                <w:sz w:val="21"/>
                <w:szCs w:val="21"/>
                <w:highlight w:val="none"/>
                <w:lang w:eastAsia="zh-CN"/>
              </w:rPr>
            </w:pPr>
            <w:r>
              <w:rPr>
                <w:rFonts w:hint="eastAsia" w:ascii="宋体" w:hAnsi="宋体" w:cs="宋体"/>
                <w:color w:val="auto"/>
                <w:sz w:val="21"/>
                <w:szCs w:val="21"/>
                <w:highlight w:val="none"/>
                <w:lang w:eastAsia="zh-CN"/>
              </w:rPr>
              <w:t>2.综合运用信息技术手段和数字资源把思政教育巧妙渗透教学全过程，教学方法运用恰当，教学策略使用有效。</w:t>
            </w:r>
          </w:p>
          <w:p w14:paraId="75532398">
            <w:pPr>
              <w:keepNext w:val="0"/>
              <w:keepLines w:val="0"/>
              <w:pageBreakBefore w:val="0"/>
              <w:kinsoku/>
              <w:wordWrap/>
              <w:overflowPunct/>
              <w:topLinePunct w:val="0"/>
              <w:autoSpaceDE/>
              <w:autoSpaceDN/>
              <w:bidi w:val="0"/>
              <w:spacing w:line="360" w:lineRule="auto"/>
              <w:jc w:val="left"/>
              <w:textAlignment w:val="auto"/>
              <w:rPr>
                <w:rFonts w:hint="eastAsia" w:ascii="宋体" w:hAnsi="宋体" w:cs="宋体"/>
                <w:color w:val="auto"/>
                <w:sz w:val="21"/>
                <w:szCs w:val="21"/>
                <w:highlight w:val="none"/>
                <w:lang w:eastAsia="zh-CN"/>
              </w:rPr>
            </w:pPr>
            <w:r>
              <w:rPr>
                <w:rFonts w:hint="eastAsia" w:ascii="宋体" w:hAnsi="宋体" w:cs="宋体"/>
                <w:color w:val="auto"/>
                <w:sz w:val="21"/>
                <w:szCs w:val="21"/>
                <w:highlight w:val="none"/>
                <w:lang w:eastAsia="zh-CN"/>
              </w:rPr>
              <w:t>3.具有良好的专业知识呈现，又具备科学精神、人文情怀，将投标人实践与课堂学习相结合，融入技能提升与</w:t>
            </w:r>
          </w:p>
          <w:p w14:paraId="2178F109">
            <w:pPr>
              <w:keepNext w:val="0"/>
              <w:keepLines w:val="0"/>
              <w:pageBreakBefore w:val="0"/>
              <w:kinsoku/>
              <w:wordWrap/>
              <w:overflowPunct/>
              <w:topLinePunct w:val="0"/>
              <w:autoSpaceDE/>
              <w:autoSpaceDN/>
              <w:bidi w:val="0"/>
              <w:spacing w:line="360" w:lineRule="auto"/>
              <w:jc w:val="left"/>
              <w:textAlignment w:val="auto"/>
              <w:rPr>
                <w:rFonts w:hint="eastAsia" w:ascii="宋体" w:hAnsi="宋体" w:cs="宋体"/>
                <w:color w:val="auto"/>
                <w:sz w:val="21"/>
                <w:szCs w:val="21"/>
                <w:highlight w:val="none"/>
                <w:lang w:eastAsia="zh-CN"/>
              </w:rPr>
            </w:pPr>
            <w:r>
              <w:rPr>
                <w:rFonts w:hint="eastAsia" w:ascii="宋体" w:hAnsi="宋体" w:cs="宋体"/>
                <w:color w:val="auto"/>
                <w:sz w:val="21"/>
                <w:szCs w:val="21"/>
                <w:highlight w:val="none"/>
                <w:lang w:eastAsia="zh-CN"/>
              </w:rPr>
              <w:t>素质提升。</w:t>
            </w:r>
          </w:p>
          <w:p w14:paraId="3C080057">
            <w:pPr>
              <w:keepNext w:val="0"/>
              <w:keepLines w:val="0"/>
              <w:pageBreakBefore w:val="0"/>
              <w:kinsoku/>
              <w:wordWrap/>
              <w:overflowPunct/>
              <w:topLinePunct w:val="0"/>
              <w:autoSpaceDE/>
              <w:autoSpaceDN/>
              <w:bidi w:val="0"/>
              <w:spacing w:line="360" w:lineRule="auto"/>
              <w:jc w:val="left"/>
              <w:textAlignment w:val="auto"/>
              <w:rPr>
                <w:rFonts w:hint="eastAsia" w:ascii="宋体" w:hAnsi="宋体" w:cs="宋体"/>
                <w:color w:val="auto"/>
                <w:sz w:val="21"/>
                <w:szCs w:val="21"/>
                <w:highlight w:val="none"/>
                <w:lang w:eastAsia="zh-CN"/>
              </w:rPr>
            </w:pPr>
            <w:r>
              <w:rPr>
                <w:rFonts w:hint="eastAsia" w:ascii="宋体" w:hAnsi="宋体" w:cs="宋体"/>
                <w:color w:val="auto"/>
                <w:sz w:val="21"/>
                <w:szCs w:val="21"/>
                <w:highlight w:val="none"/>
                <w:lang w:eastAsia="zh-CN"/>
              </w:rPr>
              <w:t>4.目标设计恰当，符合课程要求、学科特点和学生实际；明确具体、可观察、可测评、可达成；思政目标无缝对接知识、能力目标。</w:t>
            </w:r>
          </w:p>
          <w:p w14:paraId="3D30138C">
            <w:pPr>
              <w:keepNext w:val="0"/>
              <w:keepLines w:val="0"/>
              <w:pageBreakBefore w:val="0"/>
              <w:kinsoku/>
              <w:wordWrap/>
              <w:overflowPunct/>
              <w:topLinePunct w:val="0"/>
              <w:autoSpaceDE/>
              <w:autoSpaceDN/>
              <w:bidi w:val="0"/>
              <w:spacing w:line="360" w:lineRule="auto"/>
              <w:jc w:val="left"/>
              <w:textAlignment w:val="auto"/>
              <w:rPr>
                <w:rFonts w:hint="eastAsia" w:ascii="宋体" w:hAnsi="宋体" w:cs="宋体"/>
                <w:b/>
                <w:bCs/>
                <w:color w:val="auto"/>
                <w:sz w:val="21"/>
                <w:szCs w:val="21"/>
                <w:highlight w:val="none"/>
                <w:lang w:eastAsia="zh-CN"/>
              </w:rPr>
            </w:pPr>
            <w:r>
              <w:rPr>
                <w:rFonts w:hint="eastAsia" w:ascii="宋体" w:hAnsi="宋体" w:cs="宋体"/>
                <w:b/>
                <w:bCs/>
                <w:color w:val="auto"/>
                <w:sz w:val="21"/>
                <w:szCs w:val="21"/>
                <w:highlight w:val="none"/>
                <w:lang w:eastAsia="zh-CN"/>
              </w:rPr>
              <w:t>(三)制作要求</w:t>
            </w:r>
          </w:p>
          <w:p w14:paraId="73BE88CD">
            <w:pPr>
              <w:keepNext w:val="0"/>
              <w:keepLines w:val="0"/>
              <w:pageBreakBefore w:val="0"/>
              <w:kinsoku/>
              <w:wordWrap/>
              <w:overflowPunct/>
              <w:topLinePunct w:val="0"/>
              <w:autoSpaceDE/>
              <w:autoSpaceDN/>
              <w:bidi w:val="0"/>
              <w:spacing w:line="360" w:lineRule="auto"/>
              <w:jc w:val="left"/>
              <w:textAlignment w:val="auto"/>
              <w:rPr>
                <w:rFonts w:hint="eastAsia" w:ascii="宋体" w:hAnsi="宋体" w:cs="宋体"/>
                <w:color w:val="auto"/>
                <w:sz w:val="21"/>
                <w:szCs w:val="21"/>
                <w:highlight w:val="none"/>
                <w:lang w:eastAsia="zh-CN"/>
              </w:rPr>
            </w:pPr>
            <w:r>
              <w:rPr>
                <w:rFonts w:hint="eastAsia" w:ascii="宋体" w:hAnsi="宋体" w:cs="宋体"/>
                <w:color w:val="auto"/>
                <w:sz w:val="21"/>
                <w:szCs w:val="21"/>
                <w:highlight w:val="none"/>
                <w:lang w:eastAsia="zh-CN"/>
              </w:rPr>
              <w:t>1.资源内容基于教材，按照课程教学需求、课程标准进行建设。</w:t>
            </w:r>
          </w:p>
          <w:p w14:paraId="23FDABDB">
            <w:pPr>
              <w:keepNext w:val="0"/>
              <w:keepLines w:val="0"/>
              <w:pageBreakBefore w:val="0"/>
              <w:kinsoku/>
              <w:wordWrap/>
              <w:overflowPunct/>
              <w:topLinePunct w:val="0"/>
              <w:autoSpaceDE/>
              <w:autoSpaceDN/>
              <w:bidi w:val="0"/>
              <w:spacing w:line="360" w:lineRule="auto"/>
              <w:jc w:val="left"/>
              <w:textAlignment w:val="auto"/>
              <w:rPr>
                <w:rFonts w:hint="eastAsia" w:ascii="宋体" w:hAnsi="宋体" w:cs="宋体"/>
                <w:color w:val="auto"/>
                <w:sz w:val="21"/>
                <w:szCs w:val="21"/>
                <w:highlight w:val="none"/>
                <w:lang w:eastAsia="zh-CN"/>
              </w:rPr>
            </w:pPr>
            <w:r>
              <w:rPr>
                <w:rFonts w:hint="eastAsia" w:ascii="宋体" w:hAnsi="宋体" w:cs="宋体"/>
                <w:color w:val="auto"/>
                <w:sz w:val="21"/>
                <w:szCs w:val="21"/>
                <w:highlight w:val="none"/>
                <w:lang w:eastAsia="zh-CN"/>
              </w:rPr>
              <w:t>2.资源呈现的教学目标、重难点，与教材一致。</w:t>
            </w:r>
          </w:p>
          <w:p w14:paraId="3B226532">
            <w:pPr>
              <w:keepNext w:val="0"/>
              <w:keepLines w:val="0"/>
              <w:pageBreakBefore w:val="0"/>
              <w:kinsoku/>
              <w:wordWrap/>
              <w:overflowPunct/>
              <w:topLinePunct w:val="0"/>
              <w:autoSpaceDE/>
              <w:autoSpaceDN/>
              <w:bidi w:val="0"/>
              <w:spacing w:line="360" w:lineRule="auto"/>
              <w:jc w:val="left"/>
              <w:textAlignment w:val="auto"/>
              <w:rPr>
                <w:rFonts w:hint="eastAsia" w:ascii="宋体" w:hAnsi="宋体" w:cs="宋体"/>
                <w:color w:val="auto"/>
                <w:sz w:val="21"/>
                <w:szCs w:val="21"/>
                <w:highlight w:val="none"/>
                <w:lang w:eastAsia="zh-CN"/>
              </w:rPr>
            </w:pPr>
            <w:r>
              <w:rPr>
                <w:rFonts w:hint="eastAsia" w:ascii="宋体" w:hAnsi="宋体" w:cs="宋体"/>
                <w:color w:val="auto"/>
                <w:sz w:val="21"/>
                <w:szCs w:val="21"/>
                <w:highlight w:val="none"/>
                <w:lang w:eastAsia="zh-CN"/>
              </w:rPr>
              <w:t>3.资源内容无科学性错误。</w:t>
            </w:r>
          </w:p>
          <w:p w14:paraId="7E7B7BE0">
            <w:pPr>
              <w:keepNext w:val="0"/>
              <w:keepLines w:val="0"/>
              <w:pageBreakBefore w:val="0"/>
              <w:kinsoku/>
              <w:wordWrap/>
              <w:overflowPunct/>
              <w:topLinePunct w:val="0"/>
              <w:autoSpaceDE/>
              <w:autoSpaceDN/>
              <w:bidi w:val="0"/>
              <w:spacing w:line="360" w:lineRule="auto"/>
              <w:jc w:val="left"/>
              <w:textAlignment w:val="auto"/>
              <w:rPr>
                <w:rFonts w:hint="eastAsia" w:ascii="宋体" w:hAnsi="宋体" w:cs="宋体"/>
                <w:color w:val="auto"/>
                <w:sz w:val="21"/>
                <w:szCs w:val="21"/>
                <w:highlight w:val="none"/>
                <w:lang w:eastAsia="zh-CN"/>
              </w:rPr>
            </w:pPr>
            <w:r>
              <w:rPr>
                <w:rFonts w:hint="eastAsia" w:ascii="宋体" w:hAnsi="宋体" w:cs="宋体"/>
                <w:color w:val="auto"/>
                <w:sz w:val="21"/>
                <w:szCs w:val="21"/>
                <w:highlight w:val="none"/>
                <w:lang w:eastAsia="zh-CN"/>
              </w:rPr>
              <w:t>4.制作手段含视频拍摄、音频录制、动画设计制作等。</w:t>
            </w:r>
          </w:p>
          <w:p w14:paraId="5E1B895A">
            <w:pPr>
              <w:keepNext w:val="0"/>
              <w:keepLines w:val="0"/>
              <w:pageBreakBefore w:val="0"/>
              <w:kinsoku/>
              <w:wordWrap/>
              <w:overflowPunct/>
              <w:topLinePunct w:val="0"/>
              <w:autoSpaceDE/>
              <w:autoSpaceDN/>
              <w:bidi w:val="0"/>
              <w:spacing w:line="360" w:lineRule="auto"/>
              <w:jc w:val="left"/>
              <w:textAlignment w:val="auto"/>
              <w:rPr>
                <w:rFonts w:hint="eastAsia" w:ascii="宋体" w:hAnsi="宋体" w:cs="宋体"/>
                <w:color w:val="auto"/>
                <w:sz w:val="21"/>
                <w:szCs w:val="21"/>
                <w:highlight w:val="none"/>
                <w:lang w:eastAsia="zh-CN"/>
              </w:rPr>
            </w:pPr>
            <w:r>
              <w:rPr>
                <w:rFonts w:hint="eastAsia" w:ascii="宋体" w:hAnsi="宋体" w:cs="宋体"/>
                <w:color w:val="auto"/>
                <w:sz w:val="21"/>
                <w:szCs w:val="21"/>
                <w:highlight w:val="none"/>
                <w:lang w:eastAsia="zh-CN"/>
              </w:rPr>
              <w:t>5.微课的开发脚本由采购人专业老师提出教学设计思路，供应商具体落实设想，形成文本性文件，用于之后的制作。</w:t>
            </w:r>
          </w:p>
          <w:p w14:paraId="760CCA53">
            <w:pPr>
              <w:keepNext w:val="0"/>
              <w:keepLines w:val="0"/>
              <w:pageBreakBefore w:val="0"/>
              <w:kinsoku/>
              <w:wordWrap/>
              <w:overflowPunct/>
              <w:topLinePunct w:val="0"/>
              <w:autoSpaceDE/>
              <w:autoSpaceDN/>
              <w:bidi w:val="0"/>
              <w:spacing w:line="360" w:lineRule="auto"/>
              <w:jc w:val="left"/>
              <w:textAlignment w:val="auto"/>
              <w:rPr>
                <w:rFonts w:hint="eastAsia" w:ascii="宋体" w:hAnsi="宋体" w:cs="宋体"/>
                <w:color w:val="auto"/>
                <w:sz w:val="21"/>
                <w:szCs w:val="21"/>
                <w:highlight w:val="none"/>
                <w:lang w:eastAsia="zh-CN"/>
              </w:rPr>
            </w:pPr>
            <w:r>
              <w:rPr>
                <w:rFonts w:hint="eastAsia" w:ascii="宋体" w:hAnsi="宋体" w:cs="宋体"/>
                <w:color w:val="auto"/>
                <w:sz w:val="21"/>
                <w:szCs w:val="21"/>
                <w:highlight w:val="none"/>
                <w:lang w:eastAsia="zh-CN"/>
              </w:rPr>
              <w:t>6.微课的制作包括知识点教学结构设计、碎片资源教学设计、素材采集、知识点的知识内容编辑加工处理(包括后期剪辑、配音、字幕)等。</w:t>
            </w:r>
          </w:p>
          <w:p w14:paraId="2E14261C">
            <w:pPr>
              <w:keepNext w:val="0"/>
              <w:keepLines w:val="0"/>
              <w:pageBreakBefore w:val="0"/>
              <w:kinsoku/>
              <w:wordWrap/>
              <w:overflowPunct/>
              <w:topLinePunct w:val="0"/>
              <w:autoSpaceDE/>
              <w:autoSpaceDN/>
              <w:bidi w:val="0"/>
              <w:spacing w:line="360" w:lineRule="auto"/>
              <w:jc w:val="left"/>
              <w:textAlignment w:val="auto"/>
              <w:rPr>
                <w:rFonts w:hint="eastAsia" w:ascii="宋体" w:hAnsi="宋体" w:cs="宋体"/>
                <w:color w:val="auto"/>
                <w:sz w:val="21"/>
                <w:szCs w:val="21"/>
                <w:highlight w:val="none"/>
                <w:lang w:eastAsia="zh-CN"/>
              </w:rPr>
            </w:pPr>
            <w:r>
              <w:rPr>
                <w:rFonts w:hint="eastAsia" w:ascii="宋体" w:hAnsi="宋体" w:cs="宋体"/>
                <w:color w:val="auto"/>
                <w:sz w:val="21"/>
                <w:szCs w:val="21"/>
                <w:highlight w:val="none"/>
                <w:lang w:eastAsia="zh-CN"/>
              </w:rPr>
              <w:t>7.教学课件的制作应在充分理解教师的教学设计基础上，综合使用动画、视频、二维等技术将其进行可视化建构，辅助教师和学生完成一堂沉浸式的教与学的体验。</w:t>
            </w:r>
          </w:p>
          <w:p w14:paraId="61A32DB3">
            <w:pPr>
              <w:keepNext w:val="0"/>
              <w:keepLines w:val="0"/>
              <w:pageBreakBefore w:val="0"/>
              <w:kinsoku/>
              <w:wordWrap/>
              <w:overflowPunct/>
              <w:topLinePunct w:val="0"/>
              <w:autoSpaceDE/>
              <w:autoSpaceDN/>
              <w:bidi w:val="0"/>
              <w:spacing w:line="360" w:lineRule="auto"/>
              <w:jc w:val="left"/>
              <w:textAlignment w:val="auto"/>
              <w:rPr>
                <w:rFonts w:hint="eastAsia" w:ascii="宋体" w:hAnsi="宋体" w:cs="宋体"/>
                <w:color w:val="auto"/>
                <w:sz w:val="21"/>
                <w:szCs w:val="21"/>
                <w:highlight w:val="none"/>
                <w:lang w:eastAsia="zh-CN"/>
              </w:rPr>
            </w:pPr>
            <w:r>
              <w:rPr>
                <w:rFonts w:hint="eastAsia" w:ascii="宋体" w:hAnsi="宋体" w:cs="宋体"/>
                <w:color w:val="auto"/>
                <w:sz w:val="21"/>
                <w:szCs w:val="21"/>
                <w:highlight w:val="none"/>
                <w:lang w:eastAsia="zh-CN"/>
              </w:rPr>
              <w:t>8.所有资源可独立运行，也可与教材融合使用。</w:t>
            </w:r>
          </w:p>
          <w:p w14:paraId="59C9A650">
            <w:pPr>
              <w:keepNext w:val="0"/>
              <w:keepLines w:val="0"/>
              <w:pageBreakBefore w:val="0"/>
              <w:kinsoku/>
              <w:wordWrap/>
              <w:overflowPunct/>
              <w:topLinePunct w:val="0"/>
              <w:autoSpaceDE/>
              <w:autoSpaceDN/>
              <w:bidi w:val="0"/>
              <w:spacing w:line="360" w:lineRule="auto"/>
              <w:jc w:val="left"/>
              <w:textAlignment w:val="auto"/>
              <w:rPr>
                <w:rFonts w:hint="eastAsia" w:ascii="宋体" w:hAnsi="宋体" w:cs="宋体"/>
                <w:color w:val="auto"/>
                <w:sz w:val="21"/>
                <w:szCs w:val="21"/>
                <w:highlight w:val="none"/>
                <w:lang w:eastAsia="zh-CN"/>
              </w:rPr>
            </w:pPr>
            <w:r>
              <w:rPr>
                <w:rFonts w:hint="eastAsia" w:ascii="宋体" w:hAnsi="宋体" w:cs="宋体"/>
                <w:color w:val="auto"/>
                <w:sz w:val="21"/>
                <w:szCs w:val="21"/>
                <w:highlight w:val="none"/>
                <w:lang w:eastAsia="zh-CN"/>
              </w:rPr>
              <w:t>9.为丰富教材资源建设，方便老师案例教学，供应商需协助教材负责人策划教学资源与纸质内容融合。</w:t>
            </w:r>
          </w:p>
          <w:p w14:paraId="0BA76486">
            <w:pPr>
              <w:keepNext w:val="0"/>
              <w:keepLines w:val="0"/>
              <w:pageBreakBefore w:val="0"/>
              <w:kinsoku/>
              <w:wordWrap/>
              <w:overflowPunct/>
              <w:topLinePunct w:val="0"/>
              <w:autoSpaceDE/>
              <w:autoSpaceDN/>
              <w:bidi w:val="0"/>
              <w:spacing w:line="360" w:lineRule="auto"/>
              <w:jc w:val="left"/>
              <w:textAlignment w:val="auto"/>
              <w:rPr>
                <w:rFonts w:hint="eastAsia" w:ascii="宋体" w:hAnsi="宋体" w:cs="宋体"/>
                <w:color w:val="auto"/>
                <w:sz w:val="21"/>
                <w:szCs w:val="21"/>
                <w:highlight w:val="none"/>
                <w:lang w:eastAsia="zh-CN"/>
              </w:rPr>
            </w:pPr>
            <w:r>
              <w:rPr>
                <w:rFonts w:hint="eastAsia" w:ascii="宋体" w:hAnsi="宋体" w:cs="宋体"/>
                <w:color w:val="auto"/>
                <w:sz w:val="21"/>
                <w:szCs w:val="21"/>
                <w:highlight w:val="none"/>
                <w:lang w:eastAsia="zh-CN"/>
              </w:rPr>
              <w:t>10.可以网络运行的资源内容与教材通过二维码形式融合。</w:t>
            </w:r>
          </w:p>
          <w:p w14:paraId="1B470C8F">
            <w:pPr>
              <w:keepNext w:val="0"/>
              <w:keepLines w:val="0"/>
              <w:pageBreakBefore w:val="0"/>
              <w:kinsoku/>
              <w:wordWrap/>
              <w:overflowPunct/>
              <w:topLinePunct w:val="0"/>
              <w:autoSpaceDE/>
              <w:autoSpaceDN/>
              <w:bidi w:val="0"/>
              <w:spacing w:line="360" w:lineRule="auto"/>
              <w:jc w:val="left"/>
              <w:textAlignment w:val="auto"/>
              <w:rPr>
                <w:rFonts w:hint="eastAsia" w:ascii="宋体" w:hAnsi="宋体" w:cs="宋体"/>
                <w:b/>
                <w:bCs/>
                <w:color w:val="auto"/>
                <w:sz w:val="21"/>
                <w:szCs w:val="21"/>
                <w:highlight w:val="none"/>
                <w:lang w:eastAsia="zh-CN"/>
              </w:rPr>
            </w:pPr>
            <w:r>
              <w:rPr>
                <w:rFonts w:hint="eastAsia" w:ascii="宋体" w:hAnsi="宋体" w:cs="宋体"/>
                <w:b/>
                <w:bCs/>
                <w:color w:val="auto"/>
                <w:sz w:val="21"/>
                <w:szCs w:val="21"/>
                <w:highlight w:val="none"/>
                <w:lang w:eastAsia="zh-CN"/>
              </w:rPr>
              <w:t>(</w:t>
            </w:r>
            <w:r>
              <w:rPr>
                <w:rFonts w:hint="eastAsia" w:ascii="宋体" w:hAnsi="宋体" w:cs="宋体"/>
                <w:b/>
                <w:bCs/>
                <w:color w:val="auto"/>
                <w:sz w:val="21"/>
                <w:szCs w:val="21"/>
                <w:highlight w:val="none"/>
                <w:lang w:val="en-US" w:eastAsia="zh-CN"/>
              </w:rPr>
              <w:t>四</w:t>
            </w:r>
            <w:r>
              <w:rPr>
                <w:rFonts w:hint="eastAsia" w:ascii="宋体" w:hAnsi="宋体" w:cs="宋体"/>
                <w:b/>
                <w:bCs/>
                <w:color w:val="auto"/>
                <w:sz w:val="21"/>
                <w:szCs w:val="21"/>
                <w:highlight w:val="none"/>
                <w:lang w:eastAsia="zh-CN"/>
              </w:rPr>
              <w:t>)服务团队要求：</w:t>
            </w:r>
          </w:p>
          <w:p w14:paraId="7001CD43">
            <w:pPr>
              <w:keepNext w:val="0"/>
              <w:keepLines w:val="0"/>
              <w:pageBreakBefore w:val="0"/>
              <w:kinsoku/>
              <w:wordWrap/>
              <w:overflowPunct/>
              <w:topLinePunct w:val="0"/>
              <w:autoSpaceDE/>
              <w:autoSpaceDN/>
              <w:bidi w:val="0"/>
              <w:spacing w:line="360" w:lineRule="auto"/>
              <w:jc w:val="left"/>
              <w:textAlignment w:val="auto"/>
              <w:rPr>
                <w:rFonts w:hint="eastAsia" w:ascii="宋体" w:hAnsi="宋体" w:cs="宋体"/>
                <w:color w:val="auto"/>
                <w:sz w:val="21"/>
                <w:szCs w:val="21"/>
                <w:highlight w:val="none"/>
                <w:lang w:eastAsia="zh-CN"/>
              </w:rPr>
            </w:pPr>
            <w:r>
              <w:rPr>
                <w:rFonts w:hint="eastAsia" w:ascii="宋体" w:hAnsi="宋体" w:cs="宋体"/>
                <w:color w:val="auto"/>
                <w:sz w:val="21"/>
                <w:szCs w:val="21"/>
                <w:highlight w:val="none"/>
                <w:lang w:eastAsia="zh-CN"/>
              </w:rPr>
              <w:t>1.供应商具有从事职业教育教学规划、精品课程开发、课程设计规划等类型项目的丰富经验。</w:t>
            </w:r>
          </w:p>
          <w:p w14:paraId="3AAB939B">
            <w:pPr>
              <w:keepNext w:val="0"/>
              <w:keepLines w:val="0"/>
              <w:pageBreakBefore w:val="0"/>
              <w:kinsoku/>
              <w:wordWrap/>
              <w:overflowPunct/>
              <w:topLinePunct w:val="0"/>
              <w:autoSpaceDE/>
              <w:autoSpaceDN/>
              <w:bidi w:val="0"/>
              <w:spacing w:line="360" w:lineRule="auto"/>
              <w:jc w:val="left"/>
              <w:textAlignment w:val="auto"/>
              <w:rPr>
                <w:rFonts w:hint="eastAsia" w:ascii="宋体" w:hAnsi="宋体" w:cs="宋体"/>
                <w:color w:val="auto"/>
                <w:sz w:val="21"/>
                <w:szCs w:val="21"/>
                <w:highlight w:val="none"/>
                <w:lang w:eastAsia="zh-CN"/>
              </w:rPr>
            </w:pPr>
            <w:r>
              <w:rPr>
                <w:rFonts w:hint="eastAsia" w:ascii="宋体" w:hAnsi="宋体" w:cs="宋体"/>
                <w:color w:val="auto"/>
                <w:sz w:val="21"/>
                <w:szCs w:val="21"/>
                <w:highlight w:val="none"/>
                <w:lang w:eastAsia="zh-CN"/>
              </w:rPr>
              <w:t>2.供应商自身拥有完善的专业技术人员配备，针对本项目提供不少于3人的项目服务团队，具备以下岗位人员，满足本项目课程资源开发和制作方面专业需求。</w:t>
            </w:r>
          </w:p>
          <w:p w14:paraId="1E6D0A11">
            <w:pPr>
              <w:keepNext w:val="0"/>
              <w:keepLines w:val="0"/>
              <w:pageBreakBefore w:val="0"/>
              <w:kinsoku/>
              <w:wordWrap/>
              <w:overflowPunct/>
              <w:topLinePunct w:val="0"/>
              <w:autoSpaceDE/>
              <w:autoSpaceDN/>
              <w:bidi w:val="0"/>
              <w:spacing w:line="360" w:lineRule="auto"/>
              <w:jc w:val="left"/>
              <w:textAlignment w:val="auto"/>
              <w:rPr>
                <w:rFonts w:hint="eastAsia" w:ascii="宋体" w:hAnsi="宋体" w:cs="宋体"/>
                <w:color w:val="auto"/>
                <w:sz w:val="21"/>
                <w:szCs w:val="21"/>
                <w:highlight w:val="none"/>
                <w:lang w:eastAsia="zh-CN"/>
              </w:rPr>
            </w:pPr>
            <w:r>
              <w:rPr>
                <w:rFonts w:hint="eastAsia" w:ascii="宋体" w:hAnsi="宋体" w:cs="宋体"/>
                <w:color w:val="auto"/>
                <w:sz w:val="21"/>
                <w:szCs w:val="21"/>
                <w:highlight w:val="none"/>
                <w:lang w:eastAsia="zh-CN"/>
              </w:rPr>
              <w:t>(1)项目负责人：统筹负责沟通对接和制作审核等任务，具备教学经验，具备同类项目实施和管理经验。</w:t>
            </w:r>
          </w:p>
          <w:p w14:paraId="6DB3F078">
            <w:pPr>
              <w:keepNext w:val="0"/>
              <w:keepLines w:val="0"/>
              <w:pageBreakBefore w:val="0"/>
              <w:kinsoku/>
              <w:wordWrap/>
              <w:overflowPunct/>
              <w:topLinePunct w:val="0"/>
              <w:autoSpaceDE/>
              <w:autoSpaceDN/>
              <w:bidi w:val="0"/>
              <w:spacing w:line="360" w:lineRule="auto"/>
              <w:jc w:val="left"/>
              <w:textAlignment w:val="auto"/>
              <w:rPr>
                <w:rFonts w:hint="eastAsia" w:ascii="宋体" w:hAnsi="宋体" w:cs="宋体"/>
                <w:color w:val="auto"/>
                <w:sz w:val="21"/>
                <w:szCs w:val="21"/>
                <w:highlight w:val="none"/>
                <w:lang w:eastAsia="zh-CN"/>
              </w:rPr>
            </w:pPr>
            <w:r>
              <w:rPr>
                <w:rFonts w:hint="eastAsia" w:ascii="宋体" w:hAnsi="宋体" w:cs="宋体"/>
                <w:color w:val="auto"/>
                <w:sz w:val="21"/>
                <w:szCs w:val="21"/>
                <w:highlight w:val="none"/>
                <w:lang w:eastAsia="zh-CN"/>
              </w:rPr>
              <w:t>(2)专业编辑：与老师协作进行课程资源开发工作。</w:t>
            </w:r>
          </w:p>
          <w:p w14:paraId="10CD97CF">
            <w:pPr>
              <w:keepNext w:val="0"/>
              <w:keepLines w:val="0"/>
              <w:pageBreakBefore w:val="0"/>
              <w:kinsoku/>
              <w:wordWrap/>
              <w:overflowPunct/>
              <w:topLinePunct w:val="0"/>
              <w:autoSpaceDE/>
              <w:autoSpaceDN/>
              <w:bidi w:val="0"/>
              <w:spacing w:line="360" w:lineRule="auto"/>
              <w:jc w:val="left"/>
              <w:textAlignment w:val="auto"/>
              <w:rPr>
                <w:rFonts w:hint="eastAsia" w:ascii="宋体" w:hAnsi="宋体" w:cs="宋体"/>
                <w:color w:val="auto"/>
                <w:sz w:val="21"/>
                <w:szCs w:val="21"/>
                <w:highlight w:val="none"/>
                <w:lang w:eastAsia="zh-CN"/>
              </w:rPr>
            </w:pPr>
            <w:r>
              <w:rPr>
                <w:rFonts w:hint="eastAsia" w:ascii="宋体" w:hAnsi="宋体" w:cs="宋体"/>
                <w:color w:val="auto"/>
                <w:sz w:val="21"/>
                <w:szCs w:val="21"/>
                <w:highlight w:val="none"/>
                <w:lang w:eastAsia="zh-CN"/>
              </w:rPr>
              <w:t>(3)课程编导：审读解读课程教学需求、课程目标、人才培养方案，具备课程设计经验与能力，能够与任课教师沟通对接并提供专业化建议和解决方案，能够进行脚本的设计与策划，具有专业的文字开发编辑能力。</w:t>
            </w:r>
          </w:p>
          <w:p w14:paraId="61189E16">
            <w:pPr>
              <w:keepNext w:val="0"/>
              <w:keepLines w:val="0"/>
              <w:pageBreakBefore w:val="0"/>
              <w:kinsoku/>
              <w:wordWrap/>
              <w:overflowPunct/>
              <w:topLinePunct w:val="0"/>
              <w:autoSpaceDE/>
              <w:autoSpaceDN/>
              <w:bidi w:val="0"/>
              <w:spacing w:line="360" w:lineRule="auto"/>
              <w:jc w:val="left"/>
              <w:textAlignment w:val="auto"/>
              <w:rPr>
                <w:rFonts w:hint="eastAsia" w:ascii="宋体" w:hAnsi="宋体" w:cs="宋体"/>
                <w:color w:val="auto"/>
                <w:sz w:val="21"/>
                <w:szCs w:val="21"/>
                <w:highlight w:val="none"/>
                <w:lang w:eastAsia="zh-CN"/>
              </w:rPr>
            </w:pPr>
            <w:r>
              <w:rPr>
                <w:rFonts w:hint="eastAsia" w:ascii="宋体" w:hAnsi="宋体" w:cs="宋体"/>
                <w:color w:val="auto"/>
                <w:sz w:val="21"/>
                <w:szCs w:val="21"/>
                <w:highlight w:val="none"/>
                <w:lang w:eastAsia="zh-CN"/>
              </w:rPr>
              <w:t>(4)拍摄小组：负责现场的场景搭建、灯光布置，视频录制，音频录制，其他拍摄设备的准备、调试和维护。</w:t>
            </w:r>
          </w:p>
          <w:p w14:paraId="21234816">
            <w:pPr>
              <w:keepNext w:val="0"/>
              <w:keepLines w:val="0"/>
              <w:pageBreakBefore w:val="0"/>
              <w:kinsoku/>
              <w:wordWrap/>
              <w:overflowPunct/>
              <w:topLinePunct w:val="0"/>
              <w:autoSpaceDE/>
              <w:autoSpaceDN/>
              <w:bidi w:val="0"/>
              <w:spacing w:line="360" w:lineRule="auto"/>
              <w:jc w:val="left"/>
              <w:textAlignment w:val="auto"/>
              <w:rPr>
                <w:rFonts w:hint="eastAsia" w:ascii="宋体" w:hAnsi="宋体" w:cs="宋体"/>
                <w:color w:val="auto"/>
                <w:sz w:val="21"/>
                <w:szCs w:val="21"/>
                <w:highlight w:val="none"/>
                <w:lang w:eastAsia="zh-CN"/>
              </w:rPr>
            </w:pPr>
            <w:r>
              <w:rPr>
                <w:rFonts w:hint="eastAsia" w:ascii="宋体" w:hAnsi="宋体" w:cs="宋体"/>
                <w:color w:val="auto"/>
                <w:sz w:val="21"/>
                <w:szCs w:val="21"/>
                <w:highlight w:val="none"/>
                <w:lang w:eastAsia="zh-CN"/>
              </w:rPr>
              <w:t>(5)场务：现场记录，拍摄文件的收集、整理、备份、上传等，辅助教师准备衣着、仪容、随身设备等，根据实际需求灵活提供提词器解决方案。应能根据课程教学需求、实际场地条件等，搭建方便拍摄的场地，包括但不限于绿幕环境、常亮灯光环境的创建。并在技术上实现声音、光线的不受干扰。</w:t>
            </w:r>
          </w:p>
          <w:p w14:paraId="69B67A4E">
            <w:pPr>
              <w:keepNext w:val="0"/>
              <w:keepLines w:val="0"/>
              <w:pageBreakBefore w:val="0"/>
              <w:kinsoku/>
              <w:wordWrap/>
              <w:overflowPunct/>
              <w:topLinePunct w:val="0"/>
              <w:autoSpaceDE/>
              <w:autoSpaceDN/>
              <w:bidi w:val="0"/>
              <w:spacing w:line="360" w:lineRule="auto"/>
              <w:jc w:val="left"/>
              <w:textAlignment w:val="auto"/>
              <w:rPr>
                <w:rFonts w:hint="eastAsia" w:ascii="宋体" w:hAnsi="宋体" w:cs="宋体"/>
                <w:color w:val="auto"/>
                <w:sz w:val="21"/>
                <w:szCs w:val="21"/>
                <w:highlight w:val="none"/>
                <w:lang w:eastAsia="zh-CN"/>
              </w:rPr>
            </w:pPr>
            <w:r>
              <w:rPr>
                <w:rFonts w:hint="eastAsia" w:ascii="宋体" w:hAnsi="宋体" w:cs="宋体"/>
                <w:color w:val="auto"/>
                <w:sz w:val="21"/>
                <w:szCs w:val="21"/>
                <w:highlight w:val="none"/>
                <w:lang w:eastAsia="zh-CN"/>
              </w:rPr>
              <w:t>(6)后期剪辑：基于脚本、拍摄素材、音频素材，进行后期剪辑合成，片头片尾及其他特效的设计与制作。</w:t>
            </w:r>
          </w:p>
          <w:p w14:paraId="32A935EE">
            <w:pPr>
              <w:keepNext w:val="0"/>
              <w:keepLines w:val="0"/>
              <w:pageBreakBefore w:val="0"/>
              <w:kinsoku/>
              <w:wordWrap/>
              <w:overflowPunct/>
              <w:topLinePunct w:val="0"/>
              <w:autoSpaceDE/>
              <w:autoSpaceDN/>
              <w:bidi w:val="0"/>
              <w:spacing w:line="360" w:lineRule="auto"/>
              <w:jc w:val="left"/>
              <w:textAlignment w:val="auto"/>
              <w:rPr>
                <w:rFonts w:hint="eastAsia" w:ascii="宋体" w:hAnsi="宋体" w:cs="宋体"/>
                <w:color w:val="auto"/>
                <w:sz w:val="21"/>
                <w:szCs w:val="21"/>
                <w:highlight w:val="none"/>
                <w:lang w:eastAsia="zh-CN"/>
              </w:rPr>
            </w:pPr>
            <w:r>
              <w:rPr>
                <w:rFonts w:hint="eastAsia" w:ascii="宋体" w:hAnsi="宋体" w:cs="宋体"/>
                <w:color w:val="auto"/>
                <w:sz w:val="21"/>
                <w:szCs w:val="21"/>
                <w:highlight w:val="none"/>
                <w:lang w:eastAsia="zh-CN"/>
              </w:rPr>
              <w:t>(7)动画：绘制与制作动画，特效包装。</w:t>
            </w:r>
          </w:p>
          <w:p w14:paraId="75212CD0">
            <w:pPr>
              <w:keepNext w:val="0"/>
              <w:keepLines w:val="0"/>
              <w:pageBreakBefore w:val="0"/>
              <w:kinsoku/>
              <w:wordWrap/>
              <w:overflowPunct/>
              <w:topLinePunct w:val="0"/>
              <w:autoSpaceDE/>
              <w:autoSpaceDN/>
              <w:bidi w:val="0"/>
              <w:spacing w:line="360" w:lineRule="auto"/>
              <w:jc w:val="left"/>
              <w:textAlignment w:val="auto"/>
              <w:rPr>
                <w:rFonts w:hint="eastAsia" w:ascii="宋体" w:hAnsi="宋体" w:cs="宋体"/>
                <w:b/>
                <w:bCs/>
                <w:color w:val="auto"/>
                <w:sz w:val="21"/>
                <w:szCs w:val="21"/>
                <w:highlight w:val="none"/>
                <w:lang w:eastAsia="zh-CN"/>
              </w:rPr>
            </w:pPr>
            <w:r>
              <w:rPr>
                <w:rFonts w:hint="eastAsia" w:ascii="宋体" w:hAnsi="宋体" w:cs="宋体"/>
                <w:b/>
                <w:bCs/>
                <w:color w:val="auto"/>
                <w:sz w:val="21"/>
                <w:szCs w:val="21"/>
                <w:highlight w:val="none"/>
                <w:lang w:eastAsia="zh-CN"/>
              </w:rPr>
              <w:t>(</w:t>
            </w:r>
            <w:r>
              <w:rPr>
                <w:rFonts w:hint="eastAsia" w:ascii="宋体" w:hAnsi="宋体" w:cs="宋体"/>
                <w:b/>
                <w:bCs/>
                <w:color w:val="auto"/>
                <w:sz w:val="21"/>
                <w:szCs w:val="21"/>
                <w:highlight w:val="none"/>
                <w:lang w:val="en-US" w:eastAsia="zh-CN"/>
              </w:rPr>
              <w:t>五</w:t>
            </w:r>
            <w:r>
              <w:rPr>
                <w:rFonts w:hint="eastAsia" w:ascii="宋体" w:hAnsi="宋体" w:cs="宋体"/>
                <w:b/>
                <w:bCs/>
                <w:color w:val="auto"/>
                <w:sz w:val="21"/>
                <w:szCs w:val="21"/>
                <w:highlight w:val="none"/>
                <w:lang w:eastAsia="zh-CN"/>
              </w:rPr>
              <w:t>)课程建设技术与质量标准要求</w:t>
            </w:r>
          </w:p>
          <w:p w14:paraId="6F3FBFD1">
            <w:pPr>
              <w:keepNext w:val="0"/>
              <w:keepLines w:val="0"/>
              <w:pageBreakBefore w:val="0"/>
              <w:kinsoku/>
              <w:wordWrap/>
              <w:overflowPunct/>
              <w:topLinePunct w:val="0"/>
              <w:autoSpaceDE/>
              <w:autoSpaceDN/>
              <w:bidi w:val="0"/>
              <w:spacing w:line="360" w:lineRule="auto"/>
              <w:jc w:val="left"/>
              <w:textAlignment w:val="auto"/>
              <w:rPr>
                <w:rFonts w:hint="eastAsia" w:ascii="宋体" w:hAnsi="宋体" w:cs="宋体"/>
                <w:color w:val="auto"/>
                <w:sz w:val="21"/>
                <w:szCs w:val="21"/>
                <w:highlight w:val="none"/>
                <w:lang w:eastAsia="zh-CN"/>
              </w:rPr>
            </w:pPr>
            <w:r>
              <w:rPr>
                <w:rFonts w:hint="eastAsia" w:ascii="宋体" w:hAnsi="宋体" w:cs="宋体"/>
                <w:color w:val="auto"/>
                <w:sz w:val="21"/>
                <w:szCs w:val="21"/>
                <w:highlight w:val="none"/>
                <w:lang w:eastAsia="zh-CN"/>
              </w:rPr>
              <w:t>1.微课制作</w:t>
            </w:r>
          </w:p>
          <w:p w14:paraId="40FDD589">
            <w:pPr>
              <w:keepNext w:val="0"/>
              <w:keepLines w:val="0"/>
              <w:pageBreakBefore w:val="0"/>
              <w:kinsoku/>
              <w:wordWrap/>
              <w:overflowPunct/>
              <w:topLinePunct w:val="0"/>
              <w:autoSpaceDE/>
              <w:autoSpaceDN/>
              <w:bidi w:val="0"/>
              <w:spacing w:line="360" w:lineRule="auto"/>
              <w:jc w:val="left"/>
              <w:textAlignment w:val="auto"/>
              <w:rPr>
                <w:rFonts w:hint="eastAsia" w:ascii="宋体" w:hAnsi="宋体" w:cs="宋体"/>
                <w:color w:val="auto"/>
                <w:sz w:val="21"/>
                <w:szCs w:val="21"/>
                <w:highlight w:val="none"/>
                <w:lang w:eastAsia="zh-CN"/>
              </w:rPr>
            </w:pPr>
            <w:r>
              <w:rPr>
                <w:rFonts w:hint="eastAsia" w:ascii="宋体" w:hAnsi="宋体" w:cs="宋体"/>
                <w:color w:val="auto"/>
                <w:sz w:val="21"/>
                <w:szCs w:val="21"/>
                <w:highlight w:val="none"/>
                <w:lang w:eastAsia="zh-CN"/>
              </w:rPr>
              <w:t>摄像要求：</w:t>
            </w:r>
          </w:p>
          <w:p w14:paraId="51DFA111">
            <w:pPr>
              <w:keepNext w:val="0"/>
              <w:keepLines w:val="0"/>
              <w:pageBreakBefore w:val="0"/>
              <w:kinsoku/>
              <w:wordWrap/>
              <w:overflowPunct/>
              <w:topLinePunct w:val="0"/>
              <w:autoSpaceDE/>
              <w:autoSpaceDN/>
              <w:bidi w:val="0"/>
              <w:spacing w:line="360" w:lineRule="auto"/>
              <w:jc w:val="left"/>
              <w:textAlignment w:val="auto"/>
              <w:rPr>
                <w:rFonts w:hint="eastAsia" w:ascii="宋体" w:hAnsi="宋体" w:cs="宋体"/>
                <w:color w:val="auto"/>
                <w:sz w:val="21"/>
                <w:szCs w:val="21"/>
                <w:highlight w:val="none"/>
                <w:lang w:eastAsia="zh-CN"/>
              </w:rPr>
            </w:pPr>
            <w:r>
              <w:rPr>
                <w:rFonts w:hint="eastAsia" w:ascii="宋体" w:hAnsi="宋体" w:cs="宋体"/>
                <w:color w:val="auto"/>
                <w:sz w:val="21"/>
                <w:szCs w:val="21"/>
                <w:highlight w:val="none"/>
                <w:lang w:eastAsia="zh-CN"/>
              </w:rPr>
              <w:t>(1)利用专业摄像机在采购人指定场地进行摄制。</w:t>
            </w:r>
          </w:p>
          <w:p w14:paraId="64EB2217">
            <w:pPr>
              <w:keepNext w:val="0"/>
              <w:keepLines w:val="0"/>
              <w:pageBreakBefore w:val="0"/>
              <w:kinsoku/>
              <w:wordWrap/>
              <w:overflowPunct/>
              <w:topLinePunct w:val="0"/>
              <w:autoSpaceDE/>
              <w:autoSpaceDN/>
              <w:bidi w:val="0"/>
              <w:spacing w:line="360" w:lineRule="auto"/>
              <w:jc w:val="left"/>
              <w:textAlignment w:val="auto"/>
              <w:rPr>
                <w:rFonts w:hint="eastAsia" w:ascii="宋体" w:hAnsi="宋体" w:cs="宋体"/>
                <w:color w:val="auto"/>
                <w:sz w:val="21"/>
                <w:szCs w:val="21"/>
                <w:highlight w:val="none"/>
                <w:lang w:eastAsia="zh-CN"/>
              </w:rPr>
            </w:pPr>
            <w:r>
              <w:rPr>
                <w:rFonts w:hint="eastAsia" w:ascii="宋体" w:hAnsi="宋体" w:cs="宋体"/>
                <w:color w:val="auto"/>
                <w:sz w:val="21"/>
                <w:szCs w:val="21"/>
                <w:highlight w:val="none"/>
                <w:lang w:eastAsia="zh-CN"/>
              </w:rPr>
              <w:t>(2)微课作品视频质量要求图像稳定、对焦清晰、构图合理、镜头运用恰当。</w:t>
            </w:r>
          </w:p>
          <w:p w14:paraId="39B0A6E1">
            <w:pPr>
              <w:keepNext w:val="0"/>
              <w:keepLines w:val="0"/>
              <w:pageBreakBefore w:val="0"/>
              <w:kinsoku/>
              <w:wordWrap/>
              <w:overflowPunct/>
              <w:topLinePunct w:val="0"/>
              <w:autoSpaceDE/>
              <w:autoSpaceDN/>
              <w:bidi w:val="0"/>
              <w:spacing w:line="360" w:lineRule="auto"/>
              <w:jc w:val="left"/>
              <w:textAlignment w:val="auto"/>
              <w:rPr>
                <w:rFonts w:hint="eastAsia" w:ascii="宋体" w:hAnsi="宋体" w:cs="宋体"/>
                <w:color w:val="auto"/>
                <w:sz w:val="21"/>
                <w:szCs w:val="21"/>
                <w:highlight w:val="none"/>
                <w:lang w:eastAsia="zh-CN"/>
              </w:rPr>
            </w:pPr>
            <w:r>
              <w:rPr>
                <w:rFonts w:hint="eastAsia" w:ascii="宋体" w:hAnsi="宋体" w:cs="宋体"/>
                <w:color w:val="auto"/>
                <w:sz w:val="21"/>
                <w:szCs w:val="21"/>
                <w:highlight w:val="none"/>
                <w:lang w:eastAsia="zh-CN"/>
              </w:rPr>
              <w:t>(3)各微课作品的视频分辨率应统一，分辨率采用1280*720及以上，采用高清影像。</w:t>
            </w:r>
          </w:p>
          <w:p w14:paraId="45BA4037">
            <w:pPr>
              <w:keepNext w:val="0"/>
              <w:keepLines w:val="0"/>
              <w:pageBreakBefore w:val="0"/>
              <w:kinsoku/>
              <w:wordWrap/>
              <w:overflowPunct/>
              <w:topLinePunct w:val="0"/>
              <w:autoSpaceDE/>
              <w:autoSpaceDN/>
              <w:bidi w:val="0"/>
              <w:spacing w:line="360" w:lineRule="auto"/>
              <w:jc w:val="left"/>
              <w:textAlignment w:val="auto"/>
              <w:rPr>
                <w:rFonts w:hint="eastAsia" w:ascii="宋体" w:hAnsi="宋体" w:cs="宋体"/>
                <w:color w:val="auto"/>
                <w:sz w:val="21"/>
                <w:szCs w:val="21"/>
                <w:highlight w:val="none"/>
                <w:lang w:eastAsia="zh-CN"/>
              </w:rPr>
            </w:pPr>
            <w:r>
              <w:rPr>
                <w:rFonts w:hint="eastAsia" w:ascii="宋体" w:hAnsi="宋体" w:cs="宋体"/>
                <w:color w:val="auto"/>
                <w:sz w:val="21"/>
                <w:szCs w:val="21"/>
                <w:highlight w:val="none"/>
                <w:lang w:eastAsia="zh-CN"/>
              </w:rPr>
              <w:t>(4)同期声音采用双声道，要求清晰、饱满、圆润，无失真、噪声杂音干扰、音量忽大忽小现象。解说声与背景音乐无明显比例失调。</w:t>
            </w:r>
          </w:p>
          <w:p w14:paraId="52EF9F61">
            <w:pPr>
              <w:keepNext w:val="0"/>
              <w:keepLines w:val="0"/>
              <w:pageBreakBefore w:val="0"/>
              <w:kinsoku/>
              <w:wordWrap/>
              <w:overflowPunct/>
              <w:topLinePunct w:val="0"/>
              <w:autoSpaceDE/>
              <w:autoSpaceDN/>
              <w:bidi w:val="0"/>
              <w:spacing w:line="360" w:lineRule="auto"/>
              <w:jc w:val="left"/>
              <w:textAlignment w:val="auto"/>
              <w:rPr>
                <w:rFonts w:hint="eastAsia" w:ascii="宋体" w:hAnsi="宋体" w:cs="宋体"/>
                <w:color w:val="auto"/>
                <w:sz w:val="21"/>
                <w:szCs w:val="21"/>
                <w:highlight w:val="none"/>
                <w:lang w:eastAsia="zh-CN"/>
              </w:rPr>
            </w:pPr>
            <w:r>
              <w:rPr>
                <w:rFonts w:hint="eastAsia" w:ascii="宋体" w:hAnsi="宋体" w:cs="宋体"/>
                <w:color w:val="auto"/>
                <w:sz w:val="21"/>
                <w:szCs w:val="21"/>
                <w:highlight w:val="none"/>
                <w:lang w:eastAsia="zh-CN"/>
              </w:rPr>
              <w:t>动画要求：</w:t>
            </w:r>
          </w:p>
          <w:p w14:paraId="2F1D95EE">
            <w:pPr>
              <w:keepNext w:val="0"/>
              <w:keepLines w:val="0"/>
              <w:pageBreakBefore w:val="0"/>
              <w:kinsoku/>
              <w:wordWrap/>
              <w:overflowPunct/>
              <w:topLinePunct w:val="0"/>
              <w:autoSpaceDE/>
              <w:autoSpaceDN/>
              <w:bidi w:val="0"/>
              <w:spacing w:line="360" w:lineRule="auto"/>
              <w:jc w:val="left"/>
              <w:textAlignment w:val="auto"/>
              <w:rPr>
                <w:rFonts w:hint="eastAsia" w:ascii="宋体" w:hAnsi="宋体" w:cs="宋体"/>
                <w:color w:val="auto"/>
                <w:sz w:val="21"/>
                <w:szCs w:val="21"/>
                <w:highlight w:val="none"/>
                <w:lang w:eastAsia="zh-CN"/>
              </w:rPr>
            </w:pPr>
            <w:r>
              <w:rPr>
                <w:rFonts w:hint="eastAsia" w:ascii="宋体" w:hAnsi="宋体" w:cs="宋体"/>
                <w:color w:val="auto"/>
                <w:sz w:val="21"/>
                <w:szCs w:val="21"/>
                <w:highlight w:val="none"/>
                <w:lang w:eastAsia="zh-CN"/>
              </w:rPr>
              <w:t>微课根据主讲教师要求，可加入不超过2分钟的动画，动画要能够完整的体现出课程特点。要求接近于真实物体的效果，利用专业软件进行材质的渲染。播放流畅，播放时没有明显的噪点。</w:t>
            </w:r>
          </w:p>
          <w:p w14:paraId="2D05E327">
            <w:pPr>
              <w:keepNext w:val="0"/>
              <w:keepLines w:val="0"/>
              <w:pageBreakBefore w:val="0"/>
              <w:kinsoku/>
              <w:wordWrap/>
              <w:overflowPunct/>
              <w:topLinePunct w:val="0"/>
              <w:autoSpaceDE/>
              <w:autoSpaceDN/>
              <w:bidi w:val="0"/>
              <w:spacing w:line="360" w:lineRule="auto"/>
              <w:jc w:val="left"/>
              <w:textAlignment w:val="auto"/>
              <w:rPr>
                <w:rFonts w:hint="eastAsia" w:ascii="宋体" w:hAnsi="宋体" w:cs="宋体"/>
                <w:color w:val="auto"/>
                <w:sz w:val="21"/>
                <w:szCs w:val="21"/>
                <w:highlight w:val="none"/>
                <w:lang w:eastAsia="zh-CN"/>
              </w:rPr>
            </w:pPr>
            <w:r>
              <w:rPr>
                <w:rFonts w:hint="eastAsia" w:ascii="宋体" w:hAnsi="宋体" w:cs="宋体"/>
                <w:color w:val="auto"/>
                <w:sz w:val="21"/>
                <w:szCs w:val="21"/>
                <w:highlight w:val="none"/>
                <w:lang w:eastAsia="zh-CN"/>
              </w:rPr>
              <w:t>输出成品要求：</w:t>
            </w:r>
          </w:p>
          <w:p w14:paraId="33A2EEEA">
            <w:pPr>
              <w:keepNext w:val="0"/>
              <w:keepLines w:val="0"/>
              <w:pageBreakBefore w:val="0"/>
              <w:kinsoku/>
              <w:wordWrap/>
              <w:overflowPunct/>
              <w:topLinePunct w:val="0"/>
              <w:autoSpaceDE/>
              <w:autoSpaceDN/>
              <w:bidi w:val="0"/>
              <w:spacing w:line="360" w:lineRule="auto"/>
              <w:jc w:val="left"/>
              <w:textAlignment w:val="auto"/>
              <w:rPr>
                <w:rFonts w:hint="eastAsia" w:ascii="宋体" w:hAnsi="宋体" w:cs="宋体"/>
                <w:color w:val="auto"/>
                <w:sz w:val="21"/>
                <w:szCs w:val="21"/>
                <w:highlight w:val="none"/>
                <w:lang w:eastAsia="zh-CN"/>
              </w:rPr>
            </w:pPr>
            <w:r>
              <w:rPr>
                <w:rFonts w:hint="eastAsia" w:ascii="宋体" w:hAnsi="宋体" w:cs="宋体"/>
                <w:color w:val="auto"/>
                <w:sz w:val="21"/>
                <w:szCs w:val="21"/>
                <w:highlight w:val="none"/>
                <w:lang w:eastAsia="zh-CN"/>
              </w:rPr>
              <w:t>(1)微课作品视频压缩采用H.264格式编码，视频格式为MP4 格式,时长为8-15分钟。</w:t>
            </w:r>
          </w:p>
          <w:p w14:paraId="5E9F0A64">
            <w:pPr>
              <w:keepNext w:val="0"/>
              <w:keepLines w:val="0"/>
              <w:pageBreakBefore w:val="0"/>
              <w:kinsoku/>
              <w:wordWrap/>
              <w:overflowPunct/>
              <w:topLinePunct w:val="0"/>
              <w:autoSpaceDE/>
              <w:autoSpaceDN/>
              <w:bidi w:val="0"/>
              <w:spacing w:line="360" w:lineRule="auto"/>
              <w:jc w:val="left"/>
              <w:textAlignment w:val="auto"/>
              <w:rPr>
                <w:rFonts w:hint="eastAsia" w:ascii="宋体" w:hAnsi="宋体" w:cs="宋体"/>
                <w:color w:val="auto"/>
                <w:sz w:val="21"/>
                <w:szCs w:val="21"/>
                <w:highlight w:val="none"/>
                <w:lang w:eastAsia="zh-CN"/>
              </w:rPr>
            </w:pPr>
            <w:r>
              <w:rPr>
                <w:rFonts w:hint="eastAsia" w:ascii="宋体" w:hAnsi="宋体" w:cs="宋体"/>
                <w:color w:val="auto"/>
                <w:sz w:val="21"/>
                <w:szCs w:val="21"/>
                <w:highlight w:val="none"/>
                <w:lang w:eastAsia="zh-CN"/>
              </w:rPr>
              <w:t>(2)微课作品视频码流率：动态码流的最高码率不高于2000Kbps，最低码率不得低于1024Kbps。</w:t>
            </w:r>
          </w:p>
          <w:p w14:paraId="533E2A7F">
            <w:pPr>
              <w:keepNext w:val="0"/>
              <w:keepLines w:val="0"/>
              <w:pageBreakBefore w:val="0"/>
              <w:kinsoku/>
              <w:wordWrap/>
              <w:overflowPunct/>
              <w:topLinePunct w:val="0"/>
              <w:autoSpaceDE/>
              <w:autoSpaceDN/>
              <w:bidi w:val="0"/>
              <w:spacing w:line="360" w:lineRule="auto"/>
              <w:jc w:val="left"/>
              <w:textAlignment w:val="auto"/>
              <w:rPr>
                <w:rFonts w:hint="eastAsia" w:ascii="宋体" w:hAnsi="宋体" w:cs="宋体"/>
                <w:color w:val="auto"/>
                <w:sz w:val="21"/>
                <w:szCs w:val="21"/>
                <w:highlight w:val="none"/>
                <w:lang w:eastAsia="zh-CN"/>
              </w:rPr>
            </w:pPr>
            <w:r>
              <w:rPr>
                <w:rFonts w:hint="eastAsia" w:ascii="宋体" w:hAnsi="宋体" w:cs="宋体"/>
                <w:color w:val="auto"/>
                <w:sz w:val="21"/>
                <w:szCs w:val="21"/>
                <w:highlight w:val="none"/>
                <w:lang w:eastAsia="zh-CN"/>
              </w:rPr>
              <w:t>(3)微课作品视频分辨率：分辨率采用1280*720及以上。</w:t>
            </w:r>
          </w:p>
          <w:p w14:paraId="6A5DA4F7">
            <w:pPr>
              <w:keepNext w:val="0"/>
              <w:keepLines w:val="0"/>
              <w:pageBreakBefore w:val="0"/>
              <w:kinsoku/>
              <w:wordWrap/>
              <w:overflowPunct/>
              <w:topLinePunct w:val="0"/>
              <w:autoSpaceDE/>
              <w:autoSpaceDN/>
              <w:bidi w:val="0"/>
              <w:spacing w:line="360" w:lineRule="auto"/>
              <w:jc w:val="left"/>
              <w:textAlignment w:val="auto"/>
              <w:rPr>
                <w:rFonts w:hint="eastAsia" w:ascii="宋体" w:hAnsi="宋体" w:cs="宋体"/>
                <w:color w:val="auto"/>
                <w:sz w:val="21"/>
                <w:szCs w:val="21"/>
                <w:highlight w:val="none"/>
                <w:lang w:eastAsia="zh-CN"/>
              </w:rPr>
            </w:pPr>
            <w:r>
              <w:rPr>
                <w:rFonts w:hint="eastAsia" w:ascii="宋体" w:hAnsi="宋体" w:cs="宋体"/>
                <w:color w:val="auto"/>
                <w:sz w:val="21"/>
                <w:szCs w:val="21"/>
                <w:highlight w:val="none"/>
                <w:lang w:eastAsia="zh-CN"/>
              </w:rPr>
              <w:t>(4)在同一课程中，各微课作品的视频分辨率应统一，采用高清影像。</w:t>
            </w:r>
          </w:p>
          <w:p w14:paraId="3C6E526E">
            <w:pPr>
              <w:keepNext w:val="0"/>
              <w:keepLines w:val="0"/>
              <w:pageBreakBefore w:val="0"/>
              <w:kinsoku/>
              <w:wordWrap/>
              <w:overflowPunct/>
              <w:topLinePunct w:val="0"/>
              <w:autoSpaceDE/>
              <w:autoSpaceDN/>
              <w:bidi w:val="0"/>
              <w:spacing w:line="360" w:lineRule="auto"/>
              <w:jc w:val="left"/>
              <w:textAlignment w:val="auto"/>
              <w:rPr>
                <w:rFonts w:hint="eastAsia" w:ascii="宋体" w:hAnsi="宋体" w:cs="宋体"/>
                <w:color w:val="auto"/>
                <w:sz w:val="21"/>
                <w:szCs w:val="21"/>
                <w:highlight w:val="none"/>
                <w:lang w:eastAsia="zh-CN"/>
              </w:rPr>
            </w:pPr>
            <w:r>
              <w:rPr>
                <w:rFonts w:hint="eastAsia" w:ascii="宋体" w:hAnsi="宋体" w:cs="宋体"/>
                <w:color w:val="auto"/>
                <w:sz w:val="21"/>
                <w:szCs w:val="21"/>
                <w:highlight w:val="none"/>
                <w:lang w:eastAsia="zh-CN"/>
              </w:rPr>
              <w:t>(5)微课作品视频帧率为25帧/秒，扫描方式采用逐行扫描。</w:t>
            </w:r>
          </w:p>
          <w:p w14:paraId="1D3D19A2">
            <w:pPr>
              <w:keepNext w:val="0"/>
              <w:keepLines w:val="0"/>
              <w:pageBreakBefore w:val="0"/>
              <w:kinsoku/>
              <w:wordWrap/>
              <w:overflowPunct/>
              <w:topLinePunct w:val="0"/>
              <w:autoSpaceDE/>
              <w:autoSpaceDN/>
              <w:bidi w:val="0"/>
              <w:spacing w:line="360" w:lineRule="auto"/>
              <w:jc w:val="left"/>
              <w:textAlignment w:val="auto"/>
              <w:rPr>
                <w:rFonts w:hint="eastAsia" w:ascii="宋体" w:hAnsi="宋体" w:cs="宋体"/>
                <w:color w:val="auto"/>
                <w:sz w:val="21"/>
                <w:szCs w:val="21"/>
                <w:highlight w:val="none"/>
                <w:lang w:eastAsia="zh-CN"/>
              </w:rPr>
            </w:pPr>
            <w:r>
              <w:rPr>
                <w:rFonts w:hint="eastAsia" w:ascii="宋体" w:hAnsi="宋体" w:cs="宋体"/>
                <w:color w:val="auto"/>
                <w:sz w:val="21"/>
                <w:szCs w:val="21"/>
                <w:highlight w:val="none"/>
                <w:lang w:eastAsia="zh-CN"/>
              </w:rPr>
              <w:t>(6)字幕：要使用符合国家标准的规范字，不出现繁体字、异体字(国家规定的除外)、错别字；字幕的字体建议采用：微软雅黑，大小、色彩搭配、摆放位置、停留时间、出入屏方式力求与其他要素(画面、解说词、音乐)配合适当，不能破坏原有画面。</w:t>
            </w:r>
          </w:p>
          <w:p w14:paraId="5C234154">
            <w:pPr>
              <w:keepNext w:val="0"/>
              <w:keepLines w:val="0"/>
              <w:pageBreakBefore w:val="0"/>
              <w:kinsoku/>
              <w:wordWrap/>
              <w:overflowPunct/>
              <w:topLinePunct w:val="0"/>
              <w:autoSpaceDE/>
              <w:autoSpaceDN/>
              <w:bidi w:val="0"/>
              <w:spacing w:line="360" w:lineRule="auto"/>
              <w:jc w:val="left"/>
              <w:textAlignment w:val="auto"/>
              <w:rPr>
                <w:rFonts w:hint="eastAsia" w:ascii="宋体" w:hAnsi="宋体" w:cs="宋体"/>
                <w:color w:val="auto"/>
                <w:sz w:val="21"/>
                <w:szCs w:val="21"/>
                <w:highlight w:val="none"/>
                <w:lang w:eastAsia="zh-CN"/>
              </w:rPr>
            </w:pPr>
            <w:r>
              <w:rPr>
                <w:rFonts w:hint="eastAsia" w:ascii="宋体" w:hAnsi="宋体" w:cs="宋体"/>
                <w:color w:val="auto"/>
                <w:sz w:val="21"/>
                <w:szCs w:val="21"/>
                <w:highlight w:val="none"/>
                <w:lang w:eastAsia="zh-CN"/>
              </w:rPr>
              <w:t>命名要求：</w:t>
            </w:r>
          </w:p>
          <w:p w14:paraId="0BDA4EA7">
            <w:pPr>
              <w:keepNext w:val="0"/>
              <w:keepLines w:val="0"/>
              <w:pageBreakBefore w:val="0"/>
              <w:kinsoku/>
              <w:wordWrap/>
              <w:overflowPunct/>
              <w:topLinePunct w:val="0"/>
              <w:autoSpaceDE/>
              <w:autoSpaceDN/>
              <w:bidi w:val="0"/>
              <w:spacing w:line="360" w:lineRule="auto"/>
              <w:jc w:val="left"/>
              <w:textAlignment w:val="auto"/>
              <w:rPr>
                <w:rFonts w:hint="eastAsia" w:ascii="宋体" w:hAnsi="宋体" w:cs="宋体"/>
                <w:color w:val="auto"/>
                <w:sz w:val="21"/>
                <w:szCs w:val="21"/>
                <w:highlight w:val="none"/>
                <w:lang w:eastAsia="zh-CN"/>
              </w:rPr>
            </w:pPr>
            <w:r>
              <w:rPr>
                <w:rFonts w:hint="eastAsia" w:ascii="宋体" w:hAnsi="宋体" w:cs="宋体"/>
                <w:color w:val="auto"/>
                <w:sz w:val="21"/>
                <w:szCs w:val="21"/>
                <w:highlight w:val="none"/>
                <w:lang w:eastAsia="zh-CN"/>
              </w:rPr>
              <w:t>文件命名应直接指明资源所属课程、章节及性质。</w:t>
            </w:r>
          </w:p>
          <w:p w14:paraId="6EF8D120">
            <w:pPr>
              <w:keepNext w:val="0"/>
              <w:keepLines w:val="0"/>
              <w:pageBreakBefore w:val="0"/>
              <w:kinsoku/>
              <w:wordWrap/>
              <w:overflowPunct/>
              <w:topLinePunct w:val="0"/>
              <w:autoSpaceDE/>
              <w:autoSpaceDN/>
              <w:bidi w:val="0"/>
              <w:spacing w:line="360" w:lineRule="auto"/>
              <w:jc w:val="left"/>
              <w:textAlignment w:val="auto"/>
              <w:rPr>
                <w:rFonts w:hint="eastAsia" w:ascii="宋体" w:hAnsi="宋体" w:cs="宋体"/>
                <w:color w:val="auto"/>
                <w:sz w:val="21"/>
                <w:szCs w:val="21"/>
                <w:highlight w:val="none"/>
                <w:lang w:eastAsia="zh-CN"/>
              </w:rPr>
            </w:pPr>
            <w:r>
              <w:rPr>
                <w:rFonts w:hint="eastAsia" w:ascii="宋体" w:hAnsi="宋体" w:cs="宋体"/>
                <w:color w:val="auto"/>
                <w:sz w:val="21"/>
                <w:szCs w:val="21"/>
                <w:highlight w:val="none"/>
                <w:lang w:eastAsia="zh-CN"/>
              </w:rPr>
              <w:t>内容和版权要求：</w:t>
            </w:r>
          </w:p>
          <w:p w14:paraId="4C25B165">
            <w:pPr>
              <w:keepNext w:val="0"/>
              <w:keepLines w:val="0"/>
              <w:pageBreakBefore w:val="0"/>
              <w:kinsoku/>
              <w:wordWrap/>
              <w:overflowPunct/>
              <w:topLinePunct w:val="0"/>
              <w:autoSpaceDE/>
              <w:autoSpaceDN/>
              <w:bidi w:val="0"/>
              <w:spacing w:line="360" w:lineRule="auto"/>
              <w:jc w:val="left"/>
              <w:textAlignment w:val="auto"/>
              <w:rPr>
                <w:rFonts w:hint="eastAsia" w:ascii="宋体" w:hAnsi="宋体" w:cs="宋体"/>
                <w:color w:val="auto"/>
                <w:sz w:val="21"/>
                <w:szCs w:val="21"/>
                <w:highlight w:val="none"/>
                <w:lang w:eastAsia="zh-CN"/>
              </w:rPr>
            </w:pPr>
            <w:r>
              <w:rPr>
                <w:rFonts w:hint="eastAsia" w:ascii="宋体" w:hAnsi="宋体" w:cs="宋体"/>
                <w:color w:val="auto"/>
                <w:sz w:val="21"/>
                <w:szCs w:val="21"/>
                <w:highlight w:val="none"/>
                <w:lang w:eastAsia="zh-CN"/>
              </w:rPr>
              <w:t>微课作品内容应忠实于原文献，完整有序，版权不存在争议；符合我国法律法规，尊重各民族风俗习惯。</w:t>
            </w:r>
          </w:p>
          <w:p w14:paraId="398AEAA9">
            <w:pPr>
              <w:keepNext w:val="0"/>
              <w:keepLines w:val="0"/>
              <w:pageBreakBefore w:val="0"/>
              <w:kinsoku/>
              <w:wordWrap/>
              <w:overflowPunct/>
              <w:topLinePunct w:val="0"/>
              <w:autoSpaceDE/>
              <w:autoSpaceDN/>
              <w:bidi w:val="0"/>
              <w:spacing w:line="360" w:lineRule="auto"/>
              <w:jc w:val="left"/>
              <w:textAlignment w:val="auto"/>
              <w:rPr>
                <w:rFonts w:hint="eastAsia" w:ascii="宋体" w:hAnsi="宋体" w:cs="宋体"/>
                <w:color w:val="auto"/>
                <w:sz w:val="21"/>
                <w:szCs w:val="21"/>
                <w:highlight w:val="none"/>
                <w:lang w:eastAsia="zh-CN"/>
              </w:rPr>
            </w:pPr>
            <w:r>
              <w:rPr>
                <w:rFonts w:hint="eastAsia" w:ascii="宋体" w:hAnsi="宋体" w:cs="宋体"/>
                <w:color w:val="auto"/>
                <w:sz w:val="21"/>
                <w:szCs w:val="21"/>
                <w:highlight w:val="none"/>
                <w:lang w:eastAsia="zh-CN"/>
              </w:rPr>
              <w:t>2.视频录制</w:t>
            </w:r>
          </w:p>
          <w:p w14:paraId="10B0CBFC">
            <w:pPr>
              <w:keepNext w:val="0"/>
              <w:keepLines w:val="0"/>
              <w:pageBreakBefore w:val="0"/>
              <w:kinsoku/>
              <w:wordWrap/>
              <w:overflowPunct/>
              <w:topLinePunct w:val="0"/>
              <w:autoSpaceDE/>
              <w:autoSpaceDN/>
              <w:bidi w:val="0"/>
              <w:spacing w:line="360" w:lineRule="auto"/>
              <w:jc w:val="left"/>
              <w:textAlignment w:val="auto"/>
              <w:rPr>
                <w:rFonts w:hint="eastAsia" w:ascii="宋体" w:hAnsi="宋体" w:cs="宋体"/>
                <w:color w:val="auto"/>
                <w:sz w:val="21"/>
                <w:szCs w:val="21"/>
                <w:highlight w:val="none"/>
                <w:lang w:eastAsia="zh-CN"/>
              </w:rPr>
            </w:pPr>
            <w:r>
              <w:rPr>
                <w:rFonts w:hint="eastAsia" w:ascii="宋体" w:hAnsi="宋体" w:cs="宋体"/>
                <w:color w:val="auto"/>
                <w:sz w:val="21"/>
                <w:szCs w:val="21"/>
                <w:highlight w:val="none"/>
                <w:lang w:eastAsia="zh-CN"/>
              </w:rPr>
              <w:t>标准要求：</w:t>
            </w:r>
          </w:p>
          <w:p w14:paraId="58A00903">
            <w:pPr>
              <w:keepNext w:val="0"/>
              <w:keepLines w:val="0"/>
              <w:pageBreakBefore w:val="0"/>
              <w:kinsoku/>
              <w:wordWrap/>
              <w:overflowPunct/>
              <w:topLinePunct w:val="0"/>
              <w:autoSpaceDE/>
              <w:autoSpaceDN/>
              <w:bidi w:val="0"/>
              <w:spacing w:line="360" w:lineRule="auto"/>
              <w:jc w:val="left"/>
              <w:textAlignment w:val="auto"/>
              <w:rPr>
                <w:rFonts w:hint="eastAsia" w:ascii="宋体" w:hAnsi="宋体" w:cs="宋体"/>
                <w:color w:val="auto"/>
                <w:sz w:val="21"/>
                <w:szCs w:val="21"/>
                <w:highlight w:val="none"/>
                <w:lang w:eastAsia="zh-CN"/>
              </w:rPr>
            </w:pPr>
            <w:r>
              <w:rPr>
                <w:rFonts w:hint="eastAsia" w:ascii="宋体" w:hAnsi="宋体" w:cs="宋体"/>
                <w:color w:val="auto"/>
                <w:sz w:val="21"/>
                <w:szCs w:val="21"/>
                <w:highlight w:val="none"/>
                <w:lang w:eastAsia="zh-CN"/>
              </w:rPr>
              <w:t>根据课程特点选择最优的展现形式；以能力培养为目标的课程，技能点教学录像的覆盖度不低于80%，技能点教学录像时长原则不超过20分钟。</w:t>
            </w:r>
          </w:p>
          <w:p w14:paraId="33B6011F">
            <w:pPr>
              <w:keepNext w:val="0"/>
              <w:keepLines w:val="0"/>
              <w:pageBreakBefore w:val="0"/>
              <w:kinsoku/>
              <w:wordWrap/>
              <w:overflowPunct/>
              <w:topLinePunct w:val="0"/>
              <w:autoSpaceDE/>
              <w:autoSpaceDN/>
              <w:bidi w:val="0"/>
              <w:spacing w:line="360" w:lineRule="auto"/>
              <w:jc w:val="left"/>
              <w:textAlignment w:val="auto"/>
              <w:rPr>
                <w:rFonts w:hint="eastAsia" w:ascii="宋体" w:hAnsi="宋体" w:cs="宋体"/>
                <w:color w:val="auto"/>
                <w:sz w:val="21"/>
                <w:szCs w:val="21"/>
                <w:highlight w:val="none"/>
                <w:lang w:eastAsia="zh-CN"/>
              </w:rPr>
            </w:pPr>
            <w:r>
              <w:rPr>
                <w:rFonts w:hint="eastAsia" w:ascii="宋体" w:hAnsi="宋体" w:cs="宋体"/>
                <w:color w:val="auto"/>
                <w:sz w:val="21"/>
                <w:szCs w:val="21"/>
                <w:highlight w:val="none"/>
                <w:lang w:eastAsia="zh-CN"/>
              </w:rPr>
              <w:t>视频拍摄要求：</w:t>
            </w:r>
          </w:p>
          <w:p w14:paraId="1B4FEA81">
            <w:pPr>
              <w:keepNext w:val="0"/>
              <w:keepLines w:val="0"/>
              <w:pageBreakBefore w:val="0"/>
              <w:kinsoku/>
              <w:wordWrap/>
              <w:overflowPunct/>
              <w:topLinePunct w:val="0"/>
              <w:autoSpaceDE/>
              <w:autoSpaceDN/>
              <w:bidi w:val="0"/>
              <w:spacing w:line="360" w:lineRule="auto"/>
              <w:jc w:val="left"/>
              <w:textAlignment w:val="auto"/>
              <w:rPr>
                <w:rFonts w:hint="eastAsia" w:ascii="宋体" w:hAnsi="宋体" w:cs="宋体"/>
                <w:color w:val="auto"/>
                <w:sz w:val="21"/>
                <w:szCs w:val="21"/>
                <w:highlight w:val="none"/>
                <w:lang w:eastAsia="zh-CN"/>
              </w:rPr>
            </w:pPr>
            <w:r>
              <w:rPr>
                <w:rFonts w:hint="eastAsia" w:ascii="宋体" w:hAnsi="宋体" w:cs="宋体"/>
                <w:color w:val="auto"/>
                <w:sz w:val="21"/>
                <w:szCs w:val="21"/>
                <w:highlight w:val="none"/>
                <w:lang w:eastAsia="zh-CN"/>
              </w:rPr>
              <w:t>(1)利用4K及以上专业摄像机录制，一至两个机位录制。专业收音麦克、专业灯光。</w:t>
            </w:r>
          </w:p>
          <w:p w14:paraId="25C7656B">
            <w:pPr>
              <w:keepNext w:val="0"/>
              <w:keepLines w:val="0"/>
              <w:pageBreakBefore w:val="0"/>
              <w:kinsoku/>
              <w:wordWrap/>
              <w:overflowPunct/>
              <w:topLinePunct w:val="0"/>
              <w:autoSpaceDE/>
              <w:autoSpaceDN/>
              <w:bidi w:val="0"/>
              <w:spacing w:line="360" w:lineRule="auto"/>
              <w:jc w:val="left"/>
              <w:textAlignment w:val="auto"/>
              <w:rPr>
                <w:rFonts w:hint="eastAsia" w:ascii="宋体" w:hAnsi="宋体" w:cs="宋体"/>
                <w:color w:val="auto"/>
                <w:sz w:val="21"/>
                <w:szCs w:val="21"/>
                <w:highlight w:val="none"/>
                <w:lang w:eastAsia="zh-CN"/>
              </w:rPr>
            </w:pPr>
            <w:r>
              <w:rPr>
                <w:rFonts w:hint="eastAsia" w:ascii="宋体" w:hAnsi="宋体" w:cs="宋体"/>
                <w:color w:val="auto"/>
                <w:sz w:val="21"/>
                <w:szCs w:val="21"/>
                <w:highlight w:val="none"/>
                <w:lang w:eastAsia="zh-CN"/>
              </w:rPr>
              <w:t>(2)视频原始拍摄素材质量要求图像稳定、对焦清晰、构图合理、镜头运用恰当。同期声音采用双声道，要求清晰、饱满、圆润，无失真、噪声杂音干扰、音量忽大忽小现象。解说声与背景音乐无明显比例失调。</w:t>
            </w:r>
          </w:p>
          <w:p w14:paraId="402ADE2F">
            <w:pPr>
              <w:keepNext w:val="0"/>
              <w:keepLines w:val="0"/>
              <w:pageBreakBefore w:val="0"/>
              <w:kinsoku/>
              <w:wordWrap/>
              <w:overflowPunct/>
              <w:topLinePunct w:val="0"/>
              <w:autoSpaceDE/>
              <w:autoSpaceDN/>
              <w:bidi w:val="0"/>
              <w:spacing w:line="360" w:lineRule="auto"/>
              <w:jc w:val="left"/>
              <w:textAlignment w:val="auto"/>
              <w:rPr>
                <w:rFonts w:hint="eastAsia" w:ascii="宋体" w:hAnsi="宋体" w:cs="宋体"/>
                <w:color w:val="auto"/>
                <w:sz w:val="21"/>
                <w:szCs w:val="21"/>
                <w:highlight w:val="none"/>
                <w:lang w:eastAsia="zh-CN"/>
              </w:rPr>
            </w:pPr>
            <w:r>
              <w:rPr>
                <w:rFonts w:hint="eastAsia" w:ascii="宋体" w:hAnsi="宋体" w:cs="宋体"/>
                <w:color w:val="auto"/>
                <w:sz w:val="21"/>
                <w:szCs w:val="21"/>
                <w:highlight w:val="none"/>
                <w:lang w:eastAsia="zh-CN"/>
              </w:rPr>
              <w:t>(3)屏幕图像的构图合理，画面主体突出。人像及肢体动作以及配合讲授选用的板书、画板、教具实物、模型和实验设备等均不能超出镜头所及范围。画面中教师以中景和近景为主，要求人物、板书(或其他画面元素)清晰，不建议无教师形象的全程板书或PPT 配音。</w:t>
            </w:r>
          </w:p>
          <w:p w14:paraId="391D2443">
            <w:pPr>
              <w:keepNext w:val="0"/>
              <w:keepLines w:val="0"/>
              <w:pageBreakBefore w:val="0"/>
              <w:kinsoku/>
              <w:wordWrap/>
              <w:overflowPunct/>
              <w:topLinePunct w:val="0"/>
              <w:autoSpaceDE/>
              <w:autoSpaceDN/>
              <w:bidi w:val="0"/>
              <w:spacing w:line="360" w:lineRule="auto"/>
              <w:jc w:val="left"/>
              <w:textAlignment w:val="auto"/>
              <w:rPr>
                <w:rFonts w:hint="eastAsia" w:ascii="宋体" w:hAnsi="宋体" w:cs="宋体"/>
                <w:color w:val="auto"/>
                <w:sz w:val="21"/>
                <w:szCs w:val="21"/>
                <w:highlight w:val="none"/>
                <w:lang w:eastAsia="zh-CN"/>
              </w:rPr>
            </w:pPr>
            <w:r>
              <w:rPr>
                <w:rFonts w:hint="eastAsia" w:ascii="宋体" w:hAnsi="宋体" w:cs="宋体"/>
                <w:color w:val="auto"/>
                <w:sz w:val="21"/>
                <w:szCs w:val="21"/>
                <w:highlight w:val="none"/>
                <w:lang w:eastAsia="zh-CN"/>
              </w:rPr>
              <w:t>(4)使用的背景采用彩色喷绘或电脑虚拟、实景等背景。背景的颜色、图案不易过多，应保持静态，画面应简洁、明快，有利于营造课堂气氛。</w:t>
            </w:r>
          </w:p>
          <w:p w14:paraId="660550F6">
            <w:pPr>
              <w:keepNext w:val="0"/>
              <w:keepLines w:val="0"/>
              <w:pageBreakBefore w:val="0"/>
              <w:kinsoku/>
              <w:wordWrap/>
              <w:overflowPunct/>
              <w:topLinePunct w:val="0"/>
              <w:autoSpaceDE/>
              <w:autoSpaceDN/>
              <w:bidi w:val="0"/>
              <w:spacing w:line="360" w:lineRule="auto"/>
              <w:jc w:val="left"/>
              <w:textAlignment w:val="auto"/>
              <w:rPr>
                <w:rFonts w:hint="eastAsia" w:ascii="宋体" w:hAnsi="宋体" w:cs="宋体"/>
                <w:color w:val="auto"/>
                <w:sz w:val="21"/>
                <w:szCs w:val="21"/>
                <w:highlight w:val="none"/>
                <w:lang w:eastAsia="zh-CN"/>
              </w:rPr>
            </w:pPr>
            <w:r>
              <w:rPr>
                <w:rFonts w:hint="eastAsia" w:ascii="宋体" w:hAnsi="宋体" w:cs="宋体"/>
                <w:color w:val="auto"/>
                <w:sz w:val="21"/>
                <w:szCs w:val="21"/>
                <w:highlight w:val="none"/>
                <w:lang w:eastAsia="zh-CN"/>
              </w:rPr>
              <w:t>(5)使用资料、图片、外景实拍、实验和表演等形象化教学手段，应符合教学内容要求，与讲授内容联系紧密，手段选用恰当。</w:t>
            </w:r>
          </w:p>
          <w:p w14:paraId="0677B68E">
            <w:pPr>
              <w:keepNext w:val="0"/>
              <w:keepLines w:val="0"/>
              <w:pageBreakBefore w:val="0"/>
              <w:kinsoku/>
              <w:wordWrap/>
              <w:overflowPunct/>
              <w:topLinePunct w:val="0"/>
              <w:autoSpaceDE/>
              <w:autoSpaceDN/>
              <w:bidi w:val="0"/>
              <w:spacing w:line="360" w:lineRule="auto"/>
              <w:jc w:val="left"/>
              <w:textAlignment w:val="auto"/>
              <w:rPr>
                <w:rFonts w:hint="eastAsia" w:ascii="宋体" w:hAnsi="宋体" w:cs="宋体"/>
                <w:color w:val="auto"/>
                <w:sz w:val="21"/>
                <w:szCs w:val="21"/>
                <w:highlight w:val="none"/>
                <w:lang w:eastAsia="zh-CN"/>
              </w:rPr>
            </w:pPr>
            <w:r>
              <w:rPr>
                <w:rFonts w:hint="eastAsia" w:ascii="宋体" w:hAnsi="宋体" w:cs="宋体"/>
                <w:color w:val="auto"/>
                <w:sz w:val="21"/>
                <w:szCs w:val="21"/>
                <w:highlight w:val="none"/>
                <w:lang w:eastAsia="zh-CN"/>
              </w:rPr>
              <w:t>(6)摄像镜头应保持与主讲教师目光平视的角度。主讲教师不应较长时间仰视或俯视。录像环境应光线充足、安静，主讲教师应衣着整洁，讲话清晰，板书清楚。</w:t>
            </w:r>
          </w:p>
          <w:p w14:paraId="2A9B007B">
            <w:pPr>
              <w:keepNext w:val="0"/>
              <w:keepLines w:val="0"/>
              <w:pageBreakBefore w:val="0"/>
              <w:kinsoku/>
              <w:wordWrap/>
              <w:overflowPunct/>
              <w:topLinePunct w:val="0"/>
              <w:autoSpaceDE/>
              <w:autoSpaceDN/>
              <w:bidi w:val="0"/>
              <w:spacing w:line="360" w:lineRule="auto"/>
              <w:jc w:val="left"/>
              <w:textAlignment w:val="auto"/>
              <w:rPr>
                <w:rFonts w:hint="eastAsia" w:ascii="宋体" w:hAnsi="宋体" w:cs="宋体"/>
                <w:color w:val="auto"/>
                <w:sz w:val="21"/>
                <w:szCs w:val="21"/>
                <w:highlight w:val="none"/>
                <w:lang w:eastAsia="zh-CN"/>
              </w:rPr>
            </w:pPr>
            <w:r>
              <w:rPr>
                <w:rFonts w:hint="eastAsia" w:ascii="宋体" w:hAnsi="宋体" w:cs="宋体"/>
                <w:color w:val="auto"/>
                <w:sz w:val="21"/>
                <w:szCs w:val="21"/>
                <w:highlight w:val="none"/>
                <w:lang w:eastAsia="zh-CN"/>
              </w:rPr>
              <w:t>(7)选用影视作品或自拍素材，应注明素材来源。影视作品或自拍素材中涉及人物访谈内容时，除应加注人物介绍外，还应采用滚动式同声字幕。</w:t>
            </w:r>
          </w:p>
          <w:p w14:paraId="00CF718C">
            <w:pPr>
              <w:keepNext w:val="0"/>
              <w:keepLines w:val="0"/>
              <w:pageBreakBefore w:val="0"/>
              <w:kinsoku/>
              <w:wordWrap/>
              <w:overflowPunct/>
              <w:topLinePunct w:val="0"/>
              <w:autoSpaceDE/>
              <w:autoSpaceDN/>
              <w:bidi w:val="0"/>
              <w:spacing w:line="360" w:lineRule="auto"/>
              <w:jc w:val="left"/>
              <w:textAlignment w:val="auto"/>
              <w:rPr>
                <w:rFonts w:hint="eastAsia" w:ascii="宋体" w:hAnsi="宋体" w:cs="宋体"/>
                <w:color w:val="auto"/>
                <w:sz w:val="21"/>
                <w:szCs w:val="21"/>
                <w:highlight w:val="none"/>
                <w:lang w:eastAsia="zh-CN"/>
              </w:rPr>
            </w:pPr>
            <w:r>
              <w:rPr>
                <w:rFonts w:hint="eastAsia" w:ascii="宋体" w:hAnsi="宋体" w:cs="宋体"/>
                <w:color w:val="auto"/>
                <w:sz w:val="21"/>
                <w:szCs w:val="21"/>
                <w:highlight w:val="none"/>
                <w:lang w:eastAsia="zh-CN"/>
              </w:rPr>
              <w:t>(8)选用的资料、图片等素材画面应清晰，对于历史资料、图片应进行再加工。选用的资料、图片等素材应注明素材来源及原始信息(如字画的作品、生卒年月，影视片断的作品名称、创作年代等信息)。</w:t>
            </w:r>
          </w:p>
          <w:p w14:paraId="64413F85">
            <w:pPr>
              <w:keepNext w:val="0"/>
              <w:keepLines w:val="0"/>
              <w:pageBreakBefore w:val="0"/>
              <w:kinsoku/>
              <w:wordWrap/>
              <w:overflowPunct/>
              <w:topLinePunct w:val="0"/>
              <w:autoSpaceDE/>
              <w:autoSpaceDN/>
              <w:bidi w:val="0"/>
              <w:spacing w:line="360" w:lineRule="auto"/>
              <w:jc w:val="left"/>
              <w:textAlignment w:val="auto"/>
              <w:rPr>
                <w:rFonts w:hint="eastAsia" w:ascii="宋体" w:hAnsi="宋体" w:cs="宋体"/>
                <w:color w:val="auto"/>
                <w:sz w:val="21"/>
                <w:szCs w:val="21"/>
                <w:highlight w:val="none"/>
                <w:lang w:eastAsia="zh-CN"/>
              </w:rPr>
            </w:pPr>
            <w:r>
              <w:rPr>
                <w:rFonts w:hint="eastAsia" w:ascii="宋体" w:hAnsi="宋体" w:cs="宋体"/>
                <w:color w:val="auto"/>
                <w:sz w:val="21"/>
                <w:szCs w:val="21"/>
                <w:highlight w:val="none"/>
                <w:lang w:eastAsia="zh-CN"/>
              </w:rPr>
              <w:t>3.图片处理美化</w:t>
            </w:r>
          </w:p>
          <w:p w14:paraId="2A4AC1DB">
            <w:pPr>
              <w:keepNext w:val="0"/>
              <w:keepLines w:val="0"/>
              <w:pageBreakBefore w:val="0"/>
              <w:kinsoku/>
              <w:wordWrap/>
              <w:overflowPunct/>
              <w:topLinePunct w:val="0"/>
              <w:autoSpaceDE/>
              <w:autoSpaceDN/>
              <w:bidi w:val="0"/>
              <w:spacing w:line="360" w:lineRule="auto"/>
              <w:jc w:val="left"/>
              <w:textAlignment w:val="auto"/>
              <w:rPr>
                <w:rFonts w:hint="eastAsia" w:ascii="宋体" w:hAnsi="宋体" w:cs="宋体"/>
                <w:color w:val="auto"/>
                <w:sz w:val="21"/>
                <w:szCs w:val="21"/>
                <w:highlight w:val="none"/>
                <w:lang w:eastAsia="zh-CN"/>
              </w:rPr>
            </w:pPr>
            <w:r>
              <w:rPr>
                <w:rFonts w:hint="eastAsia" w:ascii="宋体" w:hAnsi="宋体" w:cs="宋体"/>
                <w:color w:val="auto"/>
                <w:sz w:val="21"/>
                <w:szCs w:val="21"/>
                <w:highlight w:val="none"/>
                <w:lang w:eastAsia="zh-CN"/>
              </w:rPr>
              <w:t>标准要求：</w:t>
            </w:r>
          </w:p>
          <w:p w14:paraId="00CC95DF">
            <w:pPr>
              <w:keepNext w:val="0"/>
              <w:keepLines w:val="0"/>
              <w:pageBreakBefore w:val="0"/>
              <w:kinsoku/>
              <w:wordWrap/>
              <w:overflowPunct/>
              <w:topLinePunct w:val="0"/>
              <w:autoSpaceDE/>
              <w:autoSpaceDN/>
              <w:bidi w:val="0"/>
              <w:spacing w:line="360" w:lineRule="auto"/>
              <w:jc w:val="left"/>
              <w:textAlignment w:val="auto"/>
              <w:rPr>
                <w:rFonts w:hint="eastAsia" w:ascii="宋体" w:hAnsi="宋体" w:cs="宋体"/>
                <w:color w:val="auto"/>
                <w:sz w:val="21"/>
                <w:szCs w:val="21"/>
                <w:highlight w:val="none"/>
                <w:lang w:eastAsia="zh-CN"/>
              </w:rPr>
            </w:pPr>
            <w:r>
              <w:rPr>
                <w:rFonts w:hint="eastAsia" w:ascii="宋体" w:hAnsi="宋体" w:cs="宋体"/>
                <w:color w:val="auto"/>
                <w:sz w:val="21"/>
                <w:szCs w:val="21"/>
                <w:highlight w:val="none"/>
                <w:lang w:eastAsia="zh-CN"/>
              </w:rPr>
              <w:t>教学图片素材资源，包括结构图、施工图纸、设计图纸、设备图纸、原理动图、知识结构思、维导图等教学用图，按精品在线开放课程教学需要提供处理、美化。</w:t>
            </w:r>
          </w:p>
          <w:p w14:paraId="37C6D487">
            <w:pPr>
              <w:keepNext w:val="0"/>
              <w:keepLines w:val="0"/>
              <w:pageBreakBefore w:val="0"/>
              <w:kinsoku/>
              <w:wordWrap/>
              <w:overflowPunct/>
              <w:topLinePunct w:val="0"/>
              <w:autoSpaceDE/>
              <w:autoSpaceDN/>
              <w:bidi w:val="0"/>
              <w:spacing w:line="360" w:lineRule="auto"/>
              <w:jc w:val="left"/>
              <w:textAlignment w:val="auto"/>
              <w:rPr>
                <w:rFonts w:hint="eastAsia" w:ascii="宋体" w:hAnsi="宋体" w:cs="宋体"/>
                <w:color w:val="auto"/>
                <w:sz w:val="21"/>
                <w:szCs w:val="21"/>
                <w:highlight w:val="none"/>
                <w:lang w:eastAsia="zh-CN"/>
              </w:rPr>
            </w:pPr>
            <w:r>
              <w:rPr>
                <w:rFonts w:hint="eastAsia" w:ascii="宋体" w:hAnsi="宋体" w:cs="宋体"/>
                <w:color w:val="auto"/>
                <w:sz w:val="21"/>
                <w:szCs w:val="21"/>
                <w:highlight w:val="none"/>
                <w:lang w:eastAsia="zh-CN"/>
              </w:rPr>
              <w:t>技术要求：</w:t>
            </w:r>
          </w:p>
          <w:p w14:paraId="2A6E61C2">
            <w:pPr>
              <w:keepNext w:val="0"/>
              <w:keepLines w:val="0"/>
              <w:pageBreakBefore w:val="0"/>
              <w:kinsoku/>
              <w:wordWrap/>
              <w:overflowPunct/>
              <w:topLinePunct w:val="0"/>
              <w:autoSpaceDE/>
              <w:autoSpaceDN/>
              <w:bidi w:val="0"/>
              <w:spacing w:line="360" w:lineRule="auto"/>
              <w:jc w:val="left"/>
              <w:textAlignment w:val="auto"/>
              <w:rPr>
                <w:rFonts w:hint="eastAsia" w:ascii="宋体" w:hAnsi="宋体" w:cs="宋体"/>
                <w:color w:val="auto"/>
                <w:sz w:val="21"/>
                <w:szCs w:val="21"/>
                <w:highlight w:val="none"/>
                <w:lang w:eastAsia="zh-CN"/>
              </w:rPr>
            </w:pPr>
            <w:r>
              <w:rPr>
                <w:rFonts w:hint="eastAsia" w:ascii="宋体" w:hAnsi="宋体" w:cs="宋体"/>
                <w:color w:val="auto"/>
                <w:sz w:val="21"/>
                <w:szCs w:val="21"/>
                <w:highlight w:val="none"/>
                <w:lang w:eastAsia="zh-CN"/>
              </w:rPr>
              <w:t>(1)彩色图像颜色数不低于真彩(24位色)。</w:t>
            </w:r>
          </w:p>
          <w:p w14:paraId="29F92786">
            <w:pPr>
              <w:keepNext w:val="0"/>
              <w:keepLines w:val="0"/>
              <w:pageBreakBefore w:val="0"/>
              <w:kinsoku/>
              <w:wordWrap/>
              <w:overflowPunct/>
              <w:topLinePunct w:val="0"/>
              <w:autoSpaceDE/>
              <w:autoSpaceDN/>
              <w:bidi w:val="0"/>
              <w:spacing w:line="360" w:lineRule="auto"/>
              <w:jc w:val="left"/>
              <w:textAlignment w:val="auto"/>
              <w:rPr>
                <w:rFonts w:hint="eastAsia" w:ascii="宋体" w:hAnsi="宋体" w:cs="宋体"/>
                <w:color w:val="auto"/>
                <w:sz w:val="21"/>
                <w:szCs w:val="21"/>
                <w:highlight w:val="none"/>
                <w:lang w:eastAsia="zh-CN"/>
              </w:rPr>
            </w:pPr>
            <w:r>
              <w:rPr>
                <w:rFonts w:hint="eastAsia" w:ascii="宋体" w:hAnsi="宋体" w:cs="宋体"/>
                <w:color w:val="auto"/>
                <w:sz w:val="21"/>
                <w:szCs w:val="21"/>
                <w:highlight w:val="none"/>
                <w:lang w:eastAsia="zh-CN"/>
              </w:rPr>
              <w:t>(2)尺寸：1920X1080像素，建议提供同比例大图；位深：24位；扫描图像的扫描分辨率不低于72dpi。</w:t>
            </w:r>
          </w:p>
          <w:p w14:paraId="1E8706F3">
            <w:pPr>
              <w:keepNext w:val="0"/>
              <w:keepLines w:val="0"/>
              <w:pageBreakBefore w:val="0"/>
              <w:kinsoku/>
              <w:wordWrap/>
              <w:overflowPunct/>
              <w:topLinePunct w:val="0"/>
              <w:autoSpaceDE/>
              <w:autoSpaceDN/>
              <w:bidi w:val="0"/>
              <w:spacing w:line="360" w:lineRule="auto"/>
              <w:jc w:val="left"/>
              <w:textAlignment w:val="auto"/>
              <w:rPr>
                <w:rFonts w:hint="eastAsia" w:ascii="宋体" w:hAnsi="宋体" w:cs="宋体"/>
                <w:color w:val="auto"/>
                <w:sz w:val="21"/>
                <w:szCs w:val="21"/>
                <w:highlight w:val="none"/>
                <w:lang w:eastAsia="zh-CN"/>
              </w:rPr>
            </w:pPr>
            <w:r>
              <w:rPr>
                <w:rFonts w:hint="eastAsia" w:ascii="宋体" w:hAnsi="宋体" w:cs="宋体"/>
                <w:color w:val="auto"/>
                <w:sz w:val="21"/>
                <w:szCs w:val="21"/>
                <w:highlight w:val="none"/>
                <w:lang w:eastAsia="zh-CN"/>
              </w:rPr>
              <w:t>(3)采用常见存储格式，如GIF、PNG、JPG 等。</w:t>
            </w:r>
          </w:p>
          <w:p w14:paraId="73E2947C">
            <w:pPr>
              <w:keepNext w:val="0"/>
              <w:keepLines w:val="0"/>
              <w:pageBreakBefore w:val="0"/>
              <w:kinsoku/>
              <w:wordWrap/>
              <w:overflowPunct/>
              <w:topLinePunct w:val="0"/>
              <w:autoSpaceDE/>
              <w:autoSpaceDN/>
              <w:bidi w:val="0"/>
              <w:spacing w:line="360" w:lineRule="auto"/>
              <w:jc w:val="left"/>
              <w:textAlignment w:val="auto"/>
              <w:rPr>
                <w:rFonts w:hint="eastAsia" w:ascii="宋体" w:hAnsi="宋体" w:cs="宋体"/>
                <w:color w:val="auto"/>
                <w:sz w:val="21"/>
                <w:szCs w:val="21"/>
                <w:highlight w:val="none"/>
                <w:lang w:eastAsia="zh-CN"/>
              </w:rPr>
            </w:pPr>
            <w:r>
              <w:rPr>
                <w:rFonts w:hint="eastAsia" w:ascii="宋体" w:hAnsi="宋体" w:cs="宋体"/>
                <w:color w:val="auto"/>
                <w:sz w:val="21"/>
                <w:szCs w:val="21"/>
                <w:highlight w:val="none"/>
                <w:lang w:eastAsia="zh-CN"/>
              </w:rPr>
              <w:t>4.文本排版美化</w:t>
            </w:r>
          </w:p>
          <w:p w14:paraId="087105DC">
            <w:pPr>
              <w:keepNext w:val="0"/>
              <w:keepLines w:val="0"/>
              <w:pageBreakBefore w:val="0"/>
              <w:kinsoku/>
              <w:wordWrap/>
              <w:overflowPunct/>
              <w:topLinePunct w:val="0"/>
              <w:autoSpaceDE/>
              <w:autoSpaceDN/>
              <w:bidi w:val="0"/>
              <w:spacing w:line="360" w:lineRule="auto"/>
              <w:jc w:val="left"/>
              <w:textAlignment w:val="auto"/>
              <w:rPr>
                <w:rFonts w:hint="eastAsia" w:ascii="宋体" w:hAnsi="宋体" w:cs="宋体"/>
                <w:color w:val="auto"/>
                <w:sz w:val="21"/>
                <w:szCs w:val="21"/>
                <w:highlight w:val="none"/>
                <w:lang w:eastAsia="zh-CN"/>
              </w:rPr>
            </w:pPr>
            <w:r>
              <w:rPr>
                <w:rFonts w:hint="eastAsia" w:ascii="宋体" w:hAnsi="宋体" w:cs="宋体"/>
                <w:color w:val="auto"/>
                <w:sz w:val="21"/>
                <w:szCs w:val="21"/>
                <w:highlight w:val="none"/>
                <w:lang w:eastAsia="zh-CN"/>
              </w:rPr>
              <w:t>标准要求：</w:t>
            </w:r>
          </w:p>
          <w:p w14:paraId="5D114346">
            <w:pPr>
              <w:keepNext w:val="0"/>
              <w:keepLines w:val="0"/>
              <w:pageBreakBefore w:val="0"/>
              <w:kinsoku/>
              <w:wordWrap/>
              <w:overflowPunct/>
              <w:topLinePunct w:val="0"/>
              <w:autoSpaceDE/>
              <w:autoSpaceDN/>
              <w:bidi w:val="0"/>
              <w:spacing w:line="360" w:lineRule="auto"/>
              <w:jc w:val="left"/>
              <w:textAlignment w:val="auto"/>
              <w:rPr>
                <w:rFonts w:hint="eastAsia" w:ascii="宋体" w:hAnsi="宋体" w:cs="宋体"/>
                <w:color w:val="auto"/>
                <w:sz w:val="21"/>
                <w:szCs w:val="21"/>
                <w:highlight w:val="none"/>
                <w:lang w:eastAsia="zh-CN"/>
              </w:rPr>
            </w:pPr>
            <w:r>
              <w:rPr>
                <w:rFonts w:hint="eastAsia" w:ascii="宋体" w:hAnsi="宋体" w:cs="宋体"/>
                <w:color w:val="auto"/>
                <w:sz w:val="21"/>
                <w:szCs w:val="21"/>
                <w:highlight w:val="none"/>
                <w:lang w:eastAsia="zh-CN"/>
              </w:rPr>
              <w:t>文本素材资源，包括课程介绍、团队介绍、教学标准、教学日历、课程导学、教学设计、评价标准、拓展学习、模块导学、专题导学、学习目标、技能目标、教案、练习测验、考试试题等文本资源，按精品在线开放课程教学需要提供排版处理、美化。</w:t>
            </w:r>
          </w:p>
          <w:p w14:paraId="62B9BF7C">
            <w:pPr>
              <w:keepNext w:val="0"/>
              <w:keepLines w:val="0"/>
              <w:pageBreakBefore w:val="0"/>
              <w:kinsoku/>
              <w:wordWrap/>
              <w:overflowPunct/>
              <w:topLinePunct w:val="0"/>
              <w:autoSpaceDE/>
              <w:autoSpaceDN/>
              <w:bidi w:val="0"/>
              <w:spacing w:line="360" w:lineRule="auto"/>
              <w:jc w:val="left"/>
              <w:textAlignment w:val="auto"/>
              <w:rPr>
                <w:rFonts w:hint="eastAsia" w:ascii="宋体" w:hAnsi="宋体" w:cs="宋体"/>
                <w:color w:val="auto"/>
                <w:sz w:val="21"/>
                <w:szCs w:val="21"/>
                <w:highlight w:val="none"/>
                <w:lang w:eastAsia="zh-CN"/>
              </w:rPr>
            </w:pPr>
            <w:r>
              <w:rPr>
                <w:rFonts w:hint="eastAsia" w:ascii="宋体" w:hAnsi="宋体" w:cs="宋体"/>
                <w:color w:val="auto"/>
                <w:sz w:val="21"/>
                <w:szCs w:val="21"/>
                <w:highlight w:val="none"/>
                <w:lang w:eastAsia="zh-CN"/>
              </w:rPr>
              <w:t>技术要求：</w:t>
            </w:r>
          </w:p>
          <w:p w14:paraId="0CB4137E">
            <w:pPr>
              <w:keepNext w:val="0"/>
              <w:keepLines w:val="0"/>
              <w:pageBreakBefore w:val="0"/>
              <w:kinsoku/>
              <w:wordWrap/>
              <w:overflowPunct/>
              <w:topLinePunct w:val="0"/>
              <w:autoSpaceDE/>
              <w:autoSpaceDN/>
              <w:bidi w:val="0"/>
              <w:spacing w:line="360" w:lineRule="auto"/>
              <w:jc w:val="left"/>
              <w:textAlignment w:val="auto"/>
              <w:rPr>
                <w:rFonts w:hint="eastAsia" w:ascii="宋体" w:hAnsi="宋体" w:cs="宋体"/>
                <w:color w:val="auto"/>
                <w:sz w:val="21"/>
                <w:szCs w:val="21"/>
                <w:highlight w:val="none"/>
                <w:lang w:eastAsia="zh-CN"/>
              </w:rPr>
            </w:pPr>
            <w:r>
              <w:rPr>
                <w:rFonts w:hint="eastAsia" w:ascii="宋体" w:hAnsi="宋体" w:cs="宋体"/>
                <w:color w:val="auto"/>
                <w:sz w:val="21"/>
                <w:szCs w:val="21"/>
                <w:highlight w:val="none"/>
                <w:lang w:eastAsia="zh-CN"/>
              </w:rPr>
              <w:t>(1)纯文本采用UTF-8编码或GB18030编码。</w:t>
            </w:r>
          </w:p>
          <w:p w14:paraId="30DA7476">
            <w:pPr>
              <w:keepNext w:val="0"/>
              <w:keepLines w:val="0"/>
              <w:pageBreakBefore w:val="0"/>
              <w:kinsoku/>
              <w:wordWrap/>
              <w:overflowPunct/>
              <w:topLinePunct w:val="0"/>
              <w:autoSpaceDE/>
              <w:autoSpaceDN/>
              <w:bidi w:val="0"/>
              <w:spacing w:line="360" w:lineRule="auto"/>
              <w:jc w:val="left"/>
              <w:textAlignment w:val="auto"/>
              <w:rPr>
                <w:rFonts w:hint="eastAsia" w:ascii="宋体" w:hAnsi="宋体" w:cs="宋体"/>
                <w:color w:val="auto"/>
                <w:sz w:val="21"/>
                <w:szCs w:val="21"/>
                <w:highlight w:val="none"/>
                <w:lang w:eastAsia="zh-CN"/>
              </w:rPr>
            </w:pPr>
            <w:r>
              <w:rPr>
                <w:rFonts w:hint="eastAsia" w:ascii="宋体" w:hAnsi="宋体" w:cs="宋体"/>
                <w:color w:val="auto"/>
                <w:sz w:val="21"/>
                <w:szCs w:val="21"/>
                <w:highlight w:val="none"/>
                <w:lang w:eastAsia="zh-CN"/>
              </w:rPr>
              <w:t>(2)存储格式：DOC(word97-2003版本)。</w:t>
            </w:r>
          </w:p>
          <w:p w14:paraId="5C3309D6">
            <w:pPr>
              <w:keepNext w:val="0"/>
              <w:keepLines w:val="0"/>
              <w:pageBreakBefore w:val="0"/>
              <w:kinsoku/>
              <w:wordWrap/>
              <w:overflowPunct/>
              <w:topLinePunct w:val="0"/>
              <w:autoSpaceDE/>
              <w:autoSpaceDN/>
              <w:bidi w:val="0"/>
              <w:spacing w:line="360" w:lineRule="auto"/>
              <w:jc w:val="left"/>
              <w:textAlignment w:val="auto"/>
              <w:rPr>
                <w:rFonts w:hint="eastAsia" w:ascii="宋体" w:hAnsi="宋体" w:cs="宋体"/>
                <w:color w:val="auto"/>
                <w:sz w:val="21"/>
                <w:szCs w:val="21"/>
                <w:highlight w:val="none"/>
                <w:lang w:eastAsia="zh-CN"/>
              </w:rPr>
            </w:pPr>
            <w:r>
              <w:rPr>
                <w:rFonts w:hint="eastAsia" w:ascii="宋体" w:hAnsi="宋体" w:cs="宋体"/>
                <w:color w:val="auto"/>
                <w:sz w:val="21"/>
                <w:szCs w:val="21"/>
                <w:highlight w:val="none"/>
                <w:lang w:eastAsia="zh-CN"/>
              </w:rPr>
              <w:t>5.二维动画</w:t>
            </w:r>
          </w:p>
          <w:p w14:paraId="3B674F1F">
            <w:pPr>
              <w:keepNext w:val="0"/>
              <w:keepLines w:val="0"/>
              <w:pageBreakBefore w:val="0"/>
              <w:kinsoku/>
              <w:wordWrap/>
              <w:overflowPunct/>
              <w:topLinePunct w:val="0"/>
              <w:autoSpaceDE/>
              <w:autoSpaceDN/>
              <w:bidi w:val="0"/>
              <w:spacing w:line="360" w:lineRule="auto"/>
              <w:jc w:val="left"/>
              <w:textAlignment w:val="auto"/>
              <w:rPr>
                <w:rFonts w:hint="eastAsia" w:ascii="宋体" w:hAnsi="宋体" w:cs="宋体"/>
                <w:color w:val="auto"/>
                <w:sz w:val="21"/>
                <w:szCs w:val="21"/>
                <w:highlight w:val="none"/>
                <w:lang w:eastAsia="zh-CN"/>
              </w:rPr>
            </w:pPr>
            <w:r>
              <w:rPr>
                <w:rFonts w:hint="eastAsia" w:ascii="宋体" w:hAnsi="宋体" w:cs="宋体"/>
                <w:color w:val="auto"/>
                <w:sz w:val="21"/>
                <w:szCs w:val="21"/>
                <w:highlight w:val="none"/>
                <w:lang w:eastAsia="zh-CN"/>
              </w:rPr>
              <w:t>标准要求：</w:t>
            </w:r>
          </w:p>
          <w:p w14:paraId="58517341">
            <w:pPr>
              <w:keepNext w:val="0"/>
              <w:keepLines w:val="0"/>
              <w:pageBreakBefore w:val="0"/>
              <w:kinsoku/>
              <w:wordWrap/>
              <w:overflowPunct/>
              <w:topLinePunct w:val="0"/>
              <w:autoSpaceDE/>
              <w:autoSpaceDN/>
              <w:bidi w:val="0"/>
              <w:spacing w:line="360" w:lineRule="auto"/>
              <w:jc w:val="left"/>
              <w:textAlignment w:val="auto"/>
              <w:rPr>
                <w:rFonts w:hint="eastAsia" w:ascii="宋体" w:hAnsi="宋体" w:cs="宋体"/>
                <w:color w:val="auto"/>
                <w:sz w:val="21"/>
                <w:szCs w:val="21"/>
                <w:highlight w:val="none"/>
                <w:lang w:eastAsia="zh-CN"/>
              </w:rPr>
            </w:pPr>
            <w:r>
              <w:rPr>
                <w:rFonts w:hint="eastAsia" w:ascii="宋体" w:hAnsi="宋体" w:cs="宋体"/>
                <w:color w:val="auto"/>
                <w:sz w:val="21"/>
                <w:szCs w:val="21"/>
                <w:highlight w:val="none"/>
                <w:lang w:eastAsia="zh-CN"/>
              </w:rPr>
              <w:t>二维动画资源，应通过对专业特点的分析,充分调研专业涉及的教学和实际工作场景，运用科学的原画设定方法，制定符合专业的角色、场景、道具等原画设计，创设职业岗位相关情景，采用丰富的动画表现形式，与专业特点和谐统一。视频时长1-2分钟。</w:t>
            </w:r>
          </w:p>
          <w:p w14:paraId="3662E93C">
            <w:pPr>
              <w:keepNext w:val="0"/>
              <w:keepLines w:val="0"/>
              <w:pageBreakBefore w:val="0"/>
              <w:kinsoku/>
              <w:wordWrap/>
              <w:overflowPunct/>
              <w:topLinePunct w:val="0"/>
              <w:autoSpaceDE/>
              <w:autoSpaceDN/>
              <w:bidi w:val="0"/>
              <w:spacing w:line="360" w:lineRule="auto"/>
              <w:jc w:val="left"/>
              <w:textAlignment w:val="auto"/>
              <w:rPr>
                <w:rFonts w:hint="eastAsia" w:ascii="宋体" w:hAnsi="宋体" w:cs="宋体"/>
                <w:color w:val="auto"/>
                <w:sz w:val="21"/>
                <w:szCs w:val="21"/>
                <w:highlight w:val="none"/>
                <w:lang w:eastAsia="zh-CN"/>
              </w:rPr>
            </w:pPr>
            <w:r>
              <w:rPr>
                <w:rFonts w:hint="eastAsia" w:ascii="宋体" w:hAnsi="宋体" w:cs="宋体"/>
                <w:color w:val="auto"/>
                <w:sz w:val="21"/>
                <w:szCs w:val="21"/>
                <w:highlight w:val="none"/>
                <w:lang w:eastAsia="zh-CN"/>
              </w:rPr>
              <w:t>品质要求：</w:t>
            </w:r>
          </w:p>
          <w:p w14:paraId="3EBD6611">
            <w:pPr>
              <w:keepNext w:val="0"/>
              <w:keepLines w:val="0"/>
              <w:pageBreakBefore w:val="0"/>
              <w:kinsoku/>
              <w:wordWrap/>
              <w:overflowPunct/>
              <w:topLinePunct w:val="0"/>
              <w:autoSpaceDE/>
              <w:autoSpaceDN/>
              <w:bidi w:val="0"/>
              <w:spacing w:line="360" w:lineRule="auto"/>
              <w:jc w:val="left"/>
              <w:textAlignment w:val="auto"/>
              <w:rPr>
                <w:rFonts w:hint="eastAsia" w:ascii="宋体" w:hAnsi="宋体" w:cs="宋体"/>
                <w:color w:val="auto"/>
                <w:sz w:val="21"/>
                <w:szCs w:val="21"/>
                <w:highlight w:val="none"/>
                <w:lang w:eastAsia="zh-CN"/>
              </w:rPr>
            </w:pPr>
            <w:r>
              <w:rPr>
                <w:rFonts w:hint="eastAsia" w:ascii="宋体" w:hAnsi="宋体" w:cs="宋体"/>
                <w:color w:val="auto"/>
                <w:sz w:val="21"/>
                <w:szCs w:val="21"/>
                <w:highlight w:val="none"/>
                <w:lang w:eastAsia="zh-CN"/>
              </w:rPr>
              <w:t>动画内容中用到的图像必须清晰，不能有图像过于模糊等现象出现。</w:t>
            </w:r>
          </w:p>
          <w:p w14:paraId="1BD6BD7F">
            <w:pPr>
              <w:keepNext w:val="0"/>
              <w:keepLines w:val="0"/>
              <w:pageBreakBefore w:val="0"/>
              <w:kinsoku/>
              <w:wordWrap/>
              <w:overflowPunct/>
              <w:topLinePunct w:val="0"/>
              <w:autoSpaceDE/>
              <w:autoSpaceDN/>
              <w:bidi w:val="0"/>
              <w:spacing w:line="360" w:lineRule="auto"/>
              <w:jc w:val="left"/>
              <w:textAlignment w:val="auto"/>
              <w:rPr>
                <w:rFonts w:hint="eastAsia" w:ascii="宋体" w:hAnsi="宋体" w:cs="宋体"/>
                <w:color w:val="auto"/>
                <w:sz w:val="21"/>
                <w:szCs w:val="21"/>
                <w:highlight w:val="none"/>
                <w:lang w:eastAsia="zh-CN"/>
              </w:rPr>
            </w:pPr>
            <w:r>
              <w:rPr>
                <w:rFonts w:hint="eastAsia" w:ascii="宋体" w:hAnsi="宋体" w:cs="宋体"/>
                <w:color w:val="auto"/>
                <w:sz w:val="21"/>
                <w:szCs w:val="21"/>
                <w:highlight w:val="none"/>
                <w:lang w:eastAsia="zh-CN"/>
              </w:rPr>
              <w:t>(1)动画内容播放过程连续流畅，节奏合适，避免采用简单重复方式以保持动画播放时间，如说话特写中，同一抬手放手动作不断重复。</w:t>
            </w:r>
          </w:p>
          <w:p w14:paraId="16F919B6">
            <w:pPr>
              <w:keepNext w:val="0"/>
              <w:keepLines w:val="0"/>
              <w:pageBreakBefore w:val="0"/>
              <w:kinsoku/>
              <w:wordWrap/>
              <w:overflowPunct/>
              <w:topLinePunct w:val="0"/>
              <w:autoSpaceDE/>
              <w:autoSpaceDN/>
              <w:bidi w:val="0"/>
              <w:spacing w:line="360" w:lineRule="auto"/>
              <w:jc w:val="left"/>
              <w:textAlignment w:val="auto"/>
              <w:rPr>
                <w:rFonts w:hint="eastAsia" w:ascii="宋体" w:hAnsi="宋体" w:cs="宋体"/>
                <w:color w:val="auto"/>
                <w:sz w:val="21"/>
                <w:szCs w:val="21"/>
                <w:highlight w:val="none"/>
                <w:lang w:eastAsia="zh-CN"/>
              </w:rPr>
            </w:pPr>
            <w:r>
              <w:rPr>
                <w:rFonts w:hint="eastAsia" w:ascii="宋体" w:hAnsi="宋体" w:cs="宋体"/>
                <w:color w:val="auto"/>
                <w:sz w:val="21"/>
                <w:szCs w:val="21"/>
                <w:highlight w:val="none"/>
                <w:lang w:eastAsia="zh-CN"/>
              </w:rPr>
              <w:t>(2)声音录制采用专业级话筒，保证后期配音的录音质量，解说配音应标准，无噪音，声音悦耳，音量适当，快慢适度。</w:t>
            </w:r>
          </w:p>
          <w:p w14:paraId="1B3D5A1E">
            <w:pPr>
              <w:keepNext w:val="0"/>
              <w:keepLines w:val="0"/>
              <w:pageBreakBefore w:val="0"/>
              <w:kinsoku/>
              <w:wordWrap/>
              <w:overflowPunct/>
              <w:topLinePunct w:val="0"/>
              <w:autoSpaceDE/>
              <w:autoSpaceDN/>
              <w:bidi w:val="0"/>
              <w:spacing w:line="360" w:lineRule="auto"/>
              <w:jc w:val="left"/>
              <w:textAlignment w:val="auto"/>
              <w:rPr>
                <w:rFonts w:hint="eastAsia" w:ascii="宋体" w:hAnsi="宋体" w:cs="宋体"/>
                <w:color w:val="auto"/>
                <w:sz w:val="21"/>
                <w:szCs w:val="21"/>
                <w:highlight w:val="none"/>
                <w:lang w:eastAsia="zh-CN"/>
              </w:rPr>
            </w:pPr>
            <w:r>
              <w:rPr>
                <w:rFonts w:hint="eastAsia" w:ascii="宋体" w:hAnsi="宋体" w:cs="宋体"/>
                <w:color w:val="auto"/>
                <w:sz w:val="21"/>
                <w:szCs w:val="21"/>
                <w:highlight w:val="none"/>
                <w:lang w:eastAsia="zh-CN"/>
              </w:rPr>
              <w:t>(3)资源开发完成后，需将源代码、制作源文件和相关脚本、素材等项目材料与成品一并归档整理，统一交付采购方。</w:t>
            </w:r>
          </w:p>
          <w:p w14:paraId="7588F4FE">
            <w:pPr>
              <w:keepNext w:val="0"/>
              <w:keepLines w:val="0"/>
              <w:pageBreakBefore w:val="0"/>
              <w:kinsoku/>
              <w:wordWrap/>
              <w:overflowPunct/>
              <w:topLinePunct w:val="0"/>
              <w:autoSpaceDE/>
              <w:autoSpaceDN/>
              <w:bidi w:val="0"/>
              <w:spacing w:line="360" w:lineRule="auto"/>
              <w:jc w:val="left"/>
              <w:textAlignment w:val="auto"/>
              <w:rPr>
                <w:rFonts w:hint="eastAsia" w:ascii="宋体" w:hAnsi="宋体" w:cs="宋体"/>
                <w:color w:val="auto"/>
                <w:sz w:val="21"/>
                <w:szCs w:val="21"/>
                <w:highlight w:val="none"/>
                <w:lang w:eastAsia="zh-CN"/>
              </w:rPr>
            </w:pPr>
            <w:r>
              <w:rPr>
                <w:rFonts w:hint="eastAsia" w:ascii="宋体" w:hAnsi="宋体" w:cs="宋体"/>
                <w:color w:val="auto"/>
                <w:sz w:val="21"/>
                <w:szCs w:val="21"/>
                <w:highlight w:val="none"/>
                <w:lang w:eastAsia="zh-CN"/>
              </w:rPr>
              <w:t>(4)版权归采购方所有，资源中应增加含有采购人校徽或校名的水印标识；资源中选用的其他非原创性资源不存在版权争议问题。</w:t>
            </w:r>
          </w:p>
          <w:p w14:paraId="051A147F">
            <w:pPr>
              <w:keepNext w:val="0"/>
              <w:keepLines w:val="0"/>
              <w:pageBreakBefore w:val="0"/>
              <w:kinsoku/>
              <w:wordWrap/>
              <w:overflowPunct/>
              <w:topLinePunct w:val="0"/>
              <w:autoSpaceDE/>
              <w:autoSpaceDN/>
              <w:bidi w:val="0"/>
              <w:spacing w:line="360" w:lineRule="auto"/>
              <w:jc w:val="left"/>
              <w:textAlignment w:val="auto"/>
              <w:rPr>
                <w:rFonts w:hint="eastAsia" w:ascii="宋体" w:hAnsi="宋体" w:cs="宋体"/>
                <w:b/>
                <w:bCs/>
                <w:color w:val="auto"/>
                <w:sz w:val="21"/>
                <w:szCs w:val="21"/>
                <w:highlight w:val="none"/>
                <w:lang w:eastAsia="zh-CN"/>
              </w:rPr>
            </w:pPr>
            <w:r>
              <w:rPr>
                <w:rFonts w:hint="eastAsia" w:ascii="宋体" w:hAnsi="宋体" w:cs="宋体"/>
                <w:b/>
                <w:bCs/>
                <w:color w:val="auto"/>
                <w:sz w:val="21"/>
                <w:szCs w:val="21"/>
                <w:highlight w:val="none"/>
                <w:lang w:eastAsia="zh-CN"/>
              </w:rPr>
              <w:t>(</w:t>
            </w:r>
            <w:r>
              <w:rPr>
                <w:rFonts w:hint="eastAsia" w:ascii="宋体" w:hAnsi="宋体" w:cs="宋体"/>
                <w:b/>
                <w:bCs/>
                <w:color w:val="auto"/>
                <w:sz w:val="21"/>
                <w:szCs w:val="21"/>
                <w:highlight w:val="none"/>
                <w:lang w:val="en-US" w:eastAsia="zh-CN"/>
              </w:rPr>
              <w:t>六</w:t>
            </w:r>
            <w:r>
              <w:rPr>
                <w:rFonts w:hint="eastAsia" w:ascii="宋体" w:hAnsi="宋体" w:cs="宋体"/>
                <w:b/>
                <w:bCs/>
                <w:color w:val="auto"/>
                <w:sz w:val="21"/>
                <w:szCs w:val="21"/>
                <w:highlight w:val="none"/>
                <w:lang w:eastAsia="zh-CN"/>
              </w:rPr>
              <w:t>)执行标准</w:t>
            </w:r>
          </w:p>
          <w:p w14:paraId="4B616CBA">
            <w:pPr>
              <w:keepNext w:val="0"/>
              <w:keepLines w:val="0"/>
              <w:pageBreakBefore w:val="0"/>
              <w:kinsoku/>
              <w:wordWrap/>
              <w:overflowPunct/>
              <w:topLinePunct w:val="0"/>
              <w:autoSpaceDE/>
              <w:autoSpaceDN/>
              <w:bidi w:val="0"/>
              <w:spacing w:line="360" w:lineRule="auto"/>
              <w:jc w:val="left"/>
              <w:textAlignment w:val="auto"/>
              <w:rPr>
                <w:rFonts w:hint="eastAsia" w:ascii="宋体" w:hAnsi="宋体" w:cs="宋体"/>
                <w:color w:val="auto"/>
                <w:sz w:val="21"/>
                <w:szCs w:val="21"/>
                <w:highlight w:val="none"/>
                <w:lang w:eastAsia="zh-CN"/>
              </w:rPr>
            </w:pPr>
            <w:r>
              <w:rPr>
                <w:rFonts w:hint="eastAsia" w:ascii="宋体" w:hAnsi="宋体" w:cs="宋体"/>
                <w:color w:val="auto"/>
                <w:sz w:val="21"/>
                <w:szCs w:val="21"/>
                <w:highlight w:val="none"/>
                <w:lang w:eastAsia="zh-CN"/>
              </w:rPr>
              <w:t>1.教育部关于国家精品开放课程建设的实施意见。</w:t>
            </w:r>
          </w:p>
          <w:p w14:paraId="79E667DC">
            <w:pPr>
              <w:keepNext w:val="0"/>
              <w:keepLines w:val="0"/>
              <w:pageBreakBefore w:val="0"/>
              <w:kinsoku/>
              <w:wordWrap/>
              <w:overflowPunct/>
              <w:topLinePunct w:val="0"/>
              <w:autoSpaceDE/>
              <w:autoSpaceDN/>
              <w:bidi w:val="0"/>
              <w:spacing w:line="360" w:lineRule="auto"/>
              <w:jc w:val="left"/>
              <w:textAlignment w:val="auto"/>
              <w:rPr>
                <w:rFonts w:hint="eastAsia" w:ascii="宋体" w:hAnsi="宋体" w:cs="宋体"/>
                <w:color w:val="auto"/>
                <w:sz w:val="21"/>
                <w:szCs w:val="21"/>
                <w:highlight w:val="none"/>
                <w:lang w:eastAsia="zh-CN"/>
              </w:rPr>
            </w:pPr>
            <w:r>
              <w:rPr>
                <w:rFonts w:hint="eastAsia" w:ascii="宋体" w:hAnsi="宋体" w:cs="宋体"/>
                <w:color w:val="auto"/>
                <w:sz w:val="21"/>
                <w:szCs w:val="21"/>
                <w:highlight w:val="none"/>
                <w:lang w:eastAsia="zh-CN"/>
              </w:rPr>
              <w:t>2.教育部联合五部门印发的《关于加强普通高等学校在线开放课程教学管理的若干意见》。</w:t>
            </w:r>
          </w:p>
          <w:p w14:paraId="4A5C54BB">
            <w:pPr>
              <w:keepNext w:val="0"/>
              <w:keepLines w:val="0"/>
              <w:pageBreakBefore w:val="0"/>
              <w:kinsoku/>
              <w:wordWrap/>
              <w:overflowPunct/>
              <w:topLinePunct w:val="0"/>
              <w:autoSpaceDE/>
              <w:autoSpaceDN/>
              <w:bidi w:val="0"/>
              <w:spacing w:line="360" w:lineRule="auto"/>
              <w:jc w:val="left"/>
              <w:textAlignment w:val="auto"/>
              <w:rPr>
                <w:rFonts w:hint="eastAsia" w:ascii="宋体" w:hAnsi="宋体" w:cs="宋体"/>
                <w:color w:val="auto"/>
                <w:sz w:val="21"/>
                <w:szCs w:val="21"/>
                <w:highlight w:val="none"/>
                <w:lang w:eastAsia="zh-CN"/>
              </w:rPr>
            </w:pPr>
            <w:r>
              <w:rPr>
                <w:rFonts w:hint="eastAsia" w:ascii="宋体" w:hAnsi="宋体" w:cs="宋体"/>
                <w:color w:val="auto"/>
                <w:sz w:val="21"/>
                <w:szCs w:val="21"/>
                <w:highlight w:val="none"/>
                <w:lang w:eastAsia="zh-CN"/>
              </w:rPr>
              <w:t>3.教育部关于启动高等学校教学质量与教学改革工程精品课程建设工作的通知。</w:t>
            </w:r>
          </w:p>
          <w:p w14:paraId="1054AF4E">
            <w:pPr>
              <w:keepNext w:val="0"/>
              <w:keepLines w:val="0"/>
              <w:pageBreakBefore w:val="0"/>
              <w:kinsoku/>
              <w:wordWrap/>
              <w:overflowPunct/>
              <w:topLinePunct w:val="0"/>
              <w:autoSpaceDE/>
              <w:autoSpaceDN/>
              <w:bidi w:val="0"/>
              <w:spacing w:line="360" w:lineRule="auto"/>
              <w:jc w:val="left"/>
              <w:textAlignment w:val="auto"/>
              <w:rPr>
                <w:rFonts w:hint="eastAsia" w:ascii="宋体" w:hAnsi="宋体" w:cs="宋体"/>
                <w:color w:val="auto"/>
                <w:sz w:val="21"/>
                <w:szCs w:val="21"/>
                <w:highlight w:val="none"/>
                <w:lang w:eastAsia="zh-CN"/>
              </w:rPr>
            </w:pPr>
            <w:r>
              <w:rPr>
                <w:rFonts w:hint="eastAsia" w:ascii="宋体" w:hAnsi="宋体" w:cs="宋体"/>
                <w:color w:val="auto"/>
                <w:sz w:val="21"/>
                <w:szCs w:val="21"/>
                <w:highlight w:val="none"/>
                <w:lang w:eastAsia="zh-CN"/>
              </w:rPr>
              <w:t>4.教学资源符合教育部网络教育技术标准集CELTS。</w:t>
            </w:r>
          </w:p>
          <w:p w14:paraId="69C6145C">
            <w:pPr>
              <w:keepNext w:val="0"/>
              <w:keepLines w:val="0"/>
              <w:pageBreakBefore w:val="0"/>
              <w:kinsoku/>
              <w:wordWrap/>
              <w:overflowPunct/>
              <w:topLinePunct w:val="0"/>
              <w:autoSpaceDE/>
              <w:autoSpaceDN/>
              <w:bidi w:val="0"/>
              <w:spacing w:line="360" w:lineRule="auto"/>
              <w:jc w:val="left"/>
              <w:textAlignment w:val="auto"/>
              <w:rPr>
                <w:rFonts w:hint="eastAsia" w:ascii="宋体" w:hAnsi="宋体" w:cs="宋体"/>
                <w:color w:val="auto"/>
                <w:sz w:val="21"/>
                <w:szCs w:val="21"/>
                <w:highlight w:val="none"/>
                <w:lang w:eastAsia="zh-CN"/>
              </w:rPr>
            </w:pPr>
            <w:r>
              <w:rPr>
                <w:rFonts w:hint="eastAsia" w:ascii="宋体" w:hAnsi="宋体" w:cs="宋体"/>
                <w:color w:val="auto"/>
                <w:sz w:val="21"/>
                <w:szCs w:val="21"/>
                <w:highlight w:val="none"/>
                <w:lang w:eastAsia="zh-CN"/>
              </w:rPr>
              <w:t>5.资源开发遵循《教育资源建设技术规范》(GELTS-41)。</w:t>
            </w:r>
          </w:p>
          <w:p w14:paraId="18E3C8F8">
            <w:pPr>
              <w:keepNext w:val="0"/>
              <w:keepLines w:val="0"/>
              <w:pageBreakBefore w:val="0"/>
              <w:kinsoku/>
              <w:wordWrap/>
              <w:overflowPunct/>
              <w:topLinePunct w:val="0"/>
              <w:autoSpaceDE/>
              <w:autoSpaceDN/>
              <w:bidi w:val="0"/>
              <w:spacing w:line="360" w:lineRule="auto"/>
              <w:jc w:val="left"/>
              <w:textAlignment w:val="auto"/>
              <w:rPr>
                <w:rFonts w:hint="eastAsia" w:ascii="宋体" w:hAnsi="宋体" w:cs="宋体"/>
                <w:color w:val="auto"/>
                <w:sz w:val="21"/>
                <w:szCs w:val="21"/>
                <w:highlight w:val="none"/>
                <w:lang w:eastAsia="zh-CN"/>
              </w:rPr>
            </w:pPr>
            <w:r>
              <w:rPr>
                <w:rFonts w:hint="eastAsia" w:ascii="宋体" w:hAnsi="宋体" w:cs="宋体"/>
                <w:color w:val="auto"/>
                <w:sz w:val="21"/>
                <w:szCs w:val="21"/>
                <w:highlight w:val="none"/>
                <w:lang w:eastAsia="zh-CN"/>
              </w:rPr>
              <w:t>6.资源管理遵循《教育管理信息化技术标准》。</w:t>
            </w:r>
          </w:p>
          <w:p w14:paraId="63281B7F">
            <w:pPr>
              <w:keepNext w:val="0"/>
              <w:keepLines w:val="0"/>
              <w:pageBreakBefore w:val="0"/>
              <w:kinsoku/>
              <w:wordWrap/>
              <w:overflowPunct/>
              <w:topLinePunct w:val="0"/>
              <w:autoSpaceDE/>
              <w:autoSpaceDN/>
              <w:bidi w:val="0"/>
              <w:spacing w:line="360" w:lineRule="auto"/>
              <w:jc w:val="left"/>
              <w:textAlignment w:val="auto"/>
              <w:rPr>
                <w:rFonts w:hint="eastAsia" w:ascii="宋体" w:hAnsi="宋体" w:cs="宋体"/>
                <w:color w:val="auto"/>
                <w:sz w:val="21"/>
                <w:szCs w:val="21"/>
                <w:highlight w:val="none"/>
                <w:lang w:eastAsia="zh-CN"/>
              </w:rPr>
            </w:pPr>
            <w:r>
              <w:rPr>
                <w:rFonts w:hint="eastAsia" w:ascii="宋体" w:hAnsi="宋体" w:cs="宋体"/>
                <w:color w:val="auto"/>
                <w:sz w:val="21"/>
                <w:szCs w:val="21"/>
                <w:highlight w:val="none"/>
                <w:lang w:eastAsia="zh-CN"/>
              </w:rPr>
              <w:t>7.教学资源开发遵循《职业教育专业教学资源库建设工作指南》(2016)《国家示范性职业学校数字化资源共建共享计划资源开发技术规范》《职业院校数字化校园建设解决方案》。</w:t>
            </w:r>
          </w:p>
          <w:p w14:paraId="3721A62B">
            <w:pPr>
              <w:keepNext w:val="0"/>
              <w:keepLines w:val="0"/>
              <w:pageBreakBefore w:val="0"/>
              <w:kinsoku/>
              <w:wordWrap/>
              <w:overflowPunct/>
              <w:topLinePunct w:val="0"/>
              <w:autoSpaceDE/>
              <w:autoSpaceDN/>
              <w:bidi w:val="0"/>
              <w:spacing w:line="360" w:lineRule="auto"/>
              <w:jc w:val="left"/>
              <w:textAlignment w:val="auto"/>
              <w:rPr>
                <w:rFonts w:hint="eastAsia" w:ascii="宋体" w:hAnsi="宋体" w:cs="宋体"/>
                <w:b/>
                <w:bCs/>
                <w:color w:val="auto"/>
                <w:sz w:val="21"/>
                <w:szCs w:val="21"/>
                <w:highlight w:val="none"/>
                <w:lang w:eastAsia="zh-CN"/>
              </w:rPr>
            </w:pPr>
            <w:r>
              <w:rPr>
                <w:rFonts w:hint="eastAsia" w:ascii="宋体" w:hAnsi="宋体" w:cs="宋体"/>
                <w:b/>
                <w:bCs/>
                <w:color w:val="auto"/>
                <w:sz w:val="21"/>
                <w:szCs w:val="21"/>
                <w:highlight w:val="none"/>
                <w:lang w:val="en-US" w:eastAsia="zh-CN"/>
              </w:rPr>
              <w:t>三、</w:t>
            </w:r>
            <w:r>
              <w:rPr>
                <w:rFonts w:hint="eastAsia" w:ascii="宋体" w:hAnsi="宋体" w:cs="宋体"/>
                <w:b/>
                <w:bCs/>
                <w:color w:val="auto"/>
                <w:sz w:val="21"/>
                <w:szCs w:val="21"/>
                <w:highlight w:val="none"/>
                <w:lang w:eastAsia="zh-CN"/>
              </w:rPr>
              <w:t>交付要求</w:t>
            </w:r>
          </w:p>
          <w:p w14:paraId="0D284770">
            <w:pPr>
              <w:keepNext w:val="0"/>
              <w:keepLines w:val="0"/>
              <w:pageBreakBefore w:val="0"/>
              <w:kinsoku/>
              <w:wordWrap/>
              <w:overflowPunct/>
              <w:topLinePunct w:val="0"/>
              <w:autoSpaceDE/>
              <w:autoSpaceDN/>
              <w:bidi w:val="0"/>
              <w:spacing w:line="360" w:lineRule="auto"/>
              <w:jc w:val="left"/>
              <w:textAlignment w:val="auto"/>
              <w:rPr>
                <w:rFonts w:hint="eastAsia" w:ascii="宋体" w:hAnsi="宋体" w:cs="宋体"/>
                <w:color w:val="auto"/>
                <w:sz w:val="21"/>
                <w:szCs w:val="21"/>
                <w:highlight w:val="none"/>
                <w:lang w:eastAsia="zh-CN"/>
              </w:rPr>
            </w:pPr>
            <w:r>
              <w:rPr>
                <w:rFonts w:hint="eastAsia" w:ascii="宋体" w:hAnsi="宋体" w:cs="宋体"/>
                <w:color w:val="auto"/>
                <w:sz w:val="21"/>
                <w:szCs w:val="21"/>
                <w:highlight w:val="none"/>
                <w:lang w:eastAsia="zh-CN"/>
              </w:rPr>
              <w:t>本项目编辑后的设计文件、教学课件、文本资源等，动画源文件、微课视频工程文件等，脚本、字幕文件等，拍摄过程的视频、音频等原素材，项目完成后交采购人，版权归采购人所有。</w:t>
            </w:r>
          </w:p>
          <w:p w14:paraId="6ADA8C21">
            <w:pPr>
              <w:keepNext w:val="0"/>
              <w:keepLines w:val="0"/>
              <w:pageBreakBefore w:val="0"/>
              <w:kinsoku/>
              <w:wordWrap/>
              <w:overflowPunct/>
              <w:topLinePunct w:val="0"/>
              <w:autoSpaceDE/>
              <w:autoSpaceDN/>
              <w:bidi w:val="0"/>
              <w:spacing w:line="360" w:lineRule="auto"/>
              <w:jc w:val="left"/>
              <w:textAlignment w:val="auto"/>
              <w:rPr>
                <w:rFonts w:hint="eastAsia" w:ascii="宋体" w:hAnsi="宋体" w:cs="宋体"/>
                <w:b/>
                <w:bCs/>
                <w:color w:val="auto"/>
                <w:sz w:val="21"/>
                <w:szCs w:val="21"/>
                <w:highlight w:val="none"/>
                <w:lang w:eastAsia="zh-CN"/>
              </w:rPr>
            </w:pPr>
            <w:r>
              <w:rPr>
                <w:rFonts w:hint="eastAsia" w:ascii="宋体" w:hAnsi="宋体" w:cs="宋体"/>
                <w:b/>
                <w:bCs/>
                <w:color w:val="auto"/>
                <w:sz w:val="21"/>
                <w:szCs w:val="21"/>
                <w:highlight w:val="none"/>
                <w:lang w:val="en-US" w:eastAsia="zh-CN"/>
              </w:rPr>
              <w:t>四</w:t>
            </w:r>
            <w:r>
              <w:rPr>
                <w:rFonts w:hint="eastAsia" w:ascii="宋体" w:hAnsi="宋体" w:cs="宋体"/>
                <w:b/>
                <w:bCs/>
                <w:color w:val="auto"/>
                <w:sz w:val="21"/>
                <w:szCs w:val="21"/>
                <w:highlight w:val="none"/>
                <w:lang w:eastAsia="zh-CN"/>
              </w:rPr>
              <w:t>、指导专家资质要求</w:t>
            </w:r>
          </w:p>
          <w:p w14:paraId="28D8EB72">
            <w:pPr>
              <w:keepNext w:val="0"/>
              <w:keepLines w:val="0"/>
              <w:pageBreakBefore w:val="0"/>
              <w:kinsoku/>
              <w:wordWrap/>
              <w:overflowPunct/>
              <w:topLinePunct w:val="0"/>
              <w:autoSpaceDE/>
              <w:autoSpaceDN/>
              <w:bidi w:val="0"/>
              <w:spacing w:line="360" w:lineRule="auto"/>
              <w:jc w:val="left"/>
              <w:textAlignment w:val="auto"/>
              <w:rPr>
                <w:rFonts w:hint="eastAsia" w:ascii="宋体" w:hAnsi="宋体" w:cs="宋体"/>
                <w:color w:val="auto"/>
                <w:sz w:val="21"/>
                <w:szCs w:val="21"/>
                <w:highlight w:val="none"/>
                <w:lang w:eastAsia="zh-CN"/>
              </w:rPr>
            </w:pPr>
            <w:r>
              <w:rPr>
                <w:rFonts w:hint="eastAsia" w:ascii="宋体" w:hAnsi="宋体" w:cs="宋体"/>
                <w:color w:val="auto"/>
                <w:sz w:val="21"/>
                <w:szCs w:val="21"/>
                <w:highlight w:val="none"/>
                <w:lang w:eastAsia="zh-CN"/>
              </w:rPr>
              <w:t>具有</w:t>
            </w:r>
            <w:r>
              <w:rPr>
                <w:rFonts w:hint="eastAsia" w:ascii="宋体" w:hAnsi="宋体" w:cs="宋体"/>
                <w:color w:val="auto"/>
                <w:sz w:val="21"/>
                <w:szCs w:val="21"/>
                <w:highlight w:val="none"/>
                <w:lang w:val="en-US" w:eastAsia="zh-CN"/>
              </w:rPr>
              <w:t>正</w:t>
            </w:r>
            <w:r>
              <w:rPr>
                <w:rFonts w:hint="eastAsia" w:ascii="宋体" w:hAnsi="宋体" w:cs="宋体"/>
                <w:color w:val="auto"/>
                <w:sz w:val="21"/>
                <w:szCs w:val="21"/>
                <w:highlight w:val="none"/>
                <w:lang w:eastAsia="zh-CN"/>
              </w:rPr>
              <w:t>高级以上职称</w:t>
            </w:r>
            <w:r>
              <w:rPr>
                <w:rFonts w:hint="eastAsia" w:ascii="宋体" w:hAnsi="宋体" w:cs="宋体"/>
                <w:color w:val="auto"/>
                <w:sz w:val="21"/>
                <w:szCs w:val="21"/>
                <w:highlight w:val="none"/>
                <w:lang w:val="en-US" w:eastAsia="zh-CN"/>
              </w:rPr>
              <w:t>且是“十四五”省级以上规划教材第一主编或具有正高级职称且获第二批“十四五”国家规划教材（第一主编）公示专家</w:t>
            </w:r>
            <w:r>
              <w:rPr>
                <w:rFonts w:hint="eastAsia" w:ascii="宋体" w:hAnsi="宋体" w:cs="宋体"/>
                <w:color w:val="auto"/>
                <w:sz w:val="21"/>
                <w:szCs w:val="21"/>
                <w:highlight w:val="none"/>
                <w:lang w:eastAsia="zh-CN"/>
              </w:rPr>
              <w:t>。</w:t>
            </w:r>
          </w:p>
        </w:tc>
        <w:tc>
          <w:tcPr>
            <w:tcW w:w="1036" w:type="dxa"/>
            <w:tcBorders>
              <w:top w:val="single" w:color="auto" w:sz="4" w:space="0"/>
              <w:left w:val="single" w:color="auto" w:sz="4" w:space="0"/>
              <w:bottom w:val="single" w:color="auto" w:sz="4" w:space="0"/>
              <w:right w:val="single" w:color="auto" w:sz="4" w:space="0"/>
            </w:tcBorders>
            <w:noWrap w:val="0"/>
            <w:vAlign w:val="center"/>
          </w:tcPr>
          <w:p w14:paraId="6386B4B1">
            <w:pPr>
              <w:keepNext w:val="0"/>
              <w:keepLines w:val="0"/>
              <w:pageBreakBefore w:val="0"/>
              <w:kinsoku/>
              <w:wordWrap/>
              <w:overflowPunct/>
              <w:topLinePunct w:val="0"/>
              <w:autoSpaceDE/>
              <w:autoSpaceDN/>
              <w:bidi w:val="0"/>
              <w:spacing w:line="360" w:lineRule="auto"/>
              <w:ind w:right="19" w:rightChars="9"/>
              <w:jc w:val="center"/>
              <w:textAlignment w:val="auto"/>
              <w:rPr>
                <w:rFonts w:hint="default"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38.00</w:t>
            </w:r>
          </w:p>
        </w:tc>
        <w:tc>
          <w:tcPr>
            <w:tcW w:w="1336" w:type="dxa"/>
            <w:tcBorders>
              <w:top w:val="single" w:color="auto" w:sz="4" w:space="0"/>
              <w:left w:val="single" w:color="auto" w:sz="4" w:space="0"/>
              <w:bottom w:val="single" w:color="auto" w:sz="4" w:space="0"/>
              <w:right w:val="single" w:color="auto" w:sz="4" w:space="0"/>
            </w:tcBorders>
            <w:noWrap w:val="0"/>
            <w:vAlign w:val="center"/>
          </w:tcPr>
          <w:p w14:paraId="4D309045">
            <w:pPr>
              <w:keepNext w:val="0"/>
              <w:keepLines w:val="0"/>
              <w:pageBreakBefore w:val="0"/>
              <w:kinsoku/>
              <w:wordWrap/>
              <w:overflowPunct/>
              <w:topLinePunct w:val="0"/>
              <w:autoSpaceDE/>
              <w:autoSpaceDN/>
              <w:bidi w:val="0"/>
              <w:spacing w:line="360" w:lineRule="auto"/>
              <w:ind w:right="19" w:rightChars="9"/>
              <w:jc w:val="center"/>
              <w:textAlignment w:val="auto"/>
              <w:rPr>
                <w:rFonts w:hint="default"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其他未列明行业</w:t>
            </w:r>
          </w:p>
        </w:tc>
      </w:tr>
      <w:tr w14:paraId="3896E61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85" w:hRule="atLeast"/>
          <w:jc w:val="center"/>
        </w:trPr>
        <w:tc>
          <w:tcPr>
            <w:tcW w:w="9576" w:type="dxa"/>
            <w:gridSpan w:val="6"/>
            <w:tcBorders>
              <w:left w:val="single" w:color="auto" w:sz="4" w:space="0"/>
              <w:bottom w:val="single" w:color="auto" w:sz="4" w:space="0"/>
              <w:right w:val="single" w:color="auto" w:sz="4" w:space="0"/>
            </w:tcBorders>
            <w:noWrap w:val="0"/>
            <w:vAlign w:val="center"/>
          </w:tcPr>
          <w:p w14:paraId="680E3E18">
            <w:pPr>
              <w:keepNext w:val="0"/>
              <w:keepLines w:val="0"/>
              <w:pageBreakBefore w:val="0"/>
              <w:kinsoku/>
              <w:wordWrap/>
              <w:overflowPunct/>
              <w:topLinePunct w:val="0"/>
              <w:autoSpaceDE/>
              <w:autoSpaceDN/>
              <w:bidi w:val="0"/>
              <w:spacing w:line="360" w:lineRule="auto"/>
              <w:jc w:val="both"/>
              <w:textAlignment w:val="auto"/>
              <w:rPr>
                <w:rFonts w:hint="eastAsia" w:ascii="宋体" w:hAnsi="宋体" w:eastAsia="宋体" w:cs="宋体"/>
                <w:color w:val="auto"/>
                <w:sz w:val="21"/>
                <w:szCs w:val="21"/>
                <w:highlight w:val="none"/>
                <w:lang w:eastAsia="zh-CN"/>
              </w:rPr>
            </w:pPr>
            <w:r>
              <w:rPr>
                <w:rFonts w:hint="eastAsia" w:ascii="宋体" w:hAnsi="宋体" w:eastAsia="宋体" w:cs="宋体"/>
                <w:b/>
                <w:bCs/>
                <w:color w:val="auto"/>
                <w:sz w:val="21"/>
                <w:szCs w:val="21"/>
                <w:highlight w:val="none"/>
                <w:lang w:eastAsia="zh-CN"/>
              </w:rPr>
              <w:t>二、商务条款</w:t>
            </w:r>
          </w:p>
        </w:tc>
      </w:tr>
      <w:tr w14:paraId="0176313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07" w:hRule="atLeast"/>
          <w:jc w:val="center"/>
        </w:trPr>
        <w:tc>
          <w:tcPr>
            <w:tcW w:w="9576" w:type="dxa"/>
            <w:gridSpan w:val="6"/>
            <w:tcBorders>
              <w:left w:val="single" w:color="auto" w:sz="4" w:space="0"/>
              <w:bottom w:val="single" w:color="auto" w:sz="4" w:space="0"/>
              <w:right w:val="single" w:color="auto" w:sz="4" w:space="0"/>
            </w:tcBorders>
            <w:noWrap w:val="0"/>
            <w:vAlign w:val="center"/>
          </w:tcPr>
          <w:p w14:paraId="73962C08">
            <w:pPr>
              <w:keepNext w:val="0"/>
              <w:keepLines w:val="0"/>
              <w:pageBreakBefore w:val="0"/>
              <w:kinsoku/>
              <w:wordWrap/>
              <w:overflowPunct/>
              <w:topLinePunct w:val="0"/>
              <w:autoSpaceDE/>
              <w:autoSpaceDN/>
              <w:bidi w:val="0"/>
              <w:adjustRightInd w:val="0"/>
              <w:snapToGrid/>
              <w:spacing w:line="360" w:lineRule="auto"/>
              <w:ind w:right="149" w:rightChars="71" w:firstLine="420" w:firstLineChars="200"/>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一、合同签订期：自中标通知书发出之日起</w:t>
            </w:r>
            <w:r>
              <w:rPr>
                <w:rFonts w:hint="eastAsia" w:ascii="宋体" w:hAnsi="宋体" w:eastAsia="宋体" w:cs="宋体"/>
                <w:color w:val="auto"/>
                <w:sz w:val="21"/>
                <w:szCs w:val="21"/>
                <w:highlight w:val="none"/>
                <w:u w:val="single"/>
              </w:rPr>
              <w:t>25</w:t>
            </w:r>
            <w:r>
              <w:rPr>
                <w:rFonts w:hint="eastAsia" w:ascii="宋体" w:hAnsi="宋体" w:eastAsia="宋体" w:cs="宋体"/>
                <w:color w:val="auto"/>
                <w:sz w:val="21"/>
                <w:szCs w:val="21"/>
                <w:highlight w:val="none"/>
              </w:rPr>
              <w:t>日内</w:t>
            </w:r>
            <w:r>
              <w:rPr>
                <w:rFonts w:hint="eastAsia" w:ascii="宋体" w:hAnsi="宋体" w:eastAsia="宋体" w:cs="宋体"/>
                <w:color w:val="auto"/>
                <w:sz w:val="21"/>
                <w:szCs w:val="21"/>
                <w:highlight w:val="none"/>
                <w:lang w:eastAsia="zh-CN"/>
              </w:rPr>
              <w:t>。</w:t>
            </w:r>
          </w:p>
          <w:p w14:paraId="68808A8C">
            <w:pPr>
              <w:keepNext w:val="0"/>
              <w:keepLines w:val="0"/>
              <w:pageBreakBefore w:val="0"/>
              <w:widowControl/>
              <w:shd w:val="clear" w:color="auto" w:fill="FFFFFF"/>
              <w:kinsoku/>
              <w:wordWrap/>
              <w:overflowPunct/>
              <w:topLinePunct w:val="0"/>
              <w:autoSpaceDE/>
              <w:autoSpaceDN/>
              <w:bidi w:val="0"/>
              <w:snapToGrid/>
              <w:spacing w:line="360" w:lineRule="auto"/>
              <w:ind w:right="149" w:rightChars="71" w:firstLine="420" w:firstLineChars="200"/>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二、</w:t>
            </w:r>
            <w:r>
              <w:rPr>
                <w:rFonts w:hint="eastAsia" w:ascii="宋体" w:hAnsi="宋体" w:cs="宋体"/>
                <w:color w:val="auto"/>
                <w:sz w:val="21"/>
                <w:szCs w:val="21"/>
                <w:highlight w:val="none"/>
                <w:lang w:val="en-US" w:eastAsia="zh-CN"/>
              </w:rPr>
              <w:t>提交服务成果时间</w:t>
            </w:r>
            <w:r>
              <w:rPr>
                <w:rFonts w:hint="eastAsia" w:ascii="宋体" w:hAnsi="宋体" w:eastAsia="宋体" w:cs="宋体"/>
                <w:bCs/>
                <w:color w:val="auto"/>
                <w:sz w:val="21"/>
                <w:szCs w:val="21"/>
                <w:highlight w:val="none"/>
              </w:rPr>
              <w:t>：自签订合同之日起</w:t>
            </w:r>
            <w:r>
              <w:rPr>
                <w:rFonts w:hint="eastAsia" w:ascii="宋体" w:hAnsi="宋体" w:cs="宋体"/>
                <w:bCs/>
                <w:color w:val="auto"/>
                <w:sz w:val="21"/>
                <w:szCs w:val="21"/>
                <w:highlight w:val="none"/>
                <w:u w:val="single"/>
                <w:lang w:val="en-US" w:eastAsia="zh-CN"/>
              </w:rPr>
              <w:t>300</w:t>
            </w:r>
            <w:r>
              <w:rPr>
                <w:rFonts w:hint="eastAsia" w:ascii="宋体" w:hAnsi="宋体" w:eastAsia="宋体" w:cs="宋体"/>
                <w:bCs/>
                <w:color w:val="auto"/>
                <w:sz w:val="21"/>
                <w:szCs w:val="21"/>
                <w:highlight w:val="none"/>
              </w:rPr>
              <w:t>天内完成。</w:t>
            </w:r>
          </w:p>
          <w:p w14:paraId="41AA57AC">
            <w:pPr>
              <w:keepNext w:val="0"/>
              <w:keepLines w:val="0"/>
              <w:pageBreakBefore w:val="0"/>
              <w:widowControl/>
              <w:shd w:val="clear" w:color="auto" w:fill="FFFFFF"/>
              <w:kinsoku/>
              <w:wordWrap/>
              <w:overflowPunct/>
              <w:topLinePunct w:val="0"/>
              <w:autoSpaceDE/>
              <w:autoSpaceDN/>
              <w:bidi w:val="0"/>
              <w:snapToGrid/>
              <w:spacing w:line="360" w:lineRule="auto"/>
              <w:ind w:right="149" w:rightChars="71"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三、</w:t>
            </w:r>
            <w:r>
              <w:rPr>
                <w:rFonts w:hint="eastAsia" w:ascii="宋体" w:hAnsi="宋体" w:cs="宋体"/>
                <w:color w:val="auto"/>
                <w:sz w:val="21"/>
                <w:szCs w:val="21"/>
                <w:highlight w:val="none"/>
                <w:lang w:val="en-US" w:eastAsia="zh-CN"/>
              </w:rPr>
              <w:t>提交</w:t>
            </w:r>
            <w:r>
              <w:rPr>
                <w:rFonts w:hint="eastAsia" w:ascii="宋体" w:hAnsi="宋体" w:eastAsia="宋体" w:cs="宋体"/>
                <w:bCs/>
                <w:color w:val="auto"/>
                <w:sz w:val="21"/>
                <w:szCs w:val="21"/>
                <w:highlight w:val="none"/>
              </w:rPr>
              <w:t>服务</w:t>
            </w:r>
            <w:r>
              <w:rPr>
                <w:rFonts w:hint="eastAsia" w:ascii="宋体" w:hAnsi="宋体" w:cs="宋体"/>
                <w:bCs/>
                <w:color w:val="auto"/>
                <w:sz w:val="21"/>
                <w:szCs w:val="21"/>
                <w:highlight w:val="none"/>
                <w:lang w:val="en-US" w:eastAsia="zh-CN"/>
              </w:rPr>
              <w:t>成果</w:t>
            </w:r>
            <w:r>
              <w:rPr>
                <w:rFonts w:hint="eastAsia" w:ascii="宋体" w:hAnsi="宋体" w:eastAsia="宋体" w:cs="宋体"/>
                <w:bCs/>
                <w:color w:val="auto"/>
                <w:sz w:val="21"/>
                <w:szCs w:val="21"/>
                <w:highlight w:val="none"/>
              </w:rPr>
              <w:t>地点：</w:t>
            </w:r>
            <w:r>
              <w:rPr>
                <w:rFonts w:hint="eastAsia" w:ascii="宋体" w:hAnsi="宋体" w:cs="宋体"/>
                <w:bCs/>
                <w:color w:val="auto"/>
                <w:sz w:val="21"/>
                <w:szCs w:val="21"/>
                <w:highlight w:val="none"/>
                <w:lang w:val="en-US" w:eastAsia="zh-CN"/>
              </w:rPr>
              <w:t>钦州市浦北县（</w:t>
            </w:r>
            <w:r>
              <w:rPr>
                <w:rFonts w:hint="eastAsia" w:ascii="宋体" w:hAnsi="宋体" w:eastAsia="宋体" w:cs="宋体"/>
                <w:color w:val="auto"/>
                <w:sz w:val="21"/>
                <w:szCs w:val="21"/>
                <w:highlight w:val="none"/>
                <w:lang w:eastAsia="zh-CN"/>
              </w:rPr>
              <w:t>采购</w:t>
            </w:r>
            <w:r>
              <w:rPr>
                <w:rFonts w:hint="eastAsia" w:ascii="宋体" w:hAnsi="宋体" w:eastAsia="宋体" w:cs="宋体"/>
                <w:color w:val="auto"/>
                <w:sz w:val="21"/>
                <w:szCs w:val="21"/>
                <w:highlight w:val="none"/>
              </w:rPr>
              <w:t>单位指定地点</w:t>
            </w:r>
            <w:r>
              <w:rPr>
                <w:rFonts w:hint="eastAsia" w:ascii="宋体" w:hAnsi="宋体" w:cs="宋体"/>
                <w:color w:val="auto"/>
                <w:sz w:val="21"/>
                <w:szCs w:val="21"/>
                <w:highlight w:val="none"/>
                <w:lang w:eastAsia="zh-CN"/>
              </w:rPr>
              <w:t>）</w:t>
            </w:r>
            <w:r>
              <w:rPr>
                <w:rFonts w:hint="eastAsia" w:ascii="宋体" w:hAnsi="宋体" w:eastAsia="宋体" w:cs="宋体"/>
                <w:color w:val="auto"/>
                <w:sz w:val="21"/>
                <w:szCs w:val="21"/>
                <w:highlight w:val="none"/>
              </w:rPr>
              <w:t>。</w:t>
            </w:r>
          </w:p>
          <w:p w14:paraId="5AAC43C7">
            <w:pPr>
              <w:keepNext w:val="0"/>
              <w:keepLines w:val="0"/>
              <w:pageBreakBefore w:val="0"/>
              <w:widowControl/>
              <w:shd w:val="clear" w:color="auto" w:fill="FFFFFF"/>
              <w:kinsoku/>
              <w:wordWrap/>
              <w:overflowPunct/>
              <w:topLinePunct w:val="0"/>
              <w:autoSpaceDE/>
              <w:autoSpaceDN/>
              <w:bidi w:val="0"/>
              <w:snapToGrid/>
              <w:spacing w:line="360" w:lineRule="auto"/>
              <w:ind w:right="149" w:rightChars="71" w:firstLine="420" w:firstLineChars="200"/>
              <w:textAlignment w:val="auto"/>
              <w:rPr>
                <w:rFonts w:hint="eastAsia" w:ascii="宋体" w:hAnsi="宋体" w:eastAsia="宋体" w:cs="宋体"/>
                <w:color w:val="auto"/>
                <w:sz w:val="21"/>
                <w:szCs w:val="21"/>
                <w:highlight w:val="none"/>
              </w:rPr>
            </w:pPr>
            <w:r>
              <w:rPr>
                <w:rFonts w:hint="eastAsia" w:ascii="宋体" w:hAnsi="宋体" w:cs="宋体"/>
                <w:color w:val="auto"/>
                <w:sz w:val="21"/>
                <w:szCs w:val="21"/>
                <w:highlight w:val="none"/>
                <w:lang w:val="en-US" w:eastAsia="zh-CN"/>
              </w:rPr>
              <w:t>四</w:t>
            </w:r>
            <w:r>
              <w:rPr>
                <w:rFonts w:hint="eastAsia" w:ascii="宋体" w:hAnsi="宋体" w:eastAsia="宋体" w:cs="宋体"/>
                <w:color w:val="auto"/>
                <w:sz w:val="21"/>
                <w:szCs w:val="21"/>
                <w:highlight w:val="none"/>
              </w:rPr>
              <w:t>、</w:t>
            </w:r>
            <w:r>
              <w:rPr>
                <w:rFonts w:hint="eastAsia" w:ascii="宋体" w:hAnsi="宋体" w:cs="宋体"/>
                <w:color w:val="auto"/>
                <w:sz w:val="21"/>
                <w:szCs w:val="21"/>
                <w:highlight w:val="none"/>
                <w:lang w:val="en-US" w:eastAsia="zh-CN"/>
              </w:rPr>
              <w:t>报价</w:t>
            </w:r>
            <w:r>
              <w:rPr>
                <w:rFonts w:hint="eastAsia" w:ascii="宋体" w:hAnsi="宋体" w:eastAsia="宋体" w:cs="宋体"/>
                <w:color w:val="auto"/>
                <w:sz w:val="21"/>
                <w:szCs w:val="21"/>
                <w:highlight w:val="none"/>
              </w:rPr>
              <w:t>要求：</w:t>
            </w:r>
          </w:p>
          <w:p w14:paraId="781FE397">
            <w:pPr>
              <w:keepNext w:val="0"/>
              <w:keepLines w:val="0"/>
              <w:pageBreakBefore w:val="0"/>
              <w:tabs>
                <w:tab w:val="center" w:pos="4032"/>
              </w:tabs>
              <w:kinsoku/>
              <w:wordWrap/>
              <w:overflowPunct/>
              <w:topLinePunct w:val="0"/>
              <w:autoSpaceDE/>
              <w:autoSpaceDN/>
              <w:bidi w:val="0"/>
              <w:snapToGrid/>
              <w:spacing w:line="360" w:lineRule="auto"/>
              <w:ind w:right="149" w:rightChars="71" w:firstLine="420" w:firstLineChars="200"/>
              <w:textAlignment w:val="auto"/>
              <w:rPr>
                <w:rFonts w:hint="eastAsia" w:ascii="宋体" w:hAnsi="宋体" w:eastAsia="宋体" w:cs="宋体"/>
                <w:b/>
                <w:color w:val="auto"/>
                <w:sz w:val="21"/>
                <w:szCs w:val="21"/>
                <w:highlight w:val="none"/>
              </w:rPr>
            </w:pPr>
            <w:r>
              <w:rPr>
                <w:rFonts w:hint="eastAsia" w:ascii="宋体" w:hAnsi="宋体" w:eastAsia="宋体" w:cs="宋体"/>
                <w:color w:val="auto"/>
                <w:sz w:val="21"/>
                <w:szCs w:val="21"/>
                <w:highlight w:val="none"/>
              </w:rPr>
              <w:t>报价必须含以下部分，包括：</w:t>
            </w:r>
            <w:r>
              <w:rPr>
                <w:rFonts w:hint="eastAsia" w:ascii="宋体" w:hAnsi="宋体" w:eastAsia="宋体" w:cs="宋体"/>
                <w:color w:val="auto"/>
                <w:sz w:val="21"/>
                <w:szCs w:val="21"/>
                <w:highlight w:val="none"/>
              </w:rPr>
              <w:tab/>
            </w:r>
          </w:p>
          <w:p w14:paraId="087765B2">
            <w:pPr>
              <w:keepNext w:val="0"/>
              <w:keepLines w:val="0"/>
              <w:pageBreakBefore w:val="0"/>
              <w:kinsoku/>
              <w:wordWrap/>
              <w:overflowPunct/>
              <w:topLinePunct w:val="0"/>
              <w:autoSpaceDE/>
              <w:autoSpaceDN/>
              <w:bidi w:val="0"/>
              <w:snapToGrid/>
              <w:spacing w:line="360" w:lineRule="auto"/>
              <w:ind w:right="149" w:rightChars="71"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（1）服务的价格；</w:t>
            </w:r>
          </w:p>
          <w:p w14:paraId="0D413A1C">
            <w:pPr>
              <w:keepNext w:val="0"/>
              <w:keepLines w:val="0"/>
              <w:pageBreakBefore w:val="0"/>
              <w:kinsoku/>
              <w:wordWrap/>
              <w:overflowPunct/>
              <w:topLinePunct w:val="0"/>
              <w:autoSpaceDE/>
              <w:autoSpaceDN/>
              <w:bidi w:val="0"/>
              <w:snapToGrid/>
              <w:spacing w:line="360" w:lineRule="auto"/>
              <w:ind w:right="149" w:rightChars="71"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（2）必要的保险费用和各项税金；</w:t>
            </w:r>
          </w:p>
          <w:p w14:paraId="0FC3ADE1">
            <w:pPr>
              <w:keepNext w:val="0"/>
              <w:keepLines w:val="0"/>
              <w:pageBreakBefore w:val="0"/>
              <w:tabs>
                <w:tab w:val="left" w:pos="3490"/>
                <w:tab w:val="left" w:pos="3670"/>
                <w:tab w:val="left" w:pos="3895"/>
              </w:tabs>
              <w:kinsoku/>
              <w:wordWrap/>
              <w:overflowPunct/>
              <w:topLinePunct w:val="0"/>
              <w:autoSpaceDE/>
              <w:autoSpaceDN/>
              <w:bidi w:val="0"/>
              <w:snapToGrid/>
              <w:spacing w:line="360" w:lineRule="auto"/>
              <w:ind w:right="149" w:rightChars="71" w:firstLine="420" w:firstLineChars="200"/>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（3）</w:t>
            </w:r>
            <w:r>
              <w:rPr>
                <w:rFonts w:hint="eastAsia" w:ascii="宋体" w:hAnsi="宋体" w:cs="宋体"/>
                <w:color w:val="auto"/>
                <w:sz w:val="21"/>
                <w:szCs w:val="21"/>
                <w:highlight w:val="none"/>
                <w:lang w:val="en-US" w:eastAsia="zh-CN"/>
              </w:rPr>
              <w:t>其他</w:t>
            </w:r>
            <w:r>
              <w:rPr>
                <w:rFonts w:hint="eastAsia" w:ascii="宋体" w:hAnsi="宋体" w:eastAsia="宋体" w:cs="宋体"/>
                <w:color w:val="auto"/>
                <w:sz w:val="21"/>
                <w:szCs w:val="21"/>
                <w:highlight w:val="none"/>
                <w:lang w:eastAsia="zh-CN"/>
              </w:rPr>
              <w:t>为实施和完成本项目服务内容的全部</w:t>
            </w:r>
            <w:r>
              <w:rPr>
                <w:rFonts w:hint="eastAsia" w:ascii="宋体" w:hAnsi="宋体" w:cs="宋体"/>
                <w:color w:val="auto"/>
                <w:sz w:val="21"/>
                <w:szCs w:val="21"/>
                <w:highlight w:val="none"/>
                <w:lang w:val="en-US" w:eastAsia="zh-CN"/>
              </w:rPr>
              <w:t>费用，</w:t>
            </w:r>
            <w:r>
              <w:rPr>
                <w:rFonts w:hint="eastAsia" w:ascii="宋体" w:hAnsi="宋体" w:eastAsia="宋体" w:cs="宋体"/>
                <w:color w:val="auto"/>
                <w:sz w:val="21"/>
                <w:szCs w:val="21"/>
                <w:highlight w:val="none"/>
                <w:lang w:eastAsia="zh-CN"/>
              </w:rPr>
              <w:t>包括基于</w:t>
            </w:r>
            <w:r>
              <w:rPr>
                <w:rFonts w:hint="eastAsia" w:ascii="宋体" w:hAnsi="宋体" w:cs="宋体"/>
                <w:color w:val="auto"/>
                <w:sz w:val="21"/>
                <w:szCs w:val="21"/>
                <w:highlight w:val="none"/>
                <w:lang w:val="en-US" w:eastAsia="zh-CN"/>
              </w:rPr>
              <w:t>专家指导费</w:t>
            </w:r>
            <w:r>
              <w:rPr>
                <w:rFonts w:hint="eastAsia" w:ascii="宋体" w:hAnsi="宋体" w:eastAsia="宋体" w:cs="宋体"/>
                <w:color w:val="auto"/>
                <w:sz w:val="21"/>
                <w:szCs w:val="21"/>
                <w:highlight w:val="none"/>
                <w:lang w:eastAsia="zh-CN"/>
              </w:rPr>
              <w:t>、</w:t>
            </w:r>
            <w:r>
              <w:rPr>
                <w:rFonts w:hint="eastAsia" w:ascii="宋体" w:hAnsi="宋体" w:cs="宋体"/>
                <w:color w:val="auto"/>
                <w:sz w:val="21"/>
                <w:szCs w:val="21"/>
                <w:highlight w:val="none"/>
                <w:lang w:val="en-US" w:eastAsia="zh-CN"/>
              </w:rPr>
              <w:t>课程</w:t>
            </w:r>
            <w:r>
              <w:rPr>
                <w:rFonts w:hint="eastAsia" w:ascii="宋体" w:hAnsi="宋体" w:eastAsia="宋体" w:cs="宋体"/>
                <w:color w:val="auto"/>
                <w:sz w:val="21"/>
                <w:szCs w:val="21"/>
                <w:highlight w:val="none"/>
                <w:lang w:eastAsia="zh-CN"/>
              </w:rPr>
              <w:t>研究、技术处理、培训、售后服务、税金、保险、招标代理服务费等相关的费用。除合同约定的变更以外，该费用不予增减。供应商自行考虑投标报价会出现的其他风险</w:t>
            </w:r>
            <w:r>
              <w:rPr>
                <w:rFonts w:hint="eastAsia" w:ascii="宋体" w:hAnsi="宋体" w:eastAsia="宋体" w:cs="宋体"/>
                <w:color w:val="auto"/>
                <w:sz w:val="21"/>
                <w:szCs w:val="21"/>
                <w:highlight w:val="none"/>
              </w:rPr>
              <w:t>。</w:t>
            </w:r>
          </w:p>
          <w:p w14:paraId="17960087">
            <w:pPr>
              <w:keepNext w:val="0"/>
              <w:keepLines w:val="0"/>
              <w:pageBreakBefore w:val="0"/>
              <w:tabs>
                <w:tab w:val="left" w:pos="3490"/>
                <w:tab w:val="left" w:pos="3670"/>
                <w:tab w:val="left" w:pos="3895"/>
              </w:tabs>
              <w:kinsoku/>
              <w:wordWrap/>
              <w:overflowPunct/>
              <w:topLinePunct w:val="0"/>
              <w:autoSpaceDE/>
              <w:autoSpaceDN/>
              <w:bidi w:val="0"/>
              <w:snapToGrid/>
              <w:spacing w:line="360" w:lineRule="auto"/>
              <w:ind w:right="149" w:rightChars="71" w:firstLine="420" w:firstLineChars="200"/>
              <w:textAlignment w:val="auto"/>
              <w:rPr>
                <w:rFonts w:hint="eastAsia" w:ascii="宋体" w:hAnsi="宋体" w:eastAsia="宋体" w:cs="宋体"/>
                <w:color w:val="auto"/>
                <w:spacing w:val="0"/>
                <w:sz w:val="21"/>
                <w:szCs w:val="21"/>
                <w:highlight w:val="none"/>
                <w:lang w:eastAsia="zh-CN"/>
              </w:rPr>
            </w:pPr>
            <w:r>
              <w:rPr>
                <w:rFonts w:hint="eastAsia" w:ascii="宋体" w:hAnsi="宋体" w:cs="宋体"/>
                <w:color w:val="auto"/>
                <w:sz w:val="21"/>
                <w:szCs w:val="21"/>
                <w:highlight w:val="none"/>
                <w:lang w:val="en-US" w:eastAsia="zh-CN"/>
              </w:rPr>
              <w:t>五、</w:t>
            </w:r>
            <w:r>
              <w:rPr>
                <w:rFonts w:hint="eastAsia" w:ascii="宋体" w:hAnsi="宋体" w:eastAsia="宋体" w:cs="宋体"/>
                <w:color w:val="auto"/>
                <w:sz w:val="21"/>
                <w:szCs w:val="21"/>
                <w:highlight w:val="none"/>
              </w:rPr>
              <w:t>付款方式：</w:t>
            </w:r>
          </w:p>
          <w:p w14:paraId="09B53D62">
            <w:pPr>
              <w:keepNext w:val="0"/>
              <w:keepLines w:val="0"/>
              <w:pageBreakBefore w:val="0"/>
              <w:tabs>
                <w:tab w:val="left" w:pos="3490"/>
                <w:tab w:val="left" w:pos="3670"/>
                <w:tab w:val="left" w:pos="3895"/>
              </w:tabs>
              <w:kinsoku/>
              <w:wordWrap/>
              <w:overflowPunct/>
              <w:topLinePunct w:val="0"/>
              <w:autoSpaceDE/>
              <w:autoSpaceDN/>
              <w:bidi w:val="0"/>
              <w:snapToGrid/>
              <w:spacing w:line="360" w:lineRule="auto"/>
              <w:ind w:right="149" w:rightChars="71"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（1）合同生效以及具备实施条件后15日内甲方向乙方预付合同金额的30％。</w:t>
            </w:r>
          </w:p>
          <w:p w14:paraId="2F33D1FB">
            <w:pPr>
              <w:keepNext w:val="0"/>
              <w:keepLines w:val="0"/>
              <w:pageBreakBefore w:val="0"/>
              <w:tabs>
                <w:tab w:val="left" w:pos="3490"/>
                <w:tab w:val="left" w:pos="3670"/>
                <w:tab w:val="left" w:pos="3895"/>
              </w:tabs>
              <w:kinsoku/>
              <w:wordWrap/>
              <w:overflowPunct/>
              <w:topLinePunct w:val="0"/>
              <w:autoSpaceDE/>
              <w:autoSpaceDN/>
              <w:bidi w:val="0"/>
              <w:snapToGrid/>
              <w:spacing w:line="360" w:lineRule="auto"/>
              <w:ind w:right="149" w:rightChars="71"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（2）项目验收合格后30日内甲方向乙方支付剩余合同款。</w:t>
            </w:r>
          </w:p>
          <w:p w14:paraId="2F13B317">
            <w:pPr>
              <w:keepNext w:val="0"/>
              <w:keepLines w:val="0"/>
              <w:pageBreakBefore w:val="0"/>
              <w:tabs>
                <w:tab w:val="left" w:pos="3490"/>
                <w:tab w:val="left" w:pos="3670"/>
                <w:tab w:val="left" w:pos="3895"/>
              </w:tabs>
              <w:kinsoku/>
              <w:wordWrap/>
              <w:overflowPunct/>
              <w:topLinePunct w:val="0"/>
              <w:autoSpaceDE/>
              <w:autoSpaceDN/>
              <w:bidi w:val="0"/>
              <w:snapToGrid/>
              <w:spacing w:line="360" w:lineRule="auto"/>
              <w:ind w:right="149" w:rightChars="71"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（3）甲方每次支付前，乙方应当为甲方开具当次支付等额发票。</w:t>
            </w:r>
          </w:p>
          <w:p w14:paraId="3ECB362F">
            <w:pPr>
              <w:keepNext w:val="0"/>
              <w:keepLines w:val="0"/>
              <w:pageBreakBefore w:val="0"/>
              <w:tabs>
                <w:tab w:val="left" w:pos="3490"/>
                <w:tab w:val="left" w:pos="3670"/>
                <w:tab w:val="left" w:pos="3895"/>
              </w:tabs>
              <w:kinsoku/>
              <w:wordWrap/>
              <w:overflowPunct/>
              <w:topLinePunct w:val="0"/>
              <w:autoSpaceDE/>
              <w:autoSpaceDN/>
              <w:bidi w:val="0"/>
              <w:snapToGrid/>
              <w:spacing w:line="360" w:lineRule="auto"/>
              <w:ind w:right="149" w:rightChars="71"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（4）甲方不得以机构变动、人员更替、政策调整等为由延迟付款，不得将采购文件和合同中未规定的义务作为向乙方付款的条件。</w:t>
            </w:r>
          </w:p>
          <w:p w14:paraId="0D57D12D">
            <w:pPr>
              <w:keepNext w:val="0"/>
              <w:keepLines w:val="0"/>
              <w:pageBreakBefore w:val="0"/>
              <w:kinsoku/>
              <w:wordWrap/>
              <w:overflowPunct/>
              <w:topLinePunct w:val="0"/>
              <w:autoSpaceDE/>
              <w:autoSpaceDN/>
              <w:bidi w:val="0"/>
              <w:snapToGrid/>
              <w:spacing w:line="360" w:lineRule="auto"/>
              <w:ind w:right="149" w:rightChars="71" w:firstLine="420" w:firstLineChars="200"/>
              <w:textAlignment w:val="auto"/>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t>六、</w:t>
            </w:r>
            <w:r>
              <w:rPr>
                <w:rFonts w:hint="eastAsia" w:ascii="宋体" w:hAnsi="宋体" w:cs="宋体"/>
                <w:color w:val="auto"/>
                <w:sz w:val="21"/>
                <w:szCs w:val="21"/>
                <w:highlight w:val="none"/>
                <w:lang w:val="en-US" w:eastAsia="zh-CN"/>
              </w:rPr>
              <w:t>验收要求</w:t>
            </w:r>
          </w:p>
          <w:p w14:paraId="517E3E99">
            <w:pPr>
              <w:keepNext w:val="0"/>
              <w:keepLines w:val="0"/>
              <w:pageBreakBefore w:val="0"/>
              <w:widowControl/>
              <w:shd w:val="clear" w:color="auto" w:fill="FFFFFF"/>
              <w:kinsoku/>
              <w:wordWrap/>
              <w:overflowPunct/>
              <w:topLinePunct w:val="0"/>
              <w:autoSpaceDE/>
              <w:autoSpaceDN/>
              <w:bidi w:val="0"/>
              <w:snapToGrid/>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1、服务成果必须符合行业规范、地方通用标准以及本项目采购需求和采购人的要求。</w:t>
            </w:r>
          </w:p>
          <w:p w14:paraId="70ECA0F0">
            <w:pPr>
              <w:keepNext w:val="0"/>
              <w:keepLines w:val="0"/>
              <w:pageBreakBefore w:val="0"/>
              <w:kinsoku/>
              <w:wordWrap/>
              <w:overflowPunct/>
              <w:topLinePunct w:val="0"/>
              <w:autoSpaceDE/>
              <w:autoSpaceDN/>
              <w:bidi w:val="0"/>
              <w:snapToGrid/>
              <w:spacing w:line="360" w:lineRule="auto"/>
              <w:ind w:right="149" w:rightChars="71"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2</w:t>
            </w:r>
            <w:r>
              <w:rPr>
                <w:rFonts w:hint="eastAsia" w:ascii="宋体" w:hAnsi="宋体" w:eastAsia="宋体" w:cs="宋体"/>
                <w:color w:val="auto"/>
                <w:sz w:val="21"/>
                <w:szCs w:val="21"/>
                <w:highlight w:val="none"/>
              </w:rPr>
              <w:t>、验收考核过程中所产生的一切费用均由中标人承担。报价时应考虑相关费用。</w:t>
            </w:r>
          </w:p>
          <w:p w14:paraId="0E94E427">
            <w:pPr>
              <w:keepNext w:val="0"/>
              <w:keepLines w:val="0"/>
              <w:pageBreakBefore w:val="0"/>
              <w:kinsoku/>
              <w:wordWrap/>
              <w:overflowPunct/>
              <w:topLinePunct w:val="0"/>
              <w:autoSpaceDE/>
              <w:autoSpaceDN/>
              <w:bidi w:val="0"/>
              <w:snapToGrid/>
              <w:spacing w:line="360" w:lineRule="auto"/>
              <w:ind w:right="149" w:rightChars="71"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3</w:t>
            </w:r>
            <w:r>
              <w:rPr>
                <w:rFonts w:hint="eastAsia" w:ascii="宋体" w:hAnsi="宋体" w:eastAsia="宋体" w:cs="宋体"/>
                <w:color w:val="auto"/>
                <w:sz w:val="21"/>
                <w:szCs w:val="21"/>
                <w:highlight w:val="none"/>
              </w:rPr>
              <w:t>、中标人在服务验收时由采购单位对照公开招标文件及投标文件的功能目标及服务指标全面核对检验，如不符合投标文件的服务承诺和其他承诺以及提供虚假承诺的，按相关规定做违约处理，中标人承担所有责任和费用，采购人保留进一步追究责任的权利。</w:t>
            </w:r>
          </w:p>
          <w:p w14:paraId="431E254D">
            <w:pPr>
              <w:keepNext w:val="0"/>
              <w:keepLines w:val="0"/>
              <w:pageBreakBefore w:val="0"/>
              <w:kinsoku/>
              <w:wordWrap/>
              <w:overflowPunct/>
              <w:topLinePunct w:val="0"/>
              <w:autoSpaceDE/>
              <w:autoSpaceDN/>
              <w:bidi w:val="0"/>
              <w:snapToGrid/>
              <w:spacing w:line="360" w:lineRule="auto"/>
              <w:ind w:firstLine="420" w:firstLineChars="200"/>
              <w:jc w:val="left"/>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七、其他要求：</w:t>
            </w:r>
          </w:p>
          <w:p w14:paraId="2DDD1F46">
            <w:pPr>
              <w:keepNext w:val="0"/>
              <w:keepLines w:val="0"/>
              <w:pageBreakBefore w:val="0"/>
              <w:kinsoku/>
              <w:wordWrap/>
              <w:overflowPunct/>
              <w:topLinePunct w:val="0"/>
              <w:autoSpaceDE/>
              <w:autoSpaceDN/>
              <w:bidi w:val="0"/>
              <w:snapToGrid/>
              <w:spacing w:line="360" w:lineRule="auto"/>
              <w:ind w:firstLine="420" w:firstLineChars="200"/>
              <w:jc w:val="left"/>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 xml:space="preserve">1.数据资料归属及保密：本项目所形成的数据和报告归采购人所有。未经采购人授权，不得将数据和报告提供给任何第三方。 </w:t>
            </w:r>
          </w:p>
          <w:p w14:paraId="66A47727">
            <w:pPr>
              <w:keepNext w:val="0"/>
              <w:keepLines w:val="0"/>
              <w:pageBreakBefore w:val="0"/>
              <w:kinsoku/>
              <w:wordWrap/>
              <w:overflowPunct/>
              <w:topLinePunct w:val="0"/>
              <w:autoSpaceDE/>
              <w:autoSpaceDN/>
              <w:bidi w:val="0"/>
              <w:snapToGrid/>
              <w:spacing w:line="360" w:lineRule="auto"/>
              <w:ind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2.处理响应时间：供应商提供7×24小时通过远程或上门服务等方式为采购人提供完善的售前和售后技术咨询服务。</w:t>
            </w:r>
          </w:p>
        </w:tc>
      </w:tr>
    </w:tbl>
    <w:p w14:paraId="72AB5E88">
      <w:pPr>
        <w:shd w:val="clear"/>
        <w:spacing w:line="428" w:lineRule="exact"/>
        <w:ind w:left="119"/>
        <w:rPr>
          <w:rFonts w:hint="eastAsia" w:ascii="宋体" w:hAnsi="宋体" w:eastAsia="宋体" w:cs="宋体"/>
          <w:color w:val="auto"/>
          <w:highlight w:val="none"/>
        </w:rPr>
      </w:pPr>
    </w:p>
    <w:p w14:paraId="12A34A35">
      <w:pPr>
        <w:shd w:val="clear"/>
        <w:spacing w:line="428" w:lineRule="exact"/>
        <w:ind w:left="119"/>
        <w:rPr>
          <w:rFonts w:hint="eastAsia" w:ascii="宋体" w:hAnsi="宋体" w:eastAsia="宋体" w:cs="宋体"/>
          <w:color w:val="auto"/>
          <w:highlight w:val="none"/>
        </w:rPr>
        <w:sectPr>
          <w:pgSz w:w="11905" w:h="16838"/>
          <w:pgMar w:top="1134" w:right="891" w:bottom="1134" w:left="1134" w:header="850" w:footer="850" w:gutter="0"/>
          <w:pgNumType w:fmt="decimal"/>
          <w:cols w:space="0" w:num="1"/>
          <w:titlePg/>
          <w:rtlGutter w:val="0"/>
          <w:docGrid w:linePitch="331" w:charSpace="0"/>
        </w:sectPr>
      </w:pPr>
    </w:p>
    <w:tbl>
      <w:tblPr>
        <w:tblStyle w:val="18"/>
        <w:tblW w:w="9576"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545"/>
        <w:gridCol w:w="739"/>
        <w:gridCol w:w="717"/>
        <w:gridCol w:w="5203"/>
        <w:gridCol w:w="1036"/>
        <w:gridCol w:w="1336"/>
      </w:tblGrid>
      <w:tr w14:paraId="1857944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16" w:hRule="atLeast"/>
          <w:jc w:val="center"/>
        </w:trPr>
        <w:tc>
          <w:tcPr>
            <w:tcW w:w="9576" w:type="dxa"/>
            <w:gridSpan w:val="6"/>
            <w:tcBorders>
              <w:top w:val="single" w:color="auto" w:sz="4" w:space="0"/>
              <w:left w:val="single" w:color="auto" w:sz="4" w:space="0"/>
              <w:bottom w:val="single" w:color="auto" w:sz="4" w:space="0"/>
              <w:right w:val="single" w:color="auto" w:sz="4" w:space="0"/>
            </w:tcBorders>
            <w:noWrap w:val="0"/>
            <w:tcMar>
              <w:top w:w="0" w:type="dxa"/>
              <w:left w:w="0" w:type="dxa"/>
              <w:bottom w:w="0" w:type="dxa"/>
              <w:right w:w="0" w:type="dxa"/>
            </w:tcMar>
            <w:vAlign w:val="center"/>
          </w:tcPr>
          <w:p w14:paraId="77812ADB">
            <w:pPr>
              <w:keepNext w:val="0"/>
              <w:keepLines w:val="0"/>
              <w:pageBreakBefore w:val="0"/>
              <w:kinsoku/>
              <w:wordWrap/>
              <w:overflowPunct/>
              <w:topLinePunct w:val="0"/>
              <w:autoSpaceDE/>
              <w:autoSpaceDN/>
              <w:bidi w:val="0"/>
              <w:spacing w:line="360" w:lineRule="auto"/>
              <w:jc w:val="both"/>
              <w:textAlignment w:val="auto"/>
              <w:rPr>
                <w:rFonts w:hint="eastAsia" w:ascii="宋体" w:hAnsi="宋体" w:eastAsia="宋体" w:cs="宋体"/>
                <w:color w:val="auto"/>
                <w:sz w:val="21"/>
                <w:szCs w:val="21"/>
                <w:highlight w:val="none"/>
              </w:rPr>
            </w:pPr>
            <w:r>
              <w:rPr>
                <w:rFonts w:hint="eastAsia" w:ascii="宋体" w:hAnsi="宋体" w:eastAsia="宋体" w:cs="宋体"/>
                <w:b/>
                <w:bCs/>
                <w:color w:val="auto"/>
                <w:sz w:val="24"/>
                <w:szCs w:val="24"/>
                <w:highlight w:val="none"/>
                <w:lang w:eastAsia="zh-CN"/>
              </w:rPr>
              <w:t>一、</w:t>
            </w:r>
            <w:r>
              <w:rPr>
                <w:rFonts w:hint="eastAsia" w:ascii="宋体" w:hAnsi="宋体" w:eastAsia="宋体" w:cs="宋体"/>
                <w:b/>
                <w:bCs/>
                <w:color w:val="auto"/>
                <w:sz w:val="24"/>
                <w:szCs w:val="24"/>
                <w:highlight w:val="none"/>
              </w:rPr>
              <w:t>服务需求一览表</w:t>
            </w:r>
          </w:p>
        </w:tc>
      </w:tr>
      <w:tr w14:paraId="650A887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16" w:hRule="atLeast"/>
          <w:jc w:val="center"/>
        </w:trPr>
        <w:tc>
          <w:tcPr>
            <w:tcW w:w="1284" w:type="dxa"/>
            <w:gridSpan w:val="2"/>
            <w:tcBorders>
              <w:top w:val="single" w:color="auto" w:sz="4" w:space="0"/>
              <w:left w:val="single" w:color="auto" w:sz="4" w:space="0"/>
              <w:bottom w:val="single" w:color="auto" w:sz="4" w:space="0"/>
              <w:right w:val="single" w:color="auto" w:sz="4" w:space="0"/>
            </w:tcBorders>
            <w:noWrap w:val="0"/>
            <w:tcMar>
              <w:top w:w="0" w:type="dxa"/>
              <w:left w:w="0" w:type="dxa"/>
              <w:bottom w:w="0" w:type="dxa"/>
              <w:right w:w="0" w:type="dxa"/>
            </w:tcMar>
            <w:vAlign w:val="center"/>
          </w:tcPr>
          <w:p w14:paraId="45A82015">
            <w:pPr>
              <w:pStyle w:val="12"/>
              <w:keepNext w:val="0"/>
              <w:keepLines w:val="0"/>
              <w:pageBreakBefore w:val="0"/>
              <w:kinsoku/>
              <w:wordWrap/>
              <w:overflowPunct/>
              <w:topLinePunct w:val="0"/>
              <w:autoSpaceDE/>
              <w:autoSpaceDN/>
              <w:bidi w:val="0"/>
              <w:snapToGrid w:val="0"/>
              <w:spacing w:line="360" w:lineRule="auto"/>
              <w:jc w:val="center"/>
              <w:textAlignment w:val="auto"/>
              <w:rPr>
                <w:rFonts w:hint="eastAsia" w:ascii="宋体" w:hAnsi="宋体" w:eastAsia="宋体" w:cs="宋体"/>
                <w:b/>
                <w:bCs/>
                <w:color w:val="auto"/>
                <w:sz w:val="21"/>
                <w:szCs w:val="21"/>
                <w:highlight w:val="none"/>
                <w:lang w:eastAsia="zh-CN"/>
              </w:rPr>
            </w:pPr>
            <w:r>
              <w:rPr>
                <w:rFonts w:hint="eastAsia" w:ascii="宋体" w:hAnsi="宋体" w:eastAsia="宋体" w:cs="宋体"/>
                <w:b/>
                <w:bCs/>
                <w:color w:val="auto"/>
                <w:sz w:val="21"/>
                <w:szCs w:val="21"/>
                <w:highlight w:val="none"/>
                <w:lang w:eastAsia="zh-CN"/>
              </w:rPr>
              <w:t>标段</w:t>
            </w:r>
          </w:p>
        </w:tc>
        <w:tc>
          <w:tcPr>
            <w:tcW w:w="8292" w:type="dxa"/>
            <w:gridSpan w:val="4"/>
            <w:tcBorders>
              <w:top w:val="single" w:color="auto" w:sz="4" w:space="0"/>
              <w:left w:val="single" w:color="auto" w:sz="4" w:space="0"/>
              <w:bottom w:val="single" w:color="auto" w:sz="4" w:space="0"/>
              <w:right w:val="single" w:color="auto" w:sz="4" w:space="0"/>
            </w:tcBorders>
            <w:noWrap w:val="0"/>
            <w:vAlign w:val="center"/>
          </w:tcPr>
          <w:p w14:paraId="45B74B72">
            <w:pPr>
              <w:keepNext w:val="0"/>
              <w:keepLines w:val="0"/>
              <w:pageBreakBefore w:val="0"/>
              <w:kinsoku/>
              <w:wordWrap/>
              <w:overflowPunct/>
              <w:topLinePunct w:val="0"/>
              <w:autoSpaceDE/>
              <w:autoSpaceDN/>
              <w:bidi w:val="0"/>
              <w:spacing w:line="360" w:lineRule="auto"/>
              <w:jc w:val="left"/>
              <w:textAlignment w:val="auto"/>
              <w:rPr>
                <w:rFonts w:hint="eastAsia" w:ascii="宋体" w:hAnsi="宋体" w:eastAsia="宋体" w:cs="宋体"/>
                <w:b/>
                <w:bCs/>
                <w:color w:val="auto"/>
                <w:sz w:val="21"/>
                <w:szCs w:val="21"/>
                <w:highlight w:val="none"/>
                <w:lang w:val="en-US" w:eastAsia="zh-CN"/>
              </w:rPr>
            </w:pPr>
            <w:r>
              <w:rPr>
                <w:rFonts w:hint="eastAsia" w:ascii="宋体" w:hAnsi="宋体" w:eastAsia="宋体" w:cs="宋体"/>
                <w:b/>
                <w:bCs/>
                <w:color w:val="auto"/>
                <w:sz w:val="21"/>
                <w:szCs w:val="21"/>
                <w:highlight w:val="none"/>
                <w:lang w:eastAsia="zh-CN"/>
              </w:rPr>
              <w:t>分标</w:t>
            </w:r>
            <w:r>
              <w:rPr>
                <w:rFonts w:hint="eastAsia" w:ascii="宋体" w:hAnsi="宋体" w:cs="宋体"/>
                <w:b/>
                <w:bCs/>
                <w:color w:val="auto"/>
                <w:sz w:val="21"/>
                <w:szCs w:val="21"/>
                <w:highlight w:val="none"/>
                <w:lang w:val="en-US" w:eastAsia="zh-CN"/>
              </w:rPr>
              <w:t>4</w:t>
            </w:r>
          </w:p>
        </w:tc>
      </w:tr>
      <w:tr w14:paraId="744B1DD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003" w:hRule="atLeast"/>
          <w:jc w:val="center"/>
        </w:trPr>
        <w:tc>
          <w:tcPr>
            <w:tcW w:w="545" w:type="dxa"/>
            <w:tcBorders>
              <w:top w:val="single" w:color="auto" w:sz="4" w:space="0"/>
              <w:left w:val="single" w:color="auto" w:sz="4" w:space="0"/>
              <w:bottom w:val="single" w:color="auto" w:sz="4" w:space="0"/>
              <w:right w:val="single" w:color="auto" w:sz="4" w:space="0"/>
            </w:tcBorders>
            <w:noWrap w:val="0"/>
            <w:tcMar>
              <w:top w:w="0" w:type="dxa"/>
              <w:left w:w="0" w:type="dxa"/>
              <w:bottom w:w="0" w:type="dxa"/>
              <w:right w:w="0" w:type="dxa"/>
            </w:tcMar>
            <w:vAlign w:val="center"/>
          </w:tcPr>
          <w:p w14:paraId="38501269">
            <w:pPr>
              <w:keepNext w:val="0"/>
              <w:keepLines w:val="0"/>
              <w:pageBreakBefore w:val="0"/>
              <w:kinsoku/>
              <w:wordWrap/>
              <w:overflowPunct/>
              <w:topLinePunct w:val="0"/>
              <w:autoSpaceDE/>
              <w:autoSpaceDN/>
              <w:bidi w:val="0"/>
              <w:spacing w:line="360" w:lineRule="auto"/>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序号</w:t>
            </w:r>
          </w:p>
        </w:tc>
        <w:tc>
          <w:tcPr>
            <w:tcW w:w="739" w:type="dxa"/>
            <w:tcBorders>
              <w:top w:val="single" w:color="auto" w:sz="4" w:space="0"/>
              <w:left w:val="single" w:color="auto" w:sz="4" w:space="0"/>
              <w:bottom w:val="single" w:color="auto" w:sz="4" w:space="0"/>
              <w:right w:val="single" w:color="auto" w:sz="4" w:space="0"/>
            </w:tcBorders>
            <w:noWrap w:val="0"/>
            <w:vAlign w:val="center"/>
          </w:tcPr>
          <w:p w14:paraId="18B00AEC">
            <w:pPr>
              <w:pStyle w:val="12"/>
              <w:keepNext w:val="0"/>
              <w:keepLines w:val="0"/>
              <w:pageBreakBefore w:val="0"/>
              <w:kinsoku/>
              <w:wordWrap/>
              <w:overflowPunct/>
              <w:topLinePunct w:val="0"/>
              <w:autoSpaceDE/>
              <w:autoSpaceDN/>
              <w:bidi w:val="0"/>
              <w:snapToGrid w:val="0"/>
              <w:spacing w:line="360" w:lineRule="auto"/>
              <w:jc w:val="center"/>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标的名称</w:t>
            </w:r>
          </w:p>
        </w:tc>
        <w:tc>
          <w:tcPr>
            <w:tcW w:w="717" w:type="dxa"/>
            <w:tcBorders>
              <w:top w:val="single" w:color="auto" w:sz="4" w:space="0"/>
              <w:left w:val="single" w:color="auto" w:sz="4" w:space="0"/>
              <w:bottom w:val="single" w:color="auto" w:sz="4" w:space="0"/>
              <w:right w:val="single" w:color="auto" w:sz="4" w:space="0"/>
            </w:tcBorders>
            <w:noWrap w:val="0"/>
            <w:vAlign w:val="center"/>
          </w:tcPr>
          <w:p w14:paraId="09707A21">
            <w:pPr>
              <w:pStyle w:val="12"/>
              <w:keepNext w:val="0"/>
              <w:keepLines w:val="0"/>
              <w:pageBreakBefore w:val="0"/>
              <w:kinsoku/>
              <w:wordWrap/>
              <w:overflowPunct/>
              <w:topLinePunct w:val="0"/>
              <w:autoSpaceDE/>
              <w:autoSpaceDN/>
              <w:bidi w:val="0"/>
              <w:snapToGrid w:val="0"/>
              <w:spacing w:line="360" w:lineRule="auto"/>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数量及</w:t>
            </w:r>
            <w:r>
              <w:rPr>
                <w:rFonts w:hint="eastAsia" w:hAnsi="宋体" w:cs="宋体"/>
                <w:color w:val="auto"/>
                <w:sz w:val="21"/>
                <w:szCs w:val="21"/>
                <w:highlight w:val="none"/>
                <w:lang w:eastAsia="zh-CN"/>
              </w:rPr>
              <w:t>单</w:t>
            </w:r>
            <w:r>
              <w:rPr>
                <w:rFonts w:hint="eastAsia" w:ascii="宋体" w:hAnsi="宋体" w:eastAsia="宋体" w:cs="宋体"/>
                <w:color w:val="auto"/>
                <w:sz w:val="21"/>
                <w:szCs w:val="21"/>
                <w:highlight w:val="none"/>
              </w:rPr>
              <w:t>位</w:t>
            </w:r>
          </w:p>
        </w:tc>
        <w:tc>
          <w:tcPr>
            <w:tcW w:w="5203" w:type="dxa"/>
            <w:tcBorders>
              <w:top w:val="single" w:color="auto" w:sz="4" w:space="0"/>
              <w:left w:val="single" w:color="auto" w:sz="4" w:space="0"/>
              <w:bottom w:val="single" w:color="auto" w:sz="4" w:space="0"/>
              <w:right w:val="single" w:color="auto" w:sz="4" w:space="0"/>
            </w:tcBorders>
            <w:noWrap w:val="0"/>
            <w:vAlign w:val="center"/>
          </w:tcPr>
          <w:p w14:paraId="00F50311">
            <w:pPr>
              <w:keepNext w:val="0"/>
              <w:keepLines w:val="0"/>
              <w:pageBreakBefore w:val="0"/>
              <w:kinsoku/>
              <w:wordWrap/>
              <w:overflowPunct/>
              <w:topLinePunct w:val="0"/>
              <w:autoSpaceDE/>
              <w:autoSpaceDN/>
              <w:bidi w:val="0"/>
              <w:spacing w:line="360" w:lineRule="auto"/>
              <w:jc w:val="center"/>
              <w:textAlignment w:val="auto"/>
              <w:rPr>
                <w:rFonts w:hint="eastAsia" w:ascii="宋体" w:hAnsi="宋体" w:eastAsia="宋体" w:cs="宋体"/>
                <w:color w:val="auto"/>
                <w:sz w:val="21"/>
                <w:szCs w:val="21"/>
                <w:highlight w:val="none"/>
                <w:lang w:eastAsia="zh-CN"/>
              </w:rPr>
            </w:pPr>
            <w:r>
              <w:rPr>
                <w:rFonts w:hint="eastAsia" w:ascii="宋体" w:hAnsi="宋体" w:cs="宋体"/>
                <w:color w:val="auto"/>
                <w:sz w:val="21"/>
                <w:szCs w:val="21"/>
                <w:highlight w:val="none"/>
                <w:lang w:eastAsia="zh-CN"/>
              </w:rPr>
              <w:t>服务参数</w:t>
            </w:r>
          </w:p>
        </w:tc>
        <w:tc>
          <w:tcPr>
            <w:tcW w:w="1036" w:type="dxa"/>
            <w:tcBorders>
              <w:top w:val="single" w:color="auto" w:sz="4" w:space="0"/>
              <w:left w:val="single" w:color="auto" w:sz="4" w:space="0"/>
              <w:bottom w:val="single" w:color="auto" w:sz="4" w:space="0"/>
              <w:right w:val="single" w:color="auto" w:sz="4" w:space="0"/>
            </w:tcBorders>
            <w:noWrap w:val="0"/>
            <w:vAlign w:val="center"/>
          </w:tcPr>
          <w:p w14:paraId="4C4DEB2F">
            <w:pPr>
              <w:keepNext w:val="0"/>
              <w:keepLines w:val="0"/>
              <w:pageBreakBefore w:val="0"/>
              <w:kinsoku/>
              <w:wordWrap/>
              <w:overflowPunct/>
              <w:topLinePunct w:val="0"/>
              <w:autoSpaceDE/>
              <w:autoSpaceDN/>
              <w:bidi w:val="0"/>
              <w:spacing w:line="360" w:lineRule="auto"/>
              <w:jc w:val="center"/>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预算金额（万元）</w:t>
            </w:r>
          </w:p>
        </w:tc>
        <w:tc>
          <w:tcPr>
            <w:tcW w:w="1336" w:type="dxa"/>
            <w:tcBorders>
              <w:top w:val="single" w:color="auto" w:sz="4" w:space="0"/>
              <w:left w:val="single" w:color="auto" w:sz="4" w:space="0"/>
              <w:bottom w:val="single" w:color="auto" w:sz="4" w:space="0"/>
              <w:right w:val="single" w:color="auto" w:sz="4" w:space="0"/>
            </w:tcBorders>
            <w:noWrap w:val="0"/>
            <w:vAlign w:val="center"/>
          </w:tcPr>
          <w:p w14:paraId="1323EA93">
            <w:pPr>
              <w:keepNext w:val="0"/>
              <w:keepLines w:val="0"/>
              <w:pageBreakBefore w:val="0"/>
              <w:kinsoku/>
              <w:wordWrap/>
              <w:overflowPunct/>
              <w:topLinePunct w:val="0"/>
              <w:autoSpaceDE/>
              <w:autoSpaceDN/>
              <w:bidi w:val="0"/>
              <w:spacing w:line="360" w:lineRule="auto"/>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中小企业划分标准所属行业名称</w:t>
            </w:r>
          </w:p>
        </w:tc>
      </w:tr>
      <w:tr w14:paraId="76CBB10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07" w:hRule="atLeast"/>
          <w:jc w:val="center"/>
        </w:trPr>
        <w:tc>
          <w:tcPr>
            <w:tcW w:w="545" w:type="dxa"/>
            <w:tcBorders>
              <w:left w:val="single" w:color="auto" w:sz="4" w:space="0"/>
              <w:bottom w:val="single" w:color="auto" w:sz="4" w:space="0"/>
              <w:right w:val="single" w:color="auto" w:sz="4" w:space="0"/>
            </w:tcBorders>
            <w:noWrap w:val="0"/>
            <w:vAlign w:val="center"/>
          </w:tcPr>
          <w:p w14:paraId="14113CFC">
            <w:pPr>
              <w:keepNext w:val="0"/>
              <w:keepLines w:val="0"/>
              <w:pageBreakBefore w:val="0"/>
              <w:kinsoku/>
              <w:wordWrap/>
              <w:overflowPunct/>
              <w:topLinePunct w:val="0"/>
              <w:autoSpaceDE/>
              <w:autoSpaceDN/>
              <w:bidi w:val="0"/>
              <w:spacing w:line="360" w:lineRule="auto"/>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w:t>
            </w:r>
          </w:p>
        </w:tc>
        <w:tc>
          <w:tcPr>
            <w:tcW w:w="739" w:type="dxa"/>
            <w:tcBorders>
              <w:left w:val="single" w:color="auto" w:sz="4" w:space="0"/>
              <w:bottom w:val="single" w:color="auto" w:sz="4" w:space="0"/>
              <w:right w:val="single" w:color="auto" w:sz="4" w:space="0"/>
            </w:tcBorders>
            <w:noWrap w:val="0"/>
            <w:vAlign w:val="center"/>
          </w:tcPr>
          <w:p w14:paraId="048BC39C">
            <w:pPr>
              <w:keepNext w:val="0"/>
              <w:keepLines w:val="0"/>
              <w:pageBreakBefore w:val="0"/>
              <w:kinsoku/>
              <w:wordWrap/>
              <w:overflowPunct/>
              <w:topLinePunct w:val="0"/>
              <w:autoSpaceDE/>
              <w:autoSpaceDN/>
              <w:bidi w:val="0"/>
              <w:spacing w:line="360" w:lineRule="auto"/>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双优专业教学资源库建设</w:t>
            </w:r>
          </w:p>
        </w:tc>
        <w:tc>
          <w:tcPr>
            <w:tcW w:w="717" w:type="dxa"/>
            <w:tcBorders>
              <w:top w:val="single" w:color="auto" w:sz="4" w:space="0"/>
              <w:left w:val="single" w:color="auto" w:sz="4" w:space="0"/>
              <w:bottom w:val="single" w:color="auto" w:sz="4" w:space="0"/>
              <w:right w:val="single" w:color="auto" w:sz="4" w:space="0"/>
            </w:tcBorders>
            <w:noWrap w:val="0"/>
            <w:vAlign w:val="center"/>
          </w:tcPr>
          <w:p w14:paraId="08B280FC">
            <w:pPr>
              <w:keepNext w:val="0"/>
              <w:keepLines w:val="0"/>
              <w:pageBreakBefore w:val="0"/>
              <w:kinsoku/>
              <w:wordWrap/>
              <w:overflowPunct/>
              <w:topLinePunct w:val="0"/>
              <w:autoSpaceDE/>
              <w:autoSpaceDN/>
              <w:bidi w:val="0"/>
              <w:spacing w:line="360" w:lineRule="auto"/>
              <w:jc w:val="center"/>
              <w:textAlignment w:val="auto"/>
              <w:rPr>
                <w:rFonts w:hint="eastAsia" w:ascii="宋体" w:hAnsi="宋体" w:eastAsia="宋体" w:cs="宋体"/>
                <w:color w:val="auto"/>
                <w:sz w:val="21"/>
                <w:szCs w:val="21"/>
                <w:highlight w:val="none"/>
              </w:rPr>
            </w:pPr>
            <w:r>
              <w:rPr>
                <w:rFonts w:hint="eastAsia" w:ascii="宋体" w:hAnsi="宋体" w:cs="宋体"/>
                <w:color w:val="auto"/>
                <w:sz w:val="21"/>
                <w:szCs w:val="21"/>
                <w:highlight w:val="none"/>
                <w:lang w:val="en-US" w:eastAsia="zh-CN"/>
              </w:rPr>
              <w:t>6</w:t>
            </w:r>
            <w:r>
              <w:rPr>
                <w:rFonts w:hint="eastAsia" w:ascii="宋体" w:hAnsi="宋体" w:eastAsia="宋体" w:cs="宋体"/>
                <w:color w:val="auto"/>
                <w:sz w:val="21"/>
                <w:szCs w:val="21"/>
                <w:highlight w:val="none"/>
              </w:rPr>
              <w:t>项</w:t>
            </w:r>
          </w:p>
        </w:tc>
        <w:tc>
          <w:tcPr>
            <w:tcW w:w="5203" w:type="dxa"/>
            <w:tcBorders>
              <w:top w:val="single" w:color="auto" w:sz="4" w:space="0"/>
              <w:left w:val="single" w:color="auto" w:sz="4" w:space="0"/>
              <w:bottom w:val="single" w:color="auto" w:sz="4" w:space="0"/>
              <w:right w:val="single" w:color="auto" w:sz="4" w:space="0"/>
            </w:tcBorders>
            <w:noWrap w:val="0"/>
            <w:vAlign w:val="center"/>
          </w:tcPr>
          <w:p w14:paraId="12E835A3">
            <w:pPr>
              <w:keepNext w:val="0"/>
              <w:keepLines w:val="0"/>
              <w:pageBreakBefore w:val="0"/>
              <w:kinsoku/>
              <w:wordWrap/>
              <w:overflowPunct/>
              <w:topLinePunct w:val="0"/>
              <w:autoSpaceDE/>
              <w:autoSpaceDN/>
              <w:bidi w:val="0"/>
              <w:spacing w:line="360" w:lineRule="auto"/>
              <w:jc w:val="both"/>
              <w:textAlignment w:val="auto"/>
              <w:rPr>
                <w:rFonts w:hint="eastAsia" w:ascii="宋体" w:hAnsi="宋体" w:cs="宋体"/>
                <w:color w:val="auto"/>
                <w:sz w:val="21"/>
                <w:szCs w:val="21"/>
                <w:highlight w:val="none"/>
                <w:lang w:eastAsia="zh-CN"/>
              </w:rPr>
            </w:pPr>
            <w:r>
              <w:rPr>
                <w:rFonts w:hint="eastAsia" w:ascii="宋体" w:hAnsi="宋体" w:cs="宋体"/>
                <w:color w:val="auto"/>
                <w:sz w:val="21"/>
                <w:szCs w:val="21"/>
                <w:highlight w:val="none"/>
                <w:lang w:eastAsia="zh-CN"/>
              </w:rPr>
              <w:t>双优专业计算机应用和数控技术应用教学资源库建设。</w:t>
            </w:r>
          </w:p>
          <w:p w14:paraId="262BFDD8">
            <w:pPr>
              <w:keepNext w:val="0"/>
              <w:keepLines w:val="0"/>
              <w:pageBreakBefore w:val="0"/>
              <w:kinsoku/>
              <w:wordWrap/>
              <w:overflowPunct/>
              <w:topLinePunct w:val="0"/>
              <w:autoSpaceDE/>
              <w:autoSpaceDN/>
              <w:bidi w:val="0"/>
              <w:spacing w:line="360" w:lineRule="auto"/>
              <w:jc w:val="both"/>
              <w:textAlignment w:val="auto"/>
              <w:rPr>
                <w:rFonts w:hint="eastAsia" w:ascii="宋体" w:hAnsi="宋体" w:cs="宋体"/>
                <w:b/>
                <w:bCs/>
                <w:color w:val="auto"/>
                <w:sz w:val="21"/>
                <w:szCs w:val="21"/>
                <w:highlight w:val="none"/>
                <w:lang w:eastAsia="zh-CN"/>
              </w:rPr>
            </w:pPr>
            <w:r>
              <w:rPr>
                <w:rFonts w:hint="eastAsia" w:ascii="宋体" w:hAnsi="宋体" w:cs="宋体"/>
                <w:b/>
                <w:bCs/>
                <w:color w:val="auto"/>
                <w:sz w:val="21"/>
                <w:szCs w:val="21"/>
                <w:highlight w:val="none"/>
                <w:lang w:eastAsia="zh-CN"/>
              </w:rPr>
              <w:t>一、服务内容</w:t>
            </w:r>
          </w:p>
          <w:p w14:paraId="29B4CA5B">
            <w:pPr>
              <w:keepNext w:val="0"/>
              <w:keepLines w:val="0"/>
              <w:pageBreakBefore w:val="0"/>
              <w:kinsoku/>
              <w:wordWrap/>
              <w:overflowPunct/>
              <w:topLinePunct w:val="0"/>
              <w:autoSpaceDE/>
              <w:autoSpaceDN/>
              <w:bidi w:val="0"/>
              <w:spacing w:line="360" w:lineRule="auto"/>
              <w:jc w:val="both"/>
              <w:textAlignment w:val="auto"/>
              <w:rPr>
                <w:rFonts w:hint="eastAsia" w:ascii="宋体" w:hAnsi="宋体" w:cs="宋体"/>
                <w:color w:val="auto"/>
                <w:sz w:val="21"/>
                <w:szCs w:val="21"/>
                <w:highlight w:val="none"/>
                <w:lang w:eastAsia="zh-CN"/>
              </w:rPr>
            </w:pPr>
            <w:r>
              <w:rPr>
                <w:rFonts w:hint="eastAsia" w:ascii="宋体" w:hAnsi="宋体" w:cs="宋体"/>
                <w:color w:val="auto"/>
                <w:sz w:val="21"/>
                <w:szCs w:val="21"/>
                <w:highlight w:val="none"/>
                <w:lang w:eastAsia="zh-CN"/>
              </w:rPr>
              <w:t>1、指导完成计算机应用和数控技术应用专业6门专业核心课程教学资源建设，课程内容体现新知识、新技术、新工艺、新方法，与行业先进水平保持同步。</w:t>
            </w:r>
          </w:p>
          <w:p w14:paraId="6F6C8C99">
            <w:pPr>
              <w:keepNext w:val="0"/>
              <w:keepLines w:val="0"/>
              <w:pageBreakBefore w:val="0"/>
              <w:kinsoku/>
              <w:wordWrap/>
              <w:overflowPunct/>
              <w:topLinePunct w:val="0"/>
              <w:autoSpaceDE/>
              <w:autoSpaceDN/>
              <w:bidi w:val="0"/>
              <w:spacing w:line="360" w:lineRule="auto"/>
              <w:jc w:val="both"/>
              <w:textAlignment w:val="auto"/>
              <w:rPr>
                <w:rFonts w:hint="eastAsia" w:ascii="宋体" w:hAnsi="宋体" w:cs="宋体"/>
                <w:color w:val="auto"/>
                <w:sz w:val="21"/>
                <w:szCs w:val="21"/>
                <w:highlight w:val="none"/>
                <w:lang w:eastAsia="zh-CN"/>
              </w:rPr>
            </w:pPr>
            <w:r>
              <w:rPr>
                <w:rFonts w:hint="eastAsia" w:ascii="宋体" w:hAnsi="宋体" w:cs="宋体"/>
                <w:color w:val="auto"/>
                <w:sz w:val="21"/>
                <w:szCs w:val="21"/>
                <w:highlight w:val="none"/>
                <w:lang w:eastAsia="zh-CN"/>
              </w:rPr>
              <w:t>2、课程建设内容符合自治区精品在线课程建设标准。</w:t>
            </w:r>
          </w:p>
          <w:p w14:paraId="12DB02F6">
            <w:pPr>
              <w:keepNext w:val="0"/>
              <w:keepLines w:val="0"/>
              <w:pageBreakBefore w:val="0"/>
              <w:kinsoku/>
              <w:wordWrap/>
              <w:overflowPunct/>
              <w:topLinePunct w:val="0"/>
              <w:autoSpaceDE/>
              <w:autoSpaceDN/>
              <w:bidi w:val="0"/>
              <w:spacing w:line="360" w:lineRule="auto"/>
              <w:jc w:val="both"/>
              <w:textAlignment w:val="auto"/>
              <w:rPr>
                <w:rFonts w:hint="eastAsia" w:ascii="宋体" w:hAnsi="宋体" w:cs="宋体"/>
                <w:color w:val="auto"/>
                <w:sz w:val="21"/>
                <w:szCs w:val="21"/>
                <w:highlight w:val="none"/>
                <w:lang w:eastAsia="zh-CN"/>
              </w:rPr>
            </w:pPr>
            <w:r>
              <w:rPr>
                <w:rFonts w:hint="eastAsia" w:ascii="宋体" w:hAnsi="宋体" w:cs="宋体"/>
                <w:color w:val="auto"/>
                <w:sz w:val="21"/>
                <w:szCs w:val="21"/>
                <w:highlight w:val="none"/>
                <w:lang w:eastAsia="zh-CN"/>
              </w:rPr>
              <w:t>3、教学资源上线前开展审定会议1次，不少于3位</w:t>
            </w:r>
            <w:r>
              <w:rPr>
                <w:rFonts w:hint="eastAsia" w:ascii="宋体" w:hAnsi="宋体" w:cs="宋体"/>
                <w:color w:val="auto"/>
                <w:sz w:val="21"/>
                <w:szCs w:val="21"/>
                <w:highlight w:val="none"/>
                <w:lang w:val="en-US" w:eastAsia="zh-CN"/>
              </w:rPr>
              <w:t>正</w:t>
            </w:r>
            <w:r>
              <w:rPr>
                <w:rFonts w:hint="eastAsia" w:ascii="宋体" w:hAnsi="宋体" w:cs="宋体"/>
                <w:color w:val="auto"/>
                <w:sz w:val="21"/>
                <w:szCs w:val="21"/>
                <w:highlight w:val="none"/>
                <w:lang w:eastAsia="zh-CN"/>
              </w:rPr>
              <w:t>高级专家。</w:t>
            </w:r>
          </w:p>
          <w:p w14:paraId="6E1828F5">
            <w:pPr>
              <w:keepNext w:val="0"/>
              <w:keepLines w:val="0"/>
              <w:pageBreakBefore w:val="0"/>
              <w:kinsoku/>
              <w:wordWrap/>
              <w:overflowPunct/>
              <w:topLinePunct w:val="0"/>
              <w:autoSpaceDE/>
              <w:autoSpaceDN/>
              <w:bidi w:val="0"/>
              <w:spacing w:line="360" w:lineRule="auto"/>
              <w:jc w:val="both"/>
              <w:textAlignment w:val="auto"/>
              <w:rPr>
                <w:rFonts w:hint="eastAsia" w:ascii="宋体" w:hAnsi="宋体" w:cs="宋体"/>
                <w:color w:val="auto"/>
                <w:sz w:val="21"/>
                <w:szCs w:val="21"/>
                <w:highlight w:val="none"/>
                <w:lang w:val="en-US" w:eastAsia="zh-CN"/>
              </w:rPr>
            </w:pPr>
            <w:r>
              <w:rPr>
                <w:rFonts w:hint="eastAsia" w:ascii="宋体" w:hAnsi="宋体" w:cs="宋体"/>
                <w:color w:val="auto"/>
                <w:sz w:val="21"/>
                <w:szCs w:val="21"/>
                <w:highlight w:val="none"/>
                <w:lang w:val="en-US" w:eastAsia="zh-CN"/>
              </w:rPr>
              <w:t>4、线上培训（40学时，45分钟/学时）</w:t>
            </w:r>
          </w:p>
          <w:p w14:paraId="3595EC93">
            <w:pPr>
              <w:keepNext w:val="0"/>
              <w:keepLines w:val="0"/>
              <w:pageBreakBefore w:val="0"/>
              <w:kinsoku/>
              <w:wordWrap/>
              <w:overflowPunct/>
              <w:topLinePunct w:val="0"/>
              <w:autoSpaceDE/>
              <w:autoSpaceDN/>
              <w:bidi w:val="0"/>
              <w:spacing w:line="360" w:lineRule="auto"/>
              <w:jc w:val="both"/>
              <w:textAlignment w:val="auto"/>
              <w:rPr>
                <w:rFonts w:hint="eastAsia" w:ascii="宋体" w:hAnsi="宋体" w:cs="宋体"/>
                <w:color w:val="auto"/>
                <w:sz w:val="21"/>
                <w:szCs w:val="21"/>
                <w:highlight w:val="none"/>
                <w:lang w:val="en-US" w:eastAsia="zh-CN"/>
              </w:rPr>
            </w:pPr>
            <w:r>
              <w:rPr>
                <w:rFonts w:hint="eastAsia" w:ascii="宋体" w:hAnsi="宋体" w:cs="宋体"/>
                <w:color w:val="auto"/>
                <w:sz w:val="21"/>
                <w:szCs w:val="21"/>
                <w:highlight w:val="none"/>
                <w:lang w:val="en-US" w:eastAsia="zh-CN"/>
              </w:rPr>
              <w:t>（1） 组织20名骨干教师线上学习在线精品课程设计与开发、在线精品课程应用与实施、优质课例分享等相关内容，课程资源不少于1800分钟（40学时）。</w:t>
            </w:r>
          </w:p>
          <w:p w14:paraId="3BB644A5">
            <w:pPr>
              <w:keepNext w:val="0"/>
              <w:keepLines w:val="0"/>
              <w:pageBreakBefore w:val="0"/>
              <w:kinsoku/>
              <w:wordWrap/>
              <w:overflowPunct/>
              <w:topLinePunct w:val="0"/>
              <w:autoSpaceDE/>
              <w:autoSpaceDN/>
              <w:bidi w:val="0"/>
              <w:spacing w:line="360" w:lineRule="auto"/>
              <w:jc w:val="both"/>
              <w:textAlignment w:val="auto"/>
              <w:rPr>
                <w:rFonts w:hint="default" w:ascii="宋体" w:hAnsi="宋体" w:cs="宋体"/>
                <w:color w:val="auto"/>
                <w:sz w:val="21"/>
                <w:szCs w:val="21"/>
                <w:highlight w:val="none"/>
                <w:lang w:val="en-US" w:eastAsia="zh-CN"/>
              </w:rPr>
            </w:pPr>
            <w:r>
              <w:rPr>
                <w:rFonts w:hint="eastAsia" w:ascii="宋体" w:hAnsi="宋体" w:cs="宋体"/>
                <w:color w:val="auto"/>
                <w:sz w:val="21"/>
                <w:szCs w:val="21"/>
                <w:highlight w:val="none"/>
                <w:lang w:val="en-US" w:eastAsia="zh-CN"/>
              </w:rPr>
              <w:t>（2）培训考核合格后提供继续教育承认的培训学时及培训证书。</w:t>
            </w:r>
          </w:p>
          <w:p w14:paraId="0987E39E">
            <w:pPr>
              <w:keepNext w:val="0"/>
              <w:keepLines w:val="0"/>
              <w:pageBreakBefore w:val="0"/>
              <w:kinsoku/>
              <w:wordWrap/>
              <w:overflowPunct/>
              <w:topLinePunct w:val="0"/>
              <w:autoSpaceDE/>
              <w:autoSpaceDN/>
              <w:bidi w:val="0"/>
              <w:spacing w:line="360" w:lineRule="auto"/>
              <w:jc w:val="both"/>
              <w:textAlignment w:val="auto"/>
              <w:rPr>
                <w:rFonts w:hint="eastAsia" w:ascii="宋体" w:hAnsi="宋体" w:cs="宋体"/>
                <w:b/>
                <w:bCs/>
                <w:color w:val="auto"/>
                <w:sz w:val="21"/>
                <w:szCs w:val="21"/>
                <w:highlight w:val="none"/>
                <w:lang w:eastAsia="zh-CN"/>
              </w:rPr>
            </w:pPr>
            <w:r>
              <w:rPr>
                <w:rFonts w:hint="eastAsia" w:ascii="宋体" w:hAnsi="宋体" w:cs="宋体"/>
                <w:b/>
                <w:bCs/>
                <w:color w:val="auto"/>
                <w:sz w:val="21"/>
                <w:szCs w:val="21"/>
                <w:highlight w:val="none"/>
                <w:lang w:eastAsia="zh-CN"/>
              </w:rPr>
              <w:t>二、服务要求</w:t>
            </w:r>
          </w:p>
          <w:p w14:paraId="72CF0F09">
            <w:pPr>
              <w:keepNext w:val="0"/>
              <w:keepLines w:val="0"/>
              <w:pageBreakBefore w:val="0"/>
              <w:kinsoku/>
              <w:wordWrap/>
              <w:overflowPunct/>
              <w:topLinePunct w:val="0"/>
              <w:autoSpaceDE/>
              <w:autoSpaceDN/>
              <w:bidi w:val="0"/>
              <w:spacing w:line="360" w:lineRule="auto"/>
              <w:jc w:val="both"/>
              <w:textAlignment w:val="auto"/>
              <w:rPr>
                <w:rFonts w:hint="eastAsia" w:ascii="宋体" w:hAnsi="宋体" w:cs="宋体"/>
                <w:color w:val="auto"/>
                <w:sz w:val="21"/>
                <w:szCs w:val="21"/>
                <w:highlight w:val="none"/>
                <w:lang w:eastAsia="zh-CN"/>
              </w:rPr>
            </w:pPr>
            <w:r>
              <w:rPr>
                <w:rFonts w:hint="eastAsia" w:ascii="宋体" w:hAnsi="宋体" w:cs="宋体"/>
                <w:color w:val="auto"/>
                <w:sz w:val="21"/>
                <w:szCs w:val="21"/>
                <w:highlight w:val="none"/>
                <w:lang w:eastAsia="zh-CN"/>
              </w:rPr>
              <w:t>资源数量要求：</w:t>
            </w:r>
          </w:p>
          <w:p w14:paraId="71A73E3A">
            <w:pPr>
              <w:keepNext w:val="0"/>
              <w:keepLines w:val="0"/>
              <w:pageBreakBefore w:val="0"/>
              <w:kinsoku/>
              <w:wordWrap/>
              <w:overflowPunct/>
              <w:topLinePunct w:val="0"/>
              <w:autoSpaceDE/>
              <w:autoSpaceDN/>
              <w:bidi w:val="0"/>
              <w:spacing w:line="360" w:lineRule="auto"/>
              <w:jc w:val="both"/>
              <w:textAlignment w:val="auto"/>
              <w:rPr>
                <w:rFonts w:hint="eastAsia" w:ascii="宋体" w:hAnsi="宋体" w:cs="宋体"/>
                <w:color w:val="auto"/>
                <w:sz w:val="21"/>
                <w:szCs w:val="21"/>
                <w:highlight w:val="none"/>
                <w:lang w:eastAsia="zh-CN"/>
              </w:rPr>
            </w:pPr>
            <w:r>
              <w:rPr>
                <w:rFonts w:hint="eastAsia" w:ascii="宋体" w:hAnsi="宋体" w:cs="宋体"/>
                <w:color w:val="auto"/>
                <w:sz w:val="21"/>
                <w:szCs w:val="21"/>
                <w:highlight w:val="none"/>
                <w:lang w:eastAsia="zh-CN"/>
              </w:rPr>
              <w:t>课程介绍：6个，5-10分钟；</w:t>
            </w:r>
          </w:p>
          <w:p w14:paraId="09D83098">
            <w:pPr>
              <w:keepNext w:val="0"/>
              <w:keepLines w:val="0"/>
              <w:pageBreakBefore w:val="0"/>
              <w:kinsoku/>
              <w:wordWrap/>
              <w:overflowPunct/>
              <w:topLinePunct w:val="0"/>
              <w:autoSpaceDE/>
              <w:autoSpaceDN/>
              <w:bidi w:val="0"/>
              <w:spacing w:line="360" w:lineRule="auto"/>
              <w:jc w:val="both"/>
              <w:textAlignment w:val="auto"/>
              <w:rPr>
                <w:rFonts w:hint="eastAsia" w:ascii="宋体" w:hAnsi="宋体" w:cs="宋体"/>
                <w:color w:val="auto"/>
                <w:sz w:val="21"/>
                <w:szCs w:val="21"/>
                <w:highlight w:val="none"/>
                <w:lang w:eastAsia="zh-CN"/>
              </w:rPr>
            </w:pPr>
            <w:r>
              <w:rPr>
                <w:rFonts w:hint="eastAsia" w:ascii="宋体" w:hAnsi="宋体" w:cs="宋体"/>
                <w:color w:val="auto"/>
                <w:sz w:val="21"/>
                <w:szCs w:val="21"/>
                <w:highlight w:val="none"/>
                <w:lang w:eastAsia="zh-CN"/>
              </w:rPr>
              <w:t>微课：350分钟/门(5个动画/门)时长 3-10 分钟/门。匹配教学内容中的重点、难点，以视频形式讲解、演示，使学生通过灵活、活泼的形式学习知识点。</w:t>
            </w:r>
          </w:p>
          <w:p w14:paraId="51374AAA">
            <w:pPr>
              <w:keepNext w:val="0"/>
              <w:keepLines w:val="0"/>
              <w:pageBreakBefore w:val="0"/>
              <w:kinsoku/>
              <w:wordWrap/>
              <w:overflowPunct/>
              <w:topLinePunct w:val="0"/>
              <w:autoSpaceDE/>
              <w:autoSpaceDN/>
              <w:bidi w:val="0"/>
              <w:spacing w:line="360" w:lineRule="auto"/>
              <w:jc w:val="both"/>
              <w:textAlignment w:val="auto"/>
              <w:rPr>
                <w:rFonts w:hint="eastAsia" w:ascii="宋体" w:hAnsi="宋体" w:cs="宋体"/>
                <w:color w:val="auto"/>
                <w:sz w:val="21"/>
                <w:szCs w:val="21"/>
                <w:highlight w:val="none"/>
                <w:lang w:eastAsia="zh-CN"/>
              </w:rPr>
            </w:pPr>
            <w:r>
              <w:rPr>
                <w:rFonts w:hint="eastAsia" w:ascii="宋体" w:hAnsi="宋体" w:cs="宋体"/>
                <w:color w:val="auto"/>
                <w:sz w:val="21"/>
                <w:szCs w:val="21"/>
                <w:highlight w:val="none"/>
                <w:lang w:eastAsia="zh-CN"/>
              </w:rPr>
              <w:t>指导课件制作：6套以 PPT 形式融合教学目标、各种参考资料、学习素材等。</w:t>
            </w:r>
          </w:p>
          <w:p w14:paraId="324363E3">
            <w:pPr>
              <w:keepNext w:val="0"/>
              <w:keepLines w:val="0"/>
              <w:pageBreakBefore w:val="0"/>
              <w:kinsoku/>
              <w:wordWrap/>
              <w:overflowPunct/>
              <w:topLinePunct w:val="0"/>
              <w:autoSpaceDE/>
              <w:autoSpaceDN/>
              <w:bidi w:val="0"/>
              <w:spacing w:line="360" w:lineRule="auto"/>
              <w:jc w:val="both"/>
              <w:textAlignment w:val="auto"/>
              <w:rPr>
                <w:rFonts w:hint="eastAsia" w:ascii="宋体" w:hAnsi="宋体" w:cs="宋体"/>
                <w:color w:val="auto"/>
                <w:sz w:val="21"/>
                <w:szCs w:val="21"/>
                <w:highlight w:val="none"/>
                <w:lang w:eastAsia="zh-CN"/>
              </w:rPr>
            </w:pPr>
            <w:r>
              <w:rPr>
                <w:rFonts w:hint="eastAsia" w:ascii="宋体" w:hAnsi="宋体" w:cs="宋体"/>
                <w:color w:val="auto"/>
                <w:sz w:val="21"/>
                <w:szCs w:val="21"/>
                <w:highlight w:val="none"/>
                <w:lang w:eastAsia="zh-CN"/>
              </w:rPr>
              <w:t>指导完成试题库：6套含课后练习题和单元自测题，课后检验学习成果和重难点掌握情况。</w:t>
            </w:r>
          </w:p>
          <w:p w14:paraId="75EB0101">
            <w:pPr>
              <w:keepNext w:val="0"/>
              <w:keepLines w:val="0"/>
              <w:pageBreakBefore w:val="0"/>
              <w:kinsoku/>
              <w:wordWrap/>
              <w:overflowPunct/>
              <w:topLinePunct w:val="0"/>
              <w:autoSpaceDE/>
              <w:autoSpaceDN/>
              <w:bidi w:val="0"/>
              <w:spacing w:line="360" w:lineRule="auto"/>
              <w:jc w:val="both"/>
              <w:textAlignment w:val="auto"/>
              <w:rPr>
                <w:rFonts w:hint="eastAsia" w:ascii="宋体" w:hAnsi="宋体" w:cs="宋体"/>
                <w:color w:val="auto"/>
                <w:sz w:val="21"/>
                <w:szCs w:val="21"/>
                <w:highlight w:val="none"/>
                <w:lang w:eastAsia="zh-CN"/>
              </w:rPr>
            </w:pPr>
            <w:r>
              <w:rPr>
                <w:rFonts w:hint="eastAsia" w:ascii="宋体" w:hAnsi="宋体" w:cs="宋体"/>
                <w:color w:val="auto"/>
                <w:sz w:val="21"/>
                <w:szCs w:val="21"/>
                <w:highlight w:val="none"/>
                <w:lang w:eastAsia="zh-CN"/>
              </w:rPr>
              <w:t>指导完成图库建设：6套以组合图片形式代替传统教材中的单个插图，提高辅助学习效果。包含思维导等。</w:t>
            </w:r>
          </w:p>
          <w:p w14:paraId="15C441ED">
            <w:pPr>
              <w:keepNext w:val="0"/>
              <w:keepLines w:val="0"/>
              <w:pageBreakBefore w:val="0"/>
              <w:kinsoku/>
              <w:wordWrap/>
              <w:overflowPunct/>
              <w:topLinePunct w:val="0"/>
              <w:autoSpaceDE/>
              <w:autoSpaceDN/>
              <w:bidi w:val="0"/>
              <w:spacing w:line="360" w:lineRule="auto"/>
              <w:jc w:val="both"/>
              <w:textAlignment w:val="auto"/>
              <w:rPr>
                <w:rFonts w:hint="eastAsia" w:ascii="宋体" w:hAnsi="宋体" w:cs="宋体"/>
                <w:color w:val="auto"/>
                <w:sz w:val="21"/>
                <w:szCs w:val="21"/>
                <w:highlight w:val="none"/>
                <w:lang w:eastAsia="zh-CN"/>
              </w:rPr>
            </w:pPr>
            <w:r>
              <w:rPr>
                <w:rFonts w:hint="eastAsia" w:ascii="宋体" w:hAnsi="宋体" w:cs="宋体"/>
                <w:color w:val="auto"/>
                <w:sz w:val="21"/>
                <w:szCs w:val="21"/>
                <w:highlight w:val="none"/>
                <w:lang w:eastAsia="zh-CN"/>
              </w:rPr>
              <w:t>指导完成教学设计：6套，覆盖全部学时。</w:t>
            </w:r>
          </w:p>
          <w:p w14:paraId="15DA481D">
            <w:pPr>
              <w:keepNext w:val="0"/>
              <w:keepLines w:val="0"/>
              <w:pageBreakBefore w:val="0"/>
              <w:kinsoku/>
              <w:wordWrap/>
              <w:overflowPunct/>
              <w:topLinePunct w:val="0"/>
              <w:autoSpaceDE/>
              <w:autoSpaceDN/>
              <w:bidi w:val="0"/>
              <w:spacing w:line="360" w:lineRule="auto"/>
              <w:jc w:val="both"/>
              <w:textAlignment w:val="auto"/>
              <w:rPr>
                <w:rFonts w:hint="eastAsia" w:ascii="宋体" w:hAnsi="宋体" w:cs="宋体"/>
                <w:color w:val="auto"/>
                <w:sz w:val="21"/>
                <w:szCs w:val="21"/>
                <w:highlight w:val="none"/>
                <w:lang w:eastAsia="zh-CN"/>
              </w:rPr>
            </w:pPr>
            <w:r>
              <w:rPr>
                <w:rFonts w:hint="eastAsia" w:ascii="宋体" w:hAnsi="宋体" w:cs="宋体"/>
                <w:color w:val="auto"/>
                <w:sz w:val="21"/>
                <w:szCs w:val="21"/>
                <w:highlight w:val="none"/>
                <w:lang w:eastAsia="zh-CN"/>
              </w:rPr>
              <w:t>指导完成课程标准：6个，完成课程性质、课程目标、内容目标、实施建议、课程评价。</w:t>
            </w:r>
          </w:p>
          <w:p w14:paraId="711E2567">
            <w:pPr>
              <w:keepNext w:val="0"/>
              <w:keepLines w:val="0"/>
              <w:pageBreakBefore w:val="0"/>
              <w:kinsoku/>
              <w:wordWrap/>
              <w:overflowPunct/>
              <w:topLinePunct w:val="0"/>
              <w:autoSpaceDE/>
              <w:autoSpaceDN/>
              <w:bidi w:val="0"/>
              <w:spacing w:line="360" w:lineRule="auto"/>
              <w:jc w:val="both"/>
              <w:textAlignment w:val="auto"/>
              <w:rPr>
                <w:rFonts w:hint="eastAsia" w:ascii="宋体" w:hAnsi="宋体" w:cs="宋体"/>
                <w:b/>
                <w:bCs/>
                <w:color w:val="auto"/>
                <w:sz w:val="21"/>
                <w:szCs w:val="21"/>
                <w:highlight w:val="none"/>
                <w:lang w:eastAsia="zh-CN"/>
              </w:rPr>
            </w:pPr>
            <w:r>
              <w:rPr>
                <w:rFonts w:hint="eastAsia" w:ascii="宋体" w:hAnsi="宋体" w:cs="宋体"/>
                <w:b/>
                <w:bCs/>
                <w:color w:val="auto"/>
                <w:sz w:val="21"/>
                <w:szCs w:val="21"/>
                <w:highlight w:val="none"/>
                <w:lang w:eastAsia="zh-CN"/>
              </w:rPr>
              <w:t>三、指导专家资质要求</w:t>
            </w:r>
          </w:p>
          <w:p w14:paraId="603D52E0">
            <w:pPr>
              <w:keepNext w:val="0"/>
              <w:keepLines w:val="0"/>
              <w:pageBreakBefore w:val="0"/>
              <w:kinsoku/>
              <w:wordWrap/>
              <w:overflowPunct/>
              <w:topLinePunct w:val="0"/>
              <w:autoSpaceDE/>
              <w:autoSpaceDN/>
              <w:bidi w:val="0"/>
              <w:spacing w:line="360" w:lineRule="auto"/>
              <w:jc w:val="both"/>
              <w:textAlignment w:val="auto"/>
              <w:rPr>
                <w:rFonts w:hint="eastAsia" w:ascii="宋体" w:hAnsi="宋体" w:cs="宋体"/>
                <w:color w:val="auto"/>
                <w:sz w:val="21"/>
                <w:szCs w:val="21"/>
                <w:highlight w:val="none"/>
                <w:lang w:eastAsia="zh-CN"/>
              </w:rPr>
            </w:pPr>
            <w:r>
              <w:rPr>
                <w:rFonts w:hint="eastAsia" w:ascii="宋体" w:hAnsi="宋体" w:cs="宋体"/>
                <w:color w:val="auto"/>
                <w:sz w:val="21"/>
                <w:szCs w:val="21"/>
                <w:highlight w:val="none"/>
                <w:lang w:eastAsia="zh-CN"/>
              </w:rPr>
              <w:t>聘请具有正高级职称并获得国家级比赛奖项，有职业教育课程资源建设指导经验的职教专家团队开展项目建设指导，提供完善的开发指导、知识点与资源形态规划。</w:t>
            </w:r>
          </w:p>
          <w:p w14:paraId="67B2E5FB">
            <w:pPr>
              <w:keepNext w:val="0"/>
              <w:keepLines w:val="0"/>
              <w:pageBreakBefore w:val="0"/>
              <w:kinsoku/>
              <w:wordWrap/>
              <w:overflowPunct/>
              <w:topLinePunct w:val="0"/>
              <w:autoSpaceDE/>
              <w:autoSpaceDN/>
              <w:bidi w:val="0"/>
              <w:spacing w:line="360" w:lineRule="auto"/>
              <w:jc w:val="both"/>
              <w:textAlignment w:val="auto"/>
              <w:rPr>
                <w:rFonts w:hint="eastAsia" w:ascii="宋体" w:hAnsi="宋体" w:cs="宋体"/>
                <w:color w:val="auto"/>
                <w:sz w:val="21"/>
                <w:szCs w:val="21"/>
                <w:highlight w:val="none"/>
                <w:lang w:eastAsia="zh-CN"/>
              </w:rPr>
            </w:pPr>
            <w:r>
              <w:rPr>
                <w:rFonts w:hint="eastAsia" w:ascii="宋体" w:hAnsi="宋体" w:cs="宋体"/>
                <w:b/>
                <w:bCs/>
                <w:color w:val="auto"/>
                <w:sz w:val="21"/>
                <w:szCs w:val="21"/>
                <w:highlight w:val="none"/>
                <w:lang w:val="en-US" w:eastAsia="zh-CN"/>
              </w:rPr>
              <w:t>四、</w:t>
            </w:r>
            <w:r>
              <w:rPr>
                <w:rFonts w:hint="eastAsia" w:ascii="宋体" w:hAnsi="宋体" w:cs="宋体"/>
                <w:b/>
                <w:bCs/>
                <w:color w:val="auto"/>
                <w:sz w:val="21"/>
                <w:szCs w:val="21"/>
                <w:highlight w:val="none"/>
                <w:lang w:eastAsia="zh-CN"/>
              </w:rPr>
              <w:t>课程资源技术要求</w:t>
            </w:r>
          </w:p>
          <w:p w14:paraId="6729E58F">
            <w:pPr>
              <w:keepNext w:val="0"/>
              <w:keepLines w:val="0"/>
              <w:pageBreakBefore w:val="0"/>
              <w:kinsoku/>
              <w:wordWrap/>
              <w:overflowPunct/>
              <w:topLinePunct w:val="0"/>
              <w:autoSpaceDE/>
              <w:autoSpaceDN/>
              <w:bidi w:val="0"/>
              <w:spacing w:line="360" w:lineRule="auto"/>
              <w:jc w:val="both"/>
              <w:textAlignment w:val="auto"/>
              <w:rPr>
                <w:rFonts w:hint="eastAsia" w:ascii="宋体" w:hAnsi="宋体" w:cs="宋体"/>
                <w:b/>
                <w:bCs/>
                <w:color w:val="auto"/>
                <w:sz w:val="21"/>
                <w:szCs w:val="21"/>
                <w:highlight w:val="none"/>
                <w:lang w:eastAsia="zh-CN"/>
              </w:rPr>
            </w:pPr>
            <w:r>
              <w:rPr>
                <w:rFonts w:hint="eastAsia" w:ascii="宋体" w:hAnsi="宋体" w:cs="宋体"/>
                <w:b/>
                <w:bCs/>
                <w:color w:val="auto"/>
                <w:sz w:val="21"/>
                <w:szCs w:val="21"/>
                <w:highlight w:val="none"/>
                <w:lang w:eastAsia="zh-CN"/>
              </w:rPr>
              <w:t>(一)课程建设指导</w:t>
            </w:r>
          </w:p>
          <w:p w14:paraId="28A74356">
            <w:pPr>
              <w:keepNext w:val="0"/>
              <w:keepLines w:val="0"/>
              <w:pageBreakBefore w:val="0"/>
              <w:kinsoku/>
              <w:wordWrap/>
              <w:overflowPunct/>
              <w:topLinePunct w:val="0"/>
              <w:autoSpaceDE/>
              <w:autoSpaceDN/>
              <w:bidi w:val="0"/>
              <w:spacing w:line="360" w:lineRule="auto"/>
              <w:jc w:val="both"/>
              <w:textAlignment w:val="auto"/>
              <w:rPr>
                <w:rFonts w:hint="eastAsia" w:ascii="宋体" w:hAnsi="宋体" w:cs="宋体"/>
                <w:color w:val="auto"/>
                <w:sz w:val="21"/>
                <w:szCs w:val="21"/>
                <w:highlight w:val="none"/>
                <w:lang w:eastAsia="zh-CN"/>
              </w:rPr>
            </w:pPr>
            <w:r>
              <w:rPr>
                <w:rFonts w:hint="eastAsia" w:ascii="宋体" w:hAnsi="宋体" w:cs="宋体"/>
                <w:color w:val="auto"/>
                <w:sz w:val="21"/>
                <w:szCs w:val="21"/>
                <w:highlight w:val="none"/>
                <w:lang w:eastAsia="zh-CN"/>
              </w:rPr>
              <w:t>1.聘请国内知名在线精品课程专家开展课程设计思路与逻辑指导2次，针对现有课程教学设计进行优化。</w:t>
            </w:r>
          </w:p>
          <w:p w14:paraId="03F978FA">
            <w:pPr>
              <w:keepNext w:val="0"/>
              <w:keepLines w:val="0"/>
              <w:pageBreakBefore w:val="0"/>
              <w:kinsoku/>
              <w:wordWrap/>
              <w:overflowPunct/>
              <w:topLinePunct w:val="0"/>
              <w:autoSpaceDE/>
              <w:autoSpaceDN/>
              <w:bidi w:val="0"/>
              <w:spacing w:line="360" w:lineRule="auto"/>
              <w:jc w:val="both"/>
              <w:textAlignment w:val="auto"/>
              <w:rPr>
                <w:rFonts w:hint="eastAsia" w:ascii="宋体" w:hAnsi="宋体" w:cs="宋体"/>
                <w:color w:val="auto"/>
                <w:sz w:val="21"/>
                <w:szCs w:val="21"/>
                <w:highlight w:val="none"/>
                <w:lang w:eastAsia="zh-CN"/>
              </w:rPr>
            </w:pPr>
            <w:r>
              <w:rPr>
                <w:rFonts w:hint="eastAsia" w:ascii="宋体" w:hAnsi="宋体" w:cs="宋体"/>
                <w:color w:val="auto"/>
                <w:sz w:val="21"/>
                <w:szCs w:val="21"/>
                <w:highlight w:val="none"/>
                <w:lang w:eastAsia="zh-CN"/>
              </w:rPr>
              <w:t>2.课程思政元素优化指导。</w:t>
            </w:r>
          </w:p>
          <w:p w14:paraId="1615D8F5">
            <w:pPr>
              <w:keepNext w:val="0"/>
              <w:keepLines w:val="0"/>
              <w:pageBreakBefore w:val="0"/>
              <w:kinsoku/>
              <w:wordWrap/>
              <w:overflowPunct/>
              <w:topLinePunct w:val="0"/>
              <w:autoSpaceDE/>
              <w:autoSpaceDN/>
              <w:bidi w:val="0"/>
              <w:spacing w:line="360" w:lineRule="auto"/>
              <w:jc w:val="both"/>
              <w:textAlignment w:val="auto"/>
              <w:rPr>
                <w:rFonts w:hint="eastAsia" w:ascii="宋体" w:hAnsi="宋体" w:cs="宋体"/>
                <w:color w:val="auto"/>
                <w:sz w:val="21"/>
                <w:szCs w:val="21"/>
                <w:highlight w:val="none"/>
                <w:lang w:eastAsia="zh-CN"/>
              </w:rPr>
            </w:pPr>
            <w:r>
              <w:rPr>
                <w:rFonts w:hint="eastAsia" w:ascii="宋体" w:hAnsi="宋体" w:cs="宋体"/>
                <w:color w:val="auto"/>
                <w:sz w:val="21"/>
                <w:szCs w:val="21"/>
                <w:highlight w:val="none"/>
                <w:lang w:eastAsia="zh-CN"/>
              </w:rPr>
              <w:t>3.安排技术人员到校进行建课和使用等方面的指导。</w:t>
            </w:r>
            <w:r>
              <w:rPr>
                <w:rFonts w:hint="eastAsia" w:ascii="宋体" w:hAnsi="宋体" w:cs="宋体"/>
                <w:color w:val="auto"/>
                <w:sz w:val="21"/>
                <w:szCs w:val="21"/>
                <w:highlight w:val="none"/>
                <w:lang w:val="en-US" w:eastAsia="zh-CN"/>
              </w:rPr>
              <w:t>中</w:t>
            </w:r>
            <w:r>
              <w:rPr>
                <w:rFonts w:hint="eastAsia" w:ascii="宋体" w:hAnsi="宋体" w:cs="宋体"/>
                <w:color w:val="auto"/>
                <w:sz w:val="21"/>
                <w:szCs w:val="21"/>
                <w:highlight w:val="none"/>
                <w:lang w:eastAsia="zh-CN"/>
              </w:rPr>
              <w:t>标人专业技术人员与教师共同进行资源设计与开发，资源内容包括课程介绍、教学课件、微课、二维动画、教学设计、题库、图库等。</w:t>
            </w:r>
          </w:p>
          <w:p w14:paraId="2AF28577">
            <w:pPr>
              <w:keepNext w:val="0"/>
              <w:keepLines w:val="0"/>
              <w:pageBreakBefore w:val="0"/>
              <w:kinsoku/>
              <w:wordWrap/>
              <w:overflowPunct/>
              <w:topLinePunct w:val="0"/>
              <w:autoSpaceDE/>
              <w:autoSpaceDN/>
              <w:bidi w:val="0"/>
              <w:spacing w:line="360" w:lineRule="auto"/>
              <w:jc w:val="both"/>
              <w:textAlignment w:val="auto"/>
              <w:rPr>
                <w:rFonts w:hint="eastAsia" w:ascii="宋体" w:hAnsi="宋体" w:cs="宋体"/>
                <w:color w:val="auto"/>
                <w:sz w:val="21"/>
                <w:szCs w:val="21"/>
                <w:highlight w:val="none"/>
                <w:lang w:eastAsia="zh-CN"/>
              </w:rPr>
            </w:pPr>
            <w:r>
              <w:rPr>
                <w:rFonts w:hint="eastAsia" w:ascii="宋体" w:hAnsi="宋体" w:cs="宋体"/>
                <w:color w:val="auto"/>
                <w:sz w:val="21"/>
                <w:szCs w:val="21"/>
                <w:highlight w:val="none"/>
                <w:lang w:eastAsia="zh-CN"/>
              </w:rPr>
              <w:t>4.将典型工作案例中抽象的理论原理、操作步骤、操作规范等内容，借助课程网络平台上的相应资源来呈现，汇总各类课程资源，如微课、图解、课件、参考资料等，形成线上运行的精品课程。</w:t>
            </w:r>
          </w:p>
          <w:p w14:paraId="5DBA29C0">
            <w:pPr>
              <w:keepNext w:val="0"/>
              <w:keepLines w:val="0"/>
              <w:pageBreakBefore w:val="0"/>
              <w:kinsoku/>
              <w:wordWrap/>
              <w:overflowPunct/>
              <w:topLinePunct w:val="0"/>
              <w:autoSpaceDE/>
              <w:autoSpaceDN/>
              <w:bidi w:val="0"/>
              <w:spacing w:line="360" w:lineRule="auto"/>
              <w:jc w:val="both"/>
              <w:textAlignment w:val="auto"/>
              <w:rPr>
                <w:rFonts w:hint="eastAsia" w:ascii="宋体" w:hAnsi="宋体" w:cs="宋体"/>
                <w:color w:val="auto"/>
                <w:sz w:val="21"/>
                <w:szCs w:val="21"/>
                <w:highlight w:val="none"/>
                <w:lang w:eastAsia="zh-CN"/>
              </w:rPr>
            </w:pPr>
            <w:r>
              <w:rPr>
                <w:rFonts w:hint="eastAsia" w:ascii="宋体" w:hAnsi="宋体" w:cs="宋体"/>
                <w:color w:val="auto"/>
                <w:sz w:val="21"/>
                <w:szCs w:val="21"/>
                <w:highlight w:val="none"/>
                <w:lang w:eastAsia="zh-CN"/>
              </w:rPr>
              <w:t>5.辅助上传平台。</w:t>
            </w:r>
          </w:p>
          <w:p w14:paraId="534DA6BD">
            <w:pPr>
              <w:keepNext w:val="0"/>
              <w:keepLines w:val="0"/>
              <w:pageBreakBefore w:val="0"/>
              <w:kinsoku/>
              <w:wordWrap/>
              <w:overflowPunct/>
              <w:topLinePunct w:val="0"/>
              <w:autoSpaceDE/>
              <w:autoSpaceDN/>
              <w:bidi w:val="0"/>
              <w:spacing w:line="360" w:lineRule="auto"/>
              <w:jc w:val="both"/>
              <w:textAlignment w:val="auto"/>
              <w:rPr>
                <w:rFonts w:hint="eastAsia" w:ascii="宋体" w:hAnsi="宋体" w:cs="宋体"/>
                <w:b/>
                <w:bCs/>
                <w:color w:val="auto"/>
                <w:sz w:val="21"/>
                <w:szCs w:val="21"/>
                <w:highlight w:val="none"/>
                <w:lang w:eastAsia="zh-CN"/>
              </w:rPr>
            </w:pPr>
            <w:r>
              <w:rPr>
                <w:rFonts w:hint="eastAsia" w:ascii="宋体" w:hAnsi="宋体" w:cs="宋体"/>
                <w:b/>
                <w:bCs/>
                <w:color w:val="auto"/>
                <w:sz w:val="21"/>
                <w:szCs w:val="21"/>
                <w:highlight w:val="none"/>
                <w:lang w:eastAsia="zh-CN"/>
              </w:rPr>
              <w:t>(二)思政元素设计融入</w:t>
            </w:r>
          </w:p>
          <w:p w14:paraId="2866AA4D">
            <w:pPr>
              <w:keepNext w:val="0"/>
              <w:keepLines w:val="0"/>
              <w:pageBreakBefore w:val="0"/>
              <w:kinsoku/>
              <w:wordWrap/>
              <w:overflowPunct/>
              <w:topLinePunct w:val="0"/>
              <w:autoSpaceDE/>
              <w:autoSpaceDN/>
              <w:bidi w:val="0"/>
              <w:spacing w:line="360" w:lineRule="auto"/>
              <w:jc w:val="both"/>
              <w:textAlignment w:val="auto"/>
              <w:rPr>
                <w:rFonts w:hint="eastAsia" w:ascii="宋体" w:hAnsi="宋体" w:cs="宋体"/>
                <w:color w:val="auto"/>
                <w:sz w:val="21"/>
                <w:szCs w:val="21"/>
                <w:highlight w:val="none"/>
                <w:lang w:eastAsia="zh-CN"/>
              </w:rPr>
            </w:pPr>
            <w:r>
              <w:rPr>
                <w:rFonts w:hint="eastAsia" w:ascii="宋体" w:hAnsi="宋体" w:cs="宋体"/>
                <w:color w:val="auto"/>
                <w:sz w:val="21"/>
                <w:szCs w:val="21"/>
                <w:highlight w:val="none"/>
                <w:lang w:eastAsia="zh-CN"/>
              </w:rPr>
              <w:t>通过相关专家培训与指导，在课程与知识点规划阶段就考虑思政元素与专业内的重难点进行融合，以工学一体化培养模式为基础，实现教学信息量充足,并符合学习者认知规律，具有较好的高阶性、创新性和挑战度。思政建设</w:t>
            </w:r>
          </w:p>
          <w:p w14:paraId="7616A72C">
            <w:pPr>
              <w:keepNext w:val="0"/>
              <w:keepLines w:val="0"/>
              <w:pageBreakBefore w:val="0"/>
              <w:kinsoku/>
              <w:wordWrap/>
              <w:overflowPunct/>
              <w:topLinePunct w:val="0"/>
              <w:autoSpaceDE/>
              <w:autoSpaceDN/>
              <w:bidi w:val="0"/>
              <w:spacing w:line="360" w:lineRule="auto"/>
              <w:jc w:val="both"/>
              <w:textAlignment w:val="auto"/>
              <w:rPr>
                <w:rFonts w:hint="eastAsia" w:ascii="宋体" w:hAnsi="宋体" w:cs="宋体"/>
                <w:color w:val="auto"/>
                <w:sz w:val="21"/>
                <w:szCs w:val="21"/>
                <w:highlight w:val="none"/>
                <w:lang w:eastAsia="zh-CN"/>
              </w:rPr>
            </w:pPr>
            <w:r>
              <w:rPr>
                <w:rFonts w:hint="eastAsia" w:ascii="宋体" w:hAnsi="宋体" w:cs="宋体"/>
                <w:color w:val="auto"/>
                <w:sz w:val="21"/>
                <w:szCs w:val="21"/>
                <w:highlight w:val="none"/>
                <w:lang w:eastAsia="zh-CN"/>
              </w:rPr>
              <w:t>目标如下：</w:t>
            </w:r>
          </w:p>
          <w:p w14:paraId="610AB9B9">
            <w:pPr>
              <w:keepNext w:val="0"/>
              <w:keepLines w:val="0"/>
              <w:pageBreakBefore w:val="0"/>
              <w:kinsoku/>
              <w:wordWrap/>
              <w:overflowPunct/>
              <w:topLinePunct w:val="0"/>
              <w:autoSpaceDE/>
              <w:autoSpaceDN/>
              <w:bidi w:val="0"/>
              <w:spacing w:line="360" w:lineRule="auto"/>
              <w:jc w:val="both"/>
              <w:textAlignment w:val="auto"/>
              <w:rPr>
                <w:rFonts w:hint="eastAsia" w:ascii="宋体" w:hAnsi="宋体" w:cs="宋体"/>
                <w:color w:val="auto"/>
                <w:sz w:val="21"/>
                <w:szCs w:val="21"/>
                <w:highlight w:val="none"/>
                <w:lang w:eastAsia="zh-CN"/>
              </w:rPr>
            </w:pPr>
            <w:r>
              <w:rPr>
                <w:rFonts w:hint="eastAsia" w:ascii="宋体" w:hAnsi="宋体" w:cs="宋体"/>
                <w:color w:val="auto"/>
                <w:sz w:val="21"/>
                <w:szCs w:val="21"/>
                <w:highlight w:val="none"/>
                <w:lang w:eastAsia="zh-CN"/>
              </w:rPr>
              <w:t>1.运用思想政治理论教育的学科思维处理专业知识和教学目标，组织教学内容，融入政治认同、家国情怀、文化素养、宪法法治意识、道德修养等要素，潜移默化地对学习和的思想意识、行为举止产生积极影响，实现价值塑造、知识传授和能力培养相融合、教书与育人相统一。</w:t>
            </w:r>
          </w:p>
          <w:p w14:paraId="4C73378E">
            <w:pPr>
              <w:keepNext w:val="0"/>
              <w:keepLines w:val="0"/>
              <w:pageBreakBefore w:val="0"/>
              <w:kinsoku/>
              <w:wordWrap/>
              <w:overflowPunct/>
              <w:topLinePunct w:val="0"/>
              <w:autoSpaceDE/>
              <w:autoSpaceDN/>
              <w:bidi w:val="0"/>
              <w:spacing w:line="360" w:lineRule="auto"/>
              <w:jc w:val="both"/>
              <w:textAlignment w:val="auto"/>
              <w:rPr>
                <w:rFonts w:hint="eastAsia" w:ascii="宋体" w:hAnsi="宋体" w:cs="宋体"/>
                <w:color w:val="auto"/>
                <w:sz w:val="21"/>
                <w:szCs w:val="21"/>
                <w:highlight w:val="none"/>
                <w:lang w:eastAsia="zh-CN"/>
              </w:rPr>
            </w:pPr>
            <w:r>
              <w:rPr>
                <w:rFonts w:hint="eastAsia" w:ascii="宋体" w:hAnsi="宋体" w:cs="宋体"/>
                <w:color w:val="auto"/>
                <w:sz w:val="21"/>
                <w:szCs w:val="21"/>
                <w:highlight w:val="none"/>
                <w:lang w:eastAsia="zh-CN"/>
              </w:rPr>
              <w:t>2.综合运用信息技术手段和数字资源把思政教育巧妙渗透教学全过程，教学方法运用恰当，教学策略使用有效。</w:t>
            </w:r>
          </w:p>
          <w:p w14:paraId="32D40A08">
            <w:pPr>
              <w:keepNext w:val="0"/>
              <w:keepLines w:val="0"/>
              <w:pageBreakBefore w:val="0"/>
              <w:kinsoku/>
              <w:wordWrap/>
              <w:overflowPunct/>
              <w:topLinePunct w:val="0"/>
              <w:autoSpaceDE/>
              <w:autoSpaceDN/>
              <w:bidi w:val="0"/>
              <w:spacing w:line="360" w:lineRule="auto"/>
              <w:jc w:val="both"/>
              <w:textAlignment w:val="auto"/>
              <w:rPr>
                <w:rFonts w:hint="eastAsia" w:ascii="宋体" w:hAnsi="宋体" w:cs="宋体"/>
                <w:color w:val="auto"/>
                <w:sz w:val="21"/>
                <w:szCs w:val="21"/>
                <w:highlight w:val="none"/>
                <w:lang w:eastAsia="zh-CN"/>
              </w:rPr>
            </w:pPr>
            <w:r>
              <w:rPr>
                <w:rFonts w:hint="eastAsia" w:ascii="宋体" w:hAnsi="宋体" w:cs="宋体"/>
                <w:color w:val="auto"/>
                <w:sz w:val="21"/>
                <w:szCs w:val="21"/>
                <w:highlight w:val="none"/>
                <w:lang w:eastAsia="zh-CN"/>
              </w:rPr>
              <w:t>3.具有良好的专业知识呈现，又具备科学精神、人文情怀，将投标人实践与课堂学习相结合，融入技能提升与</w:t>
            </w:r>
          </w:p>
          <w:p w14:paraId="2FF324ED">
            <w:pPr>
              <w:keepNext w:val="0"/>
              <w:keepLines w:val="0"/>
              <w:pageBreakBefore w:val="0"/>
              <w:kinsoku/>
              <w:wordWrap/>
              <w:overflowPunct/>
              <w:topLinePunct w:val="0"/>
              <w:autoSpaceDE/>
              <w:autoSpaceDN/>
              <w:bidi w:val="0"/>
              <w:spacing w:line="360" w:lineRule="auto"/>
              <w:jc w:val="both"/>
              <w:textAlignment w:val="auto"/>
              <w:rPr>
                <w:rFonts w:hint="eastAsia" w:ascii="宋体" w:hAnsi="宋体" w:cs="宋体"/>
                <w:color w:val="auto"/>
                <w:sz w:val="21"/>
                <w:szCs w:val="21"/>
                <w:highlight w:val="none"/>
                <w:lang w:eastAsia="zh-CN"/>
              </w:rPr>
            </w:pPr>
            <w:r>
              <w:rPr>
                <w:rFonts w:hint="eastAsia" w:ascii="宋体" w:hAnsi="宋体" w:cs="宋体"/>
                <w:color w:val="auto"/>
                <w:sz w:val="21"/>
                <w:szCs w:val="21"/>
                <w:highlight w:val="none"/>
                <w:lang w:eastAsia="zh-CN"/>
              </w:rPr>
              <w:t>素质提升。</w:t>
            </w:r>
          </w:p>
          <w:p w14:paraId="509AF46E">
            <w:pPr>
              <w:keepNext w:val="0"/>
              <w:keepLines w:val="0"/>
              <w:pageBreakBefore w:val="0"/>
              <w:kinsoku/>
              <w:wordWrap/>
              <w:overflowPunct/>
              <w:topLinePunct w:val="0"/>
              <w:autoSpaceDE/>
              <w:autoSpaceDN/>
              <w:bidi w:val="0"/>
              <w:spacing w:line="360" w:lineRule="auto"/>
              <w:jc w:val="both"/>
              <w:textAlignment w:val="auto"/>
              <w:rPr>
                <w:rFonts w:hint="eastAsia" w:ascii="宋体" w:hAnsi="宋体" w:cs="宋体"/>
                <w:color w:val="auto"/>
                <w:sz w:val="21"/>
                <w:szCs w:val="21"/>
                <w:highlight w:val="none"/>
                <w:lang w:eastAsia="zh-CN"/>
              </w:rPr>
            </w:pPr>
            <w:r>
              <w:rPr>
                <w:rFonts w:hint="eastAsia" w:ascii="宋体" w:hAnsi="宋体" w:cs="宋体"/>
                <w:color w:val="auto"/>
                <w:sz w:val="21"/>
                <w:szCs w:val="21"/>
                <w:highlight w:val="none"/>
                <w:lang w:eastAsia="zh-CN"/>
              </w:rPr>
              <w:t>4.目标设计恰当，符合课程要求、学科特点和学生实际；明确具体、可观察、可测评、可达成；思政目标无缝对接知识、能力目标。</w:t>
            </w:r>
          </w:p>
          <w:p w14:paraId="351EB5E1">
            <w:pPr>
              <w:keepNext w:val="0"/>
              <w:keepLines w:val="0"/>
              <w:pageBreakBefore w:val="0"/>
              <w:kinsoku/>
              <w:wordWrap/>
              <w:overflowPunct/>
              <w:topLinePunct w:val="0"/>
              <w:autoSpaceDE/>
              <w:autoSpaceDN/>
              <w:bidi w:val="0"/>
              <w:spacing w:line="360" w:lineRule="auto"/>
              <w:jc w:val="both"/>
              <w:textAlignment w:val="auto"/>
              <w:rPr>
                <w:rFonts w:hint="eastAsia" w:ascii="宋体" w:hAnsi="宋体" w:cs="宋体"/>
                <w:b/>
                <w:bCs/>
                <w:color w:val="auto"/>
                <w:sz w:val="21"/>
                <w:szCs w:val="21"/>
                <w:highlight w:val="none"/>
                <w:lang w:eastAsia="zh-CN"/>
              </w:rPr>
            </w:pPr>
            <w:r>
              <w:rPr>
                <w:rFonts w:hint="eastAsia" w:ascii="宋体" w:hAnsi="宋体" w:cs="宋体"/>
                <w:b/>
                <w:bCs/>
                <w:color w:val="auto"/>
                <w:sz w:val="21"/>
                <w:szCs w:val="21"/>
                <w:highlight w:val="none"/>
                <w:lang w:eastAsia="zh-CN"/>
              </w:rPr>
              <w:t>(三)制作要求</w:t>
            </w:r>
          </w:p>
          <w:p w14:paraId="706C10B4">
            <w:pPr>
              <w:keepNext w:val="0"/>
              <w:keepLines w:val="0"/>
              <w:pageBreakBefore w:val="0"/>
              <w:kinsoku/>
              <w:wordWrap/>
              <w:overflowPunct/>
              <w:topLinePunct w:val="0"/>
              <w:autoSpaceDE/>
              <w:autoSpaceDN/>
              <w:bidi w:val="0"/>
              <w:spacing w:line="360" w:lineRule="auto"/>
              <w:jc w:val="both"/>
              <w:textAlignment w:val="auto"/>
              <w:rPr>
                <w:rFonts w:hint="eastAsia" w:ascii="宋体" w:hAnsi="宋体" w:cs="宋体"/>
                <w:color w:val="auto"/>
                <w:sz w:val="21"/>
                <w:szCs w:val="21"/>
                <w:highlight w:val="none"/>
                <w:lang w:eastAsia="zh-CN"/>
              </w:rPr>
            </w:pPr>
            <w:r>
              <w:rPr>
                <w:rFonts w:hint="eastAsia" w:ascii="宋体" w:hAnsi="宋体" w:cs="宋体"/>
                <w:color w:val="auto"/>
                <w:sz w:val="21"/>
                <w:szCs w:val="21"/>
                <w:highlight w:val="none"/>
                <w:lang w:eastAsia="zh-CN"/>
              </w:rPr>
              <w:t>1.资源内容基于教材，按照课程教学需求、课程标准进行建设。</w:t>
            </w:r>
          </w:p>
          <w:p w14:paraId="639807CA">
            <w:pPr>
              <w:keepNext w:val="0"/>
              <w:keepLines w:val="0"/>
              <w:pageBreakBefore w:val="0"/>
              <w:kinsoku/>
              <w:wordWrap/>
              <w:overflowPunct/>
              <w:topLinePunct w:val="0"/>
              <w:autoSpaceDE/>
              <w:autoSpaceDN/>
              <w:bidi w:val="0"/>
              <w:spacing w:line="360" w:lineRule="auto"/>
              <w:jc w:val="both"/>
              <w:textAlignment w:val="auto"/>
              <w:rPr>
                <w:rFonts w:hint="eastAsia" w:ascii="宋体" w:hAnsi="宋体" w:cs="宋体"/>
                <w:color w:val="auto"/>
                <w:sz w:val="21"/>
                <w:szCs w:val="21"/>
                <w:highlight w:val="none"/>
                <w:lang w:eastAsia="zh-CN"/>
              </w:rPr>
            </w:pPr>
            <w:r>
              <w:rPr>
                <w:rFonts w:hint="eastAsia" w:ascii="宋体" w:hAnsi="宋体" w:cs="宋体"/>
                <w:color w:val="auto"/>
                <w:sz w:val="21"/>
                <w:szCs w:val="21"/>
                <w:highlight w:val="none"/>
                <w:lang w:eastAsia="zh-CN"/>
              </w:rPr>
              <w:t>2.资源呈现的教学目标、重难点，与教材一致。</w:t>
            </w:r>
          </w:p>
          <w:p w14:paraId="4B8ACF00">
            <w:pPr>
              <w:keepNext w:val="0"/>
              <w:keepLines w:val="0"/>
              <w:pageBreakBefore w:val="0"/>
              <w:kinsoku/>
              <w:wordWrap/>
              <w:overflowPunct/>
              <w:topLinePunct w:val="0"/>
              <w:autoSpaceDE/>
              <w:autoSpaceDN/>
              <w:bidi w:val="0"/>
              <w:spacing w:line="360" w:lineRule="auto"/>
              <w:jc w:val="both"/>
              <w:textAlignment w:val="auto"/>
              <w:rPr>
                <w:rFonts w:hint="eastAsia" w:ascii="宋体" w:hAnsi="宋体" w:cs="宋体"/>
                <w:color w:val="auto"/>
                <w:sz w:val="21"/>
                <w:szCs w:val="21"/>
                <w:highlight w:val="none"/>
                <w:lang w:eastAsia="zh-CN"/>
              </w:rPr>
            </w:pPr>
            <w:r>
              <w:rPr>
                <w:rFonts w:hint="eastAsia" w:ascii="宋体" w:hAnsi="宋体" w:cs="宋体"/>
                <w:color w:val="auto"/>
                <w:sz w:val="21"/>
                <w:szCs w:val="21"/>
                <w:highlight w:val="none"/>
                <w:lang w:eastAsia="zh-CN"/>
              </w:rPr>
              <w:t>3.资源内容无科学性错误。</w:t>
            </w:r>
          </w:p>
          <w:p w14:paraId="3D4326AD">
            <w:pPr>
              <w:keepNext w:val="0"/>
              <w:keepLines w:val="0"/>
              <w:pageBreakBefore w:val="0"/>
              <w:kinsoku/>
              <w:wordWrap/>
              <w:overflowPunct/>
              <w:topLinePunct w:val="0"/>
              <w:autoSpaceDE/>
              <w:autoSpaceDN/>
              <w:bidi w:val="0"/>
              <w:spacing w:line="360" w:lineRule="auto"/>
              <w:jc w:val="both"/>
              <w:textAlignment w:val="auto"/>
              <w:rPr>
                <w:rFonts w:hint="eastAsia" w:ascii="宋体" w:hAnsi="宋体" w:cs="宋体"/>
                <w:color w:val="auto"/>
                <w:sz w:val="21"/>
                <w:szCs w:val="21"/>
                <w:highlight w:val="none"/>
                <w:lang w:eastAsia="zh-CN"/>
              </w:rPr>
            </w:pPr>
            <w:r>
              <w:rPr>
                <w:rFonts w:hint="eastAsia" w:ascii="宋体" w:hAnsi="宋体" w:cs="宋体"/>
                <w:color w:val="auto"/>
                <w:sz w:val="21"/>
                <w:szCs w:val="21"/>
                <w:highlight w:val="none"/>
                <w:lang w:eastAsia="zh-CN"/>
              </w:rPr>
              <w:t>4.制作手段含视频拍摄、音频录制、动画设计制作等。</w:t>
            </w:r>
          </w:p>
          <w:p w14:paraId="2CBC9950">
            <w:pPr>
              <w:keepNext w:val="0"/>
              <w:keepLines w:val="0"/>
              <w:pageBreakBefore w:val="0"/>
              <w:kinsoku/>
              <w:wordWrap/>
              <w:overflowPunct/>
              <w:topLinePunct w:val="0"/>
              <w:autoSpaceDE/>
              <w:autoSpaceDN/>
              <w:bidi w:val="0"/>
              <w:spacing w:line="360" w:lineRule="auto"/>
              <w:jc w:val="both"/>
              <w:textAlignment w:val="auto"/>
              <w:rPr>
                <w:rFonts w:hint="eastAsia" w:ascii="宋体" w:hAnsi="宋体" w:cs="宋体"/>
                <w:color w:val="auto"/>
                <w:sz w:val="21"/>
                <w:szCs w:val="21"/>
                <w:highlight w:val="none"/>
                <w:lang w:eastAsia="zh-CN"/>
              </w:rPr>
            </w:pPr>
            <w:r>
              <w:rPr>
                <w:rFonts w:hint="eastAsia" w:ascii="宋体" w:hAnsi="宋体" w:cs="宋体"/>
                <w:color w:val="auto"/>
                <w:sz w:val="21"/>
                <w:szCs w:val="21"/>
                <w:highlight w:val="none"/>
                <w:lang w:eastAsia="zh-CN"/>
              </w:rPr>
              <w:t>5.微课的开发脚本由采购人专业老师提出教学设计思路，供应商具体落实设想，形成文本性文件，用于之后的制作。</w:t>
            </w:r>
          </w:p>
          <w:p w14:paraId="393A7212">
            <w:pPr>
              <w:keepNext w:val="0"/>
              <w:keepLines w:val="0"/>
              <w:pageBreakBefore w:val="0"/>
              <w:kinsoku/>
              <w:wordWrap/>
              <w:overflowPunct/>
              <w:topLinePunct w:val="0"/>
              <w:autoSpaceDE/>
              <w:autoSpaceDN/>
              <w:bidi w:val="0"/>
              <w:spacing w:line="360" w:lineRule="auto"/>
              <w:jc w:val="both"/>
              <w:textAlignment w:val="auto"/>
              <w:rPr>
                <w:rFonts w:hint="eastAsia" w:ascii="宋体" w:hAnsi="宋体" w:cs="宋体"/>
                <w:color w:val="auto"/>
                <w:sz w:val="21"/>
                <w:szCs w:val="21"/>
                <w:highlight w:val="none"/>
                <w:lang w:eastAsia="zh-CN"/>
              </w:rPr>
            </w:pPr>
            <w:r>
              <w:rPr>
                <w:rFonts w:hint="eastAsia" w:ascii="宋体" w:hAnsi="宋体" w:cs="宋体"/>
                <w:color w:val="auto"/>
                <w:sz w:val="21"/>
                <w:szCs w:val="21"/>
                <w:highlight w:val="none"/>
                <w:lang w:eastAsia="zh-CN"/>
              </w:rPr>
              <w:t>6.微课的制作包括知识点教学结构设计、碎片资源教学设计、素材采集、知识点的知识内容编辑加工处理(包括后期剪辑、配音、字幕)等。</w:t>
            </w:r>
          </w:p>
          <w:p w14:paraId="4757F6AE">
            <w:pPr>
              <w:keepNext w:val="0"/>
              <w:keepLines w:val="0"/>
              <w:pageBreakBefore w:val="0"/>
              <w:kinsoku/>
              <w:wordWrap/>
              <w:overflowPunct/>
              <w:topLinePunct w:val="0"/>
              <w:autoSpaceDE/>
              <w:autoSpaceDN/>
              <w:bidi w:val="0"/>
              <w:spacing w:line="360" w:lineRule="auto"/>
              <w:jc w:val="both"/>
              <w:textAlignment w:val="auto"/>
              <w:rPr>
                <w:rFonts w:hint="eastAsia" w:ascii="宋体" w:hAnsi="宋体" w:cs="宋体"/>
                <w:color w:val="auto"/>
                <w:sz w:val="21"/>
                <w:szCs w:val="21"/>
                <w:highlight w:val="none"/>
                <w:lang w:eastAsia="zh-CN"/>
              </w:rPr>
            </w:pPr>
            <w:r>
              <w:rPr>
                <w:rFonts w:hint="eastAsia" w:ascii="宋体" w:hAnsi="宋体" w:cs="宋体"/>
                <w:color w:val="auto"/>
                <w:sz w:val="21"/>
                <w:szCs w:val="21"/>
                <w:highlight w:val="none"/>
                <w:lang w:eastAsia="zh-CN"/>
              </w:rPr>
              <w:t>7.教学课件的制作应在充分理解教师的教学设计基础上，综合使用动画、视频、二维等技术将其进行可视化建构，辅助教师和学生完成一堂沉浸式的教与学的体验。</w:t>
            </w:r>
          </w:p>
          <w:p w14:paraId="7450D791">
            <w:pPr>
              <w:keepNext w:val="0"/>
              <w:keepLines w:val="0"/>
              <w:pageBreakBefore w:val="0"/>
              <w:kinsoku/>
              <w:wordWrap/>
              <w:overflowPunct/>
              <w:topLinePunct w:val="0"/>
              <w:autoSpaceDE/>
              <w:autoSpaceDN/>
              <w:bidi w:val="0"/>
              <w:spacing w:line="360" w:lineRule="auto"/>
              <w:jc w:val="both"/>
              <w:textAlignment w:val="auto"/>
              <w:rPr>
                <w:rFonts w:hint="eastAsia" w:ascii="宋体" w:hAnsi="宋体" w:cs="宋体"/>
                <w:color w:val="auto"/>
                <w:sz w:val="21"/>
                <w:szCs w:val="21"/>
                <w:highlight w:val="none"/>
                <w:lang w:eastAsia="zh-CN"/>
              </w:rPr>
            </w:pPr>
            <w:r>
              <w:rPr>
                <w:rFonts w:hint="eastAsia" w:ascii="宋体" w:hAnsi="宋体" w:cs="宋体"/>
                <w:color w:val="auto"/>
                <w:sz w:val="21"/>
                <w:szCs w:val="21"/>
                <w:highlight w:val="none"/>
                <w:lang w:eastAsia="zh-CN"/>
              </w:rPr>
              <w:t>8.所有资源可独立运行，也可与教材融合使用。</w:t>
            </w:r>
          </w:p>
          <w:p w14:paraId="63B6AB00">
            <w:pPr>
              <w:keepNext w:val="0"/>
              <w:keepLines w:val="0"/>
              <w:pageBreakBefore w:val="0"/>
              <w:kinsoku/>
              <w:wordWrap/>
              <w:overflowPunct/>
              <w:topLinePunct w:val="0"/>
              <w:autoSpaceDE/>
              <w:autoSpaceDN/>
              <w:bidi w:val="0"/>
              <w:spacing w:line="360" w:lineRule="auto"/>
              <w:jc w:val="both"/>
              <w:textAlignment w:val="auto"/>
              <w:rPr>
                <w:rFonts w:hint="eastAsia" w:ascii="宋体" w:hAnsi="宋体" w:cs="宋体"/>
                <w:color w:val="auto"/>
                <w:sz w:val="21"/>
                <w:szCs w:val="21"/>
                <w:highlight w:val="none"/>
                <w:lang w:eastAsia="zh-CN"/>
              </w:rPr>
            </w:pPr>
            <w:r>
              <w:rPr>
                <w:rFonts w:hint="eastAsia" w:ascii="宋体" w:hAnsi="宋体" w:cs="宋体"/>
                <w:color w:val="auto"/>
                <w:sz w:val="21"/>
                <w:szCs w:val="21"/>
                <w:highlight w:val="none"/>
                <w:lang w:eastAsia="zh-CN"/>
              </w:rPr>
              <w:t>9.为丰富教材资源建设，方便老师案例教学，供应商需协助教材负责人策划教学资源与纸质内容融合。</w:t>
            </w:r>
          </w:p>
          <w:p w14:paraId="2E30AD96">
            <w:pPr>
              <w:keepNext w:val="0"/>
              <w:keepLines w:val="0"/>
              <w:pageBreakBefore w:val="0"/>
              <w:kinsoku/>
              <w:wordWrap/>
              <w:overflowPunct/>
              <w:topLinePunct w:val="0"/>
              <w:autoSpaceDE/>
              <w:autoSpaceDN/>
              <w:bidi w:val="0"/>
              <w:spacing w:line="360" w:lineRule="auto"/>
              <w:jc w:val="both"/>
              <w:textAlignment w:val="auto"/>
              <w:rPr>
                <w:rFonts w:hint="eastAsia" w:ascii="宋体" w:hAnsi="宋体" w:cs="宋体"/>
                <w:color w:val="auto"/>
                <w:sz w:val="21"/>
                <w:szCs w:val="21"/>
                <w:highlight w:val="none"/>
                <w:lang w:eastAsia="zh-CN"/>
              </w:rPr>
            </w:pPr>
            <w:r>
              <w:rPr>
                <w:rFonts w:hint="eastAsia" w:ascii="宋体" w:hAnsi="宋体" w:cs="宋体"/>
                <w:color w:val="auto"/>
                <w:sz w:val="21"/>
                <w:szCs w:val="21"/>
                <w:highlight w:val="none"/>
                <w:lang w:eastAsia="zh-CN"/>
              </w:rPr>
              <w:t>10.可以网络运行的资源内容与教材通过二维码形式融合。</w:t>
            </w:r>
          </w:p>
          <w:p w14:paraId="2DFA84FE">
            <w:pPr>
              <w:keepNext w:val="0"/>
              <w:keepLines w:val="0"/>
              <w:pageBreakBefore w:val="0"/>
              <w:kinsoku/>
              <w:wordWrap/>
              <w:overflowPunct/>
              <w:topLinePunct w:val="0"/>
              <w:autoSpaceDE/>
              <w:autoSpaceDN/>
              <w:bidi w:val="0"/>
              <w:spacing w:line="360" w:lineRule="auto"/>
              <w:jc w:val="both"/>
              <w:textAlignment w:val="auto"/>
              <w:rPr>
                <w:rFonts w:hint="eastAsia" w:ascii="宋体" w:hAnsi="宋体" w:cs="宋体"/>
                <w:b/>
                <w:bCs/>
                <w:color w:val="auto"/>
                <w:sz w:val="21"/>
                <w:szCs w:val="21"/>
                <w:highlight w:val="none"/>
                <w:lang w:eastAsia="zh-CN"/>
              </w:rPr>
            </w:pPr>
            <w:r>
              <w:rPr>
                <w:rFonts w:hint="eastAsia" w:ascii="宋体" w:hAnsi="宋体" w:cs="宋体"/>
                <w:b/>
                <w:bCs/>
                <w:color w:val="auto"/>
                <w:sz w:val="21"/>
                <w:szCs w:val="21"/>
                <w:highlight w:val="none"/>
                <w:lang w:eastAsia="zh-CN"/>
              </w:rPr>
              <w:t>(四)服务团队要求</w:t>
            </w:r>
          </w:p>
          <w:p w14:paraId="27649A89">
            <w:pPr>
              <w:keepNext w:val="0"/>
              <w:keepLines w:val="0"/>
              <w:pageBreakBefore w:val="0"/>
              <w:kinsoku/>
              <w:wordWrap/>
              <w:overflowPunct/>
              <w:topLinePunct w:val="0"/>
              <w:autoSpaceDE/>
              <w:autoSpaceDN/>
              <w:bidi w:val="0"/>
              <w:spacing w:line="360" w:lineRule="auto"/>
              <w:jc w:val="both"/>
              <w:textAlignment w:val="auto"/>
              <w:rPr>
                <w:rFonts w:hint="eastAsia" w:ascii="宋体" w:hAnsi="宋体" w:cs="宋体"/>
                <w:color w:val="auto"/>
                <w:sz w:val="21"/>
                <w:szCs w:val="21"/>
                <w:highlight w:val="none"/>
                <w:lang w:eastAsia="zh-CN"/>
              </w:rPr>
            </w:pPr>
            <w:r>
              <w:rPr>
                <w:rFonts w:hint="eastAsia" w:ascii="宋体" w:hAnsi="宋体" w:cs="宋体"/>
                <w:color w:val="auto"/>
                <w:sz w:val="21"/>
                <w:szCs w:val="21"/>
                <w:highlight w:val="none"/>
                <w:lang w:eastAsia="zh-CN"/>
              </w:rPr>
              <w:t>1.供应商具有从事职业教育教学规划、精品课程开发、课程设计规划等类型项目的丰富经验。</w:t>
            </w:r>
          </w:p>
          <w:p w14:paraId="5C8EFB09">
            <w:pPr>
              <w:keepNext w:val="0"/>
              <w:keepLines w:val="0"/>
              <w:pageBreakBefore w:val="0"/>
              <w:kinsoku/>
              <w:wordWrap/>
              <w:overflowPunct/>
              <w:topLinePunct w:val="0"/>
              <w:autoSpaceDE/>
              <w:autoSpaceDN/>
              <w:bidi w:val="0"/>
              <w:spacing w:line="360" w:lineRule="auto"/>
              <w:jc w:val="both"/>
              <w:textAlignment w:val="auto"/>
              <w:rPr>
                <w:rFonts w:hint="eastAsia" w:ascii="宋体" w:hAnsi="宋体" w:cs="宋体"/>
                <w:color w:val="auto"/>
                <w:sz w:val="21"/>
                <w:szCs w:val="21"/>
                <w:highlight w:val="none"/>
                <w:lang w:eastAsia="zh-CN"/>
              </w:rPr>
            </w:pPr>
            <w:r>
              <w:rPr>
                <w:rFonts w:hint="eastAsia" w:ascii="宋体" w:hAnsi="宋体" w:cs="宋体"/>
                <w:color w:val="auto"/>
                <w:sz w:val="21"/>
                <w:szCs w:val="21"/>
                <w:highlight w:val="none"/>
                <w:lang w:eastAsia="zh-CN"/>
              </w:rPr>
              <w:t>2.供应商自身拥有完善的专业技术人员配备，针对本项目提供不少于3人的项目服务团队，具备以下岗位人员，满足本项目课程资源开发和制作方面专业需求。</w:t>
            </w:r>
          </w:p>
          <w:p w14:paraId="57702B91">
            <w:pPr>
              <w:keepNext w:val="0"/>
              <w:keepLines w:val="0"/>
              <w:pageBreakBefore w:val="0"/>
              <w:kinsoku/>
              <w:wordWrap/>
              <w:overflowPunct/>
              <w:topLinePunct w:val="0"/>
              <w:autoSpaceDE/>
              <w:autoSpaceDN/>
              <w:bidi w:val="0"/>
              <w:spacing w:line="360" w:lineRule="auto"/>
              <w:jc w:val="both"/>
              <w:textAlignment w:val="auto"/>
              <w:rPr>
                <w:rFonts w:hint="eastAsia" w:ascii="宋体" w:hAnsi="宋体" w:cs="宋体"/>
                <w:color w:val="auto"/>
                <w:sz w:val="21"/>
                <w:szCs w:val="21"/>
                <w:highlight w:val="none"/>
                <w:lang w:eastAsia="zh-CN"/>
              </w:rPr>
            </w:pPr>
            <w:r>
              <w:rPr>
                <w:rFonts w:hint="eastAsia" w:ascii="宋体" w:hAnsi="宋体" w:cs="宋体"/>
                <w:color w:val="auto"/>
                <w:sz w:val="21"/>
                <w:szCs w:val="21"/>
                <w:highlight w:val="none"/>
                <w:lang w:eastAsia="zh-CN"/>
              </w:rPr>
              <w:t>(1)项目负责人：统筹负责沟通对接和制作审核等任务，具备教学经验，具备同类项目实施和管理经验</w:t>
            </w:r>
          </w:p>
          <w:p w14:paraId="78BA935C">
            <w:pPr>
              <w:keepNext w:val="0"/>
              <w:keepLines w:val="0"/>
              <w:pageBreakBefore w:val="0"/>
              <w:kinsoku/>
              <w:wordWrap/>
              <w:overflowPunct/>
              <w:topLinePunct w:val="0"/>
              <w:autoSpaceDE/>
              <w:autoSpaceDN/>
              <w:bidi w:val="0"/>
              <w:spacing w:line="360" w:lineRule="auto"/>
              <w:jc w:val="both"/>
              <w:textAlignment w:val="auto"/>
              <w:rPr>
                <w:rFonts w:hint="eastAsia" w:ascii="宋体" w:hAnsi="宋体" w:cs="宋体"/>
                <w:color w:val="auto"/>
                <w:sz w:val="21"/>
                <w:szCs w:val="21"/>
                <w:highlight w:val="none"/>
                <w:lang w:eastAsia="zh-CN"/>
              </w:rPr>
            </w:pPr>
            <w:r>
              <w:rPr>
                <w:rFonts w:hint="eastAsia" w:ascii="宋体" w:hAnsi="宋体" w:cs="宋体"/>
                <w:color w:val="auto"/>
                <w:sz w:val="21"/>
                <w:szCs w:val="21"/>
                <w:highlight w:val="none"/>
                <w:lang w:eastAsia="zh-CN"/>
              </w:rPr>
              <w:t>(2)专业编辑：与老师协作进行课程资源开发工作。</w:t>
            </w:r>
          </w:p>
          <w:p w14:paraId="097DE7FE">
            <w:pPr>
              <w:keepNext w:val="0"/>
              <w:keepLines w:val="0"/>
              <w:pageBreakBefore w:val="0"/>
              <w:kinsoku/>
              <w:wordWrap/>
              <w:overflowPunct/>
              <w:topLinePunct w:val="0"/>
              <w:autoSpaceDE/>
              <w:autoSpaceDN/>
              <w:bidi w:val="0"/>
              <w:spacing w:line="360" w:lineRule="auto"/>
              <w:jc w:val="both"/>
              <w:textAlignment w:val="auto"/>
              <w:rPr>
                <w:rFonts w:hint="eastAsia" w:ascii="宋体" w:hAnsi="宋体" w:cs="宋体"/>
                <w:color w:val="auto"/>
                <w:sz w:val="21"/>
                <w:szCs w:val="21"/>
                <w:highlight w:val="none"/>
                <w:lang w:eastAsia="zh-CN"/>
              </w:rPr>
            </w:pPr>
            <w:r>
              <w:rPr>
                <w:rFonts w:hint="eastAsia" w:ascii="宋体" w:hAnsi="宋体" w:cs="宋体"/>
                <w:color w:val="auto"/>
                <w:sz w:val="21"/>
                <w:szCs w:val="21"/>
                <w:highlight w:val="none"/>
                <w:lang w:eastAsia="zh-CN"/>
              </w:rPr>
              <w:t>(3)课程编导：审读解读课程教学需求、课程目标、人才培养方案，具备课程设计经验与能力，能够与任课教师沟通对接并提供专业化建议和解决方案，能够进行脚本的设计与策划，具有专业的文字开发编辑能力。</w:t>
            </w:r>
          </w:p>
          <w:p w14:paraId="4458BCD5">
            <w:pPr>
              <w:keepNext w:val="0"/>
              <w:keepLines w:val="0"/>
              <w:pageBreakBefore w:val="0"/>
              <w:kinsoku/>
              <w:wordWrap/>
              <w:overflowPunct/>
              <w:topLinePunct w:val="0"/>
              <w:autoSpaceDE/>
              <w:autoSpaceDN/>
              <w:bidi w:val="0"/>
              <w:spacing w:line="360" w:lineRule="auto"/>
              <w:jc w:val="both"/>
              <w:textAlignment w:val="auto"/>
              <w:rPr>
                <w:rFonts w:hint="eastAsia" w:ascii="宋体" w:hAnsi="宋体" w:cs="宋体"/>
                <w:color w:val="auto"/>
                <w:sz w:val="21"/>
                <w:szCs w:val="21"/>
                <w:highlight w:val="none"/>
                <w:lang w:eastAsia="zh-CN"/>
              </w:rPr>
            </w:pPr>
            <w:r>
              <w:rPr>
                <w:rFonts w:hint="eastAsia" w:ascii="宋体" w:hAnsi="宋体" w:cs="宋体"/>
                <w:color w:val="auto"/>
                <w:sz w:val="21"/>
                <w:szCs w:val="21"/>
                <w:highlight w:val="none"/>
                <w:lang w:eastAsia="zh-CN"/>
              </w:rPr>
              <w:t>(4)拍摄小组：负责现场的场景搭建、灯光布置，视频录制，音频录制，其他拍摄设备的准备、调试和维护。</w:t>
            </w:r>
          </w:p>
          <w:p w14:paraId="4B3589D6">
            <w:pPr>
              <w:keepNext w:val="0"/>
              <w:keepLines w:val="0"/>
              <w:pageBreakBefore w:val="0"/>
              <w:kinsoku/>
              <w:wordWrap/>
              <w:overflowPunct/>
              <w:topLinePunct w:val="0"/>
              <w:autoSpaceDE/>
              <w:autoSpaceDN/>
              <w:bidi w:val="0"/>
              <w:spacing w:line="360" w:lineRule="auto"/>
              <w:jc w:val="both"/>
              <w:textAlignment w:val="auto"/>
              <w:rPr>
                <w:rFonts w:hint="eastAsia" w:ascii="宋体" w:hAnsi="宋体" w:cs="宋体"/>
                <w:color w:val="auto"/>
                <w:sz w:val="21"/>
                <w:szCs w:val="21"/>
                <w:highlight w:val="none"/>
                <w:lang w:eastAsia="zh-CN"/>
              </w:rPr>
            </w:pPr>
            <w:r>
              <w:rPr>
                <w:rFonts w:hint="eastAsia" w:ascii="宋体" w:hAnsi="宋体" w:cs="宋体"/>
                <w:color w:val="auto"/>
                <w:sz w:val="21"/>
                <w:szCs w:val="21"/>
                <w:highlight w:val="none"/>
                <w:lang w:eastAsia="zh-CN"/>
              </w:rPr>
              <w:t>(5)场务：现场记录，拍摄文件的收集、整理、备份、上传等，辅助教师准备衣着、仪容、随身设备等，根据实际需求灵活提供提词器解决方案。应能根据课程教学需求、实际场地条件等，搭建方便拍摄的场地，包括但不限于绿幕环境、常亮灯光环境的创建。并在技术上实现声音、光线的不受干扰。</w:t>
            </w:r>
          </w:p>
          <w:p w14:paraId="5435A87F">
            <w:pPr>
              <w:keepNext w:val="0"/>
              <w:keepLines w:val="0"/>
              <w:pageBreakBefore w:val="0"/>
              <w:kinsoku/>
              <w:wordWrap/>
              <w:overflowPunct/>
              <w:topLinePunct w:val="0"/>
              <w:autoSpaceDE/>
              <w:autoSpaceDN/>
              <w:bidi w:val="0"/>
              <w:spacing w:line="360" w:lineRule="auto"/>
              <w:jc w:val="both"/>
              <w:textAlignment w:val="auto"/>
              <w:rPr>
                <w:rFonts w:hint="eastAsia" w:ascii="宋体" w:hAnsi="宋体" w:cs="宋体"/>
                <w:color w:val="auto"/>
                <w:sz w:val="21"/>
                <w:szCs w:val="21"/>
                <w:highlight w:val="none"/>
                <w:lang w:eastAsia="zh-CN"/>
              </w:rPr>
            </w:pPr>
            <w:r>
              <w:rPr>
                <w:rFonts w:hint="eastAsia" w:ascii="宋体" w:hAnsi="宋体" w:cs="宋体"/>
                <w:color w:val="auto"/>
                <w:sz w:val="21"/>
                <w:szCs w:val="21"/>
                <w:highlight w:val="none"/>
                <w:lang w:eastAsia="zh-CN"/>
              </w:rPr>
              <w:t>(6)后期剪辑：基于脚本、拍摄素材、音频素材，进行后期剪辑合成，片头片尾及其他特效的设计与制作。</w:t>
            </w:r>
          </w:p>
          <w:p w14:paraId="6EE4E543">
            <w:pPr>
              <w:keepNext w:val="0"/>
              <w:keepLines w:val="0"/>
              <w:pageBreakBefore w:val="0"/>
              <w:kinsoku/>
              <w:wordWrap/>
              <w:overflowPunct/>
              <w:topLinePunct w:val="0"/>
              <w:autoSpaceDE/>
              <w:autoSpaceDN/>
              <w:bidi w:val="0"/>
              <w:spacing w:line="360" w:lineRule="auto"/>
              <w:jc w:val="both"/>
              <w:textAlignment w:val="auto"/>
              <w:rPr>
                <w:rFonts w:hint="eastAsia" w:ascii="宋体" w:hAnsi="宋体" w:cs="宋体"/>
                <w:color w:val="auto"/>
                <w:sz w:val="21"/>
                <w:szCs w:val="21"/>
                <w:highlight w:val="none"/>
                <w:lang w:eastAsia="zh-CN"/>
              </w:rPr>
            </w:pPr>
            <w:r>
              <w:rPr>
                <w:rFonts w:hint="eastAsia" w:ascii="宋体" w:hAnsi="宋体" w:cs="宋体"/>
                <w:color w:val="auto"/>
                <w:sz w:val="21"/>
                <w:szCs w:val="21"/>
                <w:highlight w:val="none"/>
                <w:lang w:eastAsia="zh-CN"/>
              </w:rPr>
              <w:t>(7)动画：绘制与制作动画，特效包装。</w:t>
            </w:r>
          </w:p>
          <w:p w14:paraId="0D78B903">
            <w:pPr>
              <w:keepNext w:val="0"/>
              <w:keepLines w:val="0"/>
              <w:pageBreakBefore w:val="0"/>
              <w:kinsoku/>
              <w:wordWrap/>
              <w:overflowPunct/>
              <w:topLinePunct w:val="0"/>
              <w:autoSpaceDE/>
              <w:autoSpaceDN/>
              <w:bidi w:val="0"/>
              <w:spacing w:line="360" w:lineRule="auto"/>
              <w:jc w:val="both"/>
              <w:textAlignment w:val="auto"/>
              <w:rPr>
                <w:rFonts w:hint="eastAsia" w:ascii="宋体" w:hAnsi="宋体" w:cs="宋体"/>
                <w:b/>
                <w:bCs/>
                <w:color w:val="auto"/>
                <w:sz w:val="21"/>
                <w:szCs w:val="21"/>
                <w:highlight w:val="none"/>
                <w:lang w:eastAsia="zh-CN"/>
              </w:rPr>
            </w:pPr>
            <w:r>
              <w:rPr>
                <w:rFonts w:hint="eastAsia" w:ascii="宋体" w:hAnsi="宋体" w:cs="宋体"/>
                <w:b/>
                <w:bCs/>
                <w:color w:val="auto"/>
                <w:sz w:val="21"/>
                <w:szCs w:val="21"/>
                <w:highlight w:val="none"/>
                <w:lang w:eastAsia="zh-CN"/>
              </w:rPr>
              <w:t>(五)课程建设技术与质量标准要求</w:t>
            </w:r>
          </w:p>
          <w:p w14:paraId="639AC0E8">
            <w:pPr>
              <w:keepNext w:val="0"/>
              <w:keepLines w:val="0"/>
              <w:pageBreakBefore w:val="0"/>
              <w:kinsoku/>
              <w:wordWrap/>
              <w:overflowPunct/>
              <w:topLinePunct w:val="0"/>
              <w:autoSpaceDE/>
              <w:autoSpaceDN/>
              <w:bidi w:val="0"/>
              <w:spacing w:line="360" w:lineRule="auto"/>
              <w:jc w:val="both"/>
              <w:textAlignment w:val="auto"/>
              <w:rPr>
                <w:rFonts w:hint="eastAsia" w:ascii="宋体" w:hAnsi="宋体" w:cs="宋体"/>
                <w:color w:val="auto"/>
                <w:sz w:val="21"/>
                <w:szCs w:val="21"/>
                <w:highlight w:val="none"/>
                <w:lang w:eastAsia="zh-CN"/>
              </w:rPr>
            </w:pPr>
            <w:r>
              <w:rPr>
                <w:rFonts w:hint="eastAsia" w:ascii="宋体" w:hAnsi="宋体" w:cs="宋体"/>
                <w:color w:val="auto"/>
                <w:sz w:val="21"/>
                <w:szCs w:val="21"/>
                <w:highlight w:val="none"/>
                <w:lang w:eastAsia="zh-CN"/>
              </w:rPr>
              <w:t>1.微课制作</w:t>
            </w:r>
          </w:p>
          <w:p w14:paraId="02857A1B">
            <w:pPr>
              <w:keepNext w:val="0"/>
              <w:keepLines w:val="0"/>
              <w:pageBreakBefore w:val="0"/>
              <w:kinsoku/>
              <w:wordWrap/>
              <w:overflowPunct/>
              <w:topLinePunct w:val="0"/>
              <w:autoSpaceDE/>
              <w:autoSpaceDN/>
              <w:bidi w:val="0"/>
              <w:spacing w:line="360" w:lineRule="auto"/>
              <w:jc w:val="both"/>
              <w:textAlignment w:val="auto"/>
              <w:rPr>
                <w:rFonts w:hint="eastAsia" w:ascii="宋体" w:hAnsi="宋体" w:cs="宋体"/>
                <w:color w:val="auto"/>
                <w:sz w:val="21"/>
                <w:szCs w:val="21"/>
                <w:highlight w:val="none"/>
                <w:lang w:eastAsia="zh-CN"/>
              </w:rPr>
            </w:pPr>
            <w:r>
              <w:rPr>
                <w:rFonts w:hint="eastAsia" w:ascii="宋体" w:hAnsi="宋体" w:cs="宋体"/>
                <w:color w:val="auto"/>
                <w:sz w:val="21"/>
                <w:szCs w:val="21"/>
                <w:highlight w:val="none"/>
                <w:lang w:eastAsia="zh-CN"/>
              </w:rPr>
              <w:t>摄像要求：</w:t>
            </w:r>
          </w:p>
          <w:p w14:paraId="7A8F7912">
            <w:pPr>
              <w:keepNext w:val="0"/>
              <w:keepLines w:val="0"/>
              <w:pageBreakBefore w:val="0"/>
              <w:kinsoku/>
              <w:wordWrap/>
              <w:overflowPunct/>
              <w:topLinePunct w:val="0"/>
              <w:autoSpaceDE/>
              <w:autoSpaceDN/>
              <w:bidi w:val="0"/>
              <w:spacing w:line="360" w:lineRule="auto"/>
              <w:jc w:val="both"/>
              <w:textAlignment w:val="auto"/>
              <w:rPr>
                <w:rFonts w:hint="eastAsia" w:ascii="宋体" w:hAnsi="宋体" w:cs="宋体"/>
                <w:color w:val="auto"/>
                <w:sz w:val="21"/>
                <w:szCs w:val="21"/>
                <w:highlight w:val="none"/>
                <w:lang w:eastAsia="zh-CN"/>
              </w:rPr>
            </w:pPr>
            <w:r>
              <w:rPr>
                <w:rFonts w:hint="eastAsia" w:ascii="宋体" w:hAnsi="宋体" w:cs="宋体"/>
                <w:color w:val="auto"/>
                <w:sz w:val="21"/>
                <w:szCs w:val="21"/>
                <w:highlight w:val="none"/>
                <w:lang w:eastAsia="zh-CN"/>
              </w:rPr>
              <w:t>(1)利用专业摄像机在采购人指定场地进行摄制。</w:t>
            </w:r>
          </w:p>
          <w:p w14:paraId="371C1E49">
            <w:pPr>
              <w:keepNext w:val="0"/>
              <w:keepLines w:val="0"/>
              <w:pageBreakBefore w:val="0"/>
              <w:kinsoku/>
              <w:wordWrap/>
              <w:overflowPunct/>
              <w:topLinePunct w:val="0"/>
              <w:autoSpaceDE/>
              <w:autoSpaceDN/>
              <w:bidi w:val="0"/>
              <w:spacing w:line="360" w:lineRule="auto"/>
              <w:jc w:val="both"/>
              <w:textAlignment w:val="auto"/>
              <w:rPr>
                <w:rFonts w:hint="eastAsia" w:ascii="宋体" w:hAnsi="宋体" w:cs="宋体"/>
                <w:color w:val="auto"/>
                <w:sz w:val="21"/>
                <w:szCs w:val="21"/>
                <w:highlight w:val="none"/>
                <w:lang w:eastAsia="zh-CN"/>
              </w:rPr>
            </w:pPr>
            <w:r>
              <w:rPr>
                <w:rFonts w:hint="eastAsia" w:ascii="宋体" w:hAnsi="宋体" w:cs="宋体"/>
                <w:color w:val="auto"/>
                <w:sz w:val="21"/>
                <w:szCs w:val="21"/>
                <w:highlight w:val="none"/>
                <w:lang w:eastAsia="zh-CN"/>
              </w:rPr>
              <w:t>(2)微课作品视频质量要求图像稳定、对焦清晰、构图合理、镜头运用恰当。</w:t>
            </w:r>
          </w:p>
          <w:p w14:paraId="4A4AC55B">
            <w:pPr>
              <w:keepNext w:val="0"/>
              <w:keepLines w:val="0"/>
              <w:pageBreakBefore w:val="0"/>
              <w:kinsoku/>
              <w:wordWrap/>
              <w:overflowPunct/>
              <w:topLinePunct w:val="0"/>
              <w:autoSpaceDE/>
              <w:autoSpaceDN/>
              <w:bidi w:val="0"/>
              <w:spacing w:line="360" w:lineRule="auto"/>
              <w:jc w:val="both"/>
              <w:textAlignment w:val="auto"/>
              <w:rPr>
                <w:rFonts w:hint="eastAsia" w:ascii="宋体" w:hAnsi="宋体" w:cs="宋体"/>
                <w:color w:val="auto"/>
                <w:sz w:val="21"/>
                <w:szCs w:val="21"/>
                <w:highlight w:val="none"/>
                <w:lang w:eastAsia="zh-CN"/>
              </w:rPr>
            </w:pPr>
            <w:r>
              <w:rPr>
                <w:rFonts w:hint="eastAsia" w:ascii="宋体" w:hAnsi="宋体" w:cs="宋体"/>
                <w:color w:val="auto"/>
                <w:sz w:val="21"/>
                <w:szCs w:val="21"/>
                <w:highlight w:val="none"/>
                <w:lang w:eastAsia="zh-CN"/>
              </w:rPr>
              <w:t>(3)各微课作品的视频分辨率应统一，分辨率采用1280*720及以上，采用高清影像。</w:t>
            </w:r>
          </w:p>
          <w:p w14:paraId="0ED5A57C">
            <w:pPr>
              <w:keepNext w:val="0"/>
              <w:keepLines w:val="0"/>
              <w:pageBreakBefore w:val="0"/>
              <w:kinsoku/>
              <w:wordWrap/>
              <w:overflowPunct/>
              <w:topLinePunct w:val="0"/>
              <w:autoSpaceDE/>
              <w:autoSpaceDN/>
              <w:bidi w:val="0"/>
              <w:spacing w:line="360" w:lineRule="auto"/>
              <w:jc w:val="both"/>
              <w:textAlignment w:val="auto"/>
              <w:rPr>
                <w:rFonts w:hint="eastAsia" w:ascii="宋体" w:hAnsi="宋体" w:cs="宋体"/>
                <w:color w:val="auto"/>
                <w:sz w:val="21"/>
                <w:szCs w:val="21"/>
                <w:highlight w:val="none"/>
                <w:lang w:eastAsia="zh-CN"/>
              </w:rPr>
            </w:pPr>
            <w:r>
              <w:rPr>
                <w:rFonts w:hint="eastAsia" w:ascii="宋体" w:hAnsi="宋体" w:cs="宋体"/>
                <w:color w:val="auto"/>
                <w:sz w:val="21"/>
                <w:szCs w:val="21"/>
                <w:highlight w:val="none"/>
                <w:lang w:eastAsia="zh-CN"/>
              </w:rPr>
              <w:t>(4)同期声音采用双声道，要求清晰、饱满、圆润，无失真、噪声杂音干扰、音量忽大忽小现象。解说声与背景音乐无明显比例失调。</w:t>
            </w:r>
          </w:p>
          <w:p w14:paraId="19B8DDD5">
            <w:pPr>
              <w:keepNext w:val="0"/>
              <w:keepLines w:val="0"/>
              <w:pageBreakBefore w:val="0"/>
              <w:kinsoku/>
              <w:wordWrap/>
              <w:overflowPunct/>
              <w:topLinePunct w:val="0"/>
              <w:autoSpaceDE/>
              <w:autoSpaceDN/>
              <w:bidi w:val="0"/>
              <w:spacing w:line="360" w:lineRule="auto"/>
              <w:jc w:val="both"/>
              <w:textAlignment w:val="auto"/>
              <w:rPr>
                <w:rFonts w:hint="eastAsia" w:ascii="宋体" w:hAnsi="宋体" w:cs="宋体"/>
                <w:color w:val="auto"/>
                <w:sz w:val="21"/>
                <w:szCs w:val="21"/>
                <w:highlight w:val="none"/>
                <w:lang w:eastAsia="zh-CN"/>
              </w:rPr>
            </w:pPr>
            <w:r>
              <w:rPr>
                <w:rFonts w:hint="eastAsia" w:ascii="宋体" w:hAnsi="宋体" w:cs="宋体"/>
                <w:color w:val="auto"/>
                <w:sz w:val="21"/>
                <w:szCs w:val="21"/>
                <w:highlight w:val="none"/>
                <w:lang w:eastAsia="zh-CN"/>
              </w:rPr>
              <w:t>动画要求：</w:t>
            </w:r>
          </w:p>
          <w:p w14:paraId="6D5E0973">
            <w:pPr>
              <w:keepNext w:val="0"/>
              <w:keepLines w:val="0"/>
              <w:pageBreakBefore w:val="0"/>
              <w:kinsoku/>
              <w:wordWrap/>
              <w:overflowPunct/>
              <w:topLinePunct w:val="0"/>
              <w:autoSpaceDE/>
              <w:autoSpaceDN/>
              <w:bidi w:val="0"/>
              <w:spacing w:line="360" w:lineRule="auto"/>
              <w:jc w:val="both"/>
              <w:textAlignment w:val="auto"/>
              <w:rPr>
                <w:rFonts w:hint="eastAsia" w:ascii="宋体" w:hAnsi="宋体" w:cs="宋体"/>
                <w:color w:val="auto"/>
                <w:sz w:val="21"/>
                <w:szCs w:val="21"/>
                <w:highlight w:val="none"/>
                <w:lang w:eastAsia="zh-CN"/>
              </w:rPr>
            </w:pPr>
            <w:r>
              <w:rPr>
                <w:rFonts w:hint="eastAsia" w:ascii="宋体" w:hAnsi="宋体" w:cs="宋体"/>
                <w:color w:val="auto"/>
                <w:sz w:val="21"/>
                <w:szCs w:val="21"/>
                <w:highlight w:val="none"/>
                <w:lang w:eastAsia="zh-CN"/>
              </w:rPr>
              <w:t>微课根据主讲教师要求，可加入不超过2分钟的动画，动画要能够完整的体现出课程特点。要求接近于真实物体的效果，利用专业软件进行材质的渲染。播放流畅，播放时没有明显的噪点。</w:t>
            </w:r>
          </w:p>
          <w:p w14:paraId="5B197E23">
            <w:pPr>
              <w:keepNext w:val="0"/>
              <w:keepLines w:val="0"/>
              <w:pageBreakBefore w:val="0"/>
              <w:kinsoku/>
              <w:wordWrap/>
              <w:overflowPunct/>
              <w:topLinePunct w:val="0"/>
              <w:autoSpaceDE/>
              <w:autoSpaceDN/>
              <w:bidi w:val="0"/>
              <w:spacing w:line="360" w:lineRule="auto"/>
              <w:jc w:val="both"/>
              <w:textAlignment w:val="auto"/>
              <w:rPr>
                <w:rFonts w:hint="eastAsia" w:ascii="宋体" w:hAnsi="宋体" w:cs="宋体"/>
                <w:color w:val="auto"/>
                <w:sz w:val="21"/>
                <w:szCs w:val="21"/>
                <w:highlight w:val="none"/>
                <w:lang w:eastAsia="zh-CN"/>
              </w:rPr>
            </w:pPr>
            <w:r>
              <w:rPr>
                <w:rFonts w:hint="eastAsia" w:ascii="宋体" w:hAnsi="宋体" w:cs="宋体"/>
                <w:color w:val="auto"/>
                <w:sz w:val="21"/>
                <w:szCs w:val="21"/>
                <w:highlight w:val="none"/>
                <w:lang w:eastAsia="zh-CN"/>
              </w:rPr>
              <w:t>输出成品要求：</w:t>
            </w:r>
          </w:p>
          <w:p w14:paraId="30D87A35">
            <w:pPr>
              <w:keepNext w:val="0"/>
              <w:keepLines w:val="0"/>
              <w:pageBreakBefore w:val="0"/>
              <w:kinsoku/>
              <w:wordWrap/>
              <w:overflowPunct/>
              <w:topLinePunct w:val="0"/>
              <w:autoSpaceDE/>
              <w:autoSpaceDN/>
              <w:bidi w:val="0"/>
              <w:spacing w:line="360" w:lineRule="auto"/>
              <w:jc w:val="both"/>
              <w:textAlignment w:val="auto"/>
              <w:rPr>
                <w:rFonts w:hint="eastAsia" w:ascii="宋体" w:hAnsi="宋体" w:cs="宋体"/>
                <w:color w:val="auto"/>
                <w:sz w:val="21"/>
                <w:szCs w:val="21"/>
                <w:highlight w:val="none"/>
                <w:lang w:eastAsia="zh-CN"/>
              </w:rPr>
            </w:pPr>
            <w:r>
              <w:rPr>
                <w:rFonts w:hint="eastAsia" w:ascii="宋体" w:hAnsi="宋体" w:cs="宋体"/>
                <w:color w:val="auto"/>
                <w:sz w:val="21"/>
                <w:szCs w:val="21"/>
                <w:highlight w:val="none"/>
                <w:lang w:eastAsia="zh-CN"/>
              </w:rPr>
              <w:t>(1)微课作品视频压缩采用H.264格式编码，视频格式为MP4 格式,时长为8-15分钟。</w:t>
            </w:r>
          </w:p>
          <w:p w14:paraId="7436CE5B">
            <w:pPr>
              <w:keepNext w:val="0"/>
              <w:keepLines w:val="0"/>
              <w:pageBreakBefore w:val="0"/>
              <w:kinsoku/>
              <w:wordWrap/>
              <w:overflowPunct/>
              <w:topLinePunct w:val="0"/>
              <w:autoSpaceDE/>
              <w:autoSpaceDN/>
              <w:bidi w:val="0"/>
              <w:spacing w:line="360" w:lineRule="auto"/>
              <w:jc w:val="both"/>
              <w:textAlignment w:val="auto"/>
              <w:rPr>
                <w:rFonts w:hint="eastAsia" w:ascii="宋体" w:hAnsi="宋体" w:cs="宋体"/>
                <w:color w:val="auto"/>
                <w:sz w:val="21"/>
                <w:szCs w:val="21"/>
                <w:highlight w:val="none"/>
                <w:lang w:eastAsia="zh-CN"/>
              </w:rPr>
            </w:pPr>
            <w:r>
              <w:rPr>
                <w:rFonts w:hint="eastAsia" w:ascii="宋体" w:hAnsi="宋体" w:cs="宋体"/>
                <w:color w:val="auto"/>
                <w:sz w:val="21"/>
                <w:szCs w:val="21"/>
                <w:highlight w:val="none"/>
                <w:lang w:eastAsia="zh-CN"/>
              </w:rPr>
              <w:t>(2)微课作品视频码流率：动态码流的最高码率不高于2000Kbps，最低码率不得低于1024Kbps。</w:t>
            </w:r>
          </w:p>
          <w:p w14:paraId="2DBD7028">
            <w:pPr>
              <w:keepNext w:val="0"/>
              <w:keepLines w:val="0"/>
              <w:pageBreakBefore w:val="0"/>
              <w:kinsoku/>
              <w:wordWrap/>
              <w:overflowPunct/>
              <w:topLinePunct w:val="0"/>
              <w:autoSpaceDE/>
              <w:autoSpaceDN/>
              <w:bidi w:val="0"/>
              <w:spacing w:line="360" w:lineRule="auto"/>
              <w:jc w:val="both"/>
              <w:textAlignment w:val="auto"/>
              <w:rPr>
                <w:rFonts w:hint="eastAsia" w:ascii="宋体" w:hAnsi="宋体" w:cs="宋体"/>
                <w:color w:val="auto"/>
                <w:sz w:val="21"/>
                <w:szCs w:val="21"/>
                <w:highlight w:val="none"/>
                <w:lang w:eastAsia="zh-CN"/>
              </w:rPr>
            </w:pPr>
            <w:r>
              <w:rPr>
                <w:rFonts w:hint="eastAsia" w:ascii="宋体" w:hAnsi="宋体" w:cs="宋体"/>
                <w:color w:val="auto"/>
                <w:sz w:val="21"/>
                <w:szCs w:val="21"/>
                <w:highlight w:val="none"/>
                <w:lang w:eastAsia="zh-CN"/>
              </w:rPr>
              <w:t>(3)微课作品视频分辨率：分辨率采用1280*720及以上。</w:t>
            </w:r>
          </w:p>
          <w:p w14:paraId="52F9E649">
            <w:pPr>
              <w:keepNext w:val="0"/>
              <w:keepLines w:val="0"/>
              <w:pageBreakBefore w:val="0"/>
              <w:kinsoku/>
              <w:wordWrap/>
              <w:overflowPunct/>
              <w:topLinePunct w:val="0"/>
              <w:autoSpaceDE/>
              <w:autoSpaceDN/>
              <w:bidi w:val="0"/>
              <w:spacing w:line="360" w:lineRule="auto"/>
              <w:jc w:val="both"/>
              <w:textAlignment w:val="auto"/>
              <w:rPr>
                <w:rFonts w:hint="eastAsia" w:ascii="宋体" w:hAnsi="宋体" w:cs="宋体"/>
                <w:color w:val="auto"/>
                <w:sz w:val="21"/>
                <w:szCs w:val="21"/>
                <w:highlight w:val="none"/>
                <w:lang w:eastAsia="zh-CN"/>
              </w:rPr>
            </w:pPr>
            <w:r>
              <w:rPr>
                <w:rFonts w:hint="eastAsia" w:ascii="宋体" w:hAnsi="宋体" w:cs="宋体"/>
                <w:color w:val="auto"/>
                <w:sz w:val="21"/>
                <w:szCs w:val="21"/>
                <w:highlight w:val="none"/>
                <w:lang w:eastAsia="zh-CN"/>
              </w:rPr>
              <w:t>(4)在同一课程中，各微课作品的视频分辨率应统一，采用高清影像。</w:t>
            </w:r>
          </w:p>
          <w:p w14:paraId="20584246">
            <w:pPr>
              <w:keepNext w:val="0"/>
              <w:keepLines w:val="0"/>
              <w:pageBreakBefore w:val="0"/>
              <w:kinsoku/>
              <w:wordWrap/>
              <w:overflowPunct/>
              <w:topLinePunct w:val="0"/>
              <w:autoSpaceDE/>
              <w:autoSpaceDN/>
              <w:bidi w:val="0"/>
              <w:spacing w:line="360" w:lineRule="auto"/>
              <w:jc w:val="both"/>
              <w:textAlignment w:val="auto"/>
              <w:rPr>
                <w:rFonts w:hint="eastAsia" w:ascii="宋体" w:hAnsi="宋体" w:cs="宋体"/>
                <w:color w:val="auto"/>
                <w:sz w:val="21"/>
                <w:szCs w:val="21"/>
                <w:highlight w:val="none"/>
                <w:lang w:eastAsia="zh-CN"/>
              </w:rPr>
            </w:pPr>
            <w:r>
              <w:rPr>
                <w:rFonts w:hint="eastAsia" w:ascii="宋体" w:hAnsi="宋体" w:cs="宋体"/>
                <w:color w:val="auto"/>
                <w:sz w:val="21"/>
                <w:szCs w:val="21"/>
                <w:highlight w:val="none"/>
                <w:lang w:eastAsia="zh-CN"/>
              </w:rPr>
              <w:t>(5)微课作品视频帧率为25帧/秒，扫描方式采用逐行扫描。</w:t>
            </w:r>
          </w:p>
          <w:p w14:paraId="4587F0EC">
            <w:pPr>
              <w:keepNext w:val="0"/>
              <w:keepLines w:val="0"/>
              <w:pageBreakBefore w:val="0"/>
              <w:kinsoku/>
              <w:wordWrap/>
              <w:overflowPunct/>
              <w:topLinePunct w:val="0"/>
              <w:autoSpaceDE/>
              <w:autoSpaceDN/>
              <w:bidi w:val="0"/>
              <w:spacing w:line="360" w:lineRule="auto"/>
              <w:jc w:val="both"/>
              <w:textAlignment w:val="auto"/>
              <w:rPr>
                <w:rFonts w:hint="eastAsia" w:ascii="宋体" w:hAnsi="宋体" w:cs="宋体"/>
                <w:color w:val="auto"/>
                <w:sz w:val="21"/>
                <w:szCs w:val="21"/>
                <w:highlight w:val="none"/>
                <w:lang w:eastAsia="zh-CN"/>
              </w:rPr>
            </w:pPr>
            <w:r>
              <w:rPr>
                <w:rFonts w:hint="eastAsia" w:ascii="宋体" w:hAnsi="宋体" w:cs="宋体"/>
                <w:color w:val="auto"/>
                <w:sz w:val="21"/>
                <w:szCs w:val="21"/>
                <w:highlight w:val="none"/>
                <w:lang w:eastAsia="zh-CN"/>
              </w:rPr>
              <w:t>(6)字幕：要使用符合国家标准的规范字，不出现繁体字、异体字(国家规定的除外)、错别字；字幕的字体建议采用：微软雅黑，大小、色彩搭配、摆放位置、停留时间、出入屏方式力求与其他要素(画面、解说词、音乐)配合适当，不能破坏原有画面。</w:t>
            </w:r>
          </w:p>
          <w:p w14:paraId="57F30229">
            <w:pPr>
              <w:keepNext w:val="0"/>
              <w:keepLines w:val="0"/>
              <w:pageBreakBefore w:val="0"/>
              <w:kinsoku/>
              <w:wordWrap/>
              <w:overflowPunct/>
              <w:topLinePunct w:val="0"/>
              <w:autoSpaceDE/>
              <w:autoSpaceDN/>
              <w:bidi w:val="0"/>
              <w:spacing w:line="360" w:lineRule="auto"/>
              <w:jc w:val="both"/>
              <w:textAlignment w:val="auto"/>
              <w:rPr>
                <w:rFonts w:hint="eastAsia" w:ascii="宋体" w:hAnsi="宋体" w:cs="宋体"/>
                <w:color w:val="auto"/>
                <w:sz w:val="21"/>
                <w:szCs w:val="21"/>
                <w:highlight w:val="none"/>
                <w:lang w:eastAsia="zh-CN"/>
              </w:rPr>
            </w:pPr>
            <w:r>
              <w:rPr>
                <w:rFonts w:hint="eastAsia" w:ascii="宋体" w:hAnsi="宋体" w:cs="宋体"/>
                <w:color w:val="auto"/>
                <w:sz w:val="21"/>
                <w:szCs w:val="21"/>
                <w:highlight w:val="none"/>
                <w:lang w:eastAsia="zh-CN"/>
              </w:rPr>
              <w:t>命名要求：</w:t>
            </w:r>
          </w:p>
          <w:p w14:paraId="32D25311">
            <w:pPr>
              <w:keepNext w:val="0"/>
              <w:keepLines w:val="0"/>
              <w:pageBreakBefore w:val="0"/>
              <w:kinsoku/>
              <w:wordWrap/>
              <w:overflowPunct/>
              <w:topLinePunct w:val="0"/>
              <w:autoSpaceDE/>
              <w:autoSpaceDN/>
              <w:bidi w:val="0"/>
              <w:spacing w:line="360" w:lineRule="auto"/>
              <w:jc w:val="both"/>
              <w:textAlignment w:val="auto"/>
              <w:rPr>
                <w:rFonts w:hint="eastAsia" w:ascii="宋体" w:hAnsi="宋体" w:cs="宋体"/>
                <w:color w:val="auto"/>
                <w:sz w:val="21"/>
                <w:szCs w:val="21"/>
                <w:highlight w:val="none"/>
                <w:lang w:eastAsia="zh-CN"/>
              </w:rPr>
            </w:pPr>
            <w:r>
              <w:rPr>
                <w:rFonts w:hint="eastAsia" w:ascii="宋体" w:hAnsi="宋体" w:cs="宋体"/>
                <w:color w:val="auto"/>
                <w:sz w:val="21"/>
                <w:szCs w:val="21"/>
                <w:highlight w:val="none"/>
                <w:lang w:eastAsia="zh-CN"/>
              </w:rPr>
              <w:t>文件命名应直接指明资源所属课程、章节及性质。</w:t>
            </w:r>
          </w:p>
          <w:p w14:paraId="7F481871">
            <w:pPr>
              <w:keepNext w:val="0"/>
              <w:keepLines w:val="0"/>
              <w:pageBreakBefore w:val="0"/>
              <w:kinsoku/>
              <w:wordWrap/>
              <w:overflowPunct/>
              <w:topLinePunct w:val="0"/>
              <w:autoSpaceDE/>
              <w:autoSpaceDN/>
              <w:bidi w:val="0"/>
              <w:spacing w:line="360" w:lineRule="auto"/>
              <w:jc w:val="both"/>
              <w:textAlignment w:val="auto"/>
              <w:rPr>
                <w:rFonts w:hint="eastAsia" w:ascii="宋体" w:hAnsi="宋体" w:cs="宋体"/>
                <w:color w:val="auto"/>
                <w:sz w:val="21"/>
                <w:szCs w:val="21"/>
                <w:highlight w:val="none"/>
                <w:lang w:eastAsia="zh-CN"/>
              </w:rPr>
            </w:pPr>
            <w:r>
              <w:rPr>
                <w:rFonts w:hint="eastAsia" w:ascii="宋体" w:hAnsi="宋体" w:cs="宋体"/>
                <w:color w:val="auto"/>
                <w:sz w:val="21"/>
                <w:szCs w:val="21"/>
                <w:highlight w:val="none"/>
                <w:lang w:eastAsia="zh-CN"/>
              </w:rPr>
              <w:t>内容和版权要求：</w:t>
            </w:r>
          </w:p>
          <w:p w14:paraId="5200C75E">
            <w:pPr>
              <w:keepNext w:val="0"/>
              <w:keepLines w:val="0"/>
              <w:pageBreakBefore w:val="0"/>
              <w:kinsoku/>
              <w:wordWrap/>
              <w:overflowPunct/>
              <w:topLinePunct w:val="0"/>
              <w:autoSpaceDE/>
              <w:autoSpaceDN/>
              <w:bidi w:val="0"/>
              <w:spacing w:line="360" w:lineRule="auto"/>
              <w:jc w:val="both"/>
              <w:textAlignment w:val="auto"/>
              <w:rPr>
                <w:rFonts w:hint="eastAsia" w:ascii="宋体" w:hAnsi="宋体" w:cs="宋体"/>
                <w:color w:val="auto"/>
                <w:sz w:val="21"/>
                <w:szCs w:val="21"/>
                <w:highlight w:val="none"/>
                <w:lang w:eastAsia="zh-CN"/>
              </w:rPr>
            </w:pPr>
            <w:r>
              <w:rPr>
                <w:rFonts w:hint="eastAsia" w:ascii="宋体" w:hAnsi="宋体" w:cs="宋体"/>
                <w:color w:val="auto"/>
                <w:sz w:val="21"/>
                <w:szCs w:val="21"/>
                <w:highlight w:val="none"/>
                <w:lang w:eastAsia="zh-CN"/>
              </w:rPr>
              <w:t>微课作品内容应忠实于原文献，完整有序，版权不存在争议；符合我国法律法规，尊重各民族风俗习惯。</w:t>
            </w:r>
          </w:p>
          <w:p w14:paraId="6D1C82D8">
            <w:pPr>
              <w:keepNext w:val="0"/>
              <w:keepLines w:val="0"/>
              <w:pageBreakBefore w:val="0"/>
              <w:kinsoku/>
              <w:wordWrap/>
              <w:overflowPunct/>
              <w:topLinePunct w:val="0"/>
              <w:autoSpaceDE/>
              <w:autoSpaceDN/>
              <w:bidi w:val="0"/>
              <w:spacing w:line="360" w:lineRule="auto"/>
              <w:jc w:val="both"/>
              <w:textAlignment w:val="auto"/>
              <w:rPr>
                <w:rFonts w:hint="eastAsia" w:ascii="宋体" w:hAnsi="宋体" w:cs="宋体"/>
                <w:color w:val="auto"/>
                <w:sz w:val="21"/>
                <w:szCs w:val="21"/>
                <w:highlight w:val="none"/>
                <w:lang w:eastAsia="zh-CN"/>
              </w:rPr>
            </w:pPr>
            <w:r>
              <w:rPr>
                <w:rFonts w:hint="eastAsia" w:ascii="宋体" w:hAnsi="宋体" w:cs="宋体"/>
                <w:color w:val="auto"/>
                <w:sz w:val="21"/>
                <w:szCs w:val="21"/>
                <w:highlight w:val="none"/>
                <w:lang w:eastAsia="zh-CN"/>
              </w:rPr>
              <w:t>2.视频录制</w:t>
            </w:r>
          </w:p>
          <w:p w14:paraId="25EE743F">
            <w:pPr>
              <w:keepNext w:val="0"/>
              <w:keepLines w:val="0"/>
              <w:pageBreakBefore w:val="0"/>
              <w:kinsoku/>
              <w:wordWrap/>
              <w:overflowPunct/>
              <w:topLinePunct w:val="0"/>
              <w:autoSpaceDE/>
              <w:autoSpaceDN/>
              <w:bidi w:val="0"/>
              <w:spacing w:line="360" w:lineRule="auto"/>
              <w:jc w:val="both"/>
              <w:textAlignment w:val="auto"/>
              <w:rPr>
                <w:rFonts w:hint="eastAsia" w:ascii="宋体" w:hAnsi="宋体" w:cs="宋体"/>
                <w:color w:val="auto"/>
                <w:sz w:val="21"/>
                <w:szCs w:val="21"/>
                <w:highlight w:val="none"/>
                <w:lang w:eastAsia="zh-CN"/>
              </w:rPr>
            </w:pPr>
            <w:r>
              <w:rPr>
                <w:rFonts w:hint="eastAsia" w:ascii="宋体" w:hAnsi="宋体" w:cs="宋体"/>
                <w:color w:val="auto"/>
                <w:sz w:val="21"/>
                <w:szCs w:val="21"/>
                <w:highlight w:val="none"/>
                <w:lang w:eastAsia="zh-CN"/>
              </w:rPr>
              <w:t>标准要求：</w:t>
            </w:r>
          </w:p>
          <w:p w14:paraId="09A09BC7">
            <w:pPr>
              <w:keepNext w:val="0"/>
              <w:keepLines w:val="0"/>
              <w:pageBreakBefore w:val="0"/>
              <w:kinsoku/>
              <w:wordWrap/>
              <w:overflowPunct/>
              <w:topLinePunct w:val="0"/>
              <w:autoSpaceDE/>
              <w:autoSpaceDN/>
              <w:bidi w:val="0"/>
              <w:spacing w:line="360" w:lineRule="auto"/>
              <w:jc w:val="both"/>
              <w:textAlignment w:val="auto"/>
              <w:rPr>
                <w:rFonts w:hint="eastAsia" w:ascii="宋体" w:hAnsi="宋体" w:cs="宋体"/>
                <w:color w:val="auto"/>
                <w:sz w:val="21"/>
                <w:szCs w:val="21"/>
                <w:highlight w:val="none"/>
                <w:lang w:eastAsia="zh-CN"/>
              </w:rPr>
            </w:pPr>
            <w:r>
              <w:rPr>
                <w:rFonts w:hint="eastAsia" w:ascii="宋体" w:hAnsi="宋体" w:cs="宋体"/>
                <w:color w:val="auto"/>
                <w:sz w:val="21"/>
                <w:szCs w:val="21"/>
                <w:highlight w:val="none"/>
                <w:lang w:eastAsia="zh-CN"/>
              </w:rPr>
              <w:t>根据课程特点选择最优的展现形式；以能力培养为目标的课程，技能点教学录像的覆盖度不低于80%，技能点教学录像时长原则不超过20分钟。</w:t>
            </w:r>
          </w:p>
          <w:p w14:paraId="6F271126">
            <w:pPr>
              <w:keepNext w:val="0"/>
              <w:keepLines w:val="0"/>
              <w:pageBreakBefore w:val="0"/>
              <w:kinsoku/>
              <w:wordWrap/>
              <w:overflowPunct/>
              <w:topLinePunct w:val="0"/>
              <w:autoSpaceDE/>
              <w:autoSpaceDN/>
              <w:bidi w:val="0"/>
              <w:spacing w:line="360" w:lineRule="auto"/>
              <w:jc w:val="both"/>
              <w:textAlignment w:val="auto"/>
              <w:rPr>
                <w:rFonts w:hint="eastAsia" w:ascii="宋体" w:hAnsi="宋体" w:cs="宋体"/>
                <w:color w:val="auto"/>
                <w:sz w:val="21"/>
                <w:szCs w:val="21"/>
                <w:highlight w:val="none"/>
                <w:lang w:eastAsia="zh-CN"/>
              </w:rPr>
            </w:pPr>
            <w:r>
              <w:rPr>
                <w:rFonts w:hint="eastAsia" w:ascii="宋体" w:hAnsi="宋体" w:cs="宋体"/>
                <w:color w:val="auto"/>
                <w:sz w:val="21"/>
                <w:szCs w:val="21"/>
                <w:highlight w:val="none"/>
                <w:lang w:eastAsia="zh-CN"/>
              </w:rPr>
              <w:t>视频拍摄要求：</w:t>
            </w:r>
          </w:p>
          <w:p w14:paraId="6878FF18">
            <w:pPr>
              <w:keepNext w:val="0"/>
              <w:keepLines w:val="0"/>
              <w:pageBreakBefore w:val="0"/>
              <w:kinsoku/>
              <w:wordWrap/>
              <w:overflowPunct/>
              <w:topLinePunct w:val="0"/>
              <w:autoSpaceDE/>
              <w:autoSpaceDN/>
              <w:bidi w:val="0"/>
              <w:spacing w:line="360" w:lineRule="auto"/>
              <w:jc w:val="both"/>
              <w:textAlignment w:val="auto"/>
              <w:rPr>
                <w:rFonts w:hint="eastAsia" w:ascii="宋体" w:hAnsi="宋体" w:cs="宋体"/>
                <w:color w:val="auto"/>
                <w:sz w:val="21"/>
                <w:szCs w:val="21"/>
                <w:highlight w:val="none"/>
                <w:lang w:eastAsia="zh-CN"/>
              </w:rPr>
            </w:pPr>
            <w:r>
              <w:rPr>
                <w:rFonts w:hint="eastAsia" w:ascii="宋体" w:hAnsi="宋体" w:cs="宋体"/>
                <w:color w:val="auto"/>
                <w:sz w:val="21"/>
                <w:szCs w:val="21"/>
                <w:highlight w:val="none"/>
                <w:lang w:eastAsia="zh-CN"/>
              </w:rPr>
              <w:t>(1)利用4K及以上专业摄像机录制，一至两个机位录制。专业收音麦克、专业灯光。</w:t>
            </w:r>
          </w:p>
          <w:p w14:paraId="2D9A9A0F">
            <w:pPr>
              <w:keepNext w:val="0"/>
              <w:keepLines w:val="0"/>
              <w:pageBreakBefore w:val="0"/>
              <w:kinsoku/>
              <w:wordWrap/>
              <w:overflowPunct/>
              <w:topLinePunct w:val="0"/>
              <w:autoSpaceDE/>
              <w:autoSpaceDN/>
              <w:bidi w:val="0"/>
              <w:spacing w:line="360" w:lineRule="auto"/>
              <w:jc w:val="both"/>
              <w:textAlignment w:val="auto"/>
              <w:rPr>
                <w:rFonts w:hint="eastAsia" w:ascii="宋体" w:hAnsi="宋体" w:cs="宋体"/>
                <w:color w:val="auto"/>
                <w:sz w:val="21"/>
                <w:szCs w:val="21"/>
                <w:highlight w:val="none"/>
                <w:lang w:eastAsia="zh-CN"/>
              </w:rPr>
            </w:pPr>
            <w:r>
              <w:rPr>
                <w:rFonts w:hint="eastAsia" w:ascii="宋体" w:hAnsi="宋体" w:cs="宋体"/>
                <w:color w:val="auto"/>
                <w:sz w:val="21"/>
                <w:szCs w:val="21"/>
                <w:highlight w:val="none"/>
                <w:lang w:eastAsia="zh-CN"/>
              </w:rPr>
              <w:t>(2)视频原始拍摄素材质量要求图像稳定、对焦清晰、构图合理、镜头运用恰当。同期声音采用双声道，要求清晰、饱满、圆润，无失真、噪声杂音干扰、音量忽大忽小现象。解说声与背景音乐无明显比例失调。</w:t>
            </w:r>
          </w:p>
          <w:p w14:paraId="17715BD0">
            <w:pPr>
              <w:keepNext w:val="0"/>
              <w:keepLines w:val="0"/>
              <w:pageBreakBefore w:val="0"/>
              <w:kinsoku/>
              <w:wordWrap/>
              <w:overflowPunct/>
              <w:topLinePunct w:val="0"/>
              <w:autoSpaceDE/>
              <w:autoSpaceDN/>
              <w:bidi w:val="0"/>
              <w:spacing w:line="360" w:lineRule="auto"/>
              <w:jc w:val="both"/>
              <w:textAlignment w:val="auto"/>
              <w:rPr>
                <w:rFonts w:hint="eastAsia" w:ascii="宋体" w:hAnsi="宋体" w:cs="宋体"/>
                <w:color w:val="auto"/>
                <w:sz w:val="21"/>
                <w:szCs w:val="21"/>
                <w:highlight w:val="none"/>
                <w:lang w:eastAsia="zh-CN"/>
              </w:rPr>
            </w:pPr>
            <w:r>
              <w:rPr>
                <w:rFonts w:hint="eastAsia" w:ascii="宋体" w:hAnsi="宋体" w:cs="宋体"/>
                <w:color w:val="auto"/>
                <w:sz w:val="21"/>
                <w:szCs w:val="21"/>
                <w:highlight w:val="none"/>
                <w:lang w:eastAsia="zh-CN"/>
              </w:rPr>
              <w:t>(3)屏幕图像的构图合理，画面主体突出。人像及肢体动作以及配合讲授选用的板书、画板、教具实物、模型和实验设备等均不能超出镜头所及范围。画面中教师以中景和近景为主，要求人物、板书(或其他画面元素)清晰，不建议无教师形象的全程板书或PPT 配音。</w:t>
            </w:r>
          </w:p>
          <w:p w14:paraId="45A038D3">
            <w:pPr>
              <w:keepNext w:val="0"/>
              <w:keepLines w:val="0"/>
              <w:pageBreakBefore w:val="0"/>
              <w:kinsoku/>
              <w:wordWrap/>
              <w:overflowPunct/>
              <w:topLinePunct w:val="0"/>
              <w:autoSpaceDE/>
              <w:autoSpaceDN/>
              <w:bidi w:val="0"/>
              <w:spacing w:line="360" w:lineRule="auto"/>
              <w:jc w:val="both"/>
              <w:textAlignment w:val="auto"/>
              <w:rPr>
                <w:rFonts w:hint="eastAsia" w:ascii="宋体" w:hAnsi="宋体" w:cs="宋体"/>
                <w:color w:val="auto"/>
                <w:sz w:val="21"/>
                <w:szCs w:val="21"/>
                <w:highlight w:val="none"/>
                <w:lang w:eastAsia="zh-CN"/>
              </w:rPr>
            </w:pPr>
            <w:r>
              <w:rPr>
                <w:rFonts w:hint="eastAsia" w:ascii="宋体" w:hAnsi="宋体" w:cs="宋体"/>
                <w:color w:val="auto"/>
                <w:sz w:val="21"/>
                <w:szCs w:val="21"/>
                <w:highlight w:val="none"/>
                <w:lang w:eastAsia="zh-CN"/>
              </w:rPr>
              <w:t>(4)使用的背景采用彩色喷绘或电脑虚拟、实景等背景。背景的颜色、图案不易过多，应保持静态，画面应简洁、明快，有利于营造课堂气氛。</w:t>
            </w:r>
          </w:p>
          <w:p w14:paraId="6DE7D96F">
            <w:pPr>
              <w:keepNext w:val="0"/>
              <w:keepLines w:val="0"/>
              <w:pageBreakBefore w:val="0"/>
              <w:kinsoku/>
              <w:wordWrap/>
              <w:overflowPunct/>
              <w:topLinePunct w:val="0"/>
              <w:autoSpaceDE/>
              <w:autoSpaceDN/>
              <w:bidi w:val="0"/>
              <w:spacing w:line="360" w:lineRule="auto"/>
              <w:jc w:val="both"/>
              <w:textAlignment w:val="auto"/>
              <w:rPr>
                <w:rFonts w:hint="eastAsia" w:ascii="宋体" w:hAnsi="宋体" w:cs="宋体"/>
                <w:color w:val="auto"/>
                <w:sz w:val="21"/>
                <w:szCs w:val="21"/>
                <w:highlight w:val="none"/>
                <w:lang w:eastAsia="zh-CN"/>
              </w:rPr>
            </w:pPr>
            <w:r>
              <w:rPr>
                <w:rFonts w:hint="eastAsia" w:ascii="宋体" w:hAnsi="宋体" w:cs="宋体"/>
                <w:color w:val="auto"/>
                <w:sz w:val="21"/>
                <w:szCs w:val="21"/>
                <w:highlight w:val="none"/>
                <w:lang w:eastAsia="zh-CN"/>
              </w:rPr>
              <w:t>(5)使用资料、图片、外景实拍、实验和表演等形象化教学手段，应符合教学内容要求，与讲授内容联系紧密，手段选用恰当。</w:t>
            </w:r>
          </w:p>
          <w:p w14:paraId="40705D35">
            <w:pPr>
              <w:keepNext w:val="0"/>
              <w:keepLines w:val="0"/>
              <w:pageBreakBefore w:val="0"/>
              <w:kinsoku/>
              <w:wordWrap/>
              <w:overflowPunct/>
              <w:topLinePunct w:val="0"/>
              <w:autoSpaceDE/>
              <w:autoSpaceDN/>
              <w:bidi w:val="0"/>
              <w:spacing w:line="360" w:lineRule="auto"/>
              <w:jc w:val="both"/>
              <w:textAlignment w:val="auto"/>
              <w:rPr>
                <w:rFonts w:hint="eastAsia" w:ascii="宋体" w:hAnsi="宋体" w:cs="宋体"/>
                <w:color w:val="auto"/>
                <w:sz w:val="21"/>
                <w:szCs w:val="21"/>
                <w:highlight w:val="none"/>
                <w:lang w:eastAsia="zh-CN"/>
              </w:rPr>
            </w:pPr>
            <w:r>
              <w:rPr>
                <w:rFonts w:hint="eastAsia" w:ascii="宋体" w:hAnsi="宋体" w:cs="宋体"/>
                <w:color w:val="auto"/>
                <w:sz w:val="21"/>
                <w:szCs w:val="21"/>
                <w:highlight w:val="none"/>
                <w:lang w:eastAsia="zh-CN"/>
              </w:rPr>
              <w:t>(6)摄像镜头应保持与主讲教师目光平视的角度。主讲教师不应较长时间仰视或俯视。录像环境应光线充足、安静，主讲教师应衣着整洁，讲话清晰，板书清楚。</w:t>
            </w:r>
          </w:p>
          <w:p w14:paraId="176A03B7">
            <w:pPr>
              <w:keepNext w:val="0"/>
              <w:keepLines w:val="0"/>
              <w:pageBreakBefore w:val="0"/>
              <w:kinsoku/>
              <w:wordWrap/>
              <w:overflowPunct/>
              <w:topLinePunct w:val="0"/>
              <w:autoSpaceDE/>
              <w:autoSpaceDN/>
              <w:bidi w:val="0"/>
              <w:spacing w:line="360" w:lineRule="auto"/>
              <w:jc w:val="both"/>
              <w:textAlignment w:val="auto"/>
              <w:rPr>
                <w:rFonts w:hint="eastAsia" w:ascii="宋体" w:hAnsi="宋体" w:cs="宋体"/>
                <w:color w:val="auto"/>
                <w:sz w:val="21"/>
                <w:szCs w:val="21"/>
                <w:highlight w:val="none"/>
                <w:lang w:eastAsia="zh-CN"/>
              </w:rPr>
            </w:pPr>
            <w:r>
              <w:rPr>
                <w:rFonts w:hint="eastAsia" w:ascii="宋体" w:hAnsi="宋体" w:cs="宋体"/>
                <w:color w:val="auto"/>
                <w:sz w:val="21"/>
                <w:szCs w:val="21"/>
                <w:highlight w:val="none"/>
                <w:lang w:eastAsia="zh-CN"/>
              </w:rPr>
              <w:t>(7)选用影视作品或自拍素材，应注明素材来源。影视作品或自拍素材中涉及人物访谈内容时，除应加注人物介绍外，还应采用滚动式同声字幕。</w:t>
            </w:r>
          </w:p>
          <w:p w14:paraId="3C35B8B7">
            <w:pPr>
              <w:keepNext w:val="0"/>
              <w:keepLines w:val="0"/>
              <w:pageBreakBefore w:val="0"/>
              <w:kinsoku/>
              <w:wordWrap/>
              <w:overflowPunct/>
              <w:topLinePunct w:val="0"/>
              <w:autoSpaceDE/>
              <w:autoSpaceDN/>
              <w:bidi w:val="0"/>
              <w:spacing w:line="360" w:lineRule="auto"/>
              <w:jc w:val="both"/>
              <w:textAlignment w:val="auto"/>
              <w:rPr>
                <w:rFonts w:hint="eastAsia" w:ascii="宋体" w:hAnsi="宋体" w:cs="宋体"/>
                <w:color w:val="auto"/>
                <w:sz w:val="21"/>
                <w:szCs w:val="21"/>
                <w:highlight w:val="none"/>
                <w:lang w:eastAsia="zh-CN"/>
              </w:rPr>
            </w:pPr>
            <w:r>
              <w:rPr>
                <w:rFonts w:hint="eastAsia" w:ascii="宋体" w:hAnsi="宋体" w:cs="宋体"/>
                <w:color w:val="auto"/>
                <w:sz w:val="21"/>
                <w:szCs w:val="21"/>
                <w:highlight w:val="none"/>
                <w:lang w:eastAsia="zh-CN"/>
              </w:rPr>
              <w:t>(8)选用的资料、图片等素材画面应清晰，对于历史资料、图片应进行再加工。选用的资料、图片等素材应注明素材来源及原始信息(如字画的作品、生卒年月，影视片断的作品名称、创作年代等信息)。</w:t>
            </w:r>
          </w:p>
          <w:p w14:paraId="2099000C">
            <w:pPr>
              <w:keepNext w:val="0"/>
              <w:keepLines w:val="0"/>
              <w:pageBreakBefore w:val="0"/>
              <w:kinsoku/>
              <w:wordWrap/>
              <w:overflowPunct/>
              <w:topLinePunct w:val="0"/>
              <w:autoSpaceDE/>
              <w:autoSpaceDN/>
              <w:bidi w:val="0"/>
              <w:spacing w:line="360" w:lineRule="auto"/>
              <w:jc w:val="both"/>
              <w:textAlignment w:val="auto"/>
              <w:rPr>
                <w:rFonts w:hint="eastAsia" w:ascii="宋体" w:hAnsi="宋体" w:cs="宋体"/>
                <w:color w:val="auto"/>
                <w:sz w:val="21"/>
                <w:szCs w:val="21"/>
                <w:highlight w:val="none"/>
                <w:lang w:eastAsia="zh-CN"/>
              </w:rPr>
            </w:pPr>
            <w:r>
              <w:rPr>
                <w:rFonts w:hint="eastAsia" w:ascii="宋体" w:hAnsi="宋体" w:cs="宋体"/>
                <w:color w:val="auto"/>
                <w:sz w:val="21"/>
                <w:szCs w:val="21"/>
                <w:highlight w:val="none"/>
                <w:lang w:eastAsia="zh-CN"/>
              </w:rPr>
              <w:t>3.图片处理美化</w:t>
            </w:r>
          </w:p>
          <w:p w14:paraId="6CA2E201">
            <w:pPr>
              <w:keepNext w:val="0"/>
              <w:keepLines w:val="0"/>
              <w:pageBreakBefore w:val="0"/>
              <w:kinsoku/>
              <w:wordWrap/>
              <w:overflowPunct/>
              <w:topLinePunct w:val="0"/>
              <w:autoSpaceDE/>
              <w:autoSpaceDN/>
              <w:bidi w:val="0"/>
              <w:spacing w:line="360" w:lineRule="auto"/>
              <w:jc w:val="both"/>
              <w:textAlignment w:val="auto"/>
              <w:rPr>
                <w:rFonts w:hint="eastAsia" w:ascii="宋体" w:hAnsi="宋体" w:cs="宋体"/>
                <w:color w:val="auto"/>
                <w:sz w:val="21"/>
                <w:szCs w:val="21"/>
                <w:highlight w:val="none"/>
                <w:lang w:eastAsia="zh-CN"/>
              </w:rPr>
            </w:pPr>
            <w:r>
              <w:rPr>
                <w:rFonts w:hint="eastAsia" w:ascii="宋体" w:hAnsi="宋体" w:cs="宋体"/>
                <w:color w:val="auto"/>
                <w:sz w:val="21"/>
                <w:szCs w:val="21"/>
                <w:highlight w:val="none"/>
                <w:lang w:eastAsia="zh-CN"/>
              </w:rPr>
              <w:t>标准要求：</w:t>
            </w:r>
          </w:p>
          <w:p w14:paraId="21617256">
            <w:pPr>
              <w:keepNext w:val="0"/>
              <w:keepLines w:val="0"/>
              <w:pageBreakBefore w:val="0"/>
              <w:kinsoku/>
              <w:wordWrap/>
              <w:overflowPunct/>
              <w:topLinePunct w:val="0"/>
              <w:autoSpaceDE/>
              <w:autoSpaceDN/>
              <w:bidi w:val="0"/>
              <w:spacing w:line="360" w:lineRule="auto"/>
              <w:jc w:val="both"/>
              <w:textAlignment w:val="auto"/>
              <w:rPr>
                <w:rFonts w:hint="eastAsia" w:ascii="宋体" w:hAnsi="宋体" w:cs="宋体"/>
                <w:color w:val="auto"/>
                <w:sz w:val="21"/>
                <w:szCs w:val="21"/>
                <w:highlight w:val="none"/>
                <w:lang w:eastAsia="zh-CN"/>
              </w:rPr>
            </w:pPr>
            <w:r>
              <w:rPr>
                <w:rFonts w:hint="eastAsia" w:ascii="宋体" w:hAnsi="宋体" w:cs="宋体"/>
                <w:color w:val="auto"/>
                <w:sz w:val="21"/>
                <w:szCs w:val="21"/>
                <w:highlight w:val="none"/>
                <w:lang w:eastAsia="zh-CN"/>
              </w:rPr>
              <w:t>教学图片素材资源，包括结构图、施工图纸、设计图纸、设备图纸、原理动图、知识结构思、维导图等教学用图，按精品在线开放课程教学需要提供处理、美化。</w:t>
            </w:r>
          </w:p>
          <w:p w14:paraId="1FF2FA09">
            <w:pPr>
              <w:keepNext w:val="0"/>
              <w:keepLines w:val="0"/>
              <w:pageBreakBefore w:val="0"/>
              <w:kinsoku/>
              <w:wordWrap/>
              <w:overflowPunct/>
              <w:topLinePunct w:val="0"/>
              <w:autoSpaceDE/>
              <w:autoSpaceDN/>
              <w:bidi w:val="0"/>
              <w:spacing w:line="360" w:lineRule="auto"/>
              <w:jc w:val="both"/>
              <w:textAlignment w:val="auto"/>
              <w:rPr>
                <w:rFonts w:hint="eastAsia" w:ascii="宋体" w:hAnsi="宋体" w:cs="宋体"/>
                <w:color w:val="auto"/>
                <w:sz w:val="21"/>
                <w:szCs w:val="21"/>
                <w:highlight w:val="none"/>
                <w:lang w:eastAsia="zh-CN"/>
              </w:rPr>
            </w:pPr>
            <w:r>
              <w:rPr>
                <w:rFonts w:hint="eastAsia" w:ascii="宋体" w:hAnsi="宋体" w:cs="宋体"/>
                <w:color w:val="auto"/>
                <w:sz w:val="21"/>
                <w:szCs w:val="21"/>
                <w:highlight w:val="none"/>
                <w:lang w:eastAsia="zh-CN"/>
              </w:rPr>
              <w:t>技术要求：</w:t>
            </w:r>
          </w:p>
          <w:p w14:paraId="042A85C0">
            <w:pPr>
              <w:keepNext w:val="0"/>
              <w:keepLines w:val="0"/>
              <w:pageBreakBefore w:val="0"/>
              <w:kinsoku/>
              <w:wordWrap/>
              <w:overflowPunct/>
              <w:topLinePunct w:val="0"/>
              <w:autoSpaceDE/>
              <w:autoSpaceDN/>
              <w:bidi w:val="0"/>
              <w:spacing w:line="360" w:lineRule="auto"/>
              <w:jc w:val="both"/>
              <w:textAlignment w:val="auto"/>
              <w:rPr>
                <w:rFonts w:hint="eastAsia" w:ascii="宋体" w:hAnsi="宋体" w:cs="宋体"/>
                <w:color w:val="auto"/>
                <w:sz w:val="21"/>
                <w:szCs w:val="21"/>
                <w:highlight w:val="none"/>
                <w:lang w:eastAsia="zh-CN"/>
              </w:rPr>
            </w:pPr>
            <w:r>
              <w:rPr>
                <w:rFonts w:hint="eastAsia" w:ascii="宋体" w:hAnsi="宋体" w:cs="宋体"/>
                <w:color w:val="auto"/>
                <w:sz w:val="21"/>
                <w:szCs w:val="21"/>
                <w:highlight w:val="none"/>
                <w:lang w:eastAsia="zh-CN"/>
              </w:rPr>
              <w:t>(1)彩色图像颜色数不低于真彩(24位色)。</w:t>
            </w:r>
          </w:p>
          <w:p w14:paraId="4A7C4983">
            <w:pPr>
              <w:keepNext w:val="0"/>
              <w:keepLines w:val="0"/>
              <w:pageBreakBefore w:val="0"/>
              <w:kinsoku/>
              <w:wordWrap/>
              <w:overflowPunct/>
              <w:topLinePunct w:val="0"/>
              <w:autoSpaceDE/>
              <w:autoSpaceDN/>
              <w:bidi w:val="0"/>
              <w:spacing w:line="360" w:lineRule="auto"/>
              <w:jc w:val="both"/>
              <w:textAlignment w:val="auto"/>
              <w:rPr>
                <w:rFonts w:hint="eastAsia" w:ascii="宋体" w:hAnsi="宋体" w:cs="宋体"/>
                <w:color w:val="auto"/>
                <w:sz w:val="21"/>
                <w:szCs w:val="21"/>
                <w:highlight w:val="none"/>
                <w:lang w:eastAsia="zh-CN"/>
              </w:rPr>
            </w:pPr>
            <w:r>
              <w:rPr>
                <w:rFonts w:hint="eastAsia" w:ascii="宋体" w:hAnsi="宋体" w:cs="宋体"/>
                <w:color w:val="auto"/>
                <w:sz w:val="21"/>
                <w:szCs w:val="21"/>
                <w:highlight w:val="none"/>
                <w:lang w:eastAsia="zh-CN"/>
              </w:rPr>
              <w:t>(2)尺寸：1920X1080像素，建议提供同比例大图；位深：24位；扫描图像的扫描分辨率不低于72dpi。</w:t>
            </w:r>
          </w:p>
          <w:p w14:paraId="07A768C5">
            <w:pPr>
              <w:keepNext w:val="0"/>
              <w:keepLines w:val="0"/>
              <w:pageBreakBefore w:val="0"/>
              <w:kinsoku/>
              <w:wordWrap/>
              <w:overflowPunct/>
              <w:topLinePunct w:val="0"/>
              <w:autoSpaceDE/>
              <w:autoSpaceDN/>
              <w:bidi w:val="0"/>
              <w:spacing w:line="360" w:lineRule="auto"/>
              <w:jc w:val="both"/>
              <w:textAlignment w:val="auto"/>
              <w:rPr>
                <w:rFonts w:hint="eastAsia" w:ascii="宋体" w:hAnsi="宋体" w:cs="宋体"/>
                <w:color w:val="auto"/>
                <w:sz w:val="21"/>
                <w:szCs w:val="21"/>
                <w:highlight w:val="none"/>
                <w:lang w:eastAsia="zh-CN"/>
              </w:rPr>
            </w:pPr>
            <w:r>
              <w:rPr>
                <w:rFonts w:hint="eastAsia" w:ascii="宋体" w:hAnsi="宋体" w:cs="宋体"/>
                <w:color w:val="auto"/>
                <w:sz w:val="21"/>
                <w:szCs w:val="21"/>
                <w:highlight w:val="none"/>
                <w:lang w:eastAsia="zh-CN"/>
              </w:rPr>
              <w:t>(3)采用常见存储格式，如GIF、PNG、JPG 等。</w:t>
            </w:r>
          </w:p>
          <w:p w14:paraId="68E409E2">
            <w:pPr>
              <w:keepNext w:val="0"/>
              <w:keepLines w:val="0"/>
              <w:pageBreakBefore w:val="0"/>
              <w:kinsoku/>
              <w:wordWrap/>
              <w:overflowPunct/>
              <w:topLinePunct w:val="0"/>
              <w:autoSpaceDE/>
              <w:autoSpaceDN/>
              <w:bidi w:val="0"/>
              <w:spacing w:line="360" w:lineRule="auto"/>
              <w:jc w:val="both"/>
              <w:textAlignment w:val="auto"/>
              <w:rPr>
                <w:rFonts w:hint="eastAsia" w:ascii="宋体" w:hAnsi="宋体" w:cs="宋体"/>
                <w:color w:val="auto"/>
                <w:sz w:val="21"/>
                <w:szCs w:val="21"/>
                <w:highlight w:val="none"/>
                <w:lang w:eastAsia="zh-CN"/>
              </w:rPr>
            </w:pPr>
            <w:r>
              <w:rPr>
                <w:rFonts w:hint="eastAsia" w:ascii="宋体" w:hAnsi="宋体" w:cs="宋体"/>
                <w:color w:val="auto"/>
                <w:sz w:val="21"/>
                <w:szCs w:val="21"/>
                <w:highlight w:val="none"/>
                <w:lang w:eastAsia="zh-CN"/>
              </w:rPr>
              <w:t>4.文本排版美化</w:t>
            </w:r>
          </w:p>
          <w:p w14:paraId="62D7E6D7">
            <w:pPr>
              <w:keepNext w:val="0"/>
              <w:keepLines w:val="0"/>
              <w:pageBreakBefore w:val="0"/>
              <w:kinsoku/>
              <w:wordWrap/>
              <w:overflowPunct/>
              <w:topLinePunct w:val="0"/>
              <w:autoSpaceDE/>
              <w:autoSpaceDN/>
              <w:bidi w:val="0"/>
              <w:spacing w:line="360" w:lineRule="auto"/>
              <w:jc w:val="both"/>
              <w:textAlignment w:val="auto"/>
              <w:rPr>
                <w:rFonts w:hint="eastAsia" w:ascii="宋体" w:hAnsi="宋体" w:cs="宋体"/>
                <w:color w:val="auto"/>
                <w:sz w:val="21"/>
                <w:szCs w:val="21"/>
                <w:highlight w:val="none"/>
                <w:lang w:eastAsia="zh-CN"/>
              </w:rPr>
            </w:pPr>
            <w:r>
              <w:rPr>
                <w:rFonts w:hint="eastAsia" w:ascii="宋体" w:hAnsi="宋体" w:cs="宋体"/>
                <w:color w:val="auto"/>
                <w:sz w:val="21"/>
                <w:szCs w:val="21"/>
                <w:highlight w:val="none"/>
                <w:lang w:eastAsia="zh-CN"/>
              </w:rPr>
              <w:t>标准要求：</w:t>
            </w:r>
          </w:p>
          <w:p w14:paraId="2ECC1280">
            <w:pPr>
              <w:keepNext w:val="0"/>
              <w:keepLines w:val="0"/>
              <w:pageBreakBefore w:val="0"/>
              <w:kinsoku/>
              <w:wordWrap/>
              <w:overflowPunct/>
              <w:topLinePunct w:val="0"/>
              <w:autoSpaceDE/>
              <w:autoSpaceDN/>
              <w:bidi w:val="0"/>
              <w:spacing w:line="360" w:lineRule="auto"/>
              <w:jc w:val="both"/>
              <w:textAlignment w:val="auto"/>
              <w:rPr>
                <w:rFonts w:hint="eastAsia" w:ascii="宋体" w:hAnsi="宋体" w:cs="宋体"/>
                <w:color w:val="auto"/>
                <w:sz w:val="21"/>
                <w:szCs w:val="21"/>
                <w:highlight w:val="none"/>
                <w:lang w:eastAsia="zh-CN"/>
              </w:rPr>
            </w:pPr>
            <w:r>
              <w:rPr>
                <w:rFonts w:hint="eastAsia" w:ascii="宋体" w:hAnsi="宋体" w:cs="宋体"/>
                <w:color w:val="auto"/>
                <w:sz w:val="21"/>
                <w:szCs w:val="21"/>
                <w:highlight w:val="none"/>
                <w:lang w:eastAsia="zh-CN"/>
              </w:rPr>
              <w:t>文本素材资源，包括课程介绍、团队介绍、教学标准、教学日历、课程导学、教学设计、评价标准、拓展学习、模块导学、专题导学、学习目标、技能目标、教案、练习测验、考试试题等文本资源，按精品在线开放课程教学需要提供排版处理、美化。</w:t>
            </w:r>
          </w:p>
          <w:p w14:paraId="6B66D9F4">
            <w:pPr>
              <w:keepNext w:val="0"/>
              <w:keepLines w:val="0"/>
              <w:pageBreakBefore w:val="0"/>
              <w:kinsoku/>
              <w:wordWrap/>
              <w:overflowPunct/>
              <w:topLinePunct w:val="0"/>
              <w:autoSpaceDE/>
              <w:autoSpaceDN/>
              <w:bidi w:val="0"/>
              <w:spacing w:line="360" w:lineRule="auto"/>
              <w:jc w:val="both"/>
              <w:textAlignment w:val="auto"/>
              <w:rPr>
                <w:rFonts w:hint="eastAsia" w:ascii="宋体" w:hAnsi="宋体" w:cs="宋体"/>
                <w:color w:val="auto"/>
                <w:sz w:val="21"/>
                <w:szCs w:val="21"/>
                <w:highlight w:val="none"/>
                <w:lang w:eastAsia="zh-CN"/>
              </w:rPr>
            </w:pPr>
            <w:r>
              <w:rPr>
                <w:rFonts w:hint="eastAsia" w:ascii="宋体" w:hAnsi="宋体" w:cs="宋体"/>
                <w:color w:val="auto"/>
                <w:sz w:val="21"/>
                <w:szCs w:val="21"/>
                <w:highlight w:val="none"/>
                <w:lang w:eastAsia="zh-CN"/>
              </w:rPr>
              <w:t>技术要求：</w:t>
            </w:r>
          </w:p>
          <w:p w14:paraId="781ECBC4">
            <w:pPr>
              <w:keepNext w:val="0"/>
              <w:keepLines w:val="0"/>
              <w:pageBreakBefore w:val="0"/>
              <w:kinsoku/>
              <w:wordWrap/>
              <w:overflowPunct/>
              <w:topLinePunct w:val="0"/>
              <w:autoSpaceDE/>
              <w:autoSpaceDN/>
              <w:bidi w:val="0"/>
              <w:spacing w:line="360" w:lineRule="auto"/>
              <w:jc w:val="both"/>
              <w:textAlignment w:val="auto"/>
              <w:rPr>
                <w:rFonts w:hint="eastAsia" w:ascii="宋体" w:hAnsi="宋体" w:cs="宋体"/>
                <w:color w:val="auto"/>
                <w:sz w:val="21"/>
                <w:szCs w:val="21"/>
                <w:highlight w:val="none"/>
                <w:lang w:eastAsia="zh-CN"/>
              </w:rPr>
            </w:pPr>
            <w:r>
              <w:rPr>
                <w:rFonts w:hint="eastAsia" w:ascii="宋体" w:hAnsi="宋体" w:cs="宋体"/>
                <w:color w:val="auto"/>
                <w:sz w:val="21"/>
                <w:szCs w:val="21"/>
                <w:highlight w:val="none"/>
                <w:lang w:eastAsia="zh-CN"/>
              </w:rPr>
              <w:t>(1)纯文本采用UTF-8编码或GB18030编码。</w:t>
            </w:r>
          </w:p>
          <w:p w14:paraId="41EEB42A">
            <w:pPr>
              <w:keepNext w:val="0"/>
              <w:keepLines w:val="0"/>
              <w:pageBreakBefore w:val="0"/>
              <w:kinsoku/>
              <w:wordWrap/>
              <w:overflowPunct/>
              <w:topLinePunct w:val="0"/>
              <w:autoSpaceDE/>
              <w:autoSpaceDN/>
              <w:bidi w:val="0"/>
              <w:spacing w:line="360" w:lineRule="auto"/>
              <w:jc w:val="both"/>
              <w:textAlignment w:val="auto"/>
              <w:rPr>
                <w:rFonts w:hint="eastAsia" w:ascii="宋体" w:hAnsi="宋体" w:cs="宋体"/>
                <w:color w:val="auto"/>
                <w:sz w:val="21"/>
                <w:szCs w:val="21"/>
                <w:highlight w:val="none"/>
                <w:lang w:eastAsia="zh-CN"/>
              </w:rPr>
            </w:pPr>
            <w:r>
              <w:rPr>
                <w:rFonts w:hint="eastAsia" w:ascii="宋体" w:hAnsi="宋体" w:cs="宋体"/>
                <w:color w:val="auto"/>
                <w:sz w:val="21"/>
                <w:szCs w:val="21"/>
                <w:highlight w:val="none"/>
                <w:lang w:eastAsia="zh-CN"/>
              </w:rPr>
              <w:t>(2)存储格式：DOC(word97-2003版本)。</w:t>
            </w:r>
          </w:p>
          <w:p w14:paraId="07B0EDE3">
            <w:pPr>
              <w:keepNext w:val="0"/>
              <w:keepLines w:val="0"/>
              <w:pageBreakBefore w:val="0"/>
              <w:kinsoku/>
              <w:wordWrap/>
              <w:overflowPunct/>
              <w:topLinePunct w:val="0"/>
              <w:autoSpaceDE/>
              <w:autoSpaceDN/>
              <w:bidi w:val="0"/>
              <w:spacing w:line="360" w:lineRule="auto"/>
              <w:jc w:val="both"/>
              <w:textAlignment w:val="auto"/>
              <w:rPr>
                <w:rFonts w:hint="eastAsia" w:ascii="宋体" w:hAnsi="宋体" w:cs="宋体"/>
                <w:color w:val="auto"/>
                <w:sz w:val="21"/>
                <w:szCs w:val="21"/>
                <w:highlight w:val="none"/>
                <w:lang w:eastAsia="zh-CN"/>
              </w:rPr>
            </w:pPr>
            <w:r>
              <w:rPr>
                <w:rFonts w:hint="eastAsia" w:ascii="宋体" w:hAnsi="宋体" w:cs="宋体"/>
                <w:color w:val="auto"/>
                <w:sz w:val="21"/>
                <w:szCs w:val="21"/>
                <w:highlight w:val="none"/>
                <w:lang w:eastAsia="zh-CN"/>
              </w:rPr>
              <w:t>5.二维动画</w:t>
            </w:r>
          </w:p>
          <w:p w14:paraId="73F32562">
            <w:pPr>
              <w:keepNext w:val="0"/>
              <w:keepLines w:val="0"/>
              <w:pageBreakBefore w:val="0"/>
              <w:kinsoku/>
              <w:wordWrap/>
              <w:overflowPunct/>
              <w:topLinePunct w:val="0"/>
              <w:autoSpaceDE/>
              <w:autoSpaceDN/>
              <w:bidi w:val="0"/>
              <w:spacing w:line="360" w:lineRule="auto"/>
              <w:jc w:val="both"/>
              <w:textAlignment w:val="auto"/>
              <w:rPr>
                <w:rFonts w:hint="eastAsia" w:ascii="宋体" w:hAnsi="宋体" w:cs="宋体"/>
                <w:color w:val="auto"/>
                <w:sz w:val="21"/>
                <w:szCs w:val="21"/>
                <w:highlight w:val="none"/>
                <w:lang w:eastAsia="zh-CN"/>
              </w:rPr>
            </w:pPr>
            <w:r>
              <w:rPr>
                <w:rFonts w:hint="eastAsia" w:ascii="宋体" w:hAnsi="宋体" w:cs="宋体"/>
                <w:color w:val="auto"/>
                <w:sz w:val="21"/>
                <w:szCs w:val="21"/>
                <w:highlight w:val="none"/>
                <w:lang w:eastAsia="zh-CN"/>
              </w:rPr>
              <w:t>标准要求：</w:t>
            </w:r>
          </w:p>
          <w:p w14:paraId="4175B4AB">
            <w:pPr>
              <w:keepNext w:val="0"/>
              <w:keepLines w:val="0"/>
              <w:pageBreakBefore w:val="0"/>
              <w:kinsoku/>
              <w:wordWrap/>
              <w:overflowPunct/>
              <w:topLinePunct w:val="0"/>
              <w:autoSpaceDE/>
              <w:autoSpaceDN/>
              <w:bidi w:val="0"/>
              <w:spacing w:line="360" w:lineRule="auto"/>
              <w:jc w:val="both"/>
              <w:textAlignment w:val="auto"/>
              <w:rPr>
                <w:rFonts w:hint="eastAsia" w:ascii="宋体" w:hAnsi="宋体" w:cs="宋体"/>
                <w:color w:val="auto"/>
                <w:sz w:val="21"/>
                <w:szCs w:val="21"/>
                <w:highlight w:val="none"/>
                <w:lang w:eastAsia="zh-CN"/>
              </w:rPr>
            </w:pPr>
            <w:r>
              <w:rPr>
                <w:rFonts w:hint="eastAsia" w:ascii="宋体" w:hAnsi="宋体" w:cs="宋体"/>
                <w:color w:val="auto"/>
                <w:sz w:val="21"/>
                <w:szCs w:val="21"/>
                <w:highlight w:val="none"/>
                <w:lang w:eastAsia="zh-CN"/>
              </w:rPr>
              <w:t>二维动画资源，应通过对专业特点的分析,充分调研专业涉及的教学和实际工作场景，运用了科学的原画设定方法，制定符合专业的角色、场景、道具等原画设计，创设职业岗位相关情景，采用丰富的动画表现形式，与专业特点和谐统一。视频时长1-2分钟。</w:t>
            </w:r>
          </w:p>
          <w:p w14:paraId="6EEC4C29">
            <w:pPr>
              <w:keepNext w:val="0"/>
              <w:keepLines w:val="0"/>
              <w:pageBreakBefore w:val="0"/>
              <w:kinsoku/>
              <w:wordWrap/>
              <w:overflowPunct/>
              <w:topLinePunct w:val="0"/>
              <w:autoSpaceDE/>
              <w:autoSpaceDN/>
              <w:bidi w:val="0"/>
              <w:spacing w:line="360" w:lineRule="auto"/>
              <w:jc w:val="both"/>
              <w:textAlignment w:val="auto"/>
              <w:rPr>
                <w:rFonts w:hint="eastAsia" w:ascii="宋体" w:hAnsi="宋体" w:cs="宋体"/>
                <w:color w:val="auto"/>
                <w:sz w:val="21"/>
                <w:szCs w:val="21"/>
                <w:highlight w:val="none"/>
                <w:lang w:eastAsia="zh-CN"/>
              </w:rPr>
            </w:pPr>
            <w:r>
              <w:rPr>
                <w:rFonts w:hint="eastAsia" w:ascii="宋体" w:hAnsi="宋体" w:cs="宋体"/>
                <w:color w:val="auto"/>
                <w:sz w:val="21"/>
                <w:szCs w:val="21"/>
                <w:highlight w:val="none"/>
                <w:lang w:eastAsia="zh-CN"/>
              </w:rPr>
              <w:t>品质要求：</w:t>
            </w:r>
          </w:p>
          <w:p w14:paraId="2C50244F">
            <w:pPr>
              <w:keepNext w:val="0"/>
              <w:keepLines w:val="0"/>
              <w:pageBreakBefore w:val="0"/>
              <w:kinsoku/>
              <w:wordWrap/>
              <w:overflowPunct/>
              <w:topLinePunct w:val="0"/>
              <w:autoSpaceDE/>
              <w:autoSpaceDN/>
              <w:bidi w:val="0"/>
              <w:spacing w:line="360" w:lineRule="auto"/>
              <w:jc w:val="both"/>
              <w:textAlignment w:val="auto"/>
              <w:rPr>
                <w:rFonts w:hint="eastAsia" w:ascii="宋体" w:hAnsi="宋体" w:cs="宋体"/>
                <w:color w:val="auto"/>
                <w:sz w:val="21"/>
                <w:szCs w:val="21"/>
                <w:highlight w:val="none"/>
                <w:lang w:eastAsia="zh-CN"/>
              </w:rPr>
            </w:pPr>
            <w:r>
              <w:rPr>
                <w:rFonts w:hint="eastAsia" w:ascii="宋体" w:hAnsi="宋体" w:cs="宋体"/>
                <w:color w:val="auto"/>
                <w:sz w:val="21"/>
                <w:szCs w:val="21"/>
                <w:highlight w:val="none"/>
                <w:lang w:eastAsia="zh-CN"/>
              </w:rPr>
              <w:t>动画内容中用到的图像必须清晰，不能有图像过于模糊等现象出现。</w:t>
            </w:r>
          </w:p>
          <w:p w14:paraId="57668546">
            <w:pPr>
              <w:keepNext w:val="0"/>
              <w:keepLines w:val="0"/>
              <w:pageBreakBefore w:val="0"/>
              <w:kinsoku/>
              <w:wordWrap/>
              <w:overflowPunct/>
              <w:topLinePunct w:val="0"/>
              <w:autoSpaceDE/>
              <w:autoSpaceDN/>
              <w:bidi w:val="0"/>
              <w:spacing w:line="360" w:lineRule="auto"/>
              <w:jc w:val="both"/>
              <w:textAlignment w:val="auto"/>
              <w:rPr>
                <w:rFonts w:hint="eastAsia" w:ascii="宋体" w:hAnsi="宋体" w:cs="宋体"/>
                <w:color w:val="auto"/>
                <w:sz w:val="21"/>
                <w:szCs w:val="21"/>
                <w:highlight w:val="none"/>
                <w:lang w:eastAsia="zh-CN"/>
              </w:rPr>
            </w:pPr>
            <w:r>
              <w:rPr>
                <w:rFonts w:hint="eastAsia" w:ascii="宋体" w:hAnsi="宋体" w:cs="宋体"/>
                <w:color w:val="auto"/>
                <w:sz w:val="21"/>
                <w:szCs w:val="21"/>
                <w:highlight w:val="none"/>
                <w:lang w:eastAsia="zh-CN"/>
              </w:rPr>
              <w:t>(1)动画内容播放过程连续流畅，节奏合适，避免采用简单重复方式以保持动画播放时间，如说话特写中，同一抬手放手动作不断重复。</w:t>
            </w:r>
          </w:p>
          <w:p w14:paraId="656FB25F">
            <w:pPr>
              <w:keepNext w:val="0"/>
              <w:keepLines w:val="0"/>
              <w:pageBreakBefore w:val="0"/>
              <w:kinsoku/>
              <w:wordWrap/>
              <w:overflowPunct/>
              <w:topLinePunct w:val="0"/>
              <w:autoSpaceDE/>
              <w:autoSpaceDN/>
              <w:bidi w:val="0"/>
              <w:spacing w:line="360" w:lineRule="auto"/>
              <w:jc w:val="both"/>
              <w:textAlignment w:val="auto"/>
              <w:rPr>
                <w:rFonts w:hint="eastAsia" w:ascii="宋体" w:hAnsi="宋体" w:cs="宋体"/>
                <w:color w:val="auto"/>
                <w:sz w:val="21"/>
                <w:szCs w:val="21"/>
                <w:highlight w:val="none"/>
                <w:lang w:eastAsia="zh-CN"/>
              </w:rPr>
            </w:pPr>
            <w:r>
              <w:rPr>
                <w:rFonts w:hint="eastAsia" w:ascii="宋体" w:hAnsi="宋体" w:cs="宋体"/>
                <w:color w:val="auto"/>
                <w:sz w:val="21"/>
                <w:szCs w:val="21"/>
                <w:highlight w:val="none"/>
                <w:lang w:eastAsia="zh-CN"/>
              </w:rPr>
              <w:t>(2)声音录制采用专业级话筒，保证后期配音的录音质量，解说配音应标准，无噪音，声音悦耳，音量适当，快慢适度。</w:t>
            </w:r>
          </w:p>
          <w:p w14:paraId="107186F4">
            <w:pPr>
              <w:keepNext w:val="0"/>
              <w:keepLines w:val="0"/>
              <w:pageBreakBefore w:val="0"/>
              <w:kinsoku/>
              <w:wordWrap/>
              <w:overflowPunct/>
              <w:topLinePunct w:val="0"/>
              <w:autoSpaceDE/>
              <w:autoSpaceDN/>
              <w:bidi w:val="0"/>
              <w:spacing w:line="360" w:lineRule="auto"/>
              <w:jc w:val="both"/>
              <w:textAlignment w:val="auto"/>
              <w:rPr>
                <w:rFonts w:hint="eastAsia" w:ascii="宋体" w:hAnsi="宋体" w:cs="宋体"/>
                <w:color w:val="auto"/>
                <w:sz w:val="21"/>
                <w:szCs w:val="21"/>
                <w:highlight w:val="none"/>
                <w:lang w:eastAsia="zh-CN"/>
              </w:rPr>
            </w:pPr>
            <w:r>
              <w:rPr>
                <w:rFonts w:hint="eastAsia" w:ascii="宋体" w:hAnsi="宋体" w:cs="宋体"/>
                <w:color w:val="auto"/>
                <w:sz w:val="21"/>
                <w:szCs w:val="21"/>
                <w:highlight w:val="none"/>
                <w:lang w:eastAsia="zh-CN"/>
              </w:rPr>
              <w:t>(3)资源开发完成后，需将源代码、制作源文件和</w:t>
            </w:r>
          </w:p>
          <w:p w14:paraId="4778C936">
            <w:pPr>
              <w:keepNext w:val="0"/>
              <w:keepLines w:val="0"/>
              <w:pageBreakBefore w:val="0"/>
              <w:kinsoku/>
              <w:wordWrap/>
              <w:overflowPunct/>
              <w:topLinePunct w:val="0"/>
              <w:autoSpaceDE/>
              <w:autoSpaceDN/>
              <w:bidi w:val="0"/>
              <w:spacing w:line="360" w:lineRule="auto"/>
              <w:jc w:val="both"/>
              <w:textAlignment w:val="auto"/>
              <w:rPr>
                <w:rFonts w:hint="eastAsia" w:ascii="宋体" w:hAnsi="宋体" w:cs="宋体"/>
                <w:color w:val="auto"/>
                <w:sz w:val="21"/>
                <w:szCs w:val="21"/>
                <w:highlight w:val="none"/>
                <w:lang w:eastAsia="zh-CN"/>
              </w:rPr>
            </w:pPr>
            <w:r>
              <w:rPr>
                <w:rFonts w:hint="eastAsia" w:ascii="宋体" w:hAnsi="宋体" w:cs="宋体"/>
                <w:color w:val="auto"/>
                <w:sz w:val="21"/>
                <w:szCs w:val="21"/>
                <w:highlight w:val="none"/>
                <w:lang w:eastAsia="zh-CN"/>
              </w:rPr>
              <w:t>相关脚本、素材等项目材料与成品一并归档整理，统一交付采购方。</w:t>
            </w:r>
          </w:p>
          <w:p w14:paraId="13DC5BEB">
            <w:pPr>
              <w:keepNext w:val="0"/>
              <w:keepLines w:val="0"/>
              <w:pageBreakBefore w:val="0"/>
              <w:kinsoku/>
              <w:wordWrap/>
              <w:overflowPunct/>
              <w:topLinePunct w:val="0"/>
              <w:autoSpaceDE/>
              <w:autoSpaceDN/>
              <w:bidi w:val="0"/>
              <w:spacing w:line="360" w:lineRule="auto"/>
              <w:jc w:val="both"/>
              <w:textAlignment w:val="auto"/>
              <w:rPr>
                <w:rFonts w:hint="eastAsia" w:ascii="宋体" w:hAnsi="宋体" w:cs="宋体"/>
                <w:color w:val="auto"/>
                <w:sz w:val="21"/>
                <w:szCs w:val="21"/>
                <w:highlight w:val="none"/>
                <w:lang w:eastAsia="zh-CN"/>
              </w:rPr>
            </w:pPr>
            <w:r>
              <w:rPr>
                <w:rFonts w:hint="eastAsia" w:ascii="宋体" w:hAnsi="宋体" w:cs="宋体"/>
                <w:color w:val="auto"/>
                <w:sz w:val="21"/>
                <w:szCs w:val="21"/>
                <w:highlight w:val="none"/>
                <w:lang w:eastAsia="zh-CN"/>
              </w:rPr>
              <w:t>(4)版权归采购方所有，资源中应增加含有采购人校徽或校名的水印标识；资源中选用的其他非原创性资源不存在版权争议问题。</w:t>
            </w:r>
          </w:p>
          <w:p w14:paraId="600D1D24">
            <w:pPr>
              <w:keepNext w:val="0"/>
              <w:keepLines w:val="0"/>
              <w:pageBreakBefore w:val="0"/>
              <w:kinsoku/>
              <w:wordWrap/>
              <w:overflowPunct/>
              <w:topLinePunct w:val="0"/>
              <w:autoSpaceDE/>
              <w:autoSpaceDN/>
              <w:bidi w:val="0"/>
              <w:spacing w:line="360" w:lineRule="auto"/>
              <w:jc w:val="both"/>
              <w:textAlignment w:val="auto"/>
              <w:rPr>
                <w:rFonts w:hint="eastAsia" w:ascii="宋体" w:hAnsi="宋体" w:cs="宋体"/>
                <w:b/>
                <w:bCs/>
                <w:color w:val="auto"/>
                <w:sz w:val="21"/>
                <w:szCs w:val="21"/>
                <w:highlight w:val="none"/>
                <w:lang w:eastAsia="zh-CN"/>
              </w:rPr>
            </w:pPr>
            <w:r>
              <w:rPr>
                <w:rFonts w:hint="eastAsia" w:ascii="宋体" w:hAnsi="宋体" w:cs="宋体"/>
                <w:b/>
                <w:bCs/>
                <w:color w:val="auto"/>
                <w:sz w:val="21"/>
                <w:szCs w:val="21"/>
                <w:highlight w:val="none"/>
                <w:lang w:eastAsia="zh-CN"/>
              </w:rPr>
              <w:t>(六)执行标准</w:t>
            </w:r>
          </w:p>
          <w:p w14:paraId="278BCBE2">
            <w:pPr>
              <w:keepNext w:val="0"/>
              <w:keepLines w:val="0"/>
              <w:pageBreakBefore w:val="0"/>
              <w:kinsoku/>
              <w:wordWrap/>
              <w:overflowPunct/>
              <w:topLinePunct w:val="0"/>
              <w:autoSpaceDE/>
              <w:autoSpaceDN/>
              <w:bidi w:val="0"/>
              <w:spacing w:line="360" w:lineRule="auto"/>
              <w:jc w:val="both"/>
              <w:textAlignment w:val="auto"/>
              <w:rPr>
                <w:rFonts w:hint="eastAsia" w:ascii="宋体" w:hAnsi="宋体" w:cs="宋体"/>
                <w:color w:val="auto"/>
                <w:sz w:val="21"/>
                <w:szCs w:val="21"/>
                <w:highlight w:val="none"/>
                <w:lang w:eastAsia="zh-CN"/>
              </w:rPr>
            </w:pPr>
            <w:r>
              <w:rPr>
                <w:rFonts w:hint="eastAsia" w:ascii="宋体" w:hAnsi="宋体" w:cs="宋体"/>
                <w:color w:val="auto"/>
                <w:sz w:val="21"/>
                <w:szCs w:val="21"/>
                <w:highlight w:val="none"/>
                <w:lang w:eastAsia="zh-CN"/>
              </w:rPr>
              <w:t>1.教育部关于国家精品开放课程建设的实施意见。</w:t>
            </w:r>
          </w:p>
          <w:p w14:paraId="7B22E44E">
            <w:pPr>
              <w:keepNext w:val="0"/>
              <w:keepLines w:val="0"/>
              <w:pageBreakBefore w:val="0"/>
              <w:kinsoku/>
              <w:wordWrap/>
              <w:overflowPunct/>
              <w:topLinePunct w:val="0"/>
              <w:autoSpaceDE/>
              <w:autoSpaceDN/>
              <w:bidi w:val="0"/>
              <w:spacing w:line="360" w:lineRule="auto"/>
              <w:jc w:val="both"/>
              <w:textAlignment w:val="auto"/>
              <w:rPr>
                <w:rFonts w:hint="eastAsia" w:ascii="宋体" w:hAnsi="宋体" w:cs="宋体"/>
                <w:color w:val="auto"/>
                <w:sz w:val="21"/>
                <w:szCs w:val="21"/>
                <w:highlight w:val="none"/>
                <w:lang w:eastAsia="zh-CN"/>
              </w:rPr>
            </w:pPr>
            <w:r>
              <w:rPr>
                <w:rFonts w:hint="eastAsia" w:ascii="宋体" w:hAnsi="宋体" w:cs="宋体"/>
                <w:color w:val="auto"/>
                <w:sz w:val="21"/>
                <w:szCs w:val="21"/>
                <w:highlight w:val="none"/>
                <w:lang w:eastAsia="zh-CN"/>
              </w:rPr>
              <w:t>2.教育部联合五部门印发的《关于加强普通高等学校在线开放课程教学管理的若干意见》。</w:t>
            </w:r>
          </w:p>
          <w:p w14:paraId="643A06F4">
            <w:pPr>
              <w:keepNext w:val="0"/>
              <w:keepLines w:val="0"/>
              <w:pageBreakBefore w:val="0"/>
              <w:kinsoku/>
              <w:wordWrap/>
              <w:overflowPunct/>
              <w:topLinePunct w:val="0"/>
              <w:autoSpaceDE/>
              <w:autoSpaceDN/>
              <w:bidi w:val="0"/>
              <w:spacing w:line="360" w:lineRule="auto"/>
              <w:jc w:val="both"/>
              <w:textAlignment w:val="auto"/>
              <w:rPr>
                <w:rFonts w:hint="eastAsia" w:ascii="宋体" w:hAnsi="宋体" w:cs="宋体"/>
                <w:color w:val="auto"/>
                <w:sz w:val="21"/>
                <w:szCs w:val="21"/>
                <w:highlight w:val="none"/>
                <w:lang w:eastAsia="zh-CN"/>
              </w:rPr>
            </w:pPr>
            <w:r>
              <w:rPr>
                <w:rFonts w:hint="eastAsia" w:ascii="宋体" w:hAnsi="宋体" w:cs="宋体"/>
                <w:color w:val="auto"/>
                <w:sz w:val="21"/>
                <w:szCs w:val="21"/>
                <w:highlight w:val="none"/>
                <w:lang w:eastAsia="zh-CN"/>
              </w:rPr>
              <w:t>3.教育部关于启动高等学校教学质量与教学改革工程精品课程建设工作的通知。</w:t>
            </w:r>
          </w:p>
          <w:p w14:paraId="10468225">
            <w:pPr>
              <w:keepNext w:val="0"/>
              <w:keepLines w:val="0"/>
              <w:pageBreakBefore w:val="0"/>
              <w:kinsoku/>
              <w:wordWrap/>
              <w:overflowPunct/>
              <w:topLinePunct w:val="0"/>
              <w:autoSpaceDE/>
              <w:autoSpaceDN/>
              <w:bidi w:val="0"/>
              <w:spacing w:line="360" w:lineRule="auto"/>
              <w:jc w:val="both"/>
              <w:textAlignment w:val="auto"/>
              <w:rPr>
                <w:rFonts w:hint="eastAsia" w:ascii="宋体" w:hAnsi="宋体" w:cs="宋体"/>
                <w:color w:val="auto"/>
                <w:sz w:val="21"/>
                <w:szCs w:val="21"/>
                <w:highlight w:val="none"/>
                <w:lang w:eastAsia="zh-CN"/>
              </w:rPr>
            </w:pPr>
            <w:r>
              <w:rPr>
                <w:rFonts w:hint="eastAsia" w:ascii="宋体" w:hAnsi="宋体" w:cs="宋体"/>
                <w:color w:val="auto"/>
                <w:sz w:val="21"/>
                <w:szCs w:val="21"/>
                <w:highlight w:val="none"/>
                <w:lang w:eastAsia="zh-CN"/>
              </w:rPr>
              <w:t>4.教学资源符合教育部网络教育技术标准集CELTS。</w:t>
            </w:r>
          </w:p>
          <w:p w14:paraId="07D53D05">
            <w:pPr>
              <w:keepNext w:val="0"/>
              <w:keepLines w:val="0"/>
              <w:pageBreakBefore w:val="0"/>
              <w:kinsoku/>
              <w:wordWrap/>
              <w:overflowPunct/>
              <w:topLinePunct w:val="0"/>
              <w:autoSpaceDE/>
              <w:autoSpaceDN/>
              <w:bidi w:val="0"/>
              <w:spacing w:line="360" w:lineRule="auto"/>
              <w:jc w:val="both"/>
              <w:textAlignment w:val="auto"/>
              <w:rPr>
                <w:rFonts w:hint="eastAsia" w:ascii="宋体" w:hAnsi="宋体" w:cs="宋体"/>
                <w:color w:val="auto"/>
                <w:sz w:val="21"/>
                <w:szCs w:val="21"/>
                <w:highlight w:val="none"/>
                <w:lang w:eastAsia="zh-CN"/>
              </w:rPr>
            </w:pPr>
            <w:r>
              <w:rPr>
                <w:rFonts w:hint="eastAsia" w:ascii="宋体" w:hAnsi="宋体" w:cs="宋体"/>
                <w:color w:val="auto"/>
                <w:sz w:val="21"/>
                <w:szCs w:val="21"/>
                <w:highlight w:val="none"/>
                <w:lang w:eastAsia="zh-CN"/>
              </w:rPr>
              <w:t>5.资源开发遵循《教育资源建设技术规范》(GELTS-41)。</w:t>
            </w:r>
          </w:p>
          <w:p w14:paraId="767DDC7A">
            <w:pPr>
              <w:keepNext w:val="0"/>
              <w:keepLines w:val="0"/>
              <w:pageBreakBefore w:val="0"/>
              <w:kinsoku/>
              <w:wordWrap/>
              <w:overflowPunct/>
              <w:topLinePunct w:val="0"/>
              <w:autoSpaceDE/>
              <w:autoSpaceDN/>
              <w:bidi w:val="0"/>
              <w:spacing w:line="360" w:lineRule="auto"/>
              <w:jc w:val="both"/>
              <w:textAlignment w:val="auto"/>
              <w:rPr>
                <w:rFonts w:hint="eastAsia" w:ascii="宋体" w:hAnsi="宋体" w:cs="宋体"/>
                <w:color w:val="auto"/>
                <w:sz w:val="21"/>
                <w:szCs w:val="21"/>
                <w:highlight w:val="none"/>
                <w:lang w:eastAsia="zh-CN"/>
              </w:rPr>
            </w:pPr>
            <w:r>
              <w:rPr>
                <w:rFonts w:hint="eastAsia" w:ascii="宋体" w:hAnsi="宋体" w:cs="宋体"/>
                <w:color w:val="auto"/>
                <w:sz w:val="21"/>
                <w:szCs w:val="21"/>
                <w:highlight w:val="none"/>
                <w:lang w:eastAsia="zh-CN"/>
              </w:rPr>
              <w:t>6.资源管理遵循《教育管理信息化技术标准》。</w:t>
            </w:r>
          </w:p>
          <w:p w14:paraId="5FE54B7E">
            <w:pPr>
              <w:keepNext w:val="0"/>
              <w:keepLines w:val="0"/>
              <w:pageBreakBefore w:val="0"/>
              <w:kinsoku/>
              <w:wordWrap/>
              <w:overflowPunct/>
              <w:topLinePunct w:val="0"/>
              <w:autoSpaceDE/>
              <w:autoSpaceDN/>
              <w:bidi w:val="0"/>
              <w:spacing w:line="360" w:lineRule="auto"/>
              <w:jc w:val="both"/>
              <w:textAlignment w:val="auto"/>
              <w:rPr>
                <w:rFonts w:hint="eastAsia" w:ascii="宋体" w:hAnsi="宋体" w:cs="宋体"/>
                <w:color w:val="auto"/>
                <w:sz w:val="21"/>
                <w:szCs w:val="21"/>
                <w:highlight w:val="none"/>
                <w:lang w:eastAsia="zh-CN"/>
              </w:rPr>
            </w:pPr>
            <w:r>
              <w:rPr>
                <w:rFonts w:hint="eastAsia" w:ascii="宋体" w:hAnsi="宋体" w:cs="宋体"/>
                <w:color w:val="auto"/>
                <w:sz w:val="21"/>
                <w:szCs w:val="21"/>
                <w:highlight w:val="none"/>
                <w:lang w:eastAsia="zh-CN"/>
              </w:rPr>
              <w:t>7.教学资源开发遵循《职业教育专业教学资源库建设工作指南》(2016)《国家示范性职业学校数字化资源共建共享计划资源开发技术规范》《职业院校数字化校园建设解决方案》。</w:t>
            </w:r>
          </w:p>
          <w:p w14:paraId="7FFF5CCF">
            <w:pPr>
              <w:keepNext w:val="0"/>
              <w:keepLines w:val="0"/>
              <w:pageBreakBefore w:val="0"/>
              <w:kinsoku/>
              <w:wordWrap/>
              <w:overflowPunct/>
              <w:topLinePunct w:val="0"/>
              <w:autoSpaceDE/>
              <w:autoSpaceDN/>
              <w:bidi w:val="0"/>
              <w:spacing w:line="360" w:lineRule="auto"/>
              <w:jc w:val="both"/>
              <w:textAlignment w:val="auto"/>
              <w:rPr>
                <w:rFonts w:hint="eastAsia" w:ascii="宋体" w:hAnsi="宋体" w:cs="宋体"/>
                <w:b/>
                <w:bCs/>
                <w:color w:val="auto"/>
                <w:sz w:val="21"/>
                <w:szCs w:val="21"/>
                <w:highlight w:val="none"/>
                <w:lang w:eastAsia="zh-CN"/>
              </w:rPr>
            </w:pPr>
            <w:r>
              <w:rPr>
                <w:rFonts w:hint="eastAsia" w:ascii="宋体" w:hAnsi="宋体" w:cs="宋体"/>
                <w:b/>
                <w:bCs/>
                <w:color w:val="auto"/>
                <w:sz w:val="21"/>
                <w:szCs w:val="21"/>
                <w:highlight w:val="none"/>
                <w:lang w:eastAsia="zh-CN"/>
              </w:rPr>
              <w:t>(</w:t>
            </w:r>
            <w:r>
              <w:rPr>
                <w:rFonts w:hint="eastAsia" w:ascii="宋体" w:hAnsi="宋体" w:cs="宋体"/>
                <w:b/>
                <w:bCs/>
                <w:color w:val="auto"/>
                <w:sz w:val="21"/>
                <w:szCs w:val="21"/>
                <w:highlight w:val="none"/>
                <w:lang w:val="en-US" w:eastAsia="zh-CN"/>
              </w:rPr>
              <w:t>七</w:t>
            </w:r>
            <w:r>
              <w:rPr>
                <w:rFonts w:hint="eastAsia" w:ascii="宋体" w:hAnsi="宋体" w:cs="宋体"/>
                <w:b/>
                <w:bCs/>
                <w:color w:val="auto"/>
                <w:sz w:val="21"/>
                <w:szCs w:val="21"/>
                <w:highlight w:val="none"/>
                <w:lang w:eastAsia="zh-CN"/>
              </w:rPr>
              <w:t>)交付要求</w:t>
            </w:r>
          </w:p>
          <w:p w14:paraId="1376FC9C">
            <w:pPr>
              <w:keepNext w:val="0"/>
              <w:keepLines w:val="0"/>
              <w:pageBreakBefore w:val="0"/>
              <w:kinsoku/>
              <w:wordWrap/>
              <w:overflowPunct/>
              <w:topLinePunct w:val="0"/>
              <w:autoSpaceDE/>
              <w:autoSpaceDN/>
              <w:bidi w:val="0"/>
              <w:spacing w:line="360" w:lineRule="auto"/>
              <w:jc w:val="both"/>
              <w:textAlignment w:val="auto"/>
              <w:rPr>
                <w:rFonts w:hint="eastAsia" w:ascii="宋体" w:hAnsi="宋体" w:cs="宋体"/>
                <w:color w:val="auto"/>
                <w:sz w:val="21"/>
                <w:szCs w:val="21"/>
                <w:highlight w:val="none"/>
                <w:lang w:eastAsia="zh-CN"/>
              </w:rPr>
            </w:pPr>
            <w:r>
              <w:rPr>
                <w:rFonts w:hint="eastAsia" w:ascii="宋体" w:hAnsi="宋体" w:cs="宋体"/>
                <w:color w:val="auto"/>
                <w:sz w:val="21"/>
                <w:szCs w:val="21"/>
                <w:highlight w:val="none"/>
                <w:lang w:eastAsia="zh-CN"/>
              </w:rPr>
              <w:t>本项目编辑后的设计文件、教学课件、文本资源等，动画源文件、微课视频工程文件等，脚本、字幕文件等，拍摄过程的视频、音频等原素材，项目完成后交采购人，版权归采购人所有。</w:t>
            </w:r>
          </w:p>
          <w:p w14:paraId="399FEE02">
            <w:pPr>
              <w:keepNext w:val="0"/>
              <w:keepLines w:val="0"/>
              <w:pageBreakBefore w:val="0"/>
              <w:kinsoku/>
              <w:wordWrap/>
              <w:overflowPunct/>
              <w:topLinePunct w:val="0"/>
              <w:autoSpaceDE/>
              <w:autoSpaceDN/>
              <w:bidi w:val="0"/>
              <w:spacing w:line="360" w:lineRule="auto"/>
              <w:jc w:val="both"/>
              <w:textAlignment w:val="auto"/>
              <w:rPr>
                <w:rFonts w:hint="eastAsia" w:ascii="宋体" w:hAnsi="宋体" w:cs="宋体"/>
                <w:color w:val="auto"/>
                <w:sz w:val="21"/>
                <w:szCs w:val="21"/>
                <w:highlight w:val="none"/>
                <w:lang w:val="en-US" w:eastAsia="zh-CN"/>
              </w:rPr>
            </w:pPr>
            <w:r>
              <w:rPr>
                <w:rFonts w:hint="eastAsia" w:ascii="宋体" w:hAnsi="宋体" w:cs="宋体"/>
                <w:color w:val="auto"/>
                <w:sz w:val="21"/>
                <w:szCs w:val="21"/>
                <w:highlight w:val="none"/>
                <w:lang w:val="en-US" w:eastAsia="zh-CN"/>
              </w:rPr>
              <w:t>五、组织线上培训（40学时，45分钟/学时）</w:t>
            </w:r>
          </w:p>
          <w:p w14:paraId="1C08A5C0">
            <w:pPr>
              <w:keepNext w:val="0"/>
              <w:keepLines w:val="0"/>
              <w:pageBreakBefore w:val="0"/>
              <w:kinsoku/>
              <w:wordWrap/>
              <w:overflowPunct/>
              <w:topLinePunct w:val="0"/>
              <w:autoSpaceDE/>
              <w:autoSpaceDN/>
              <w:bidi w:val="0"/>
              <w:spacing w:line="360" w:lineRule="auto"/>
              <w:jc w:val="both"/>
              <w:textAlignment w:val="auto"/>
              <w:rPr>
                <w:rFonts w:hint="eastAsia" w:ascii="宋体" w:hAnsi="宋体" w:cs="宋体"/>
                <w:color w:val="auto"/>
                <w:sz w:val="21"/>
                <w:szCs w:val="21"/>
                <w:highlight w:val="none"/>
                <w:lang w:val="en-US" w:eastAsia="zh-CN"/>
              </w:rPr>
            </w:pPr>
            <w:r>
              <w:rPr>
                <w:rFonts w:hint="eastAsia" w:ascii="宋体" w:hAnsi="宋体" w:cs="宋体"/>
                <w:color w:val="auto"/>
                <w:sz w:val="21"/>
                <w:szCs w:val="21"/>
                <w:highlight w:val="none"/>
                <w:lang w:val="en-US" w:eastAsia="zh-CN"/>
              </w:rPr>
              <w:t>（1） 组织20名骨干教师线上学习在线精品课程设计与开发、在线精品课程应用与实施、优质课例分享等相关内容不少于1800分钟（40学时）。</w:t>
            </w:r>
          </w:p>
          <w:p w14:paraId="3212254F">
            <w:pPr>
              <w:keepNext w:val="0"/>
              <w:keepLines w:val="0"/>
              <w:pageBreakBefore w:val="0"/>
              <w:kinsoku/>
              <w:wordWrap/>
              <w:overflowPunct/>
              <w:topLinePunct w:val="0"/>
              <w:autoSpaceDE/>
              <w:autoSpaceDN/>
              <w:bidi w:val="0"/>
              <w:spacing w:line="360" w:lineRule="auto"/>
              <w:jc w:val="both"/>
              <w:textAlignment w:val="auto"/>
              <w:rPr>
                <w:rFonts w:hint="default" w:ascii="宋体" w:hAnsi="宋体" w:cs="宋体"/>
                <w:color w:val="auto"/>
                <w:sz w:val="21"/>
                <w:szCs w:val="21"/>
                <w:highlight w:val="none"/>
                <w:lang w:val="en-US" w:eastAsia="zh-CN"/>
              </w:rPr>
            </w:pPr>
            <w:r>
              <w:rPr>
                <w:rFonts w:hint="eastAsia" w:ascii="宋体" w:hAnsi="宋体" w:cs="宋体"/>
                <w:color w:val="auto"/>
                <w:sz w:val="21"/>
                <w:szCs w:val="21"/>
                <w:highlight w:val="none"/>
                <w:lang w:val="en-US" w:eastAsia="zh-CN"/>
              </w:rPr>
              <w:t>（2）培训考核合格后颁发省级以上（含省级）教育行政部门的学时证书。</w:t>
            </w:r>
          </w:p>
        </w:tc>
        <w:tc>
          <w:tcPr>
            <w:tcW w:w="1036" w:type="dxa"/>
            <w:tcBorders>
              <w:top w:val="single" w:color="auto" w:sz="4" w:space="0"/>
              <w:left w:val="single" w:color="auto" w:sz="4" w:space="0"/>
              <w:bottom w:val="single" w:color="auto" w:sz="4" w:space="0"/>
              <w:right w:val="single" w:color="auto" w:sz="4" w:space="0"/>
            </w:tcBorders>
            <w:noWrap w:val="0"/>
            <w:vAlign w:val="center"/>
          </w:tcPr>
          <w:p w14:paraId="513F79B4">
            <w:pPr>
              <w:keepNext w:val="0"/>
              <w:keepLines w:val="0"/>
              <w:pageBreakBefore w:val="0"/>
              <w:kinsoku/>
              <w:wordWrap/>
              <w:overflowPunct/>
              <w:topLinePunct w:val="0"/>
              <w:autoSpaceDE/>
              <w:autoSpaceDN/>
              <w:bidi w:val="0"/>
              <w:spacing w:line="360" w:lineRule="auto"/>
              <w:ind w:right="19" w:rightChars="9"/>
              <w:jc w:val="center"/>
              <w:textAlignment w:val="auto"/>
              <w:rPr>
                <w:rFonts w:hint="default"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96.00</w:t>
            </w:r>
          </w:p>
        </w:tc>
        <w:tc>
          <w:tcPr>
            <w:tcW w:w="1336" w:type="dxa"/>
            <w:tcBorders>
              <w:top w:val="single" w:color="auto" w:sz="4" w:space="0"/>
              <w:left w:val="single" w:color="auto" w:sz="4" w:space="0"/>
              <w:bottom w:val="single" w:color="auto" w:sz="4" w:space="0"/>
              <w:right w:val="single" w:color="auto" w:sz="4" w:space="0"/>
            </w:tcBorders>
            <w:noWrap w:val="0"/>
            <w:vAlign w:val="center"/>
          </w:tcPr>
          <w:p w14:paraId="20F0DE4D">
            <w:pPr>
              <w:keepNext w:val="0"/>
              <w:keepLines w:val="0"/>
              <w:pageBreakBefore w:val="0"/>
              <w:kinsoku/>
              <w:wordWrap/>
              <w:overflowPunct/>
              <w:topLinePunct w:val="0"/>
              <w:autoSpaceDE/>
              <w:autoSpaceDN/>
              <w:bidi w:val="0"/>
              <w:spacing w:line="360" w:lineRule="auto"/>
              <w:ind w:right="19" w:rightChars="9"/>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其他未列明行业</w:t>
            </w:r>
          </w:p>
        </w:tc>
      </w:tr>
      <w:tr w14:paraId="1CD1160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85" w:hRule="atLeast"/>
          <w:jc w:val="center"/>
        </w:trPr>
        <w:tc>
          <w:tcPr>
            <w:tcW w:w="9576" w:type="dxa"/>
            <w:gridSpan w:val="6"/>
            <w:tcBorders>
              <w:left w:val="single" w:color="auto" w:sz="4" w:space="0"/>
              <w:bottom w:val="single" w:color="auto" w:sz="4" w:space="0"/>
              <w:right w:val="single" w:color="auto" w:sz="4" w:space="0"/>
            </w:tcBorders>
            <w:noWrap w:val="0"/>
            <w:vAlign w:val="center"/>
          </w:tcPr>
          <w:p w14:paraId="0EEC84BA">
            <w:pPr>
              <w:keepNext w:val="0"/>
              <w:keepLines w:val="0"/>
              <w:pageBreakBefore w:val="0"/>
              <w:kinsoku/>
              <w:wordWrap/>
              <w:overflowPunct/>
              <w:topLinePunct w:val="0"/>
              <w:autoSpaceDE/>
              <w:autoSpaceDN/>
              <w:bidi w:val="0"/>
              <w:spacing w:line="360" w:lineRule="auto"/>
              <w:jc w:val="both"/>
              <w:textAlignment w:val="auto"/>
              <w:rPr>
                <w:rFonts w:hint="eastAsia" w:ascii="宋体" w:hAnsi="宋体" w:eastAsia="宋体" w:cs="宋体"/>
                <w:color w:val="auto"/>
                <w:sz w:val="21"/>
                <w:szCs w:val="21"/>
                <w:highlight w:val="none"/>
                <w:lang w:eastAsia="zh-CN"/>
              </w:rPr>
            </w:pPr>
            <w:r>
              <w:rPr>
                <w:rFonts w:hint="eastAsia" w:ascii="宋体" w:hAnsi="宋体" w:eastAsia="宋体" w:cs="宋体"/>
                <w:b/>
                <w:bCs/>
                <w:color w:val="auto"/>
                <w:sz w:val="21"/>
                <w:szCs w:val="21"/>
                <w:highlight w:val="none"/>
                <w:lang w:eastAsia="zh-CN"/>
              </w:rPr>
              <w:t>二、商务条款</w:t>
            </w:r>
          </w:p>
        </w:tc>
      </w:tr>
      <w:tr w14:paraId="4B77076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07" w:hRule="atLeast"/>
          <w:jc w:val="center"/>
        </w:trPr>
        <w:tc>
          <w:tcPr>
            <w:tcW w:w="9576" w:type="dxa"/>
            <w:gridSpan w:val="6"/>
            <w:tcBorders>
              <w:left w:val="single" w:color="auto" w:sz="4" w:space="0"/>
              <w:bottom w:val="single" w:color="auto" w:sz="4" w:space="0"/>
              <w:right w:val="single" w:color="auto" w:sz="4" w:space="0"/>
            </w:tcBorders>
            <w:noWrap w:val="0"/>
            <w:vAlign w:val="center"/>
          </w:tcPr>
          <w:p w14:paraId="00661396">
            <w:pPr>
              <w:keepNext w:val="0"/>
              <w:keepLines w:val="0"/>
              <w:pageBreakBefore w:val="0"/>
              <w:kinsoku/>
              <w:wordWrap/>
              <w:overflowPunct/>
              <w:topLinePunct w:val="0"/>
              <w:autoSpaceDE/>
              <w:autoSpaceDN/>
              <w:bidi w:val="0"/>
              <w:adjustRightInd w:val="0"/>
              <w:snapToGrid/>
              <w:spacing w:line="360" w:lineRule="auto"/>
              <w:ind w:right="149" w:rightChars="71" w:firstLine="420" w:firstLineChars="200"/>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一、合同签订期：自中标通知书发出之日起</w:t>
            </w:r>
            <w:r>
              <w:rPr>
                <w:rFonts w:hint="eastAsia" w:ascii="宋体" w:hAnsi="宋体" w:eastAsia="宋体" w:cs="宋体"/>
                <w:color w:val="auto"/>
                <w:sz w:val="21"/>
                <w:szCs w:val="21"/>
                <w:highlight w:val="none"/>
                <w:u w:val="single"/>
              </w:rPr>
              <w:t>25</w:t>
            </w:r>
            <w:r>
              <w:rPr>
                <w:rFonts w:hint="eastAsia" w:ascii="宋体" w:hAnsi="宋体" w:eastAsia="宋体" w:cs="宋体"/>
                <w:color w:val="auto"/>
                <w:sz w:val="21"/>
                <w:szCs w:val="21"/>
                <w:highlight w:val="none"/>
              </w:rPr>
              <w:t>日内</w:t>
            </w:r>
            <w:r>
              <w:rPr>
                <w:rFonts w:hint="eastAsia" w:ascii="宋体" w:hAnsi="宋体" w:eastAsia="宋体" w:cs="宋体"/>
                <w:color w:val="auto"/>
                <w:sz w:val="21"/>
                <w:szCs w:val="21"/>
                <w:highlight w:val="none"/>
                <w:lang w:eastAsia="zh-CN"/>
              </w:rPr>
              <w:t>。</w:t>
            </w:r>
          </w:p>
          <w:p w14:paraId="3738C8A7">
            <w:pPr>
              <w:keepNext w:val="0"/>
              <w:keepLines w:val="0"/>
              <w:pageBreakBefore w:val="0"/>
              <w:widowControl/>
              <w:shd w:val="clear" w:color="auto" w:fill="FFFFFF"/>
              <w:kinsoku/>
              <w:wordWrap/>
              <w:overflowPunct/>
              <w:topLinePunct w:val="0"/>
              <w:autoSpaceDE/>
              <w:autoSpaceDN/>
              <w:bidi w:val="0"/>
              <w:snapToGrid/>
              <w:spacing w:line="360" w:lineRule="auto"/>
              <w:ind w:right="149" w:rightChars="71" w:firstLine="420" w:firstLineChars="200"/>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二、</w:t>
            </w:r>
            <w:r>
              <w:rPr>
                <w:rFonts w:hint="eastAsia" w:ascii="宋体" w:hAnsi="宋体" w:cs="宋体"/>
                <w:color w:val="auto"/>
                <w:sz w:val="21"/>
                <w:szCs w:val="21"/>
                <w:highlight w:val="none"/>
                <w:lang w:val="en-US" w:eastAsia="zh-CN"/>
              </w:rPr>
              <w:t>提交服务成果时间</w:t>
            </w:r>
            <w:r>
              <w:rPr>
                <w:rFonts w:hint="eastAsia" w:ascii="宋体" w:hAnsi="宋体" w:eastAsia="宋体" w:cs="宋体"/>
                <w:bCs/>
                <w:color w:val="auto"/>
                <w:sz w:val="21"/>
                <w:szCs w:val="21"/>
                <w:highlight w:val="none"/>
              </w:rPr>
              <w:t>：自签订合同之日起</w:t>
            </w:r>
            <w:r>
              <w:rPr>
                <w:rFonts w:hint="eastAsia" w:ascii="宋体" w:hAnsi="宋体" w:cs="宋体"/>
                <w:bCs/>
                <w:color w:val="auto"/>
                <w:sz w:val="21"/>
                <w:szCs w:val="21"/>
                <w:highlight w:val="none"/>
                <w:lang w:val="en-US" w:eastAsia="zh-CN"/>
              </w:rPr>
              <w:t>300</w:t>
            </w:r>
            <w:r>
              <w:rPr>
                <w:rFonts w:hint="eastAsia" w:ascii="宋体" w:hAnsi="宋体" w:eastAsia="宋体" w:cs="宋体"/>
                <w:bCs/>
                <w:color w:val="auto"/>
                <w:sz w:val="21"/>
                <w:szCs w:val="21"/>
                <w:highlight w:val="none"/>
              </w:rPr>
              <w:t>天内完成。</w:t>
            </w:r>
          </w:p>
          <w:p w14:paraId="2033031D">
            <w:pPr>
              <w:keepNext w:val="0"/>
              <w:keepLines w:val="0"/>
              <w:pageBreakBefore w:val="0"/>
              <w:widowControl/>
              <w:shd w:val="clear" w:color="auto" w:fill="FFFFFF"/>
              <w:kinsoku/>
              <w:wordWrap/>
              <w:overflowPunct/>
              <w:topLinePunct w:val="0"/>
              <w:autoSpaceDE/>
              <w:autoSpaceDN/>
              <w:bidi w:val="0"/>
              <w:snapToGrid/>
              <w:spacing w:line="360" w:lineRule="auto"/>
              <w:ind w:right="149" w:rightChars="71"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三、</w:t>
            </w:r>
            <w:r>
              <w:rPr>
                <w:rFonts w:hint="eastAsia" w:ascii="宋体" w:hAnsi="宋体" w:cs="宋体"/>
                <w:color w:val="auto"/>
                <w:sz w:val="21"/>
                <w:szCs w:val="21"/>
                <w:highlight w:val="none"/>
                <w:lang w:val="en-US" w:eastAsia="zh-CN"/>
              </w:rPr>
              <w:t>提交</w:t>
            </w:r>
            <w:r>
              <w:rPr>
                <w:rFonts w:hint="eastAsia" w:ascii="宋体" w:hAnsi="宋体" w:eastAsia="宋体" w:cs="宋体"/>
                <w:bCs/>
                <w:color w:val="auto"/>
                <w:sz w:val="21"/>
                <w:szCs w:val="21"/>
                <w:highlight w:val="none"/>
              </w:rPr>
              <w:t>服务</w:t>
            </w:r>
            <w:r>
              <w:rPr>
                <w:rFonts w:hint="eastAsia" w:ascii="宋体" w:hAnsi="宋体" w:cs="宋体"/>
                <w:bCs/>
                <w:color w:val="auto"/>
                <w:sz w:val="21"/>
                <w:szCs w:val="21"/>
                <w:highlight w:val="none"/>
                <w:lang w:val="en-US" w:eastAsia="zh-CN"/>
              </w:rPr>
              <w:t>成果</w:t>
            </w:r>
            <w:r>
              <w:rPr>
                <w:rFonts w:hint="eastAsia" w:ascii="宋体" w:hAnsi="宋体" w:eastAsia="宋体" w:cs="宋体"/>
                <w:bCs/>
                <w:color w:val="auto"/>
                <w:sz w:val="21"/>
                <w:szCs w:val="21"/>
                <w:highlight w:val="none"/>
              </w:rPr>
              <w:t>地点：</w:t>
            </w:r>
            <w:r>
              <w:rPr>
                <w:rFonts w:hint="eastAsia" w:ascii="宋体" w:hAnsi="宋体" w:cs="宋体"/>
                <w:bCs/>
                <w:color w:val="auto"/>
                <w:sz w:val="21"/>
                <w:szCs w:val="21"/>
                <w:highlight w:val="none"/>
                <w:lang w:val="en-US" w:eastAsia="zh-CN"/>
              </w:rPr>
              <w:t>钦州市浦北县（</w:t>
            </w:r>
            <w:r>
              <w:rPr>
                <w:rFonts w:hint="eastAsia" w:ascii="宋体" w:hAnsi="宋体" w:eastAsia="宋体" w:cs="宋体"/>
                <w:color w:val="auto"/>
                <w:sz w:val="21"/>
                <w:szCs w:val="21"/>
                <w:highlight w:val="none"/>
                <w:lang w:eastAsia="zh-CN"/>
              </w:rPr>
              <w:t>采购</w:t>
            </w:r>
            <w:r>
              <w:rPr>
                <w:rFonts w:hint="eastAsia" w:ascii="宋体" w:hAnsi="宋体" w:eastAsia="宋体" w:cs="宋体"/>
                <w:color w:val="auto"/>
                <w:sz w:val="21"/>
                <w:szCs w:val="21"/>
                <w:highlight w:val="none"/>
              </w:rPr>
              <w:t>单位指定地点</w:t>
            </w:r>
            <w:r>
              <w:rPr>
                <w:rFonts w:hint="eastAsia" w:ascii="宋体" w:hAnsi="宋体" w:cs="宋体"/>
                <w:color w:val="auto"/>
                <w:sz w:val="21"/>
                <w:szCs w:val="21"/>
                <w:highlight w:val="none"/>
                <w:lang w:eastAsia="zh-CN"/>
              </w:rPr>
              <w:t>）</w:t>
            </w:r>
            <w:r>
              <w:rPr>
                <w:rFonts w:hint="eastAsia" w:ascii="宋体" w:hAnsi="宋体" w:eastAsia="宋体" w:cs="宋体"/>
                <w:color w:val="auto"/>
                <w:sz w:val="21"/>
                <w:szCs w:val="21"/>
                <w:highlight w:val="none"/>
              </w:rPr>
              <w:t>。</w:t>
            </w:r>
          </w:p>
          <w:p w14:paraId="722A9A32">
            <w:pPr>
              <w:keepNext w:val="0"/>
              <w:keepLines w:val="0"/>
              <w:pageBreakBefore w:val="0"/>
              <w:widowControl/>
              <w:shd w:val="clear" w:color="auto" w:fill="FFFFFF"/>
              <w:kinsoku/>
              <w:wordWrap/>
              <w:overflowPunct/>
              <w:topLinePunct w:val="0"/>
              <w:autoSpaceDE/>
              <w:autoSpaceDN/>
              <w:bidi w:val="0"/>
              <w:snapToGrid/>
              <w:spacing w:line="360" w:lineRule="auto"/>
              <w:ind w:right="149" w:rightChars="71" w:firstLine="420" w:firstLineChars="200"/>
              <w:textAlignment w:val="auto"/>
              <w:rPr>
                <w:rFonts w:hint="eastAsia" w:ascii="宋体" w:hAnsi="宋体" w:eastAsia="宋体" w:cs="宋体"/>
                <w:color w:val="auto"/>
                <w:sz w:val="21"/>
                <w:szCs w:val="21"/>
                <w:highlight w:val="none"/>
              </w:rPr>
            </w:pPr>
            <w:r>
              <w:rPr>
                <w:rFonts w:hint="eastAsia" w:ascii="宋体" w:hAnsi="宋体" w:cs="宋体"/>
                <w:color w:val="auto"/>
                <w:sz w:val="21"/>
                <w:szCs w:val="21"/>
                <w:highlight w:val="none"/>
                <w:lang w:val="en-US" w:eastAsia="zh-CN"/>
              </w:rPr>
              <w:t>四</w:t>
            </w:r>
            <w:r>
              <w:rPr>
                <w:rFonts w:hint="eastAsia" w:ascii="宋体" w:hAnsi="宋体" w:eastAsia="宋体" w:cs="宋体"/>
                <w:color w:val="auto"/>
                <w:sz w:val="21"/>
                <w:szCs w:val="21"/>
                <w:highlight w:val="none"/>
              </w:rPr>
              <w:t>、</w:t>
            </w:r>
            <w:r>
              <w:rPr>
                <w:rFonts w:hint="eastAsia" w:ascii="宋体" w:hAnsi="宋体" w:cs="宋体"/>
                <w:color w:val="auto"/>
                <w:sz w:val="21"/>
                <w:szCs w:val="21"/>
                <w:highlight w:val="none"/>
                <w:lang w:val="en-US" w:eastAsia="zh-CN"/>
              </w:rPr>
              <w:t>报价</w:t>
            </w:r>
            <w:r>
              <w:rPr>
                <w:rFonts w:hint="eastAsia" w:ascii="宋体" w:hAnsi="宋体" w:eastAsia="宋体" w:cs="宋体"/>
                <w:color w:val="auto"/>
                <w:sz w:val="21"/>
                <w:szCs w:val="21"/>
                <w:highlight w:val="none"/>
              </w:rPr>
              <w:t>要求：</w:t>
            </w:r>
          </w:p>
          <w:p w14:paraId="2F7601AD">
            <w:pPr>
              <w:keepNext w:val="0"/>
              <w:keepLines w:val="0"/>
              <w:pageBreakBefore w:val="0"/>
              <w:tabs>
                <w:tab w:val="center" w:pos="4032"/>
              </w:tabs>
              <w:kinsoku/>
              <w:wordWrap/>
              <w:overflowPunct/>
              <w:topLinePunct w:val="0"/>
              <w:autoSpaceDE/>
              <w:autoSpaceDN/>
              <w:bidi w:val="0"/>
              <w:snapToGrid/>
              <w:spacing w:line="360" w:lineRule="auto"/>
              <w:ind w:right="149" w:rightChars="71" w:firstLine="420" w:firstLineChars="200"/>
              <w:textAlignment w:val="auto"/>
              <w:rPr>
                <w:rFonts w:hint="eastAsia" w:ascii="宋体" w:hAnsi="宋体" w:eastAsia="宋体" w:cs="宋体"/>
                <w:b/>
                <w:color w:val="auto"/>
                <w:sz w:val="21"/>
                <w:szCs w:val="21"/>
                <w:highlight w:val="none"/>
              </w:rPr>
            </w:pPr>
            <w:r>
              <w:rPr>
                <w:rFonts w:hint="eastAsia" w:ascii="宋体" w:hAnsi="宋体" w:eastAsia="宋体" w:cs="宋体"/>
                <w:color w:val="auto"/>
                <w:sz w:val="21"/>
                <w:szCs w:val="21"/>
                <w:highlight w:val="none"/>
              </w:rPr>
              <w:t>报价必须含以下部分，包括：</w:t>
            </w:r>
            <w:r>
              <w:rPr>
                <w:rFonts w:hint="eastAsia" w:ascii="宋体" w:hAnsi="宋体" w:eastAsia="宋体" w:cs="宋体"/>
                <w:color w:val="auto"/>
                <w:sz w:val="21"/>
                <w:szCs w:val="21"/>
                <w:highlight w:val="none"/>
              </w:rPr>
              <w:tab/>
            </w:r>
          </w:p>
          <w:p w14:paraId="48105E8E">
            <w:pPr>
              <w:keepNext w:val="0"/>
              <w:keepLines w:val="0"/>
              <w:pageBreakBefore w:val="0"/>
              <w:kinsoku/>
              <w:wordWrap/>
              <w:overflowPunct/>
              <w:topLinePunct w:val="0"/>
              <w:autoSpaceDE/>
              <w:autoSpaceDN/>
              <w:bidi w:val="0"/>
              <w:snapToGrid/>
              <w:spacing w:line="360" w:lineRule="auto"/>
              <w:ind w:right="149" w:rightChars="71"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（1）服务的价格；</w:t>
            </w:r>
          </w:p>
          <w:p w14:paraId="5A5B726F">
            <w:pPr>
              <w:keepNext w:val="0"/>
              <w:keepLines w:val="0"/>
              <w:pageBreakBefore w:val="0"/>
              <w:kinsoku/>
              <w:wordWrap/>
              <w:overflowPunct/>
              <w:topLinePunct w:val="0"/>
              <w:autoSpaceDE/>
              <w:autoSpaceDN/>
              <w:bidi w:val="0"/>
              <w:snapToGrid/>
              <w:spacing w:line="360" w:lineRule="auto"/>
              <w:ind w:right="149" w:rightChars="71"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（2）必要的保险费用和各项税金；</w:t>
            </w:r>
          </w:p>
          <w:p w14:paraId="72C07D53">
            <w:pPr>
              <w:keepNext w:val="0"/>
              <w:keepLines w:val="0"/>
              <w:pageBreakBefore w:val="0"/>
              <w:tabs>
                <w:tab w:val="left" w:pos="3490"/>
                <w:tab w:val="left" w:pos="3670"/>
                <w:tab w:val="left" w:pos="3895"/>
              </w:tabs>
              <w:kinsoku/>
              <w:wordWrap/>
              <w:overflowPunct/>
              <w:topLinePunct w:val="0"/>
              <w:autoSpaceDE/>
              <w:autoSpaceDN/>
              <w:bidi w:val="0"/>
              <w:snapToGrid/>
              <w:spacing w:line="360" w:lineRule="auto"/>
              <w:ind w:right="149" w:rightChars="71" w:firstLine="420" w:firstLineChars="200"/>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（3）</w:t>
            </w:r>
            <w:r>
              <w:rPr>
                <w:rFonts w:hint="eastAsia" w:ascii="宋体" w:hAnsi="宋体" w:cs="宋体"/>
                <w:color w:val="auto"/>
                <w:sz w:val="21"/>
                <w:szCs w:val="21"/>
                <w:highlight w:val="none"/>
                <w:lang w:val="en-US" w:eastAsia="zh-CN"/>
              </w:rPr>
              <w:t>其他</w:t>
            </w:r>
            <w:r>
              <w:rPr>
                <w:rFonts w:hint="eastAsia" w:ascii="宋体" w:hAnsi="宋体" w:eastAsia="宋体" w:cs="宋体"/>
                <w:color w:val="auto"/>
                <w:sz w:val="21"/>
                <w:szCs w:val="21"/>
                <w:highlight w:val="none"/>
                <w:lang w:eastAsia="zh-CN"/>
              </w:rPr>
              <w:t>为实施和完成本项目服务内容的全部</w:t>
            </w:r>
            <w:r>
              <w:rPr>
                <w:rFonts w:hint="eastAsia" w:ascii="宋体" w:hAnsi="宋体" w:cs="宋体"/>
                <w:color w:val="auto"/>
                <w:sz w:val="21"/>
                <w:szCs w:val="21"/>
                <w:highlight w:val="none"/>
                <w:lang w:val="en-US" w:eastAsia="zh-CN"/>
              </w:rPr>
              <w:t>费用，</w:t>
            </w:r>
            <w:r>
              <w:rPr>
                <w:rFonts w:hint="eastAsia" w:ascii="宋体" w:hAnsi="宋体" w:eastAsia="宋体" w:cs="宋体"/>
                <w:color w:val="auto"/>
                <w:sz w:val="21"/>
                <w:szCs w:val="21"/>
                <w:highlight w:val="none"/>
                <w:lang w:eastAsia="zh-CN"/>
              </w:rPr>
              <w:t>包括基于</w:t>
            </w:r>
            <w:r>
              <w:rPr>
                <w:rFonts w:hint="eastAsia" w:ascii="宋体" w:hAnsi="宋体" w:cs="宋体"/>
                <w:color w:val="auto"/>
                <w:sz w:val="21"/>
                <w:szCs w:val="21"/>
                <w:highlight w:val="none"/>
                <w:lang w:val="en-US" w:eastAsia="zh-CN"/>
              </w:rPr>
              <w:t>专家指导费</w:t>
            </w:r>
            <w:r>
              <w:rPr>
                <w:rFonts w:hint="eastAsia" w:ascii="宋体" w:hAnsi="宋体" w:eastAsia="宋体" w:cs="宋体"/>
                <w:color w:val="auto"/>
                <w:sz w:val="21"/>
                <w:szCs w:val="21"/>
                <w:highlight w:val="none"/>
                <w:lang w:eastAsia="zh-CN"/>
              </w:rPr>
              <w:t>、</w:t>
            </w:r>
            <w:r>
              <w:rPr>
                <w:rFonts w:hint="eastAsia" w:ascii="宋体" w:hAnsi="宋体" w:cs="宋体"/>
                <w:color w:val="auto"/>
                <w:sz w:val="21"/>
                <w:szCs w:val="21"/>
                <w:highlight w:val="none"/>
                <w:lang w:val="en-US" w:eastAsia="zh-CN"/>
              </w:rPr>
              <w:t>课程</w:t>
            </w:r>
            <w:r>
              <w:rPr>
                <w:rFonts w:hint="eastAsia" w:ascii="宋体" w:hAnsi="宋体" w:eastAsia="宋体" w:cs="宋体"/>
                <w:color w:val="auto"/>
                <w:sz w:val="21"/>
                <w:szCs w:val="21"/>
                <w:highlight w:val="none"/>
                <w:lang w:eastAsia="zh-CN"/>
              </w:rPr>
              <w:t>研究、技术处理、培训、售后服务、税金、保险、招标代理服务费等相关的费用。除合同约定的变更以外，该费用不予增减。供应商自行考虑投标报价会出现的其他风险</w:t>
            </w:r>
            <w:r>
              <w:rPr>
                <w:rFonts w:hint="eastAsia" w:ascii="宋体" w:hAnsi="宋体" w:eastAsia="宋体" w:cs="宋体"/>
                <w:color w:val="auto"/>
                <w:sz w:val="21"/>
                <w:szCs w:val="21"/>
                <w:highlight w:val="none"/>
              </w:rPr>
              <w:t>。</w:t>
            </w:r>
          </w:p>
          <w:p w14:paraId="0EED0172">
            <w:pPr>
              <w:keepNext w:val="0"/>
              <w:keepLines w:val="0"/>
              <w:pageBreakBefore w:val="0"/>
              <w:tabs>
                <w:tab w:val="left" w:pos="3490"/>
                <w:tab w:val="left" w:pos="3670"/>
                <w:tab w:val="left" w:pos="3895"/>
              </w:tabs>
              <w:kinsoku/>
              <w:wordWrap/>
              <w:overflowPunct/>
              <w:topLinePunct w:val="0"/>
              <w:autoSpaceDE/>
              <w:autoSpaceDN/>
              <w:bidi w:val="0"/>
              <w:snapToGrid/>
              <w:spacing w:line="360" w:lineRule="auto"/>
              <w:ind w:right="149" w:rightChars="71" w:firstLine="420" w:firstLineChars="200"/>
              <w:textAlignment w:val="auto"/>
              <w:rPr>
                <w:rFonts w:hint="eastAsia" w:ascii="宋体" w:hAnsi="宋体" w:eastAsia="宋体" w:cs="宋体"/>
                <w:color w:val="auto"/>
                <w:spacing w:val="0"/>
                <w:sz w:val="21"/>
                <w:szCs w:val="21"/>
                <w:highlight w:val="none"/>
                <w:lang w:eastAsia="zh-CN"/>
              </w:rPr>
            </w:pPr>
            <w:r>
              <w:rPr>
                <w:rFonts w:hint="eastAsia" w:ascii="宋体" w:hAnsi="宋体" w:cs="宋体"/>
                <w:color w:val="auto"/>
                <w:sz w:val="21"/>
                <w:szCs w:val="21"/>
                <w:highlight w:val="none"/>
                <w:lang w:val="en-US" w:eastAsia="zh-CN"/>
              </w:rPr>
              <w:t>五、</w:t>
            </w:r>
            <w:r>
              <w:rPr>
                <w:rFonts w:hint="eastAsia" w:ascii="宋体" w:hAnsi="宋体" w:eastAsia="宋体" w:cs="宋体"/>
                <w:color w:val="auto"/>
                <w:sz w:val="21"/>
                <w:szCs w:val="21"/>
                <w:highlight w:val="none"/>
              </w:rPr>
              <w:t>付款方式：</w:t>
            </w:r>
          </w:p>
          <w:p w14:paraId="00A07B2D">
            <w:pPr>
              <w:keepNext w:val="0"/>
              <w:keepLines w:val="0"/>
              <w:pageBreakBefore w:val="0"/>
              <w:tabs>
                <w:tab w:val="left" w:pos="3490"/>
                <w:tab w:val="left" w:pos="3670"/>
                <w:tab w:val="left" w:pos="3895"/>
              </w:tabs>
              <w:kinsoku/>
              <w:wordWrap/>
              <w:overflowPunct/>
              <w:topLinePunct w:val="0"/>
              <w:autoSpaceDE/>
              <w:autoSpaceDN/>
              <w:bidi w:val="0"/>
              <w:snapToGrid/>
              <w:spacing w:line="360" w:lineRule="auto"/>
              <w:ind w:right="149" w:rightChars="71"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（1）合同生效以及具备实施条件后15日内甲方向乙方预付合同金额的30％。</w:t>
            </w:r>
          </w:p>
          <w:p w14:paraId="1750AE22">
            <w:pPr>
              <w:keepNext w:val="0"/>
              <w:keepLines w:val="0"/>
              <w:pageBreakBefore w:val="0"/>
              <w:tabs>
                <w:tab w:val="left" w:pos="3490"/>
                <w:tab w:val="left" w:pos="3670"/>
                <w:tab w:val="left" w:pos="3895"/>
              </w:tabs>
              <w:kinsoku/>
              <w:wordWrap/>
              <w:overflowPunct/>
              <w:topLinePunct w:val="0"/>
              <w:autoSpaceDE/>
              <w:autoSpaceDN/>
              <w:bidi w:val="0"/>
              <w:snapToGrid/>
              <w:spacing w:line="360" w:lineRule="auto"/>
              <w:ind w:right="149" w:rightChars="71"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（2）项目验收合格后30日内甲方向乙方支付剩余合同款。</w:t>
            </w:r>
          </w:p>
          <w:p w14:paraId="5636CC4C">
            <w:pPr>
              <w:keepNext w:val="0"/>
              <w:keepLines w:val="0"/>
              <w:pageBreakBefore w:val="0"/>
              <w:tabs>
                <w:tab w:val="left" w:pos="3490"/>
                <w:tab w:val="left" w:pos="3670"/>
                <w:tab w:val="left" w:pos="3895"/>
              </w:tabs>
              <w:kinsoku/>
              <w:wordWrap/>
              <w:overflowPunct/>
              <w:topLinePunct w:val="0"/>
              <w:autoSpaceDE/>
              <w:autoSpaceDN/>
              <w:bidi w:val="0"/>
              <w:snapToGrid/>
              <w:spacing w:line="360" w:lineRule="auto"/>
              <w:ind w:right="149" w:rightChars="71"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（3）甲方每次支付前，乙方应当为甲方开具当次支付等额发票。</w:t>
            </w:r>
          </w:p>
          <w:p w14:paraId="549A60AD">
            <w:pPr>
              <w:keepNext w:val="0"/>
              <w:keepLines w:val="0"/>
              <w:pageBreakBefore w:val="0"/>
              <w:tabs>
                <w:tab w:val="left" w:pos="3490"/>
                <w:tab w:val="left" w:pos="3670"/>
                <w:tab w:val="left" w:pos="3895"/>
              </w:tabs>
              <w:kinsoku/>
              <w:wordWrap/>
              <w:overflowPunct/>
              <w:topLinePunct w:val="0"/>
              <w:autoSpaceDE/>
              <w:autoSpaceDN/>
              <w:bidi w:val="0"/>
              <w:snapToGrid/>
              <w:spacing w:line="360" w:lineRule="auto"/>
              <w:ind w:right="149" w:rightChars="71"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（4）甲方不得以机构变动、人员更替、政策调整等为由延迟付款，不得将采购文件和合同中未规定的义务作为向乙方付款的条件。</w:t>
            </w:r>
          </w:p>
          <w:p w14:paraId="7906CC29">
            <w:pPr>
              <w:keepNext w:val="0"/>
              <w:keepLines w:val="0"/>
              <w:pageBreakBefore w:val="0"/>
              <w:kinsoku/>
              <w:wordWrap/>
              <w:overflowPunct/>
              <w:topLinePunct w:val="0"/>
              <w:autoSpaceDE/>
              <w:autoSpaceDN/>
              <w:bidi w:val="0"/>
              <w:snapToGrid/>
              <w:spacing w:line="360" w:lineRule="auto"/>
              <w:ind w:right="149" w:rightChars="71" w:firstLine="420" w:firstLineChars="200"/>
              <w:textAlignment w:val="auto"/>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t>六、</w:t>
            </w:r>
            <w:r>
              <w:rPr>
                <w:rFonts w:hint="eastAsia" w:ascii="宋体" w:hAnsi="宋体" w:cs="宋体"/>
                <w:color w:val="auto"/>
                <w:sz w:val="21"/>
                <w:szCs w:val="21"/>
                <w:highlight w:val="none"/>
                <w:lang w:val="en-US" w:eastAsia="zh-CN"/>
              </w:rPr>
              <w:t>验收要求</w:t>
            </w:r>
          </w:p>
          <w:p w14:paraId="179DC23A">
            <w:pPr>
              <w:keepNext w:val="0"/>
              <w:keepLines w:val="0"/>
              <w:pageBreakBefore w:val="0"/>
              <w:widowControl/>
              <w:shd w:val="clear" w:color="auto" w:fill="FFFFFF"/>
              <w:kinsoku/>
              <w:wordWrap/>
              <w:overflowPunct/>
              <w:topLinePunct w:val="0"/>
              <w:autoSpaceDE/>
              <w:autoSpaceDN/>
              <w:bidi w:val="0"/>
              <w:snapToGrid/>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1、服务成果必须符合行业规范、地方通用标准以及本项目采购需求和采购人的要求。</w:t>
            </w:r>
          </w:p>
          <w:p w14:paraId="34D6624A">
            <w:pPr>
              <w:keepNext w:val="0"/>
              <w:keepLines w:val="0"/>
              <w:pageBreakBefore w:val="0"/>
              <w:kinsoku/>
              <w:wordWrap/>
              <w:overflowPunct/>
              <w:topLinePunct w:val="0"/>
              <w:autoSpaceDE/>
              <w:autoSpaceDN/>
              <w:bidi w:val="0"/>
              <w:snapToGrid/>
              <w:spacing w:line="360" w:lineRule="auto"/>
              <w:ind w:right="149" w:rightChars="71"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2</w:t>
            </w:r>
            <w:r>
              <w:rPr>
                <w:rFonts w:hint="eastAsia" w:ascii="宋体" w:hAnsi="宋体" w:eastAsia="宋体" w:cs="宋体"/>
                <w:color w:val="auto"/>
                <w:sz w:val="21"/>
                <w:szCs w:val="21"/>
                <w:highlight w:val="none"/>
              </w:rPr>
              <w:t>、验收考核过程中所产生的一切费用均由中标人承担。报价时应考虑相关费用。</w:t>
            </w:r>
          </w:p>
          <w:p w14:paraId="786D38A1">
            <w:pPr>
              <w:keepNext w:val="0"/>
              <w:keepLines w:val="0"/>
              <w:pageBreakBefore w:val="0"/>
              <w:kinsoku/>
              <w:wordWrap/>
              <w:overflowPunct/>
              <w:topLinePunct w:val="0"/>
              <w:autoSpaceDE/>
              <w:autoSpaceDN/>
              <w:bidi w:val="0"/>
              <w:snapToGrid/>
              <w:spacing w:line="360" w:lineRule="auto"/>
              <w:ind w:right="149" w:rightChars="71"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3</w:t>
            </w:r>
            <w:r>
              <w:rPr>
                <w:rFonts w:hint="eastAsia" w:ascii="宋体" w:hAnsi="宋体" w:eastAsia="宋体" w:cs="宋体"/>
                <w:color w:val="auto"/>
                <w:sz w:val="21"/>
                <w:szCs w:val="21"/>
                <w:highlight w:val="none"/>
              </w:rPr>
              <w:t>、中标人在服务验收时由采购单位对照公开招标文件及投标文件的功能目标及服务指标全面核对检验，如不符合投标文件的服务承诺和其他承诺以及提供虚假承诺的，按相关规定做违约处理，中标人承担所有责任和费用，采购人保留进一步追究责任的权利。</w:t>
            </w:r>
          </w:p>
          <w:p w14:paraId="14AF1D48">
            <w:pPr>
              <w:keepNext w:val="0"/>
              <w:keepLines w:val="0"/>
              <w:pageBreakBefore w:val="0"/>
              <w:kinsoku/>
              <w:wordWrap/>
              <w:overflowPunct/>
              <w:topLinePunct w:val="0"/>
              <w:autoSpaceDE/>
              <w:autoSpaceDN/>
              <w:bidi w:val="0"/>
              <w:snapToGrid/>
              <w:spacing w:line="360" w:lineRule="auto"/>
              <w:ind w:firstLine="420" w:firstLineChars="200"/>
              <w:jc w:val="left"/>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七、其他要求：</w:t>
            </w:r>
          </w:p>
          <w:p w14:paraId="5C65C358">
            <w:pPr>
              <w:keepNext w:val="0"/>
              <w:keepLines w:val="0"/>
              <w:pageBreakBefore w:val="0"/>
              <w:kinsoku/>
              <w:wordWrap/>
              <w:overflowPunct/>
              <w:topLinePunct w:val="0"/>
              <w:autoSpaceDE/>
              <w:autoSpaceDN/>
              <w:bidi w:val="0"/>
              <w:snapToGrid/>
              <w:spacing w:line="360" w:lineRule="auto"/>
              <w:ind w:firstLine="420" w:firstLineChars="200"/>
              <w:jc w:val="left"/>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 xml:space="preserve">1.数据资料归属及保密：本项目所形成的数据和报告归采购人所有。未经采购人授权，不得将数据和报告提供给任何第三方。 </w:t>
            </w:r>
          </w:p>
          <w:p w14:paraId="5A3E27CC">
            <w:pPr>
              <w:keepNext w:val="0"/>
              <w:keepLines w:val="0"/>
              <w:pageBreakBefore w:val="0"/>
              <w:kinsoku/>
              <w:wordWrap/>
              <w:overflowPunct/>
              <w:topLinePunct w:val="0"/>
              <w:autoSpaceDE/>
              <w:autoSpaceDN/>
              <w:bidi w:val="0"/>
              <w:snapToGrid/>
              <w:spacing w:line="360" w:lineRule="auto"/>
              <w:ind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2.处理响应时间：供应商提供7×24小时通过远程或上门服务等方式为采购人提供完善的售前和售后技术咨询服务。</w:t>
            </w:r>
          </w:p>
        </w:tc>
      </w:tr>
    </w:tbl>
    <w:p w14:paraId="69AF417F">
      <w:pPr>
        <w:shd w:val="clear"/>
        <w:spacing w:line="428" w:lineRule="exact"/>
        <w:ind w:left="119"/>
        <w:rPr>
          <w:rFonts w:hint="eastAsia" w:ascii="宋体" w:hAnsi="宋体" w:eastAsia="宋体" w:cs="宋体"/>
          <w:color w:val="auto"/>
          <w:sz w:val="32"/>
          <w:szCs w:val="32"/>
          <w:highlight w:val="none"/>
        </w:rPr>
      </w:pPr>
      <w:r>
        <w:rPr>
          <w:rFonts w:hint="eastAsia" w:ascii="宋体" w:hAnsi="宋体" w:eastAsia="宋体" w:cs="宋体"/>
          <w:color w:val="auto"/>
          <w:highlight w:val="none"/>
        </w:rPr>
        <w:br w:type="page"/>
      </w:r>
      <w:r>
        <w:rPr>
          <w:rFonts w:hint="eastAsia" w:ascii="宋体" w:hAnsi="宋体" w:eastAsia="宋体" w:cs="宋体"/>
          <w:color w:val="auto"/>
          <w:highlight w:val="none"/>
        </w:rPr>
        <w:t xml:space="preserve"> </w:t>
      </w:r>
      <w:r>
        <w:rPr>
          <w:rFonts w:hint="eastAsia" w:ascii="宋体" w:hAnsi="宋体" w:eastAsia="宋体" w:cs="宋体"/>
          <w:color w:val="auto"/>
          <w:sz w:val="32"/>
          <w:szCs w:val="32"/>
          <w:highlight w:val="none"/>
        </w:rPr>
        <w:t>附件1：</w:t>
      </w:r>
    </w:p>
    <w:p w14:paraId="6037DFAC">
      <w:pPr>
        <w:shd w:val="clear"/>
        <w:spacing w:before="7"/>
        <w:rPr>
          <w:rFonts w:hint="eastAsia" w:ascii="宋体" w:hAnsi="宋体" w:eastAsia="宋体" w:cs="宋体"/>
          <w:color w:val="auto"/>
          <w:sz w:val="17"/>
          <w:szCs w:val="17"/>
          <w:highlight w:val="none"/>
        </w:rPr>
      </w:pPr>
    </w:p>
    <w:p w14:paraId="7614CA10">
      <w:pPr>
        <w:pStyle w:val="12"/>
        <w:shd w:val="clear"/>
        <w:jc w:val="left"/>
        <w:rPr>
          <w:rFonts w:hint="eastAsia" w:ascii="宋体" w:hAnsi="宋体" w:eastAsia="宋体" w:cs="宋体"/>
          <w:color w:val="auto"/>
          <w:sz w:val="32"/>
          <w:szCs w:val="32"/>
          <w:highlight w:val="none"/>
        </w:rPr>
      </w:pPr>
    </w:p>
    <w:p w14:paraId="464DA6D6">
      <w:pPr>
        <w:widowControl/>
        <w:shd w:val="clear"/>
        <w:spacing w:before="156" w:beforeLines="50" w:after="156" w:afterLines="50" w:line="280" w:lineRule="exact"/>
        <w:jc w:val="center"/>
        <w:rPr>
          <w:rFonts w:hint="eastAsia" w:ascii="宋体" w:hAnsi="宋体" w:eastAsia="宋体" w:cs="宋体"/>
          <w:b/>
          <w:bCs/>
          <w:color w:val="auto"/>
          <w:kern w:val="0"/>
          <w:sz w:val="30"/>
          <w:szCs w:val="30"/>
          <w:highlight w:val="none"/>
        </w:rPr>
      </w:pPr>
      <w:bookmarkStart w:id="56" w:name="_Toc28361_WPSOffice_Level2"/>
      <w:r>
        <w:rPr>
          <w:rFonts w:hint="eastAsia" w:ascii="宋体" w:hAnsi="宋体" w:eastAsia="宋体" w:cs="宋体"/>
          <w:b/>
          <w:bCs/>
          <w:color w:val="auto"/>
          <w:kern w:val="0"/>
          <w:sz w:val="30"/>
          <w:szCs w:val="30"/>
          <w:highlight w:val="none"/>
        </w:rPr>
        <w:t>统计上大中小微型企业划分标准</w:t>
      </w:r>
      <w:bookmarkEnd w:id="56"/>
    </w:p>
    <w:tbl>
      <w:tblPr>
        <w:tblStyle w:val="18"/>
        <w:tblW w:w="943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13"/>
        <w:gridCol w:w="1369"/>
        <w:gridCol w:w="709"/>
        <w:gridCol w:w="1125"/>
        <w:gridCol w:w="1701"/>
        <w:gridCol w:w="1426"/>
        <w:gridCol w:w="992"/>
      </w:tblGrid>
      <w:tr w14:paraId="5637FC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tblHeader/>
          <w:jc w:val="center"/>
        </w:trPr>
        <w:tc>
          <w:tcPr>
            <w:tcW w:w="2113" w:type="dxa"/>
            <w:shd w:val="clear" w:color="auto" w:fill="8DB3E2"/>
            <w:noWrap w:val="0"/>
            <w:vAlign w:val="center"/>
          </w:tcPr>
          <w:p w14:paraId="7DF13D1F">
            <w:pPr>
              <w:widowControl/>
              <w:shd w:val="clear"/>
              <w:spacing w:line="280" w:lineRule="exact"/>
              <w:jc w:val="center"/>
              <w:rPr>
                <w:rFonts w:hint="eastAsia" w:ascii="宋体" w:hAnsi="宋体" w:eastAsia="宋体" w:cs="宋体"/>
                <w:b/>
                <w:bCs/>
                <w:color w:val="auto"/>
                <w:kern w:val="0"/>
                <w:sz w:val="18"/>
                <w:szCs w:val="21"/>
                <w:highlight w:val="none"/>
              </w:rPr>
            </w:pPr>
            <w:r>
              <w:rPr>
                <w:rFonts w:hint="eastAsia" w:ascii="宋体" w:hAnsi="宋体" w:eastAsia="宋体" w:cs="宋体"/>
                <w:b/>
                <w:bCs/>
                <w:color w:val="auto"/>
                <w:kern w:val="0"/>
                <w:sz w:val="18"/>
                <w:szCs w:val="21"/>
                <w:highlight w:val="none"/>
              </w:rPr>
              <w:t>行业名称</w:t>
            </w:r>
          </w:p>
        </w:tc>
        <w:tc>
          <w:tcPr>
            <w:tcW w:w="1369" w:type="dxa"/>
            <w:shd w:val="clear" w:color="auto" w:fill="8DB3E2"/>
            <w:noWrap w:val="0"/>
            <w:vAlign w:val="center"/>
          </w:tcPr>
          <w:p w14:paraId="513F3652">
            <w:pPr>
              <w:widowControl/>
              <w:shd w:val="clear"/>
              <w:spacing w:line="280" w:lineRule="exact"/>
              <w:jc w:val="center"/>
              <w:rPr>
                <w:rFonts w:hint="eastAsia" w:ascii="宋体" w:hAnsi="宋体" w:eastAsia="宋体" w:cs="宋体"/>
                <w:b/>
                <w:bCs/>
                <w:color w:val="auto"/>
                <w:kern w:val="0"/>
                <w:sz w:val="18"/>
                <w:szCs w:val="18"/>
                <w:highlight w:val="none"/>
              </w:rPr>
            </w:pPr>
            <w:r>
              <w:rPr>
                <w:rFonts w:hint="eastAsia" w:ascii="宋体" w:hAnsi="宋体" w:eastAsia="宋体" w:cs="宋体"/>
                <w:b/>
                <w:bCs/>
                <w:color w:val="auto"/>
                <w:kern w:val="0"/>
                <w:sz w:val="18"/>
                <w:szCs w:val="18"/>
                <w:highlight w:val="none"/>
              </w:rPr>
              <w:t>指标名称</w:t>
            </w:r>
          </w:p>
        </w:tc>
        <w:tc>
          <w:tcPr>
            <w:tcW w:w="709" w:type="dxa"/>
            <w:shd w:val="clear" w:color="auto" w:fill="8DB3E2"/>
            <w:noWrap w:val="0"/>
            <w:vAlign w:val="center"/>
          </w:tcPr>
          <w:p w14:paraId="3C1579CF">
            <w:pPr>
              <w:widowControl/>
              <w:shd w:val="clear"/>
              <w:spacing w:line="280" w:lineRule="exact"/>
              <w:jc w:val="center"/>
              <w:rPr>
                <w:rFonts w:hint="eastAsia" w:ascii="宋体" w:hAnsi="宋体" w:eastAsia="宋体" w:cs="宋体"/>
                <w:b/>
                <w:bCs/>
                <w:color w:val="auto"/>
                <w:kern w:val="0"/>
                <w:sz w:val="18"/>
                <w:szCs w:val="18"/>
                <w:highlight w:val="none"/>
                <w:lang w:eastAsia="zh-CN"/>
              </w:rPr>
            </w:pPr>
            <w:r>
              <w:rPr>
                <w:rFonts w:hint="eastAsia" w:ascii="宋体" w:hAnsi="宋体" w:eastAsia="宋体" w:cs="宋体"/>
                <w:b/>
                <w:bCs/>
                <w:color w:val="auto"/>
                <w:kern w:val="0"/>
                <w:sz w:val="18"/>
                <w:szCs w:val="18"/>
                <w:highlight w:val="none"/>
              </w:rPr>
              <w:t>计量</w:t>
            </w:r>
          </w:p>
          <w:p w14:paraId="70E7FDA4">
            <w:pPr>
              <w:widowControl/>
              <w:shd w:val="clear"/>
              <w:spacing w:line="280" w:lineRule="exact"/>
              <w:jc w:val="center"/>
              <w:rPr>
                <w:rFonts w:hint="eastAsia" w:ascii="宋体" w:hAnsi="宋体" w:eastAsia="宋体" w:cs="宋体"/>
                <w:b/>
                <w:bCs/>
                <w:color w:val="auto"/>
                <w:kern w:val="0"/>
                <w:sz w:val="18"/>
                <w:szCs w:val="18"/>
                <w:highlight w:val="none"/>
              </w:rPr>
            </w:pPr>
            <w:r>
              <w:rPr>
                <w:rFonts w:hint="eastAsia" w:ascii="宋体" w:hAnsi="宋体" w:eastAsia="宋体" w:cs="宋体"/>
                <w:b/>
                <w:bCs/>
                <w:color w:val="auto"/>
                <w:kern w:val="0"/>
                <w:sz w:val="18"/>
                <w:szCs w:val="18"/>
                <w:highlight w:val="none"/>
              </w:rPr>
              <w:t>单位</w:t>
            </w:r>
          </w:p>
        </w:tc>
        <w:tc>
          <w:tcPr>
            <w:tcW w:w="1125" w:type="dxa"/>
            <w:shd w:val="clear" w:color="auto" w:fill="8DB3E2"/>
            <w:noWrap w:val="0"/>
            <w:vAlign w:val="center"/>
          </w:tcPr>
          <w:p w14:paraId="6B417A57">
            <w:pPr>
              <w:widowControl/>
              <w:shd w:val="clear"/>
              <w:spacing w:line="280" w:lineRule="exact"/>
              <w:jc w:val="center"/>
              <w:rPr>
                <w:rFonts w:hint="eastAsia" w:ascii="宋体" w:hAnsi="宋体" w:eastAsia="宋体" w:cs="宋体"/>
                <w:b/>
                <w:bCs/>
                <w:color w:val="auto"/>
                <w:kern w:val="0"/>
                <w:sz w:val="18"/>
                <w:szCs w:val="18"/>
                <w:highlight w:val="none"/>
              </w:rPr>
            </w:pPr>
            <w:r>
              <w:rPr>
                <w:rFonts w:hint="eastAsia" w:ascii="宋体" w:hAnsi="宋体" w:eastAsia="宋体" w:cs="宋体"/>
                <w:b/>
                <w:bCs/>
                <w:color w:val="auto"/>
                <w:kern w:val="0"/>
                <w:sz w:val="18"/>
                <w:szCs w:val="18"/>
                <w:highlight w:val="none"/>
              </w:rPr>
              <w:t>大型</w:t>
            </w:r>
          </w:p>
        </w:tc>
        <w:tc>
          <w:tcPr>
            <w:tcW w:w="1701" w:type="dxa"/>
            <w:shd w:val="clear" w:color="auto" w:fill="8DB3E2"/>
            <w:noWrap w:val="0"/>
            <w:vAlign w:val="center"/>
          </w:tcPr>
          <w:p w14:paraId="0DDA16BC">
            <w:pPr>
              <w:widowControl/>
              <w:shd w:val="clear"/>
              <w:spacing w:line="280" w:lineRule="exact"/>
              <w:jc w:val="center"/>
              <w:rPr>
                <w:rFonts w:hint="eastAsia" w:ascii="宋体" w:hAnsi="宋体" w:eastAsia="宋体" w:cs="宋体"/>
                <w:b/>
                <w:bCs/>
                <w:color w:val="auto"/>
                <w:kern w:val="0"/>
                <w:sz w:val="18"/>
                <w:szCs w:val="18"/>
                <w:highlight w:val="none"/>
              </w:rPr>
            </w:pPr>
            <w:r>
              <w:rPr>
                <w:rFonts w:hint="eastAsia" w:ascii="宋体" w:hAnsi="宋体" w:eastAsia="宋体" w:cs="宋体"/>
                <w:b/>
                <w:bCs/>
                <w:color w:val="auto"/>
                <w:kern w:val="0"/>
                <w:sz w:val="18"/>
                <w:szCs w:val="18"/>
                <w:highlight w:val="none"/>
              </w:rPr>
              <w:t>中型</w:t>
            </w:r>
          </w:p>
        </w:tc>
        <w:tc>
          <w:tcPr>
            <w:tcW w:w="1426" w:type="dxa"/>
            <w:shd w:val="clear" w:color="auto" w:fill="8DB3E2"/>
            <w:noWrap w:val="0"/>
            <w:vAlign w:val="center"/>
          </w:tcPr>
          <w:p w14:paraId="4D8D330E">
            <w:pPr>
              <w:widowControl/>
              <w:shd w:val="clear"/>
              <w:spacing w:line="280" w:lineRule="exact"/>
              <w:jc w:val="center"/>
              <w:rPr>
                <w:rFonts w:hint="eastAsia" w:ascii="宋体" w:hAnsi="宋体" w:eastAsia="宋体" w:cs="宋体"/>
                <w:b/>
                <w:bCs/>
                <w:color w:val="auto"/>
                <w:kern w:val="0"/>
                <w:sz w:val="18"/>
                <w:szCs w:val="18"/>
                <w:highlight w:val="none"/>
              </w:rPr>
            </w:pPr>
            <w:r>
              <w:rPr>
                <w:rFonts w:hint="eastAsia" w:ascii="宋体" w:hAnsi="宋体" w:eastAsia="宋体" w:cs="宋体"/>
                <w:b/>
                <w:bCs/>
                <w:color w:val="auto"/>
                <w:kern w:val="0"/>
                <w:sz w:val="18"/>
                <w:szCs w:val="18"/>
                <w:highlight w:val="none"/>
              </w:rPr>
              <w:t>小型</w:t>
            </w:r>
          </w:p>
        </w:tc>
        <w:tc>
          <w:tcPr>
            <w:tcW w:w="992" w:type="dxa"/>
            <w:shd w:val="clear" w:color="auto" w:fill="8DB3E2"/>
            <w:noWrap w:val="0"/>
            <w:vAlign w:val="center"/>
          </w:tcPr>
          <w:p w14:paraId="7576A696">
            <w:pPr>
              <w:widowControl/>
              <w:shd w:val="clear"/>
              <w:spacing w:line="280" w:lineRule="exact"/>
              <w:jc w:val="center"/>
              <w:rPr>
                <w:rFonts w:hint="eastAsia" w:ascii="宋体" w:hAnsi="宋体" w:eastAsia="宋体" w:cs="宋体"/>
                <w:b/>
                <w:bCs/>
                <w:color w:val="auto"/>
                <w:kern w:val="0"/>
                <w:sz w:val="18"/>
                <w:szCs w:val="18"/>
                <w:highlight w:val="none"/>
              </w:rPr>
            </w:pPr>
            <w:r>
              <w:rPr>
                <w:rFonts w:hint="eastAsia" w:ascii="宋体" w:hAnsi="宋体" w:eastAsia="宋体" w:cs="宋体"/>
                <w:b/>
                <w:bCs/>
                <w:color w:val="auto"/>
                <w:kern w:val="0"/>
                <w:sz w:val="18"/>
                <w:szCs w:val="18"/>
                <w:highlight w:val="none"/>
              </w:rPr>
              <w:t>微型</w:t>
            </w:r>
          </w:p>
        </w:tc>
      </w:tr>
      <w:tr w14:paraId="348D54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noWrap w:val="0"/>
            <w:vAlign w:val="center"/>
          </w:tcPr>
          <w:p w14:paraId="77310C76">
            <w:pPr>
              <w:widowControl/>
              <w:shd w:val="clear"/>
              <w:spacing w:line="280" w:lineRule="exact"/>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农、林、牧、渔业</w:t>
            </w:r>
          </w:p>
        </w:tc>
        <w:tc>
          <w:tcPr>
            <w:tcW w:w="1369" w:type="dxa"/>
            <w:noWrap w:val="0"/>
            <w:vAlign w:val="center"/>
          </w:tcPr>
          <w:p w14:paraId="56531E8B">
            <w:pPr>
              <w:widowControl/>
              <w:shd w:val="clear"/>
              <w:spacing w:line="280" w:lineRule="exact"/>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营业收入(Y)</w:t>
            </w:r>
          </w:p>
        </w:tc>
        <w:tc>
          <w:tcPr>
            <w:tcW w:w="709" w:type="dxa"/>
            <w:noWrap w:val="0"/>
            <w:vAlign w:val="center"/>
          </w:tcPr>
          <w:p w14:paraId="7C2D1186">
            <w:pPr>
              <w:widowControl/>
              <w:shd w:val="clear"/>
              <w:spacing w:line="280" w:lineRule="exact"/>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万元</w:t>
            </w:r>
          </w:p>
        </w:tc>
        <w:tc>
          <w:tcPr>
            <w:tcW w:w="1125" w:type="dxa"/>
            <w:noWrap w:val="0"/>
            <w:vAlign w:val="center"/>
          </w:tcPr>
          <w:p w14:paraId="1C9EC2B5">
            <w:pPr>
              <w:widowControl/>
              <w:shd w:val="clear"/>
              <w:spacing w:line="280" w:lineRule="exact"/>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Y≥20000</w:t>
            </w:r>
          </w:p>
        </w:tc>
        <w:tc>
          <w:tcPr>
            <w:tcW w:w="1701" w:type="dxa"/>
            <w:noWrap w:val="0"/>
            <w:vAlign w:val="center"/>
          </w:tcPr>
          <w:p w14:paraId="7F44F6B3">
            <w:pPr>
              <w:widowControl/>
              <w:shd w:val="clear"/>
              <w:spacing w:line="280" w:lineRule="exact"/>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500≤Y＜20000</w:t>
            </w:r>
          </w:p>
        </w:tc>
        <w:tc>
          <w:tcPr>
            <w:tcW w:w="1426" w:type="dxa"/>
            <w:noWrap w:val="0"/>
            <w:vAlign w:val="center"/>
          </w:tcPr>
          <w:p w14:paraId="3218BFA9">
            <w:pPr>
              <w:widowControl/>
              <w:shd w:val="clear"/>
              <w:spacing w:line="280" w:lineRule="exact"/>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50≤Y＜500</w:t>
            </w:r>
          </w:p>
        </w:tc>
        <w:tc>
          <w:tcPr>
            <w:tcW w:w="992" w:type="dxa"/>
            <w:noWrap w:val="0"/>
            <w:vAlign w:val="center"/>
          </w:tcPr>
          <w:p w14:paraId="52A5F193">
            <w:pPr>
              <w:widowControl/>
              <w:shd w:val="clear"/>
              <w:spacing w:line="280" w:lineRule="exact"/>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Y＜50</w:t>
            </w:r>
          </w:p>
        </w:tc>
      </w:tr>
      <w:tr w14:paraId="1A513B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Merge w:val="restart"/>
            <w:noWrap w:val="0"/>
            <w:vAlign w:val="center"/>
          </w:tcPr>
          <w:p w14:paraId="543F1D80">
            <w:pPr>
              <w:widowControl/>
              <w:shd w:val="clear"/>
              <w:spacing w:line="280" w:lineRule="exact"/>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工业 *</w:t>
            </w:r>
          </w:p>
        </w:tc>
        <w:tc>
          <w:tcPr>
            <w:tcW w:w="1369" w:type="dxa"/>
            <w:noWrap w:val="0"/>
            <w:vAlign w:val="center"/>
          </w:tcPr>
          <w:p w14:paraId="2F31D333">
            <w:pPr>
              <w:widowControl/>
              <w:shd w:val="clear"/>
              <w:spacing w:line="280" w:lineRule="exact"/>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从业人员(X)</w:t>
            </w:r>
          </w:p>
        </w:tc>
        <w:tc>
          <w:tcPr>
            <w:tcW w:w="709" w:type="dxa"/>
            <w:noWrap w:val="0"/>
            <w:vAlign w:val="center"/>
          </w:tcPr>
          <w:p w14:paraId="35A7768E">
            <w:pPr>
              <w:widowControl/>
              <w:shd w:val="clear"/>
              <w:spacing w:line="280" w:lineRule="exact"/>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人</w:t>
            </w:r>
          </w:p>
        </w:tc>
        <w:tc>
          <w:tcPr>
            <w:tcW w:w="1125" w:type="dxa"/>
            <w:noWrap w:val="0"/>
            <w:vAlign w:val="center"/>
          </w:tcPr>
          <w:p w14:paraId="6D8D1D60">
            <w:pPr>
              <w:widowControl/>
              <w:shd w:val="clear"/>
              <w:spacing w:line="280" w:lineRule="exact"/>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X≥1000</w:t>
            </w:r>
          </w:p>
        </w:tc>
        <w:tc>
          <w:tcPr>
            <w:tcW w:w="1701" w:type="dxa"/>
            <w:noWrap w:val="0"/>
            <w:vAlign w:val="center"/>
          </w:tcPr>
          <w:p w14:paraId="5B1A6F14">
            <w:pPr>
              <w:widowControl/>
              <w:shd w:val="clear"/>
              <w:spacing w:line="280" w:lineRule="exact"/>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300≤X＜1000</w:t>
            </w:r>
          </w:p>
        </w:tc>
        <w:tc>
          <w:tcPr>
            <w:tcW w:w="1426" w:type="dxa"/>
            <w:noWrap w:val="0"/>
            <w:vAlign w:val="center"/>
          </w:tcPr>
          <w:p w14:paraId="36B811A0">
            <w:pPr>
              <w:widowControl/>
              <w:shd w:val="clear"/>
              <w:spacing w:line="280" w:lineRule="exact"/>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20≤X＜300</w:t>
            </w:r>
          </w:p>
        </w:tc>
        <w:tc>
          <w:tcPr>
            <w:tcW w:w="992" w:type="dxa"/>
            <w:noWrap w:val="0"/>
            <w:vAlign w:val="center"/>
          </w:tcPr>
          <w:p w14:paraId="5A3DFBAE">
            <w:pPr>
              <w:widowControl/>
              <w:shd w:val="clear"/>
              <w:spacing w:line="280" w:lineRule="exact"/>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X＜20</w:t>
            </w:r>
          </w:p>
        </w:tc>
      </w:tr>
      <w:tr w14:paraId="7D9BCF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Merge w:val="continue"/>
            <w:noWrap w:val="0"/>
            <w:vAlign w:val="center"/>
          </w:tcPr>
          <w:p w14:paraId="48887C29">
            <w:pPr>
              <w:widowControl/>
              <w:shd w:val="clear"/>
              <w:spacing w:line="280" w:lineRule="exact"/>
              <w:jc w:val="left"/>
              <w:rPr>
                <w:rFonts w:hint="eastAsia" w:ascii="宋体" w:hAnsi="宋体" w:eastAsia="宋体" w:cs="宋体"/>
                <w:color w:val="auto"/>
                <w:kern w:val="0"/>
                <w:sz w:val="18"/>
                <w:szCs w:val="18"/>
                <w:highlight w:val="none"/>
              </w:rPr>
            </w:pPr>
          </w:p>
        </w:tc>
        <w:tc>
          <w:tcPr>
            <w:tcW w:w="1369" w:type="dxa"/>
            <w:noWrap w:val="0"/>
            <w:vAlign w:val="center"/>
          </w:tcPr>
          <w:p w14:paraId="10CE1DBD">
            <w:pPr>
              <w:widowControl/>
              <w:shd w:val="clear"/>
              <w:spacing w:line="280" w:lineRule="exact"/>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营业收入(Y)</w:t>
            </w:r>
          </w:p>
        </w:tc>
        <w:tc>
          <w:tcPr>
            <w:tcW w:w="709" w:type="dxa"/>
            <w:noWrap w:val="0"/>
            <w:vAlign w:val="center"/>
          </w:tcPr>
          <w:p w14:paraId="4326CDF5">
            <w:pPr>
              <w:widowControl/>
              <w:shd w:val="clear"/>
              <w:spacing w:line="280" w:lineRule="exact"/>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万元</w:t>
            </w:r>
          </w:p>
        </w:tc>
        <w:tc>
          <w:tcPr>
            <w:tcW w:w="1125" w:type="dxa"/>
            <w:noWrap w:val="0"/>
            <w:vAlign w:val="center"/>
          </w:tcPr>
          <w:p w14:paraId="697CA8A3">
            <w:pPr>
              <w:widowControl/>
              <w:shd w:val="clear"/>
              <w:spacing w:line="280" w:lineRule="exact"/>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Y≥40000</w:t>
            </w:r>
          </w:p>
        </w:tc>
        <w:tc>
          <w:tcPr>
            <w:tcW w:w="1701" w:type="dxa"/>
            <w:noWrap w:val="0"/>
            <w:vAlign w:val="center"/>
          </w:tcPr>
          <w:p w14:paraId="107718DF">
            <w:pPr>
              <w:widowControl/>
              <w:shd w:val="clear"/>
              <w:spacing w:line="280" w:lineRule="exact"/>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2000≤Y＜40000</w:t>
            </w:r>
          </w:p>
        </w:tc>
        <w:tc>
          <w:tcPr>
            <w:tcW w:w="1426" w:type="dxa"/>
            <w:noWrap w:val="0"/>
            <w:vAlign w:val="center"/>
          </w:tcPr>
          <w:p w14:paraId="7F739CCE">
            <w:pPr>
              <w:widowControl/>
              <w:shd w:val="clear"/>
              <w:spacing w:line="280" w:lineRule="exact"/>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300≤Y＜2000</w:t>
            </w:r>
          </w:p>
        </w:tc>
        <w:tc>
          <w:tcPr>
            <w:tcW w:w="992" w:type="dxa"/>
            <w:noWrap w:val="0"/>
            <w:vAlign w:val="center"/>
          </w:tcPr>
          <w:p w14:paraId="5490A035">
            <w:pPr>
              <w:widowControl/>
              <w:shd w:val="clear"/>
              <w:spacing w:line="280" w:lineRule="exact"/>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Y＜300</w:t>
            </w:r>
          </w:p>
        </w:tc>
      </w:tr>
      <w:tr w14:paraId="7A427C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Merge w:val="restart"/>
            <w:noWrap w:val="0"/>
            <w:vAlign w:val="center"/>
          </w:tcPr>
          <w:p w14:paraId="6CBE6196">
            <w:pPr>
              <w:widowControl/>
              <w:shd w:val="clear"/>
              <w:spacing w:line="280" w:lineRule="exact"/>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建筑业</w:t>
            </w:r>
          </w:p>
        </w:tc>
        <w:tc>
          <w:tcPr>
            <w:tcW w:w="1369" w:type="dxa"/>
            <w:noWrap w:val="0"/>
            <w:vAlign w:val="center"/>
          </w:tcPr>
          <w:p w14:paraId="7650FF07">
            <w:pPr>
              <w:widowControl/>
              <w:shd w:val="clear"/>
              <w:spacing w:line="280" w:lineRule="exact"/>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营业收入(Y)</w:t>
            </w:r>
          </w:p>
        </w:tc>
        <w:tc>
          <w:tcPr>
            <w:tcW w:w="709" w:type="dxa"/>
            <w:noWrap w:val="0"/>
            <w:vAlign w:val="center"/>
          </w:tcPr>
          <w:p w14:paraId="1D68D524">
            <w:pPr>
              <w:widowControl/>
              <w:shd w:val="clear"/>
              <w:spacing w:line="280" w:lineRule="exact"/>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万元</w:t>
            </w:r>
          </w:p>
        </w:tc>
        <w:tc>
          <w:tcPr>
            <w:tcW w:w="1125" w:type="dxa"/>
            <w:noWrap w:val="0"/>
            <w:vAlign w:val="center"/>
          </w:tcPr>
          <w:p w14:paraId="08EA7308">
            <w:pPr>
              <w:widowControl/>
              <w:shd w:val="clear"/>
              <w:spacing w:line="280" w:lineRule="exact"/>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Y≥80000</w:t>
            </w:r>
          </w:p>
        </w:tc>
        <w:tc>
          <w:tcPr>
            <w:tcW w:w="1701" w:type="dxa"/>
            <w:noWrap w:val="0"/>
            <w:vAlign w:val="center"/>
          </w:tcPr>
          <w:p w14:paraId="59BEE335">
            <w:pPr>
              <w:widowControl/>
              <w:shd w:val="clear"/>
              <w:spacing w:line="280" w:lineRule="exact"/>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6000≤Y＜80000</w:t>
            </w:r>
          </w:p>
        </w:tc>
        <w:tc>
          <w:tcPr>
            <w:tcW w:w="1426" w:type="dxa"/>
            <w:noWrap w:val="0"/>
            <w:vAlign w:val="center"/>
          </w:tcPr>
          <w:p w14:paraId="3182E7EE">
            <w:pPr>
              <w:widowControl/>
              <w:shd w:val="clear"/>
              <w:spacing w:line="280" w:lineRule="exact"/>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300≤Y＜6000</w:t>
            </w:r>
          </w:p>
        </w:tc>
        <w:tc>
          <w:tcPr>
            <w:tcW w:w="992" w:type="dxa"/>
            <w:noWrap w:val="0"/>
            <w:vAlign w:val="center"/>
          </w:tcPr>
          <w:p w14:paraId="23C2896E">
            <w:pPr>
              <w:widowControl/>
              <w:shd w:val="clear"/>
              <w:spacing w:line="280" w:lineRule="exact"/>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Y＜300</w:t>
            </w:r>
          </w:p>
        </w:tc>
      </w:tr>
      <w:tr w14:paraId="3C83C4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Merge w:val="continue"/>
            <w:noWrap w:val="0"/>
            <w:vAlign w:val="center"/>
          </w:tcPr>
          <w:p w14:paraId="5FBB5442">
            <w:pPr>
              <w:widowControl/>
              <w:shd w:val="clear"/>
              <w:spacing w:line="280" w:lineRule="exact"/>
              <w:jc w:val="left"/>
              <w:rPr>
                <w:rFonts w:hint="eastAsia" w:ascii="宋体" w:hAnsi="宋体" w:eastAsia="宋体" w:cs="宋体"/>
                <w:color w:val="auto"/>
                <w:kern w:val="0"/>
                <w:sz w:val="18"/>
                <w:szCs w:val="18"/>
                <w:highlight w:val="none"/>
              </w:rPr>
            </w:pPr>
          </w:p>
        </w:tc>
        <w:tc>
          <w:tcPr>
            <w:tcW w:w="1369" w:type="dxa"/>
            <w:noWrap w:val="0"/>
            <w:vAlign w:val="center"/>
          </w:tcPr>
          <w:p w14:paraId="0D2D6F7A">
            <w:pPr>
              <w:widowControl/>
              <w:shd w:val="clear"/>
              <w:spacing w:line="280" w:lineRule="exact"/>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资产总额(Z)</w:t>
            </w:r>
          </w:p>
        </w:tc>
        <w:tc>
          <w:tcPr>
            <w:tcW w:w="709" w:type="dxa"/>
            <w:noWrap w:val="0"/>
            <w:vAlign w:val="center"/>
          </w:tcPr>
          <w:p w14:paraId="5B8E76CC">
            <w:pPr>
              <w:widowControl/>
              <w:shd w:val="clear"/>
              <w:spacing w:line="280" w:lineRule="exact"/>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万元</w:t>
            </w:r>
          </w:p>
        </w:tc>
        <w:tc>
          <w:tcPr>
            <w:tcW w:w="1125" w:type="dxa"/>
            <w:noWrap w:val="0"/>
            <w:vAlign w:val="center"/>
          </w:tcPr>
          <w:p w14:paraId="2B9071A1">
            <w:pPr>
              <w:widowControl/>
              <w:shd w:val="clear"/>
              <w:spacing w:line="280" w:lineRule="exact"/>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Z≥80000</w:t>
            </w:r>
          </w:p>
        </w:tc>
        <w:tc>
          <w:tcPr>
            <w:tcW w:w="1701" w:type="dxa"/>
            <w:noWrap w:val="0"/>
            <w:vAlign w:val="center"/>
          </w:tcPr>
          <w:p w14:paraId="0FDC2B1F">
            <w:pPr>
              <w:widowControl/>
              <w:shd w:val="clear"/>
              <w:spacing w:line="280" w:lineRule="exact"/>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5000≤Z＜80000</w:t>
            </w:r>
          </w:p>
        </w:tc>
        <w:tc>
          <w:tcPr>
            <w:tcW w:w="1426" w:type="dxa"/>
            <w:noWrap w:val="0"/>
            <w:vAlign w:val="center"/>
          </w:tcPr>
          <w:p w14:paraId="4B9453F9">
            <w:pPr>
              <w:widowControl/>
              <w:shd w:val="clear"/>
              <w:spacing w:line="280" w:lineRule="exact"/>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300≤Z＜5000</w:t>
            </w:r>
          </w:p>
        </w:tc>
        <w:tc>
          <w:tcPr>
            <w:tcW w:w="992" w:type="dxa"/>
            <w:noWrap w:val="0"/>
            <w:vAlign w:val="center"/>
          </w:tcPr>
          <w:p w14:paraId="2BF00CF9">
            <w:pPr>
              <w:widowControl/>
              <w:shd w:val="clear"/>
              <w:spacing w:line="280" w:lineRule="exact"/>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Z＜300</w:t>
            </w:r>
          </w:p>
        </w:tc>
      </w:tr>
      <w:tr w14:paraId="423BE2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Merge w:val="restart"/>
            <w:noWrap w:val="0"/>
            <w:vAlign w:val="center"/>
          </w:tcPr>
          <w:p w14:paraId="5D048D1A">
            <w:pPr>
              <w:widowControl/>
              <w:shd w:val="clear"/>
              <w:spacing w:line="280" w:lineRule="exact"/>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批发业</w:t>
            </w:r>
          </w:p>
        </w:tc>
        <w:tc>
          <w:tcPr>
            <w:tcW w:w="1369" w:type="dxa"/>
            <w:noWrap w:val="0"/>
            <w:vAlign w:val="center"/>
          </w:tcPr>
          <w:p w14:paraId="506C8EB3">
            <w:pPr>
              <w:widowControl/>
              <w:shd w:val="clear"/>
              <w:spacing w:line="280" w:lineRule="exact"/>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从业人员(X)</w:t>
            </w:r>
          </w:p>
        </w:tc>
        <w:tc>
          <w:tcPr>
            <w:tcW w:w="709" w:type="dxa"/>
            <w:noWrap w:val="0"/>
            <w:vAlign w:val="center"/>
          </w:tcPr>
          <w:p w14:paraId="791ED639">
            <w:pPr>
              <w:widowControl/>
              <w:shd w:val="clear"/>
              <w:spacing w:line="280" w:lineRule="exact"/>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人</w:t>
            </w:r>
          </w:p>
        </w:tc>
        <w:tc>
          <w:tcPr>
            <w:tcW w:w="1125" w:type="dxa"/>
            <w:noWrap w:val="0"/>
            <w:vAlign w:val="center"/>
          </w:tcPr>
          <w:p w14:paraId="1F00E005">
            <w:pPr>
              <w:widowControl/>
              <w:shd w:val="clear"/>
              <w:spacing w:line="280" w:lineRule="exact"/>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X≥200</w:t>
            </w:r>
          </w:p>
        </w:tc>
        <w:tc>
          <w:tcPr>
            <w:tcW w:w="1701" w:type="dxa"/>
            <w:noWrap w:val="0"/>
            <w:vAlign w:val="center"/>
          </w:tcPr>
          <w:p w14:paraId="4B93D013">
            <w:pPr>
              <w:widowControl/>
              <w:shd w:val="clear"/>
              <w:spacing w:line="280" w:lineRule="exact"/>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20≤X＜200</w:t>
            </w:r>
          </w:p>
        </w:tc>
        <w:tc>
          <w:tcPr>
            <w:tcW w:w="1426" w:type="dxa"/>
            <w:noWrap w:val="0"/>
            <w:vAlign w:val="center"/>
          </w:tcPr>
          <w:p w14:paraId="5C1D4EA5">
            <w:pPr>
              <w:widowControl/>
              <w:shd w:val="clear"/>
              <w:spacing w:line="280" w:lineRule="exact"/>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5≤X＜20</w:t>
            </w:r>
          </w:p>
        </w:tc>
        <w:tc>
          <w:tcPr>
            <w:tcW w:w="992" w:type="dxa"/>
            <w:noWrap w:val="0"/>
            <w:vAlign w:val="center"/>
          </w:tcPr>
          <w:p w14:paraId="7D6466FC">
            <w:pPr>
              <w:widowControl/>
              <w:shd w:val="clear"/>
              <w:spacing w:line="280" w:lineRule="exact"/>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X＜5</w:t>
            </w:r>
          </w:p>
        </w:tc>
      </w:tr>
      <w:tr w14:paraId="0ECB52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Merge w:val="continue"/>
            <w:noWrap w:val="0"/>
            <w:vAlign w:val="center"/>
          </w:tcPr>
          <w:p w14:paraId="5466B019">
            <w:pPr>
              <w:widowControl/>
              <w:shd w:val="clear"/>
              <w:spacing w:line="280" w:lineRule="exact"/>
              <w:jc w:val="left"/>
              <w:rPr>
                <w:rFonts w:hint="eastAsia" w:ascii="宋体" w:hAnsi="宋体" w:eastAsia="宋体" w:cs="宋体"/>
                <w:color w:val="auto"/>
                <w:kern w:val="0"/>
                <w:sz w:val="18"/>
                <w:szCs w:val="18"/>
                <w:highlight w:val="none"/>
              </w:rPr>
            </w:pPr>
          </w:p>
        </w:tc>
        <w:tc>
          <w:tcPr>
            <w:tcW w:w="1369" w:type="dxa"/>
            <w:noWrap w:val="0"/>
            <w:vAlign w:val="center"/>
          </w:tcPr>
          <w:p w14:paraId="0E39D893">
            <w:pPr>
              <w:widowControl/>
              <w:shd w:val="clear"/>
              <w:spacing w:line="280" w:lineRule="exact"/>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营业收入(Y)</w:t>
            </w:r>
          </w:p>
        </w:tc>
        <w:tc>
          <w:tcPr>
            <w:tcW w:w="709" w:type="dxa"/>
            <w:noWrap w:val="0"/>
            <w:vAlign w:val="center"/>
          </w:tcPr>
          <w:p w14:paraId="06BDBDF0">
            <w:pPr>
              <w:widowControl/>
              <w:shd w:val="clear"/>
              <w:spacing w:line="280" w:lineRule="exact"/>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万元</w:t>
            </w:r>
          </w:p>
        </w:tc>
        <w:tc>
          <w:tcPr>
            <w:tcW w:w="1125" w:type="dxa"/>
            <w:noWrap w:val="0"/>
            <w:vAlign w:val="center"/>
          </w:tcPr>
          <w:p w14:paraId="4EB281B5">
            <w:pPr>
              <w:widowControl/>
              <w:shd w:val="clear"/>
              <w:spacing w:line="280" w:lineRule="exact"/>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Y≥40000</w:t>
            </w:r>
          </w:p>
        </w:tc>
        <w:tc>
          <w:tcPr>
            <w:tcW w:w="1701" w:type="dxa"/>
            <w:noWrap w:val="0"/>
            <w:vAlign w:val="center"/>
          </w:tcPr>
          <w:p w14:paraId="4A2DE642">
            <w:pPr>
              <w:widowControl/>
              <w:shd w:val="clear"/>
              <w:spacing w:line="280" w:lineRule="exact"/>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5000≤Y＜40000</w:t>
            </w:r>
          </w:p>
        </w:tc>
        <w:tc>
          <w:tcPr>
            <w:tcW w:w="1426" w:type="dxa"/>
            <w:noWrap w:val="0"/>
            <w:vAlign w:val="center"/>
          </w:tcPr>
          <w:p w14:paraId="6D1B4FAD">
            <w:pPr>
              <w:widowControl/>
              <w:shd w:val="clear"/>
              <w:spacing w:line="280" w:lineRule="exact"/>
              <w:ind w:left="-1" w:leftChars="-1" w:hanging="1"/>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1000≤Y＜5000</w:t>
            </w:r>
          </w:p>
        </w:tc>
        <w:tc>
          <w:tcPr>
            <w:tcW w:w="992" w:type="dxa"/>
            <w:noWrap w:val="0"/>
            <w:vAlign w:val="center"/>
          </w:tcPr>
          <w:p w14:paraId="73F9C377">
            <w:pPr>
              <w:widowControl/>
              <w:shd w:val="clear"/>
              <w:spacing w:line="280" w:lineRule="exact"/>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Y＜1000</w:t>
            </w:r>
          </w:p>
        </w:tc>
      </w:tr>
      <w:tr w14:paraId="695F32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Merge w:val="restart"/>
            <w:noWrap w:val="0"/>
            <w:vAlign w:val="center"/>
          </w:tcPr>
          <w:p w14:paraId="5B2DF3B0">
            <w:pPr>
              <w:widowControl/>
              <w:shd w:val="clear"/>
              <w:spacing w:line="280" w:lineRule="exact"/>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零售业</w:t>
            </w:r>
          </w:p>
        </w:tc>
        <w:tc>
          <w:tcPr>
            <w:tcW w:w="1369" w:type="dxa"/>
            <w:noWrap w:val="0"/>
            <w:vAlign w:val="center"/>
          </w:tcPr>
          <w:p w14:paraId="27FE1A96">
            <w:pPr>
              <w:widowControl/>
              <w:shd w:val="clear"/>
              <w:spacing w:line="280" w:lineRule="exact"/>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从业人员(X)</w:t>
            </w:r>
          </w:p>
        </w:tc>
        <w:tc>
          <w:tcPr>
            <w:tcW w:w="709" w:type="dxa"/>
            <w:noWrap w:val="0"/>
            <w:vAlign w:val="center"/>
          </w:tcPr>
          <w:p w14:paraId="434A829E">
            <w:pPr>
              <w:widowControl/>
              <w:shd w:val="clear"/>
              <w:spacing w:line="280" w:lineRule="exact"/>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人</w:t>
            </w:r>
          </w:p>
        </w:tc>
        <w:tc>
          <w:tcPr>
            <w:tcW w:w="1125" w:type="dxa"/>
            <w:noWrap w:val="0"/>
            <w:vAlign w:val="center"/>
          </w:tcPr>
          <w:p w14:paraId="6A1ACA63">
            <w:pPr>
              <w:widowControl/>
              <w:shd w:val="clear"/>
              <w:spacing w:line="280" w:lineRule="exact"/>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X≥300</w:t>
            </w:r>
          </w:p>
        </w:tc>
        <w:tc>
          <w:tcPr>
            <w:tcW w:w="1701" w:type="dxa"/>
            <w:noWrap w:val="0"/>
            <w:vAlign w:val="center"/>
          </w:tcPr>
          <w:p w14:paraId="40B2C85E">
            <w:pPr>
              <w:widowControl/>
              <w:shd w:val="clear"/>
              <w:spacing w:line="280" w:lineRule="exact"/>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50≤X＜300</w:t>
            </w:r>
          </w:p>
        </w:tc>
        <w:tc>
          <w:tcPr>
            <w:tcW w:w="1426" w:type="dxa"/>
            <w:noWrap w:val="0"/>
            <w:vAlign w:val="center"/>
          </w:tcPr>
          <w:p w14:paraId="4ACBD57C">
            <w:pPr>
              <w:widowControl/>
              <w:shd w:val="clear"/>
              <w:spacing w:line="280" w:lineRule="exact"/>
              <w:ind w:left="-1" w:leftChars="-1" w:hanging="1"/>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 xml:space="preserve">10≤X＜50 </w:t>
            </w:r>
          </w:p>
        </w:tc>
        <w:tc>
          <w:tcPr>
            <w:tcW w:w="992" w:type="dxa"/>
            <w:noWrap w:val="0"/>
            <w:vAlign w:val="center"/>
          </w:tcPr>
          <w:p w14:paraId="7533BD83">
            <w:pPr>
              <w:widowControl/>
              <w:shd w:val="clear"/>
              <w:spacing w:line="280" w:lineRule="exact"/>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X＜10</w:t>
            </w:r>
          </w:p>
        </w:tc>
      </w:tr>
      <w:tr w14:paraId="3E3355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Merge w:val="continue"/>
            <w:noWrap w:val="0"/>
            <w:vAlign w:val="center"/>
          </w:tcPr>
          <w:p w14:paraId="17DCE7B6">
            <w:pPr>
              <w:widowControl/>
              <w:shd w:val="clear"/>
              <w:spacing w:line="280" w:lineRule="exact"/>
              <w:jc w:val="left"/>
              <w:rPr>
                <w:rFonts w:hint="eastAsia" w:ascii="宋体" w:hAnsi="宋体" w:eastAsia="宋体" w:cs="宋体"/>
                <w:color w:val="auto"/>
                <w:kern w:val="0"/>
                <w:sz w:val="18"/>
                <w:szCs w:val="18"/>
                <w:highlight w:val="none"/>
              </w:rPr>
            </w:pPr>
          </w:p>
        </w:tc>
        <w:tc>
          <w:tcPr>
            <w:tcW w:w="1369" w:type="dxa"/>
            <w:noWrap w:val="0"/>
            <w:vAlign w:val="center"/>
          </w:tcPr>
          <w:p w14:paraId="25E4AFDF">
            <w:pPr>
              <w:widowControl/>
              <w:shd w:val="clear"/>
              <w:spacing w:line="280" w:lineRule="exact"/>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营业收入(Y)</w:t>
            </w:r>
          </w:p>
        </w:tc>
        <w:tc>
          <w:tcPr>
            <w:tcW w:w="709" w:type="dxa"/>
            <w:noWrap w:val="0"/>
            <w:vAlign w:val="center"/>
          </w:tcPr>
          <w:p w14:paraId="749C885B">
            <w:pPr>
              <w:widowControl/>
              <w:shd w:val="clear"/>
              <w:spacing w:line="280" w:lineRule="exact"/>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万元</w:t>
            </w:r>
          </w:p>
        </w:tc>
        <w:tc>
          <w:tcPr>
            <w:tcW w:w="1125" w:type="dxa"/>
            <w:noWrap w:val="0"/>
            <w:vAlign w:val="center"/>
          </w:tcPr>
          <w:p w14:paraId="0FEA5E11">
            <w:pPr>
              <w:widowControl/>
              <w:shd w:val="clear"/>
              <w:spacing w:line="280" w:lineRule="exact"/>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Y≥20000</w:t>
            </w:r>
          </w:p>
        </w:tc>
        <w:tc>
          <w:tcPr>
            <w:tcW w:w="1701" w:type="dxa"/>
            <w:noWrap w:val="0"/>
            <w:vAlign w:val="center"/>
          </w:tcPr>
          <w:p w14:paraId="38BCA1BA">
            <w:pPr>
              <w:widowControl/>
              <w:shd w:val="clear"/>
              <w:spacing w:line="280" w:lineRule="exact"/>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500≤Y＜20000</w:t>
            </w:r>
          </w:p>
        </w:tc>
        <w:tc>
          <w:tcPr>
            <w:tcW w:w="1426" w:type="dxa"/>
            <w:noWrap w:val="0"/>
            <w:vAlign w:val="center"/>
          </w:tcPr>
          <w:p w14:paraId="2EFCD3A6">
            <w:pPr>
              <w:widowControl/>
              <w:shd w:val="clear"/>
              <w:spacing w:line="280" w:lineRule="exact"/>
              <w:ind w:left="-1" w:leftChars="-1" w:hanging="1"/>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100≤Y＜500</w:t>
            </w:r>
          </w:p>
        </w:tc>
        <w:tc>
          <w:tcPr>
            <w:tcW w:w="992" w:type="dxa"/>
            <w:noWrap w:val="0"/>
            <w:vAlign w:val="center"/>
          </w:tcPr>
          <w:p w14:paraId="01C96747">
            <w:pPr>
              <w:widowControl/>
              <w:shd w:val="clear"/>
              <w:spacing w:line="280" w:lineRule="exact"/>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Y＜100</w:t>
            </w:r>
          </w:p>
        </w:tc>
      </w:tr>
      <w:tr w14:paraId="69A000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Merge w:val="restart"/>
            <w:noWrap w:val="0"/>
            <w:vAlign w:val="center"/>
          </w:tcPr>
          <w:p w14:paraId="3B221A8A">
            <w:pPr>
              <w:widowControl/>
              <w:shd w:val="clear"/>
              <w:spacing w:line="280" w:lineRule="exact"/>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交通运输业 *</w:t>
            </w:r>
          </w:p>
        </w:tc>
        <w:tc>
          <w:tcPr>
            <w:tcW w:w="1369" w:type="dxa"/>
            <w:noWrap w:val="0"/>
            <w:vAlign w:val="center"/>
          </w:tcPr>
          <w:p w14:paraId="6405ED32">
            <w:pPr>
              <w:widowControl/>
              <w:shd w:val="clear"/>
              <w:spacing w:line="280" w:lineRule="exact"/>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从业人员(X)</w:t>
            </w:r>
          </w:p>
        </w:tc>
        <w:tc>
          <w:tcPr>
            <w:tcW w:w="709" w:type="dxa"/>
            <w:noWrap w:val="0"/>
            <w:vAlign w:val="center"/>
          </w:tcPr>
          <w:p w14:paraId="468CB83A">
            <w:pPr>
              <w:widowControl/>
              <w:shd w:val="clear"/>
              <w:spacing w:line="280" w:lineRule="exact"/>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人</w:t>
            </w:r>
          </w:p>
        </w:tc>
        <w:tc>
          <w:tcPr>
            <w:tcW w:w="1125" w:type="dxa"/>
            <w:noWrap w:val="0"/>
            <w:vAlign w:val="center"/>
          </w:tcPr>
          <w:p w14:paraId="2188A7BB">
            <w:pPr>
              <w:widowControl/>
              <w:shd w:val="clear"/>
              <w:spacing w:line="280" w:lineRule="exact"/>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X≥1000</w:t>
            </w:r>
          </w:p>
        </w:tc>
        <w:tc>
          <w:tcPr>
            <w:tcW w:w="1701" w:type="dxa"/>
            <w:noWrap w:val="0"/>
            <w:vAlign w:val="center"/>
          </w:tcPr>
          <w:p w14:paraId="17149448">
            <w:pPr>
              <w:widowControl/>
              <w:shd w:val="clear"/>
              <w:spacing w:line="280" w:lineRule="exact"/>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300≤X＜1000</w:t>
            </w:r>
          </w:p>
        </w:tc>
        <w:tc>
          <w:tcPr>
            <w:tcW w:w="1426" w:type="dxa"/>
            <w:noWrap w:val="0"/>
            <w:vAlign w:val="center"/>
          </w:tcPr>
          <w:p w14:paraId="436B0592">
            <w:pPr>
              <w:widowControl/>
              <w:shd w:val="clear"/>
              <w:spacing w:line="280" w:lineRule="exact"/>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20≤X＜300</w:t>
            </w:r>
          </w:p>
        </w:tc>
        <w:tc>
          <w:tcPr>
            <w:tcW w:w="992" w:type="dxa"/>
            <w:noWrap w:val="0"/>
            <w:vAlign w:val="center"/>
          </w:tcPr>
          <w:p w14:paraId="2128AE8C">
            <w:pPr>
              <w:widowControl/>
              <w:shd w:val="clear"/>
              <w:spacing w:line="280" w:lineRule="exact"/>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X＜20</w:t>
            </w:r>
          </w:p>
        </w:tc>
      </w:tr>
      <w:tr w14:paraId="2EB6B8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Merge w:val="continue"/>
            <w:noWrap w:val="0"/>
            <w:vAlign w:val="center"/>
          </w:tcPr>
          <w:p w14:paraId="2F58E8D1">
            <w:pPr>
              <w:widowControl/>
              <w:shd w:val="clear"/>
              <w:spacing w:line="280" w:lineRule="exact"/>
              <w:jc w:val="left"/>
              <w:rPr>
                <w:rFonts w:hint="eastAsia" w:ascii="宋体" w:hAnsi="宋体" w:eastAsia="宋体" w:cs="宋体"/>
                <w:color w:val="auto"/>
                <w:kern w:val="0"/>
                <w:sz w:val="18"/>
                <w:szCs w:val="18"/>
                <w:highlight w:val="none"/>
              </w:rPr>
            </w:pPr>
          </w:p>
        </w:tc>
        <w:tc>
          <w:tcPr>
            <w:tcW w:w="1369" w:type="dxa"/>
            <w:noWrap w:val="0"/>
            <w:vAlign w:val="center"/>
          </w:tcPr>
          <w:p w14:paraId="500725A0">
            <w:pPr>
              <w:widowControl/>
              <w:shd w:val="clear"/>
              <w:spacing w:line="280" w:lineRule="exact"/>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营业收入(Y)</w:t>
            </w:r>
          </w:p>
        </w:tc>
        <w:tc>
          <w:tcPr>
            <w:tcW w:w="709" w:type="dxa"/>
            <w:noWrap w:val="0"/>
            <w:vAlign w:val="center"/>
          </w:tcPr>
          <w:p w14:paraId="5AD115BE">
            <w:pPr>
              <w:widowControl/>
              <w:shd w:val="clear"/>
              <w:spacing w:line="280" w:lineRule="exact"/>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万元</w:t>
            </w:r>
          </w:p>
        </w:tc>
        <w:tc>
          <w:tcPr>
            <w:tcW w:w="1125" w:type="dxa"/>
            <w:noWrap w:val="0"/>
            <w:vAlign w:val="center"/>
          </w:tcPr>
          <w:p w14:paraId="107AB25B">
            <w:pPr>
              <w:widowControl/>
              <w:shd w:val="clear"/>
              <w:spacing w:line="280" w:lineRule="exact"/>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Y≥30000</w:t>
            </w:r>
          </w:p>
        </w:tc>
        <w:tc>
          <w:tcPr>
            <w:tcW w:w="1701" w:type="dxa"/>
            <w:noWrap w:val="0"/>
            <w:vAlign w:val="center"/>
          </w:tcPr>
          <w:p w14:paraId="656F7264">
            <w:pPr>
              <w:widowControl/>
              <w:shd w:val="clear"/>
              <w:spacing w:line="280" w:lineRule="exact"/>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3000≤Y＜30000</w:t>
            </w:r>
          </w:p>
        </w:tc>
        <w:tc>
          <w:tcPr>
            <w:tcW w:w="1426" w:type="dxa"/>
            <w:noWrap w:val="0"/>
            <w:vAlign w:val="center"/>
          </w:tcPr>
          <w:p w14:paraId="16245DA4">
            <w:pPr>
              <w:widowControl/>
              <w:shd w:val="clear"/>
              <w:spacing w:line="280" w:lineRule="exact"/>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200≤Y＜3000</w:t>
            </w:r>
          </w:p>
        </w:tc>
        <w:tc>
          <w:tcPr>
            <w:tcW w:w="992" w:type="dxa"/>
            <w:noWrap w:val="0"/>
            <w:vAlign w:val="center"/>
          </w:tcPr>
          <w:p w14:paraId="34D9DB28">
            <w:pPr>
              <w:widowControl/>
              <w:shd w:val="clear"/>
              <w:spacing w:line="280" w:lineRule="exact"/>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Y＜200</w:t>
            </w:r>
          </w:p>
        </w:tc>
      </w:tr>
      <w:tr w14:paraId="0FE207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Merge w:val="restart"/>
            <w:noWrap w:val="0"/>
            <w:vAlign w:val="center"/>
          </w:tcPr>
          <w:p w14:paraId="479A1E5D">
            <w:pPr>
              <w:widowControl/>
              <w:shd w:val="clear"/>
              <w:spacing w:line="280" w:lineRule="exact"/>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仓储业*</w:t>
            </w:r>
          </w:p>
        </w:tc>
        <w:tc>
          <w:tcPr>
            <w:tcW w:w="1369" w:type="dxa"/>
            <w:noWrap w:val="0"/>
            <w:vAlign w:val="center"/>
          </w:tcPr>
          <w:p w14:paraId="384D88C5">
            <w:pPr>
              <w:widowControl/>
              <w:shd w:val="clear"/>
              <w:spacing w:line="280" w:lineRule="exact"/>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从业人员(X)</w:t>
            </w:r>
          </w:p>
        </w:tc>
        <w:tc>
          <w:tcPr>
            <w:tcW w:w="709" w:type="dxa"/>
            <w:noWrap w:val="0"/>
            <w:vAlign w:val="center"/>
          </w:tcPr>
          <w:p w14:paraId="550AF19E">
            <w:pPr>
              <w:widowControl/>
              <w:shd w:val="clear"/>
              <w:spacing w:line="280" w:lineRule="exact"/>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人</w:t>
            </w:r>
          </w:p>
        </w:tc>
        <w:tc>
          <w:tcPr>
            <w:tcW w:w="1125" w:type="dxa"/>
            <w:noWrap w:val="0"/>
            <w:vAlign w:val="center"/>
          </w:tcPr>
          <w:p w14:paraId="02497E1B">
            <w:pPr>
              <w:widowControl/>
              <w:shd w:val="clear"/>
              <w:spacing w:line="280" w:lineRule="exact"/>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X≥200</w:t>
            </w:r>
          </w:p>
        </w:tc>
        <w:tc>
          <w:tcPr>
            <w:tcW w:w="1701" w:type="dxa"/>
            <w:noWrap w:val="0"/>
            <w:vAlign w:val="center"/>
          </w:tcPr>
          <w:p w14:paraId="21C2E76A">
            <w:pPr>
              <w:widowControl/>
              <w:shd w:val="clear"/>
              <w:spacing w:line="280" w:lineRule="exact"/>
              <w:ind w:left="1" w:leftChars="-51" w:hanging="108" w:hangingChars="60"/>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100≤X＜200</w:t>
            </w:r>
          </w:p>
        </w:tc>
        <w:tc>
          <w:tcPr>
            <w:tcW w:w="1426" w:type="dxa"/>
            <w:noWrap w:val="0"/>
            <w:vAlign w:val="center"/>
          </w:tcPr>
          <w:p w14:paraId="5ACA9B91">
            <w:pPr>
              <w:widowControl/>
              <w:shd w:val="clear"/>
              <w:spacing w:line="280" w:lineRule="exact"/>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20≤X＜100</w:t>
            </w:r>
          </w:p>
        </w:tc>
        <w:tc>
          <w:tcPr>
            <w:tcW w:w="992" w:type="dxa"/>
            <w:noWrap w:val="0"/>
            <w:vAlign w:val="center"/>
          </w:tcPr>
          <w:p w14:paraId="28454296">
            <w:pPr>
              <w:widowControl/>
              <w:shd w:val="clear"/>
              <w:spacing w:line="280" w:lineRule="exact"/>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X＜20</w:t>
            </w:r>
          </w:p>
        </w:tc>
      </w:tr>
      <w:tr w14:paraId="4E8BD3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Merge w:val="continue"/>
            <w:noWrap w:val="0"/>
            <w:vAlign w:val="center"/>
          </w:tcPr>
          <w:p w14:paraId="4F700783">
            <w:pPr>
              <w:widowControl/>
              <w:shd w:val="clear"/>
              <w:spacing w:line="280" w:lineRule="exact"/>
              <w:jc w:val="left"/>
              <w:rPr>
                <w:rFonts w:hint="eastAsia" w:ascii="宋体" w:hAnsi="宋体" w:eastAsia="宋体" w:cs="宋体"/>
                <w:color w:val="auto"/>
                <w:kern w:val="0"/>
                <w:sz w:val="18"/>
                <w:szCs w:val="18"/>
                <w:highlight w:val="none"/>
              </w:rPr>
            </w:pPr>
          </w:p>
        </w:tc>
        <w:tc>
          <w:tcPr>
            <w:tcW w:w="1369" w:type="dxa"/>
            <w:noWrap w:val="0"/>
            <w:vAlign w:val="center"/>
          </w:tcPr>
          <w:p w14:paraId="292581A5">
            <w:pPr>
              <w:widowControl/>
              <w:shd w:val="clear"/>
              <w:spacing w:line="280" w:lineRule="exact"/>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营业收入(Y)</w:t>
            </w:r>
          </w:p>
        </w:tc>
        <w:tc>
          <w:tcPr>
            <w:tcW w:w="709" w:type="dxa"/>
            <w:noWrap w:val="0"/>
            <w:vAlign w:val="center"/>
          </w:tcPr>
          <w:p w14:paraId="106E46E4">
            <w:pPr>
              <w:widowControl/>
              <w:shd w:val="clear"/>
              <w:spacing w:line="280" w:lineRule="exact"/>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万元</w:t>
            </w:r>
          </w:p>
        </w:tc>
        <w:tc>
          <w:tcPr>
            <w:tcW w:w="1125" w:type="dxa"/>
            <w:noWrap w:val="0"/>
            <w:vAlign w:val="center"/>
          </w:tcPr>
          <w:p w14:paraId="7D52F099">
            <w:pPr>
              <w:widowControl/>
              <w:shd w:val="clear"/>
              <w:spacing w:line="280" w:lineRule="exact"/>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Y≥30000</w:t>
            </w:r>
          </w:p>
        </w:tc>
        <w:tc>
          <w:tcPr>
            <w:tcW w:w="1701" w:type="dxa"/>
            <w:noWrap w:val="0"/>
            <w:vAlign w:val="center"/>
          </w:tcPr>
          <w:p w14:paraId="694CEC46">
            <w:pPr>
              <w:widowControl/>
              <w:shd w:val="clear"/>
              <w:spacing w:line="280" w:lineRule="exact"/>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1000≤Y＜30000</w:t>
            </w:r>
          </w:p>
        </w:tc>
        <w:tc>
          <w:tcPr>
            <w:tcW w:w="1426" w:type="dxa"/>
            <w:noWrap w:val="0"/>
            <w:vAlign w:val="center"/>
          </w:tcPr>
          <w:p w14:paraId="1F754C4B">
            <w:pPr>
              <w:widowControl/>
              <w:shd w:val="clear"/>
              <w:spacing w:line="280" w:lineRule="exact"/>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100≤Y＜1000</w:t>
            </w:r>
          </w:p>
        </w:tc>
        <w:tc>
          <w:tcPr>
            <w:tcW w:w="992" w:type="dxa"/>
            <w:noWrap w:val="0"/>
            <w:vAlign w:val="center"/>
          </w:tcPr>
          <w:p w14:paraId="69F9BE02">
            <w:pPr>
              <w:widowControl/>
              <w:shd w:val="clear"/>
              <w:spacing w:line="280" w:lineRule="exact"/>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Y＜100</w:t>
            </w:r>
          </w:p>
        </w:tc>
      </w:tr>
      <w:tr w14:paraId="3E976E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Merge w:val="restart"/>
            <w:noWrap w:val="0"/>
            <w:vAlign w:val="center"/>
          </w:tcPr>
          <w:p w14:paraId="0A4F68D4">
            <w:pPr>
              <w:widowControl/>
              <w:shd w:val="clear"/>
              <w:spacing w:line="280" w:lineRule="exact"/>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邮政业</w:t>
            </w:r>
          </w:p>
        </w:tc>
        <w:tc>
          <w:tcPr>
            <w:tcW w:w="1369" w:type="dxa"/>
            <w:noWrap w:val="0"/>
            <w:vAlign w:val="center"/>
          </w:tcPr>
          <w:p w14:paraId="60616E7D">
            <w:pPr>
              <w:widowControl/>
              <w:shd w:val="clear"/>
              <w:spacing w:line="280" w:lineRule="exact"/>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从业人员(X)</w:t>
            </w:r>
          </w:p>
        </w:tc>
        <w:tc>
          <w:tcPr>
            <w:tcW w:w="709" w:type="dxa"/>
            <w:noWrap w:val="0"/>
            <w:vAlign w:val="center"/>
          </w:tcPr>
          <w:p w14:paraId="1404DCDD">
            <w:pPr>
              <w:widowControl/>
              <w:shd w:val="clear"/>
              <w:spacing w:line="280" w:lineRule="exact"/>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人</w:t>
            </w:r>
          </w:p>
        </w:tc>
        <w:tc>
          <w:tcPr>
            <w:tcW w:w="1125" w:type="dxa"/>
            <w:noWrap w:val="0"/>
            <w:vAlign w:val="center"/>
          </w:tcPr>
          <w:p w14:paraId="01C196BE">
            <w:pPr>
              <w:widowControl/>
              <w:shd w:val="clear"/>
              <w:spacing w:line="280" w:lineRule="exact"/>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X≥1000</w:t>
            </w:r>
          </w:p>
        </w:tc>
        <w:tc>
          <w:tcPr>
            <w:tcW w:w="1701" w:type="dxa"/>
            <w:noWrap w:val="0"/>
            <w:vAlign w:val="center"/>
          </w:tcPr>
          <w:p w14:paraId="5F3078BB">
            <w:pPr>
              <w:widowControl/>
              <w:shd w:val="clear"/>
              <w:spacing w:line="280" w:lineRule="exact"/>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300≤X＜1000</w:t>
            </w:r>
          </w:p>
        </w:tc>
        <w:tc>
          <w:tcPr>
            <w:tcW w:w="1426" w:type="dxa"/>
            <w:noWrap w:val="0"/>
            <w:vAlign w:val="center"/>
          </w:tcPr>
          <w:p w14:paraId="3A21262B">
            <w:pPr>
              <w:widowControl/>
              <w:shd w:val="clear"/>
              <w:spacing w:line="280" w:lineRule="exact"/>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20≤X＜300</w:t>
            </w:r>
          </w:p>
        </w:tc>
        <w:tc>
          <w:tcPr>
            <w:tcW w:w="992" w:type="dxa"/>
            <w:noWrap w:val="0"/>
            <w:vAlign w:val="center"/>
          </w:tcPr>
          <w:p w14:paraId="59B10F29">
            <w:pPr>
              <w:widowControl/>
              <w:shd w:val="clear"/>
              <w:spacing w:line="280" w:lineRule="exact"/>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X＜20</w:t>
            </w:r>
          </w:p>
        </w:tc>
      </w:tr>
      <w:tr w14:paraId="663CC5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Merge w:val="continue"/>
            <w:noWrap w:val="0"/>
            <w:vAlign w:val="center"/>
          </w:tcPr>
          <w:p w14:paraId="0944FC56">
            <w:pPr>
              <w:widowControl/>
              <w:shd w:val="clear"/>
              <w:spacing w:line="280" w:lineRule="exact"/>
              <w:jc w:val="left"/>
              <w:rPr>
                <w:rFonts w:hint="eastAsia" w:ascii="宋体" w:hAnsi="宋体" w:eastAsia="宋体" w:cs="宋体"/>
                <w:color w:val="auto"/>
                <w:kern w:val="0"/>
                <w:sz w:val="18"/>
                <w:szCs w:val="18"/>
                <w:highlight w:val="none"/>
              </w:rPr>
            </w:pPr>
          </w:p>
        </w:tc>
        <w:tc>
          <w:tcPr>
            <w:tcW w:w="1369" w:type="dxa"/>
            <w:noWrap w:val="0"/>
            <w:vAlign w:val="center"/>
          </w:tcPr>
          <w:p w14:paraId="06CCDCA0">
            <w:pPr>
              <w:widowControl/>
              <w:shd w:val="clear"/>
              <w:spacing w:line="280" w:lineRule="exact"/>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营业收入(Y)</w:t>
            </w:r>
          </w:p>
        </w:tc>
        <w:tc>
          <w:tcPr>
            <w:tcW w:w="709" w:type="dxa"/>
            <w:noWrap w:val="0"/>
            <w:vAlign w:val="center"/>
          </w:tcPr>
          <w:p w14:paraId="52010323">
            <w:pPr>
              <w:widowControl/>
              <w:shd w:val="clear"/>
              <w:spacing w:line="280" w:lineRule="exact"/>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万元</w:t>
            </w:r>
          </w:p>
        </w:tc>
        <w:tc>
          <w:tcPr>
            <w:tcW w:w="1125" w:type="dxa"/>
            <w:noWrap w:val="0"/>
            <w:vAlign w:val="center"/>
          </w:tcPr>
          <w:p w14:paraId="78DCF3B9">
            <w:pPr>
              <w:widowControl/>
              <w:shd w:val="clear"/>
              <w:spacing w:line="280" w:lineRule="exact"/>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Y≥30000</w:t>
            </w:r>
          </w:p>
        </w:tc>
        <w:tc>
          <w:tcPr>
            <w:tcW w:w="1701" w:type="dxa"/>
            <w:noWrap w:val="0"/>
            <w:vAlign w:val="center"/>
          </w:tcPr>
          <w:p w14:paraId="72A42540">
            <w:pPr>
              <w:widowControl/>
              <w:shd w:val="clear"/>
              <w:spacing w:line="280" w:lineRule="exact"/>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2000≤Y＜30000</w:t>
            </w:r>
          </w:p>
        </w:tc>
        <w:tc>
          <w:tcPr>
            <w:tcW w:w="1426" w:type="dxa"/>
            <w:noWrap w:val="0"/>
            <w:vAlign w:val="center"/>
          </w:tcPr>
          <w:p w14:paraId="2364C9F2">
            <w:pPr>
              <w:widowControl/>
              <w:shd w:val="clear"/>
              <w:spacing w:line="280" w:lineRule="exact"/>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100≤Y＜2000</w:t>
            </w:r>
          </w:p>
        </w:tc>
        <w:tc>
          <w:tcPr>
            <w:tcW w:w="992" w:type="dxa"/>
            <w:noWrap w:val="0"/>
            <w:vAlign w:val="center"/>
          </w:tcPr>
          <w:p w14:paraId="4BDBCB44">
            <w:pPr>
              <w:widowControl/>
              <w:shd w:val="clear"/>
              <w:spacing w:line="280" w:lineRule="exact"/>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Y＜100</w:t>
            </w:r>
          </w:p>
        </w:tc>
      </w:tr>
      <w:tr w14:paraId="187E8B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Merge w:val="restart"/>
            <w:noWrap w:val="0"/>
            <w:vAlign w:val="center"/>
          </w:tcPr>
          <w:p w14:paraId="68DB39FC">
            <w:pPr>
              <w:widowControl/>
              <w:shd w:val="clear"/>
              <w:spacing w:line="280" w:lineRule="exact"/>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住宿业</w:t>
            </w:r>
          </w:p>
        </w:tc>
        <w:tc>
          <w:tcPr>
            <w:tcW w:w="1369" w:type="dxa"/>
            <w:noWrap w:val="0"/>
            <w:vAlign w:val="center"/>
          </w:tcPr>
          <w:p w14:paraId="44F5F61C">
            <w:pPr>
              <w:widowControl/>
              <w:shd w:val="clear"/>
              <w:spacing w:line="280" w:lineRule="exact"/>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从业人员(X)</w:t>
            </w:r>
          </w:p>
        </w:tc>
        <w:tc>
          <w:tcPr>
            <w:tcW w:w="709" w:type="dxa"/>
            <w:noWrap w:val="0"/>
            <w:vAlign w:val="center"/>
          </w:tcPr>
          <w:p w14:paraId="18DE7C63">
            <w:pPr>
              <w:widowControl/>
              <w:shd w:val="clear"/>
              <w:spacing w:line="280" w:lineRule="exact"/>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人</w:t>
            </w:r>
          </w:p>
        </w:tc>
        <w:tc>
          <w:tcPr>
            <w:tcW w:w="1125" w:type="dxa"/>
            <w:noWrap w:val="0"/>
            <w:vAlign w:val="center"/>
          </w:tcPr>
          <w:p w14:paraId="29FF42DD">
            <w:pPr>
              <w:widowControl/>
              <w:shd w:val="clear"/>
              <w:spacing w:line="280" w:lineRule="exact"/>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X≥300</w:t>
            </w:r>
          </w:p>
        </w:tc>
        <w:tc>
          <w:tcPr>
            <w:tcW w:w="1701" w:type="dxa"/>
            <w:noWrap w:val="0"/>
            <w:vAlign w:val="center"/>
          </w:tcPr>
          <w:p w14:paraId="1531866B">
            <w:pPr>
              <w:widowControl/>
              <w:shd w:val="clear"/>
              <w:spacing w:line="280" w:lineRule="exact"/>
              <w:ind w:left="1" w:leftChars="-51" w:hanging="108" w:hangingChars="60"/>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100≤X＜300</w:t>
            </w:r>
          </w:p>
        </w:tc>
        <w:tc>
          <w:tcPr>
            <w:tcW w:w="1426" w:type="dxa"/>
            <w:noWrap w:val="0"/>
            <w:vAlign w:val="center"/>
          </w:tcPr>
          <w:p w14:paraId="4FCE3649">
            <w:pPr>
              <w:widowControl/>
              <w:shd w:val="clear"/>
              <w:spacing w:line="280" w:lineRule="exact"/>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10≤X＜100</w:t>
            </w:r>
          </w:p>
        </w:tc>
        <w:tc>
          <w:tcPr>
            <w:tcW w:w="992" w:type="dxa"/>
            <w:noWrap w:val="0"/>
            <w:vAlign w:val="center"/>
          </w:tcPr>
          <w:p w14:paraId="74049613">
            <w:pPr>
              <w:widowControl/>
              <w:shd w:val="clear"/>
              <w:spacing w:line="280" w:lineRule="exact"/>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X＜10</w:t>
            </w:r>
          </w:p>
        </w:tc>
      </w:tr>
      <w:tr w14:paraId="081D3A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Merge w:val="continue"/>
            <w:noWrap w:val="0"/>
            <w:vAlign w:val="center"/>
          </w:tcPr>
          <w:p w14:paraId="323180BD">
            <w:pPr>
              <w:widowControl/>
              <w:shd w:val="clear"/>
              <w:spacing w:line="280" w:lineRule="exact"/>
              <w:jc w:val="left"/>
              <w:rPr>
                <w:rFonts w:hint="eastAsia" w:ascii="宋体" w:hAnsi="宋体" w:eastAsia="宋体" w:cs="宋体"/>
                <w:color w:val="auto"/>
                <w:kern w:val="0"/>
                <w:sz w:val="18"/>
                <w:szCs w:val="18"/>
                <w:highlight w:val="none"/>
              </w:rPr>
            </w:pPr>
          </w:p>
        </w:tc>
        <w:tc>
          <w:tcPr>
            <w:tcW w:w="1369" w:type="dxa"/>
            <w:noWrap w:val="0"/>
            <w:vAlign w:val="center"/>
          </w:tcPr>
          <w:p w14:paraId="2FA3CAA6">
            <w:pPr>
              <w:widowControl/>
              <w:shd w:val="clear"/>
              <w:spacing w:line="280" w:lineRule="exact"/>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营业收入(Y)</w:t>
            </w:r>
          </w:p>
        </w:tc>
        <w:tc>
          <w:tcPr>
            <w:tcW w:w="709" w:type="dxa"/>
            <w:noWrap w:val="0"/>
            <w:vAlign w:val="center"/>
          </w:tcPr>
          <w:p w14:paraId="0E544435">
            <w:pPr>
              <w:widowControl/>
              <w:shd w:val="clear"/>
              <w:spacing w:line="280" w:lineRule="exact"/>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万元</w:t>
            </w:r>
          </w:p>
        </w:tc>
        <w:tc>
          <w:tcPr>
            <w:tcW w:w="1125" w:type="dxa"/>
            <w:noWrap w:val="0"/>
            <w:vAlign w:val="center"/>
          </w:tcPr>
          <w:p w14:paraId="570B2851">
            <w:pPr>
              <w:widowControl/>
              <w:shd w:val="clear"/>
              <w:spacing w:line="280" w:lineRule="exact"/>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Y≥10000</w:t>
            </w:r>
          </w:p>
        </w:tc>
        <w:tc>
          <w:tcPr>
            <w:tcW w:w="1701" w:type="dxa"/>
            <w:noWrap w:val="0"/>
            <w:vAlign w:val="center"/>
          </w:tcPr>
          <w:p w14:paraId="166C92D4">
            <w:pPr>
              <w:widowControl/>
              <w:shd w:val="clear"/>
              <w:spacing w:line="280" w:lineRule="exact"/>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2000≤Y＜10000</w:t>
            </w:r>
          </w:p>
        </w:tc>
        <w:tc>
          <w:tcPr>
            <w:tcW w:w="1426" w:type="dxa"/>
            <w:noWrap w:val="0"/>
            <w:vAlign w:val="center"/>
          </w:tcPr>
          <w:p w14:paraId="53CC3888">
            <w:pPr>
              <w:widowControl/>
              <w:shd w:val="clear"/>
              <w:spacing w:line="280" w:lineRule="exact"/>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100≤Y＜2000</w:t>
            </w:r>
          </w:p>
        </w:tc>
        <w:tc>
          <w:tcPr>
            <w:tcW w:w="992" w:type="dxa"/>
            <w:noWrap w:val="0"/>
            <w:vAlign w:val="center"/>
          </w:tcPr>
          <w:p w14:paraId="492132EC">
            <w:pPr>
              <w:widowControl/>
              <w:shd w:val="clear"/>
              <w:spacing w:line="280" w:lineRule="exact"/>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Y＜100</w:t>
            </w:r>
          </w:p>
        </w:tc>
      </w:tr>
      <w:tr w14:paraId="6645D3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Merge w:val="restart"/>
            <w:noWrap w:val="0"/>
            <w:vAlign w:val="center"/>
          </w:tcPr>
          <w:p w14:paraId="73C5AAF5">
            <w:pPr>
              <w:widowControl/>
              <w:shd w:val="clear"/>
              <w:spacing w:line="280" w:lineRule="exact"/>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餐饮业</w:t>
            </w:r>
          </w:p>
        </w:tc>
        <w:tc>
          <w:tcPr>
            <w:tcW w:w="1369" w:type="dxa"/>
            <w:noWrap w:val="0"/>
            <w:vAlign w:val="center"/>
          </w:tcPr>
          <w:p w14:paraId="0A3F149E">
            <w:pPr>
              <w:widowControl/>
              <w:shd w:val="clear"/>
              <w:spacing w:line="280" w:lineRule="exact"/>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从业人员(X)</w:t>
            </w:r>
          </w:p>
        </w:tc>
        <w:tc>
          <w:tcPr>
            <w:tcW w:w="709" w:type="dxa"/>
            <w:noWrap w:val="0"/>
            <w:vAlign w:val="center"/>
          </w:tcPr>
          <w:p w14:paraId="563A9B59">
            <w:pPr>
              <w:widowControl/>
              <w:shd w:val="clear"/>
              <w:spacing w:line="280" w:lineRule="exact"/>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人</w:t>
            </w:r>
          </w:p>
        </w:tc>
        <w:tc>
          <w:tcPr>
            <w:tcW w:w="1125" w:type="dxa"/>
            <w:noWrap w:val="0"/>
            <w:vAlign w:val="center"/>
          </w:tcPr>
          <w:p w14:paraId="52C00836">
            <w:pPr>
              <w:widowControl/>
              <w:shd w:val="clear"/>
              <w:spacing w:line="280" w:lineRule="exact"/>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X≥300</w:t>
            </w:r>
          </w:p>
        </w:tc>
        <w:tc>
          <w:tcPr>
            <w:tcW w:w="1701" w:type="dxa"/>
            <w:noWrap w:val="0"/>
            <w:vAlign w:val="center"/>
          </w:tcPr>
          <w:p w14:paraId="4F4A49CE">
            <w:pPr>
              <w:widowControl/>
              <w:shd w:val="clear"/>
              <w:spacing w:line="280" w:lineRule="exact"/>
              <w:ind w:left="1" w:leftChars="-51" w:hanging="108" w:hangingChars="60"/>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 xml:space="preserve">100≤X＜300 </w:t>
            </w:r>
          </w:p>
        </w:tc>
        <w:tc>
          <w:tcPr>
            <w:tcW w:w="1426" w:type="dxa"/>
            <w:noWrap w:val="0"/>
            <w:vAlign w:val="center"/>
          </w:tcPr>
          <w:p w14:paraId="3308B407">
            <w:pPr>
              <w:widowControl/>
              <w:shd w:val="clear"/>
              <w:spacing w:line="280" w:lineRule="exact"/>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10≤X＜100</w:t>
            </w:r>
          </w:p>
        </w:tc>
        <w:tc>
          <w:tcPr>
            <w:tcW w:w="992" w:type="dxa"/>
            <w:noWrap w:val="0"/>
            <w:vAlign w:val="center"/>
          </w:tcPr>
          <w:p w14:paraId="1FE808E7">
            <w:pPr>
              <w:widowControl/>
              <w:shd w:val="clear"/>
              <w:spacing w:line="280" w:lineRule="exact"/>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X＜10</w:t>
            </w:r>
          </w:p>
        </w:tc>
      </w:tr>
      <w:tr w14:paraId="05C7D2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Merge w:val="continue"/>
            <w:noWrap w:val="0"/>
            <w:vAlign w:val="center"/>
          </w:tcPr>
          <w:p w14:paraId="0516E406">
            <w:pPr>
              <w:widowControl/>
              <w:shd w:val="clear"/>
              <w:spacing w:line="280" w:lineRule="exact"/>
              <w:jc w:val="left"/>
              <w:rPr>
                <w:rFonts w:hint="eastAsia" w:ascii="宋体" w:hAnsi="宋体" w:eastAsia="宋体" w:cs="宋体"/>
                <w:color w:val="auto"/>
                <w:kern w:val="0"/>
                <w:sz w:val="18"/>
                <w:szCs w:val="18"/>
                <w:highlight w:val="none"/>
              </w:rPr>
            </w:pPr>
          </w:p>
        </w:tc>
        <w:tc>
          <w:tcPr>
            <w:tcW w:w="1369" w:type="dxa"/>
            <w:noWrap w:val="0"/>
            <w:vAlign w:val="center"/>
          </w:tcPr>
          <w:p w14:paraId="2C64E7A3">
            <w:pPr>
              <w:widowControl/>
              <w:shd w:val="clear"/>
              <w:spacing w:line="280" w:lineRule="exact"/>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营业收入(Y)</w:t>
            </w:r>
          </w:p>
        </w:tc>
        <w:tc>
          <w:tcPr>
            <w:tcW w:w="709" w:type="dxa"/>
            <w:noWrap w:val="0"/>
            <w:vAlign w:val="center"/>
          </w:tcPr>
          <w:p w14:paraId="51145F4B">
            <w:pPr>
              <w:widowControl/>
              <w:shd w:val="clear"/>
              <w:spacing w:line="280" w:lineRule="exact"/>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万元</w:t>
            </w:r>
          </w:p>
        </w:tc>
        <w:tc>
          <w:tcPr>
            <w:tcW w:w="1125" w:type="dxa"/>
            <w:noWrap w:val="0"/>
            <w:vAlign w:val="center"/>
          </w:tcPr>
          <w:p w14:paraId="2C37A7E6">
            <w:pPr>
              <w:widowControl/>
              <w:shd w:val="clear"/>
              <w:spacing w:line="280" w:lineRule="exact"/>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Y≥10000</w:t>
            </w:r>
          </w:p>
        </w:tc>
        <w:tc>
          <w:tcPr>
            <w:tcW w:w="1701" w:type="dxa"/>
            <w:noWrap w:val="0"/>
            <w:vAlign w:val="center"/>
          </w:tcPr>
          <w:p w14:paraId="5215D262">
            <w:pPr>
              <w:widowControl/>
              <w:shd w:val="clear"/>
              <w:spacing w:line="280" w:lineRule="exact"/>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2000≤Y＜10000</w:t>
            </w:r>
          </w:p>
        </w:tc>
        <w:tc>
          <w:tcPr>
            <w:tcW w:w="1426" w:type="dxa"/>
            <w:noWrap w:val="0"/>
            <w:vAlign w:val="center"/>
          </w:tcPr>
          <w:p w14:paraId="0ABC49BE">
            <w:pPr>
              <w:widowControl/>
              <w:shd w:val="clear"/>
              <w:spacing w:line="280" w:lineRule="exact"/>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100≤Y＜2000</w:t>
            </w:r>
          </w:p>
        </w:tc>
        <w:tc>
          <w:tcPr>
            <w:tcW w:w="992" w:type="dxa"/>
            <w:noWrap w:val="0"/>
            <w:vAlign w:val="center"/>
          </w:tcPr>
          <w:p w14:paraId="76D6A42C">
            <w:pPr>
              <w:widowControl/>
              <w:shd w:val="clear"/>
              <w:spacing w:line="280" w:lineRule="exact"/>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Y＜100</w:t>
            </w:r>
          </w:p>
        </w:tc>
      </w:tr>
      <w:tr w14:paraId="02D597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Merge w:val="restart"/>
            <w:noWrap w:val="0"/>
            <w:vAlign w:val="center"/>
          </w:tcPr>
          <w:p w14:paraId="7A6B6021">
            <w:pPr>
              <w:widowControl/>
              <w:shd w:val="clear"/>
              <w:spacing w:line="280" w:lineRule="exact"/>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信息传输业 *</w:t>
            </w:r>
          </w:p>
        </w:tc>
        <w:tc>
          <w:tcPr>
            <w:tcW w:w="1369" w:type="dxa"/>
            <w:noWrap w:val="0"/>
            <w:vAlign w:val="center"/>
          </w:tcPr>
          <w:p w14:paraId="41C4B8E3">
            <w:pPr>
              <w:widowControl/>
              <w:shd w:val="clear"/>
              <w:spacing w:line="280" w:lineRule="exact"/>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从业人员(X)</w:t>
            </w:r>
          </w:p>
        </w:tc>
        <w:tc>
          <w:tcPr>
            <w:tcW w:w="709" w:type="dxa"/>
            <w:noWrap w:val="0"/>
            <w:vAlign w:val="center"/>
          </w:tcPr>
          <w:p w14:paraId="5C934A7E">
            <w:pPr>
              <w:widowControl/>
              <w:shd w:val="clear"/>
              <w:spacing w:line="280" w:lineRule="exact"/>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人</w:t>
            </w:r>
          </w:p>
        </w:tc>
        <w:tc>
          <w:tcPr>
            <w:tcW w:w="1125" w:type="dxa"/>
            <w:noWrap w:val="0"/>
            <w:vAlign w:val="center"/>
          </w:tcPr>
          <w:p w14:paraId="71444167">
            <w:pPr>
              <w:widowControl/>
              <w:shd w:val="clear"/>
              <w:spacing w:line="280" w:lineRule="exact"/>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X≥2000</w:t>
            </w:r>
          </w:p>
        </w:tc>
        <w:tc>
          <w:tcPr>
            <w:tcW w:w="1701" w:type="dxa"/>
            <w:noWrap w:val="0"/>
            <w:vAlign w:val="center"/>
          </w:tcPr>
          <w:p w14:paraId="6EAC2508">
            <w:pPr>
              <w:widowControl/>
              <w:shd w:val="clear"/>
              <w:spacing w:line="280" w:lineRule="exact"/>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100≤X＜2000</w:t>
            </w:r>
          </w:p>
        </w:tc>
        <w:tc>
          <w:tcPr>
            <w:tcW w:w="1426" w:type="dxa"/>
            <w:noWrap w:val="0"/>
            <w:vAlign w:val="center"/>
          </w:tcPr>
          <w:p w14:paraId="0ECDCEA9">
            <w:pPr>
              <w:widowControl/>
              <w:shd w:val="clear"/>
              <w:spacing w:line="280" w:lineRule="exact"/>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10≤X＜100</w:t>
            </w:r>
          </w:p>
        </w:tc>
        <w:tc>
          <w:tcPr>
            <w:tcW w:w="992" w:type="dxa"/>
            <w:noWrap w:val="0"/>
            <w:vAlign w:val="center"/>
          </w:tcPr>
          <w:p w14:paraId="0F5B9407">
            <w:pPr>
              <w:widowControl/>
              <w:shd w:val="clear"/>
              <w:spacing w:line="280" w:lineRule="exact"/>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X＜10</w:t>
            </w:r>
          </w:p>
        </w:tc>
      </w:tr>
      <w:tr w14:paraId="3C4DA1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Merge w:val="continue"/>
            <w:noWrap w:val="0"/>
            <w:vAlign w:val="center"/>
          </w:tcPr>
          <w:p w14:paraId="0708638D">
            <w:pPr>
              <w:widowControl/>
              <w:shd w:val="clear"/>
              <w:spacing w:line="280" w:lineRule="exact"/>
              <w:jc w:val="left"/>
              <w:rPr>
                <w:rFonts w:hint="eastAsia" w:ascii="宋体" w:hAnsi="宋体" w:eastAsia="宋体" w:cs="宋体"/>
                <w:color w:val="auto"/>
                <w:kern w:val="0"/>
                <w:sz w:val="18"/>
                <w:szCs w:val="18"/>
                <w:highlight w:val="none"/>
              </w:rPr>
            </w:pPr>
          </w:p>
        </w:tc>
        <w:tc>
          <w:tcPr>
            <w:tcW w:w="1369" w:type="dxa"/>
            <w:noWrap w:val="0"/>
            <w:vAlign w:val="center"/>
          </w:tcPr>
          <w:p w14:paraId="503C08F9">
            <w:pPr>
              <w:widowControl/>
              <w:shd w:val="clear"/>
              <w:spacing w:line="280" w:lineRule="exact"/>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营业收入(Y)</w:t>
            </w:r>
          </w:p>
        </w:tc>
        <w:tc>
          <w:tcPr>
            <w:tcW w:w="709" w:type="dxa"/>
            <w:noWrap w:val="0"/>
            <w:vAlign w:val="center"/>
          </w:tcPr>
          <w:p w14:paraId="0827B197">
            <w:pPr>
              <w:widowControl/>
              <w:shd w:val="clear"/>
              <w:spacing w:line="280" w:lineRule="exact"/>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万元</w:t>
            </w:r>
          </w:p>
        </w:tc>
        <w:tc>
          <w:tcPr>
            <w:tcW w:w="1125" w:type="dxa"/>
            <w:noWrap w:val="0"/>
            <w:vAlign w:val="center"/>
          </w:tcPr>
          <w:p w14:paraId="126042AF">
            <w:pPr>
              <w:widowControl/>
              <w:shd w:val="clear"/>
              <w:spacing w:line="280" w:lineRule="exact"/>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Y≥100000</w:t>
            </w:r>
          </w:p>
        </w:tc>
        <w:tc>
          <w:tcPr>
            <w:tcW w:w="1701" w:type="dxa"/>
            <w:noWrap w:val="0"/>
            <w:vAlign w:val="center"/>
          </w:tcPr>
          <w:p w14:paraId="0F7FFBD0">
            <w:pPr>
              <w:widowControl/>
              <w:shd w:val="clear"/>
              <w:spacing w:line="280" w:lineRule="exact"/>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1000≤Y＜100000</w:t>
            </w:r>
          </w:p>
        </w:tc>
        <w:tc>
          <w:tcPr>
            <w:tcW w:w="1426" w:type="dxa"/>
            <w:noWrap w:val="0"/>
            <w:vAlign w:val="center"/>
          </w:tcPr>
          <w:p w14:paraId="548CD5C0">
            <w:pPr>
              <w:widowControl/>
              <w:shd w:val="clear"/>
              <w:spacing w:line="280" w:lineRule="exact"/>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100≤Y＜1000</w:t>
            </w:r>
          </w:p>
        </w:tc>
        <w:tc>
          <w:tcPr>
            <w:tcW w:w="992" w:type="dxa"/>
            <w:noWrap w:val="0"/>
            <w:vAlign w:val="center"/>
          </w:tcPr>
          <w:p w14:paraId="38E7094E">
            <w:pPr>
              <w:widowControl/>
              <w:shd w:val="clear"/>
              <w:spacing w:line="280" w:lineRule="exact"/>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Y＜100</w:t>
            </w:r>
          </w:p>
        </w:tc>
      </w:tr>
      <w:tr w14:paraId="2DF37E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2113" w:type="dxa"/>
            <w:vMerge w:val="restart"/>
            <w:noWrap w:val="0"/>
            <w:vAlign w:val="center"/>
          </w:tcPr>
          <w:p w14:paraId="12150A77">
            <w:pPr>
              <w:widowControl/>
              <w:shd w:val="clear"/>
              <w:spacing w:line="280" w:lineRule="exact"/>
              <w:jc w:val="left"/>
              <w:rPr>
                <w:rFonts w:hint="eastAsia" w:ascii="宋体" w:hAnsi="宋体" w:eastAsia="宋体" w:cs="宋体"/>
                <w:color w:val="auto"/>
                <w:spacing w:val="-12"/>
                <w:kern w:val="0"/>
                <w:sz w:val="18"/>
                <w:szCs w:val="18"/>
                <w:highlight w:val="none"/>
              </w:rPr>
            </w:pPr>
            <w:r>
              <w:rPr>
                <w:rFonts w:hint="eastAsia" w:ascii="宋体" w:hAnsi="宋体" w:eastAsia="宋体" w:cs="宋体"/>
                <w:color w:val="auto"/>
                <w:spacing w:val="-12"/>
                <w:kern w:val="0"/>
                <w:sz w:val="18"/>
                <w:szCs w:val="18"/>
                <w:highlight w:val="none"/>
              </w:rPr>
              <w:t>软件和信息技术服</w:t>
            </w:r>
            <w:r>
              <w:rPr>
                <w:rFonts w:hint="eastAsia" w:ascii="宋体" w:hAnsi="宋体" w:eastAsia="宋体" w:cs="宋体"/>
                <w:color w:val="auto"/>
                <w:kern w:val="0"/>
                <w:sz w:val="18"/>
                <w:szCs w:val="18"/>
                <w:highlight w:val="none"/>
              </w:rPr>
              <w:t>务业</w:t>
            </w:r>
          </w:p>
        </w:tc>
        <w:tc>
          <w:tcPr>
            <w:tcW w:w="1369" w:type="dxa"/>
            <w:noWrap w:val="0"/>
            <w:vAlign w:val="center"/>
          </w:tcPr>
          <w:p w14:paraId="116DE370">
            <w:pPr>
              <w:widowControl/>
              <w:shd w:val="clear"/>
              <w:spacing w:line="280" w:lineRule="exact"/>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从业人员(X)</w:t>
            </w:r>
          </w:p>
        </w:tc>
        <w:tc>
          <w:tcPr>
            <w:tcW w:w="709" w:type="dxa"/>
            <w:noWrap w:val="0"/>
            <w:vAlign w:val="center"/>
          </w:tcPr>
          <w:p w14:paraId="6A5FE464">
            <w:pPr>
              <w:widowControl/>
              <w:shd w:val="clear"/>
              <w:spacing w:line="280" w:lineRule="exact"/>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人</w:t>
            </w:r>
          </w:p>
        </w:tc>
        <w:tc>
          <w:tcPr>
            <w:tcW w:w="1125" w:type="dxa"/>
            <w:noWrap w:val="0"/>
            <w:vAlign w:val="center"/>
          </w:tcPr>
          <w:p w14:paraId="7C75B419">
            <w:pPr>
              <w:widowControl/>
              <w:shd w:val="clear"/>
              <w:spacing w:line="280" w:lineRule="exact"/>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X≥300</w:t>
            </w:r>
          </w:p>
        </w:tc>
        <w:tc>
          <w:tcPr>
            <w:tcW w:w="1701" w:type="dxa"/>
            <w:noWrap w:val="0"/>
            <w:vAlign w:val="center"/>
          </w:tcPr>
          <w:p w14:paraId="7EFDAD91">
            <w:pPr>
              <w:widowControl/>
              <w:shd w:val="clear"/>
              <w:spacing w:line="280" w:lineRule="exact"/>
              <w:ind w:left="1" w:leftChars="-51" w:hanging="108" w:hangingChars="60"/>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 xml:space="preserve">100≤X＜300 </w:t>
            </w:r>
          </w:p>
        </w:tc>
        <w:tc>
          <w:tcPr>
            <w:tcW w:w="1426" w:type="dxa"/>
            <w:noWrap w:val="0"/>
            <w:vAlign w:val="center"/>
          </w:tcPr>
          <w:p w14:paraId="7BBCD5B3">
            <w:pPr>
              <w:widowControl/>
              <w:shd w:val="clear"/>
              <w:spacing w:line="280" w:lineRule="exact"/>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10≤X＜100</w:t>
            </w:r>
          </w:p>
        </w:tc>
        <w:tc>
          <w:tcPr>
            <w:tcW w:w="992" w:type="dxa"/>
            <w:noWrap w:val="0"/>
            <w:vAlign w:val="center"/>
          </w:tcPr>
          <w:p w14:paraId="4FBC5EE3">
            <w:pPr>
              <w:widowControl/>
              <w:shd w:val="clear"/>
              <w:spacing w:line="280" w:lineRule="exact"/>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X＜10</w:t>
            </w:r>
          </w:p>
        </w:tc>
      </w:tr>
      <w:tr w14:paraId="4B7E54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2113" w:type="dxa"/>
            <w:vMerge w:val="continue"/>
            <w:noWrap w:val="0"/>
            <w:vAlign w:val="center"/>
          </w:tcPr>
          <w:p w14:paraId="39B9D0D6">
            <w:pPr>
              <w:widowControl/>
              <w:shd w:val="clear"/>
              <w:spacing w:line="280" w:lineRule="exact"/>
              <w:jc w:val="left"/>
              <w:rPr>
                <w:rFonts w:hint="eastAsia" w:ascii="宋体" w:hAnsi="宋体" w:eastAsia="宋体" w:cs="宋体"/>
                <w:color w:val="auto"/>
                <w:spacing w:val="-12"/>
                <w:kern w:val="0"/>
                <w:sz w:val="18"/>
                <w:szCs w:val="18"/>
                <w:highlight w:val="none"/>
              </w:rPr>
            </w:pPr>
          </w:p>
        </w:tc>
        <w:tc>
          <w:tcPr>
            <w:tcW w:w="1369" w:type="dxa"/>
            <w:noWrap w:val="0"/>
            <w:vAlign w:val="center"/>
          </w:tcPr>
          <w:p w14:paraId="4EDFFBE0">
            <w:pPr>
              <w:widowControl/>
              <w:shd w:val="clear"/>
              <w:spacing w:line="280" w:lineRule="exact"/>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营业收入(Y)</w:t>
            </w:r>
          </w:p>
        </w:tc>
        <w:tc>
          <w:tcPr>
            <w:tcW w:w="709" w:type="dxa"/>
            <w:noWrap w:val="0"/>
            <w:vAlign w:val="center"/>
          </w:tcPr>
          <w:p w14:paraId="48090017">
            <w:pPr>
              <w:widowControl/>
              <w:shd w:val="clear"/>
              <w:spacing w:line="280" w:lineRule="exact"/>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万元</w:t>
            </w:r>
          </w:p>
        </w:tc>
        <w:tc>
          <w:tcPr>
            <w:tcW w:w="1125" w:type="dxa"/>
            <w:noWrap w:val="0"/>
            <w:vAlign w:val="center"/>
          </w:tcPr>
          <w:p w14:paraId="4D765DAE">
            <w:pPr>
              <w:widowControl/>
              <w:shd w:val="clear"/>
              <w:spacing w:line="280" w:lineRule="exact"/>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Y≥10000</w:t>
            </w:r>
          </w:p>
        </w:tc>
        <w:tc>
          <w:tcPr>
            <w:tcW w:w="1701" w:type="dxa"/>
            <w:noWrap w:val="0"/>
            <w:vAlign w:val="center"/>
          </w:tcPr>
          <w:p w14:paraId="54C634EB">
            <w:pPr>
              <w:widowControl/>
              <w:shd w:val="clear"/>
              <w:spacing w:line="280" w:lineRule="exact"/>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1000≤Y＜10000</w:t>
            </w:r>
          </w:p>
        </w:tc>
        <w:tc>
          <w:tcPr>
            <w:tcW w:w="1426" w:type="dxa"/>
            <w:noWrap w:val="0"/>
            <w:vAlign w:val="center"/>
          </w:tcPr>
          <w:p w14:paraId="3F4BA629">
            <w:pPr>
              <w:widowControl/>
              <w:shd w:val="clear"/>
              <w:spacing w:line="280" w:lineRule="exact"/>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50≤Y＜1000</w:t>
            </w:r>
          </w:p>
        </w:tc>
        <w:tc>
          <w:tcPr>
            <w:tcW w:w="992" w:type="dxa"/>
            <w:noWrap w:val="0"/>
            <w:vAlign w:val="center"/>
          </w:tcPr>
          <w:p w14:paraId="12ECBC45">
            <w:pPr>
              <w:widowControl/>
              <w:shd w:val="clear"/>
              <w:spacing w:line="280" w:lineRule="exact"/>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Y＜50</w:t>
            </w:r>
          </w:p>
        </w:tc>
      </w:tr>
      <w:tr w14:paraId="721289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2113" w:type="dxa"/>
            <w:vMerge w:val="restart"/>
            <w:noWrap w:val="0"/>
            <w:vAlign w:val="center"/>
          </w:tcPr>
          <w:p w14:paraId="4BD7702B">
            <w:pPr>
              <w:widowControl/>
              <w:shd w:val="clear"/>
              <w:spacing w:line="280" w:lineRule="exact"/>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房地产开发经营</w:t>
            </w:r>
          </w:p>
        </w:tc>
        <w:tc>
          <w:tcPr>
            <w:tcW w:w="1369" w:type="dxa"/>
            <w:noWrap w:val="0"/>
            <w:vAlign w:val="center"/>
          </w:tcPr>
          <w:p w14:paraId="3F10D9A7">
            <w:pPr>
              <w:widowControl/>
              <w:shd w:val="clear"/>
              <w:spacing w:line="280" w:lineRule="exact"/>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营业收入(Y)</w:t>
            </w:r>
          </w:p>
        </w:tc>
        <w:tc>
          <w:tcPr>
            <w:tcW w:w="709" w:type="dxa"/>
            <w:noWrap w:val="0"/>
            <w:vAlign w:val="center"/>
          </w:tcPr>
          <w:p w14:paraId="5B409B06">
            <w:pPr>
              <w:widowControl/>
              <w:shd w:val="clear"/>
              <w:spacing w:line="280" w:lineRule="exact"/>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万元</w:t>
            </w:r>
          </w:p>
        </w:tc>
        <w:tc>
          <w:tcPr>
            <w:tcW w:w="1125" w:type="dxa"/>
            <w:noWrap w:val="0"/>
            <w:vAlign w:val="center"/>
          </w:tcPr>
          <w:p w14:paraId="15AD7715">
            <w:pPr>
              <w:widowControl/>
              <w:shd w:val="clear"/>
              <w:spacing w:line="280" w:lineRule="exact"/>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Y≥200000</w:t>
            </w:r>
          </w:p>
        </w:tc>
        <w:tc>
          <w:tcPr>
            <w:tcW w:w="1701" w:type="dxa"/>
            <w:noWrap w:val="0"/>
            <w:vAlign w:val="center"/>
          </w:tcPr>
          <w:p w14:paraId="282608FD">
            <w:pPr>
              <w:widowControl/>
              <w:shd w:val="clear"/>
              <w:spacing w:line="280" w:lineRule="exact"/>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1000≤Y＜200000</w:t>
            </w:r>
          </w:p>
        </w:tc>
        <w:tc>
          <w:tcPr>
            <w:tcW w:w="1426" w:type="dxa"/>
            <w:noWrap w:val="0"/>
            <w:vAlign w:val="center"/>
          </w:tcPr>
          <w:p w14:paraId="4DCE0E79">
            <w:pPr>
              <w:widowControl/>
              <w:shd w:val="clear"/>
              <w:spacing w:line="280" w:lineRule="exact"/>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100≤Y＜1000</w:t>
            </w:r>
          </w:p>
        </w:tc>
        <w:tc>
          <w:tcPr>
            <w:tcW w:w="992" w:type="dxa"/>
            <w:noWrap w:val="0"/>
            <w:vAlign w:val="center"/>
          </w:tcPr>
          <w:p w14:paraId="41FAD240">
            <w:pPr>
              <w:widowControl/>
              <w:shd w:val="clear"/>
              <w:spacing w:line="280" w:lineRule="exact"/>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Y＜100</w:t>
            </w:r>
          </w:p>
        </w:tc>
      </w:tr>
      <w:tr w14:paraId="469BC1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2113" w:type="dxa"/>
            <w:vMerge w:val="continue"/>
            <w:noWrap w:val="0"/>
            <w:vAlign w:val="center"/>
          </w:tcPr>
          <w:p w14:paraId="098A3735">
            <w:pPr>
              <w:widowControl/>
              <w:shd w:val="clear"/>
              <w:spacing w:line="280" w:lineRule="exact"/>
              <w:jc w:val="left"/>
              <w:rPr>
                <w:rFonts w:hint="eastAsia" w:ascii="宋体" w:hAnsi="宋体" w:eastAsia="宋体" w:cs="宋体"/>
                <w:color w:val="auto"/>
                <w:kern w:val="0"/>
                <w:sz w:val="18"/>
                <w:szCs w:val="18"/>
                <w:highlight w:val="none"/>
              </w:rPr>
            </w:pPr>
          </w:p>
        </w:tc>
        <w:tc>
          <w:tcPr>
            <w:tcW w:w="1369" w:type="dxa"/>
            <w:noWrap w:val="0"/>
            <w:vAlign w:val="center"/>
          </w:tcPr>
          <w:p w14:paraId="488DF6CB">
            <w:pPr>
              <w:widowControl/>
              <w:shd w:val="clear"/>
              <w:spacing w:line="280" w:lineRule="exact"/>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资产总额(Z)</w:t>
            </w:r>
          </w:p>
        </w:tc>
        <w:tc>
          <w:tcPr>
            <w:tcW w:w="709" w:type="dxa"/>
            <w:noWrap w:val="0"/>
            <w:vAlign w:val="center"/>
          </w:tcPr>
          <w:p w14:paraId="161C718B">
            <w:pPr>
              <w:widowControl/>
              <w:shd w:val="clear"/>
              <w:spacing w:line="280" w:lineRule="exact"/>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万元</w:t>
            </w:r>
          </w:p>
        </w:tc>
        <w:tc>
          <w:tcPr>
            <w:tcW w:w="1125" w:type="dxa"/>
            <w:noWrap w:val="0"/>
            <w:vAlign w:val="center"/>
          </w:tcPr>
          <w:p w14:paraId="2F829F40">
            <w:pPr>
              <w:widowControl/>
              <w:shd w:val="clear"/>
              <w:spacing w:line="280" w:lineRule="exact"/>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Z≥10000</w:t>
            </w:r>
          </w:p>
        </w:tc>
        <w:tc>
          <w:tcPr>
            <w:tcW w:w="1701" w:type="dxa"/>
            <w:noWrap w:val="0"/>
            <w:vAlign w:val="center"/>
          </w:tcPr>
          <w:p w14:paraId="1466649D">
            <w:pPr>
              <w:widowControl/>
              <w:shd w:val="clear"/>
              <w:spacing w:line="280" w:lineRule="exact"/>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5000≤Z＜10000</w:t>
            </w:r>
          </w:p>
        </w:tc>
        <w:tc>
          <w:tcPr>
            <w:tcW w:w="1426" w:type="dxa"/>
            <w:noWrap w:val="0"/>
            <w:vAlign w:val="center"/>
          </w:tcPr>
          <w:p w14:paraId="7CFED5EE">
            <w:pPr>
              <w:widowControl/>
              <w:shd w:val="clear"/>
              <w:spacing w:line="280" w:lineRule="exact"/>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2000≤Z＜5000</w:t>
            </w:r>
          </w:p>
        </w:tc>
        <w:tc>
          <w:tcPr>
            <w:tcW w:w="992" w:type="dxa"/>
            <w:noWrap w:val="0"/>
            <w:vAlign w:val="center"/>
          </w:tcPr>
          <w:p w14:paraId="66B3A70B">
            <w:pPr>
              <w:widowControl/>
              <w:shd w:val="clear"/>
              <w:spacing w:line="280" w:lineRule="exact"/>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Z＜2000</w:t>
            </w:r>
          </w:p>
        </w:tc>
      </w:tr>
      <w:tr w14:paraId="29CBBD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2113" w:type="dxa"/>
            <w:vMerge w:val="restart"/>
            <w:noWrap w:val="0"/>
            <w:vAlign w:val="center"/>
          </w:tcPr>
          <w:p w14:paraId="174A1B3A">
            <w:pPr>
              <w:widowControl/>
              <w:shd w:val="clear"/>
              <w:spacing w:line="280" w:lineRule="exact"/>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物业管理</w:t>
            </w:r>
          </w:p>
        </w:tc>
        <w:tc>
          <w:tcPr>
            <w:tcW w:w="1369" w:type="dxa"/>
            <w:noWrap w:val="0"/>
            <w:vAlign w:val="center"/>
          </w:tcPr>
          <w:p w14:paraId="4690DFA5">
            <w:pPr>
              <w:widowControl/>
              <w:shd w:val="clear"/>
              <w:spacing w:line="280" w:lineRule="exact"/>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从业人员(X)</w:t>
            </w:r>
          </w:p>
        </w:tc>
        <w:tc>
          <w:tcPr>
            <w:tcW w:w="709" w:type="dxa"/>
            <w:noWrap w:val="0"/>
            <w:vAlign w:val="center"/>
          </w:tcPr>
          <w:p w14:paraId="46240FA0">
            <w:pPr>
              <w:widowControl/>
              <w:shd w:val="clear"/>
              <w:spacing w:line="280" w:lineRule="exact"/>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人</w:t>
            </w:r>
          </w:p>
        </w:tc>
        <w:tc>
          <w:tcPr>
            <w:tcW w:w="1125" w:type="dxa"/>
            <w:noWrap w:val="0"/>
            <w:vAlign w:val="center"/>
          </w:tcPr>
          <w:p w14:paraId="364F2FCF">
            <w:pPr>
              <w:widowControl/>
              <w:shd w:val="clear"/>
              <w:spacing w:line="280" w:lineRule="exact"/>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X≥1000</w:t>
            </w:r>
          </w:p>
        </w:tc>
        <w:tc>
          <w:tcPr>
            <w:tcW w:w="1701" w:type="dxa"/>
            <w:noWrap w:val="0"/>
            <w:vAlign w:val="center"/>
          </w:tcPr>
          <w:p w14:paraId="3D7F55B2">
            <w:pPr>
              <w:widowControl/>
              <w:shd w:val="clear"/>
              <w:spacing w:line="280" w:lineRule="exact"/>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300≤X＜1000</w:t>
            </w:r>
          </w:p>
        </w:tc>
        <w:tc>
          <w:tcPr>
            <w:tcW w:w="1426" w:type="dxa"/>
            <w:noWrap w:val="0"/>
            <w:vAlign w:val="center"/>
          </w:tcPr>
          <w:p w14:paraId="17B5B53C">
            <w:pPr>
              <w:widowControl/>
              <w:shd w:val="clear"/>
              <w:spacing w:line="280" w:lineRule="exact"/>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100≤X＜300</w:t>
            </w:r>
          </w:p>
        </w:tc>
        <w:tc>
          <w:tcPr>
            <w:tcW w:w="992" w:type="dxa"/>
            <w:noWrap w:val="0"/>
            <w:vAlign w:val="center"/>
          </w:tcPr>
          <w:p w14:paraId="354EF665">
            <w:pPr>
              <w:widowControl/>
              <w:shd w:val="clear"/>
              <w:spacing w:line="280" w:lineRule="exact"/>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X＜100</w:t>
            </w:r>
          </w:p>
        </w:tc>
      </w:tr>
      <w:tr w14:paraId="706565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2113" w:type="dxa"/>
            <w:vMerge w:val="continue"/>
            <w:noWrap w:val="0"/>
            <w:vAlign w:val="center"/>
          </w:tcPr>
          <w:p w14:paraId="10FD065B">
            <w:pPr>
              <w:widowControl/>
              <w:shd w:val="clear"/>
              <w:spacing w:line="280" w:lineRule="exact"/>
              <w:jc w:val="left"/>
              <w:rPr>
                <w:rFonts w:hint="eastAsia" w:ascii="宋体" w:hAnsi="宋体" w:eastAsia="宋体" w:cs="宋体"/>
                <w:color w:val="auto"/>
                <w:kern w:val="0"/>
                <w:sz w:val="18"/>
                <w:szCs w:val="18"/>
                <w:highlight w:val="none"/>
              </w:rPr>
            </w:pPr>
          </w:p>
        </w:tc>
        <w:tc>
          <w:tcPr>
            <w:tcW w:w="1369" w:type="dxa"/>
            <w:noWrap w:val="0"/>
            <w:vAlign w:val="center"/>
          </w:tcPr>
          <w:p w14:paraId="73688812">
            <w:pPr>
              <w:widowControl/>
              <w:shd w:val="clear"/>
              <w:spacing w:line="280" w:lineRule="exact"/>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营业收入(Y)</w:t>
            </w:r>
          </w:p>
        </w:tc>
        <w:tc>
          <w:tcPr>
            <w:tcW w:w="709" w:type="dxa"/>
            <w:noWrap w:val="0"/>
            <w:vAlign w:val="center"/>
          </w:tcPr>
          <w:p w14:paraId="7456D664">
            <w:pPr>
              <w:widowControl/>
              <w:shd w:val="clear"/>
              <w:spacing w:line="280" w:lineRule="exact"/>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万元</w:t>
            </w:r>
          </w:p>
        </w:tc>
        <w:tc>
          <w:tcPr>
            <w:tcW w:w="1125" w:type="dxa"/>
            <w:noWrap w:val="0"/>
            <w:vAlign w:val="center"/>
          </w:tcPr>
          <w:p w14:paraId="236DC765">
            <w:pPr>
              <w:widowControl/>
              <w:shd w:val="clear"/>
              <w:spacing w:line="280" w:lineRule="exact"/>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Y≥5000</w:t>
            </w:r>
          </w:p>
        </w:tc>
        <w:tc>
          <w:tcPr>
            <w:tcW w:w="1701" w:type="dxa"/>
            <w:noWrap w:val="0"/>
            <w:vAlign w:val="center"/>
          </w:tcPr>
          <w:p w14:paraId="7A47DB38">
            <w:pPr>
              <w:widowControl/>
              <w:shd w:val="clear"/>
              <w:spacing w:line="280" w:lineRule="exact"/>
              <w:ind w:left="1" w:leftChars="-51" w:hanging="108" w:hangingChars="60"/>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1000≤Y＜5000</w:t>
            </w:r>
          </w:p>
        </w:tc>
        <w:tc>
          <w:tcPr>
            <w:tcW w:w="1426" w:type="dxa"/>
            <w:noWrap w:val="0"/>
            <w:vAlign w:val="center"/>
          </w:tcPr>
          <w:p w14:paraId="33856248">
            <w:pPr>
              <w:widowControl/>
              <w:shd w:val="clear"/>
              <w:spacing w:line="280" w:lineRule="exact"/>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500≤Y＜1000</w:t>
            </w:r>
          </w:p>
        </w:tc>
        <w:tc>
          <w:tcPr>
            <w:tcW w:w="992" w:type="dxa"/>
            <w:noWrap w:val="0"/>
            <w:vAlign w:val="center"/>
          </w:tcPr>
          <w:p w14:paraId="6D09E536">
            <w:pPr>
              <w:widowControl/>
              <w:shd w:val="clear"/>
              <w:spacing w:line="280" w:lineRule="exact"/>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Y＜500</w:t>
            </w:r>
          </w:p>
        </w:tc>
      </w:tr>
      <w:tr w14:paraId="615E0F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2113" w:type="dxa"/>
            <w:vMerge w:val="restart"/>
            <w:noWrap w:val="0"/>
            <w:vAlign w:val="center"/>
          </w:tcPr>
          <w:p w14:paraId="11CEBDF3">
            <w:pPr>
              <w:widowControl/>
              <w:shd w:val="clear"/>
              <w:spacing w:line="280" w:lineRule="exact"/>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租赁和商务服务业</w:t>
            </w:r>
          </w:p>
        </w:tc>
        <w:tc>
          <w:tcPr>
            <w:tcW w:w="1369" w:type="dxa"/>
            <w:noWrap w:val="0"/>
            <w:vAlign w:val="center"/>
          </w:tcPr>
          <w:p w14:paraId="124554CD">
            <w:pPr>
              <w:widowControl/>
              <w:shd w:val="clear"/>
              <w:spacing w:line="280" w:lineRule="exact"/>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从业人员(X)</w:t>
            </w:r>
          </w:p>
        </w:tc>
        <w:tc>
          <w:tcPr>
            <w:tcW w:w="709" w:type="dxa"/>
            <w:noWrap w:val="0"/>
            <w:vAlign w:val="center"/>
          </w:tcPr>
          <w:p w14:paraId="4CBE2A65">
            <w:pPr>
              <w:widowControl/>
              <w:shd w:val="clear"/>
              <w:spacing w:line="280" w:lineRule="exact"/>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人</w:t>
            </w:r>
          </w:p>
        </w:tc>
        <w:tc>
          <w:tcPr>
            <w:tcW w:w="1125" w:type="dxa"/>
            <w:noWrap w:val="0"/>
            <w:vAlign w:val="center"/>
          </w:tcPr>
          <w:p w14:paraId="77FBA532">
            <w:pPr>
              <w:widowControl/>
              <w:shd w:val="clear"/>
              <w:spacing w:line="280" w:lineRule="exact"/>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X≥300</w:t>
            </w:r>
          </w:p>
        </w:tc>
        <w:tc>
          <w:tcPr>
            <w:tcW w:w="1701" w:type="dxa"/>
            <w:noWrap w:val="0"/>
            <w:vAlign w:val="center"/>
          </w:tcPr>
          <w:p w14:paraId="5F2E6B9B">
            <w:pPr>
              <w:widowControl/>
              <w:shd w:val="clear"/>
              <w:spacing w:line="280" w:lineRule="exact"/>
              <w:ind w:left="1" w:leftChars="-51" w:hanging="108" w:hangingChars="60"/>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100≤X＜300</w:t>
            </w:r>
          </w:p>
        </w:tc>
        <w:tc>
          <w:tcPr>
            <w:tcW w:w="1426" w:type="dxa"/>
            <w:noWrap w:val="0"/>
            <w:vAlign w:val="center"/>
          </w:tcPr>
          <w:p w14:paraId="6FE11D12">
            <w:pPr>
              <w:widowControl/>
              <w:shd w:val="clear"/>
              <w:spacing w:line="280" w:lineRule="exact"/>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10≤X＜100</w:t>
            </w:r>
          </w:p>
        </w:tc>
        <w:tc>
          <w:tcPr>
            <w:tcW w:w="992" w:type="dxa"/>
            <w:noWrap w:val="0"/>
            <w:vAlign w:val="center"/>
          </w:tcPr>
          <w:p w14:paraId="708AAA5F">
            <w:pPr>
              <w:widowControl/>
              <w:shd w:val="clear"/>
              <w:spacing w:line="280" w:lineRule="exact"/>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X＜10</w:t>
            </w:r>
          </w:p>
        </w:tc>
      </w:tr>
      <w:tr w14:paraId="14624F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2113" w:type="dxa"/>
            <w:vMerge w:val="continue"/>
            <w:noWrap w:val="0"/>
            <w:vAlign w:val="center"/>
          </w:tcPr>
          <w:p w14:paraId="160F97F0">
            <w:pPr>
              <w:widowControl/>
              <w:shd w:val="clear"/>
              <w:spacing w:line="280" w:lineRule="exact"/>
              <w:jc w:val="left"/>
              <w:rPr>
                <w:rFonts w:hint="eastAsia" w:ascii="宋体" w:hAnsi="宋体" w:eastAsia="宋体" w:cs="宋体"/>
                <w:color w:val="auto"/>
                <w:kern w:val="0"/>
                <w:sz w:val="18"/>
                <w:szCs w:val="18"/>
                <w:highlight w:val="none"/>
              </w:rPr>
            </w:pPr>
          </w:p>
        </w:tc>
        <w:tc>
          <w:tcPr>
            <w:tcW w:w="1369" w:type="dxa"/>
            <w:noWrap w:val="0"/>
            <w:vAlign w:val="center"/>
          </w:tcPr>
          <w:p w14:paraId="6C0FD2B6">
            <w:pPr>
              <w:widowControl/>
              <w:shd w:val="clear"/>
              <w:spacing w:line="280" w:lineRule="exact"/>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资产总额(Z)</w:t>
            </w:r>
          </w:p>
        </w:tc>
        <w:tc>
          <w:tcPr>
            <w:tcW w:w="709" w:type="dxa"/>
            <w:noWrap w:val="0"/>
            <w:vAlign w:val="center"/>
          </w:tcPr>
          <w:p w14:paraId="61EA581C">
            <w:pPr>
              <w:widowControl/>
              <w:shd w:val="clear"/>
              <w:spacing w:line="280" w:lineRule="exact"/>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万元</w:t>
            </w:r>
          </w:p>
        </w:tc>
        <w:tc>
          <w:tcPr>
            <w:tcW w:w="1125" w:type="dxa"/>
            <w:noWrap w:val="0"/>
            <w:vAlign w:val="center"/>
          </w:tcPr>
          <w:p w14:paraId="25A8BC3A">
            <w:pPr>
              <w:widowControl/>
              <w:shd w:val="clear"/>
              <w:spacing w:line="280" w:lineRule="exact"/>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Z≥120000</w:t>
            </w:r>
          </w:p>
        </w:tc>
        <w:tc>
          <w:tcPr>
            <w:tcW w:w="1701" w:type="dxa"/>
            <w:noWrap w:val="0"/>
            <w:vAlign w:val="center"/>
          </w:tcPr>
          <w:p w14:paraId="6B9E8C05">
            <w:pPr>
              <w:widowControl/>
              <w:shd w:val="clear"/>
              <w:spacing w:line="280" w:lineRule="exact"/>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8000≤Z＜120000</w:t>
            </w:r>
          </w:p>
        </w:tc>
        <w:tc>
          <w:tcPr>
            <w:tcW w:w="1426" w:type="dxa"/>
            <w:noWrap w:val="0"/>
            <w:vAlign w:val="center"/>
          </w:tcPr>
          <w:p w14:paraId="1503B5B5">
            <w:pPr>
              <w:widowControl/>
              <w:shd w:val="clear"/>
              <w:spacing w:line="280" w:lineRule="exact"/>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100≤Z＜8000</w:t>
            </w:r>
          </w:p>
        </w:tc>
        <w:tc>
          <w:tcPr>
            <w:tcW w:w="992" w:type="dxa"/>
            <w:noWrap w:val="0"/>
            <w:vAlign w:val="center"/>
          </w:tcPr>
          <w:p w14:paraId="7E47E5C1">
            <w:pPr>
              <w:widowControl/>
              <w:shd w:val="clear"/>
              <w:spacing w:line="280" w:lineRule="exact"/>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Z＜100</w:t>
            </w:r>
          </w:p>
        </w:tc>
      </w:tr>
      <w:tr w14:paraId="754EF8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noWrap w:val="0"/>
            <w:vAlign w:val="center"/>
          </w:tcPr>
          <w:p w14:paraId="4F86613D">
            <w:pPr>
              <w:widowControl/>
              <w:shd w:val="clear"/>
              <w:spacing w:line="280" w:lineRule="exact"/>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其他未列明行业 *</w:t>
            </w:r>
          </w:p>
        </w:tc>
        <w:tc>
          <w:tcPr>
            <w:tcW w:w="1369" w:type="dxa"/>
            <w:noWrap w:val="0"/>
            <w:vAlign w:val="center"/>
          </w:tcPr>
          <w:p w14:paraId="218B2E89">
            <w:pPr>
              <w:widowControl/>
              <w:shd w:val="clear"/>
              <w:spacing w:line="280" w:lineRule="exact"/>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从业人员(X)</w:t>
            </w:r>
          </w:p>
        </w:tc>
        <w:tc>
          <w:tcPr>
            <w:tcW w:w="709" w:type="dxa"/>
            <w:noWrap w:val="0"/>
            <w:vAlign w:val="center"/>
          </w:tcPr>
          <w:p w14:paraId="46447D2B">
            <w:pPr>
              <w:widowControl/>
              <w:shd w:val="clear"/>
              <w:spacing w:line="280" w:lineRule="exact"/>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人</w:t>
            </w:r>
          </w:p>
        </w:tc>
        <w:tc>
          <w:tcPr>
            <w:tcW w:w="1125" w:type="dxa"/>
            <w:noWrap w:val="0"/>
            <w:vAlign w:val="center"/>
          </w:tcPr>
          <w:p w14:paraId="16251E80">
            <w:pPr>
              <w:widowControl/>
              <w:shd w:val="clear"/>
              <w:spacing w:line="280" w:lineRule="exact"/>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X≥300</w:t>
            </w:r>
          </w:p>
        </w:tc>
        <w:tc>
          <w:tcPr>
            <w:tcW w:w="1701" w:type="dxa"/>
            <w:noWrap w:val="0"/>
            <w:vAlign w:val="center"/>
          </w:tcPr>
          <w:p w14:paraId="30873257">
            <w:pPr>
              <w:widowControl/>
              <w:shd w:val="clear"/>
              <w:spacing w:line="280" w:lineRule="exact"/>
              <w:ind w:left="1" w:leftChars="-51" w:hanging="108" w:hangingChars="60"/>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100≤X＜300</w:t>
            </w:r>
          </w:p>
        </w:tc>
        <w:tc>
          <w:tcPr>
            <w:tcW w:w="1426" w:type="dxa"/>
            <w:noWrap w:val="0"/>
            <w:vAlign w:val="center"/>
          </w:tcPr>
          <w:p w14:paraId="6BD6C688">
            <w:pPr>
              <w:widowControl/>
              <w:shd w:val="clear"/>
              <w:spacing w:line="280" w:lineRule="exact"/>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10≤X＜100</w:t>
            </w:r>
          </w:p>
        </w:tc>
        <w:tc>
          <w:tcPr>
            <w:tcW w:w="992" w:type="dxa"/>
            <w:noWrap w:val="0"/>
            <w:vAlign w:val="center"/>
          </w:tcPr>
          <w:p w14:paraId="5F454789">
            <w:pPr>
              <w:widowControl/>
              <w:shd w:val="clear"/>
              <w:spacing w:line="280" w:lineRule="exact"/>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X＜10</w:t>
            </w:r>
          </w:p>
        </w:tc>
      </w:tr>
    </w:tbl>
    <w:p w14:paraId="27489D7F">
      <w:pPr>
        <w:widowControl/>
        <w:shd w:val="clear"/>
        <w:spacing w:line="280" w:lineRule="exact"/>
        <w:rPr>
          <w:rFonts w:hint="eastAsia" w:ascii="宋体" w:hAnsi="宋体" w:eastAsia="宋体" w:cs="宋体"/>
          <w:color w:val="auto"/>
          <w:spacing w:val="8"/>
          <w:kern w:val="0"/>
          <w:sz w:val="24"/>
          <w:highlight w:val="none"/>
        </w:rPr>
      </w:pPr>
    </w:p>
    <w:p w14:paraId="6DF27E48">
      <w:pPr>
        <w:widowControl/>
        <w:shd w:val="clear"/>
        <w:spacing w:line="360" w:lineRule="auto"/>
        <w:rPr>
          <w:rFonts w:hint="eastAsia" w:ascii="宋体" w:hAnsi="宋体" w:eastAsia="宋体" w:cs="宋体"/>
          <w:color w:val="auto"/>
          <w:spacing w:val="8"/>
          <w:kern w:val="0"/>
          <w:szCs w:val="21"/>
          <w:highlight w:val="none"/>
        </w:rPr>
      </w:pPr>
    </w:p>
    <w:p w14:paraId="46F3AB1A">
      <w:pPr>
        <w:widowControl/>
        <w:shd w:val="clear"/>
        <w:spacing w:line="360" w:lineRule="auto"/>
        <w:rPr>
          <w:rFonts w:hint="eastAsia" w:ascii="宋体" w:hAnsi="宋体" w:eastAsia="宋体" w:cs="宋体"/>
          <w:color w:val="auto"/>
          <w:spacing w:val="8"/>
          <w:kern w:val="0"/>
          <w:szCs w:val="21"/>
          <w:highlight w:val="none"/>
        </w:rPr>
      </w:pPr>
      <w:r>
        <w:rPr>
          <w:rFonts w:hint="eastAsia" w:ascii="宋体" w:hAnsi="宋体" w:eastAsia="宋体" w:cs="宋体"/>
          <w:color w:val="auto"/>
          <w:spacing w:val="8"/>
          <w:kern w:val="0"/>
          <w:szCs w:val="21"/>
          <w:highlight w:val="none"/>
        </w:rPr>
        <w:t>说明：</w:t>
      </w:r>
    </w:p>
    <w:p w14:paraId="3A14E1BE">
      <w:pPr>
        <w:pStyle w:val="12"/>
        <w:shd w:val="clear"/>
        <w:adjustRightInd w:val="0"/>
        <w:spacing w:line="360" w:lineRule="auto"/>
        <w:ind w:firstLine="452" w:firstLineChars="200"/>
        <w:contextualSpacing/>
        <w:rPr>
          <w:rFonts w:hint="eastAsia" w:ascii="宋体" w:hAnsi="宋体" w:eastAsia="宋体" w:cs="宋体"/>
          <w:color w:val="auto"/>
          <w:spacing w:val="8"/>
          <w:kern w:val="0"/>
          <w:szCs w:val="21"/>
          <w:highlight w:val="none"/>
        </w:rPr>
      </w:pPr>
      <w:r>
        <w:rPr>
          <w:rFonts w:hint="eastAsia" w:ascii="宋体" w:hAnsi="宋体" w:eastAsia="宋体" w:cs="宋体"/>
          <w:color w:val="auto"/>
          <w:spacing w:val="8"/>
          <w:kern w:val="0"/>
          <w:szCs w:val="21"/>
          <w:highlight w:val="none"/>
        </w:rPr>
        <w:t>1.大型、中型和小型企业须同时满足所列指标的下限，否则下划一档；微型企业只须满足所列指标中的一项即可。</w:t>
      </w:r>
    </w:p>
    <w:p w14:paraId="58F542A0">
      <w:pPr>
        <w:pStyle w:val="12"/>
        <w:shd w:val="clear"/>
        <w:adjustRightInd w:val="0"/>
        <w:spacing w:line="360" w:lineRule="auto"/>
        <w:ind w:firstLine="452" w:firstLineChars="200"/>
        <w:contextualSpacing/>
        <w:rPr>
          <w:rFonts w:hint="eastAsia" w:ascii="宋体" w:hAnsi="宋体" w:eastAsia="宋体" w:cs="宋体"/>
          <w:color w:val="auto"/>
          <w:spacing w:val="8"/>
          <w:kern w:val="0"/>
          <w:szCs w:val="21"/>
          <w:highlight w:val="none"/>
        </w:rPr>
      </w:pPr>
      <w:r>
        <w:rPr>
          <w:rFonts w:hint="eastAsia" w:ascii="宋体" w:hAnsi="宋体" w:eastAsia="宋体" w:cs="宋体"/>
          <w:color w:val="auto"/>
          <w:spacing w:val="8"/>
          <w:kern w:val="0"/>
          <w:szCs w:val="21"/>
          <w:highlight w:val="none"/>
        </w:rPr>
        <w:t>2.附表中各行业的范围以《国民经济行业分类》（GB/T4754-2017）为准。带*的项为行业组合类别，其中，工业包括采矿业，制造业，电力、热力、燃气及水生产和供应业；交通运输业包括道路运输业，水上运输业，航空运输业，管道运输业，多式联运和运输代理业、装卸搬运，不包括铁路运输业；仓储业包括通用仓储，低温仓储，危险品仓储，谷物、棉花等农产品仓储，中药材仓储和其他仓储业</w:t>
      </w:r>
      <w:r>
        <w:rPr>
          <w:rFonts w:hint="eastAsia" w:ascii="宋体" w:hAnsi="宋体" w:eastAsia="宋体" w:cs="宋体"/>
          <w:color w:val="auto"/>
          <w:spacing w:val="8"/>
          <w:kern w:val="0"/>
          <w:szCs w:val="21"/>
          <w:highlight w:val="none"/>
          <w:lang w:eastAsia="zh-CN"/>
        </w:rPr>
        <w:t>；</w:t>
      </w:r>
      <w:r>
        <w:rPr>
          <w:rFonts w:hint="eastAsia" w:ascii="宋体" w:hAnsi="宋体" w:eastAsia="宋体" w:cs="宋体"/>
          <w:color w:val="auto"/>
          <w:spacing w:val="8"/>
          <w:kern w:val="0"/>
          <w:szCs w:val="21"/>
          <w:highlight w:val="none"/>
        </w:rPr>
        <w:t>信息传输业包括电信、广播电视和卫星传输服务，互联网和相关服务；其他未列明行业包括科学研究和技术服务业，水利、环境和公共设施管理业，居民服务、修理和其他服务业，社会工作，文化、体育和娱乐业，以及房地产中介服务，其他房地产业等，不包括自有房地产经营活动。</w:t>
      </w:r>
    </w:p>
    <w:p w14:paraId="1E49244C">
      <w:pPr>
        <w:pStyle w:val="12"/>
        <w:shd w:val="clear"/>
        <w:spacing w:line="360" w:lineRule="auto"/>
        <w:ind w:firstLine="452" w:firstLineChars="200"/>
        <w:rPr>
          <w:rFonts w:hint="eastAsia" w:ascii="宋体" w:hAnsi="宋体" w:eastAsia="宋体" w:cs="宋体"/>
          <w:color w:val="auto"/>
          <w:spacing w:val="8"/>
          <w:kern w:val="0"/>
          <w:sz w:val="24"/>
          <w:szCs w:val="24"/>
          <w:highlight w:val="none"/>
        </w:rPr>
      </w:pPr>
      <w:r>
        <w:rPr>
          <w:rFonts w:hint="eastAsia" w:ascii="宋体" w:hAnsi="宋体" w:eastAsia="宋体" w:cs="宋体"/>
          <w:color w:val="auto"/>
          <w:spacing w:val="8"/>
          <w:kern w:val="0"/>
          <w:szCs w:val="21"/>
          <w:highlight w:val="none"/>
        </w:rPr>
        <w:t>3.企业划分指标以现行统计制度为准。（1）从业人员，是指期末从业人员数，没有期末从业人员数的，采用全年平均人员数代替。（2）营业收入，工业、建筑业、限额以上批发和零售业、限额以上住宿和餐饮业以及其他设置主营业务收入指标的行业，采用主营业务收入；限额以下批发与零售业企业采用商品销售额代替；限额以下住宿与餐饮业企业采用营业额代替；农、林、牧、渔业企业采用营业总收入代替；其他未设置主营业务收入的行业，采用营业收入指标。（3）资产总额，采用资产总计代替。</w:t>
      </w:r>
    </w:p>
    <w:p w14:paraId="1632F66A">
      <w:pPr>
        <w:shd w:val="clear"/>
        <w:jc w:val="center"/>
        <w:outlineLvl w:val="0"/>
        <w:rPr>
          <w:rFonts w:hint="eastAsia" w:ascii="宋体" w:hAnsi="宋体" w:eastAsia="宋体" w:cs="宋体"/>
          <w:b/>
          <w:color w:val="auto"/>
          <w:sz w:val="36"/>
          <w:highlight w:val="none"/>
        </w:rPr>
      </w:pPr>
      <w:bookmarkStart w:id="57" w:name="_Toc496"/>
      <w:bookmarkStart w:id="58" w:name="_Toc8975"/>
      <w:bookmarkStart w:id="59" w:name="_Toc532545044"/>
      <w:bookmarkStart w:id="60" w:name="_Toc28587"/>
      <w:bookmarkStart w:id="61" w:name="_Toc26039"/>
      <w:bookmarkStart w:id="62" w:name="_Toc29172"/>
      <w:bookmarkStart w:id="63" w:name="_Toc24489"/>
      <w:bookmarkStart w:id="64" w:name="_Toc6362"/>
      <w:bookmarkStart w:id="65" w:name="_Toc3325"/>
      <w:bookmarkStart w:id="66" w:name="_Toc9063"/>
      <w:r>
        <w:rPr>
          <w:rFonts w:hint="eastAsia" w:ascii="宋体" w:hAnsi="宋体" w:eastAsia="宋体" w:cs="宋体"/>
          <w:b/>
          <w:color w:val="auto"/>
          <w:sz w:val="36"/>
          <w:highlight w:val="none"/>
        </w:rPr>
        <w:br w:type="page"/>
      </w:r>
    </w:p>
    <w:p w14:paraId="3F7B9226">
      <w:pPr>
        <w:pStyle w:val="12"/>
        <w:shd w:val="clear"/>
        <w:jc w:val="center"/>
        <w:outlineLvl w:val="0"/>
        <w:rPr>
          <w:rFonts w:hint="eastAsia" w:ascii="宋体" w:hAnsi="宋体" w:eastAsia="宋体" w:cs="宋体"/>
          <w:b/>
          <w:color w:val="auto"/>
          <w:sz w:val="36"/>
          <w:szCs w:val="36"/>
          <w:highlight w:val="none"/>
        </w:rPr>
      </w:pPr>
      <w:bookmarkStart w:id="67" w:name="_Toc20953"/>
      <w:bookmarkStart w:id="68" w:name="_Toc15364"/>
      <w:bookmarkStart w:id="69" w:name="_Toc20085"/>
      <w:bookmarkStart w:id="70" w:name="_Toc26044"/>
      <w:r>
        <w:rPr>
          <w:rFonts w:hint="eastAsia" w:ascii="宋体" w:hAnsi="宋体" w:eastAsia="宋体" w:cs="宋体"/>
          <w:b/>
          <w:color w:val="auto"/>
          <w:sz w:val="36"/>
          <w:highlight w:val="none"/>
        </w:rPr>
        <w:t>第三章  投标人须知</w:t>
      </w:r>
      <w:bookmarkEnd w:id="57"/>
      <w:bookmarkEnd w:id="58"/>
      <w:bookmarkEnd w:id="59"/>
      <w:bookmarkEnd w:id="60"/>
      <w:bookmarkEnd w:id="61"/>
      <w:bookmarkEnd w:id="62"/>
      <w:bookmarkEnd w:id="63"/>
      <w:bookmarkEnd w:id="64"/>
      <w:bookmarkEnd w:id="65"/>
      <w:bookmarkEnd w:id="66"/>
      <w:bookmarkEnd w:id="67"/>
      <w:bookmarkEnd w:id="68"/>
      <w:bookmarkEnd w:id="69"/>
      <w:bookmarkEnd w:id="70"/>
    </w:p>
    <w:p w14:paraId="345A32C2">
      <w:pPr>
        <w:pStyle w:val="12"/>
        <w:shd w:val="clear"/>
        <w:spacing w:line="720" w:lineRule="auto"/>
        <w:jc w:val="center"/>
        <w:outlineLvl w:val="1"/>
        <w:rPr>
          <w:rFonts w:hint="eastAsia" w:ascii="宋体" w:hAnsi="宋体" w:eastAsia="宋体" w:cs="宋体"/>
          <w:b/>
          <w:color w:val="auto"/>
          <w:sz w:val="30"/>
          <w:szCs w:val="30"/>
          <w:highlight w:val="none"/>
        </w:rPr>
      </w:pPr>
      <w:bookmarkStart w:id="71" w:name="_Toc29813"/>
      <w:bookmarkStart w:id="72" w:name="_Toc29809"/>
      <w:bookmarkStart w:id="73" w:name="_Toc8769"/>
      <w:bookmarkStart w:id="74" w:name="_Toc16388"/>
      <w:bookmarkStart w:id="75" w:name="_Toc10039"/>
      <w:bookmarkStart w:id="76" w:name="_Toc24714"/>
      <w:bookmarkStart w:id="77" w:name="_Toc11515"/>
      <w:bookmarkStart w:id="78" w:name="_Toc1597"/>
      <w:bookmarkStart w:id="79" w:name="_Toc4562"/>
      <w:bookmarkStart w:id="80" w:name="_Toc32208"/>
      <w:r>
        <w:rPr>
          <w:rFonts w:hint="eastAsia" w:ascii="宋体" w:hAnsi="宋体" w:eastAsia="宋体" w:cs="宋体"/>
          <w:b/>
          <w:color w:val="auto"/>
          <w:sz w:val="30"/>
          <w:szCs w:val="30"/>
          <w:highlight w:val="none"/>
        </w:rPr>
        <w:t>第一节 投标人须知前附表</w:t>
      </w:r>
      <w:bookmarkEnd w:id="71"/>
      <w:bookmarkEnd w:id="72"/>
      <w:bookmarkEnd w:id="73"/>
      <w:bookmarkEnd w:id="74"/>
      <w:bookmarkEnd w:id="75"/>
      <w:bookmarkEnd w:id="76"/>
      <w:bookmarkEnd w:id="77"/>
      <w:bookmarkEnd w:id="78"/>
      <w:bookmarkEnd w:id="79"/>
      <w:bookmarkEnd w:id="80"/>
    </w:p>
    <w:tbl>
      <w:tblPr>
        <w:tblStyle w:val="18"/>
        <w:tblW w:w="1024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5"/>
        <w:gridCol w:w="1907"/>
        <w:gridCol w:w="7658"/>
      </w:tblGrid>
      <w:tr w14:paraId="3A3DEB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2" w:hRule="atLeast"/>
          <w:jc w:val="center"/>
        </w:trPr>
        <w:tc>
          <w:tcPr>
            <w:tcW w:w="675" w:type="dxa"/>
            <w:noWrap w:val="0"/>
            <w:vAlign w:val="center"/>
          </w:tcPr>
          <w:p w14:paraId="59CA17F0">
            <w:pPr>
              <w:keepNext w:val="0"/>
              <w:keepLines w:val="0"/>
              <w:pageBreakBefore w:val="0"/>
              <w:shd w:val="clear"/>
              <w:kinsoku/>
              <w:wordWrap/>
              <w:overflowPunct/>
              <w:topLinePunct w:val="0"/>
              <w:bidi w:val="0"/>
              <w:adjustRightInd/>
              <w:snapToGrid w:val="0"/>
              <w:spacing w:line="432"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条款号</w:t>
            </w:r>
          </w:p>
        </w:tc>
        <w:tc>
          <w:tcPr>
            <w:tcW w:w="1907" w:type="dxa"/>
            <w:noWrap w:val="0"/>
            <w:vAlign w:val="center"/>
          </w:tcPr>
          <w:p w14:paraId="2AC3A9B7">
            <w:pPr>
              <w:keepNext w:val="0"/>
              <w:keepLines w:val="0"/>
              <w:pageBreakBefore w:val="0"/>
              <w:shd w:val="clear"/>
              <w:kinsoku/>
              <w:wordWrap/>
              <w:overflowPunct/>
              <w:topLinePunct w:val="0"/>
              <w:bidi w:val="0"/>
              <w:adjustRightInd/>
              <w:snapToGrid w:val="0"/>
              <w:spacing w:line="432"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项目内容</w:t>
            </w:r>
          </w:p>
        </w:tc>
        <w:tc>
          <w:tcPr>
            <w:tcW w:w="7658" w:type="dxa"/>
            <w:noWrap w:val="0"/>
            <w:vAlign w:val="center"/>
          </w:tcPr>
          <w:p w14:paraId="75B3E796">
            <w:pPr>
              <w:keepNext w:val="0"/>
              <w:keepLines w:val="0"/>
              <w:pageBreakBefore w:val="0"/>
              <w:shd w:val="clear"/>
              <w:kinsoku/>
              <w:wordWrap/>
              <w:overflowPunct/>
              <w:topLinePunct w:val="0"/>
              <w:bidi w:val="0"/>
              <w:adjustRightInd/>
              <w:snapToGrid w:val="0"/>
              <w:spacing w:line="432"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编列内容</w:t>
            </w:r>
          </w:p>
        </w:tc>
      </w:tr>
      <w:tr w14:paraId="3EB4A4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5" w:type="dxa"/>
            <w:noWrap w:val="0"/>
            <w:vAlign w:val="center"/>
          </w:tcPr>
          <w:p w14:paraId="46BF2168">
            <w:pPr>
              <w:keepNext w:val="0"/>
              <w:keepLines w:val="0"/>
              <w:pageBreakBefore w:val="0"/>
              <w:shd w:val="clear"/>
              <w:kinsoku/>
              <w:wordWrap/>
              <w:overflowPunct/>
              <w:topLinePunct w:val="0"/>
              <w:bidi w:val="0"/>
              <w:adjustRightInd/>
              <w:spacing w:line="432" w:lineRule="exac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3</w:t>
            </w:r>
          </w:p>
        </w:tc>
        <w:tc>
          <w:tcPr>
            <w:tcW w:w="1907" w:type="dxa"/>
            <w:noWrap w:val="0"/>
            <w:vAlign w:val="center"/>
          </w:tcPr>
          <w:p w14:paraId="5A699664">
            <w:pPr>
              <w:keepNext w:val="0"/>
              <w:keepLines w:val="0"/>
              <w:pageBreakBefore w:val="0"/>
              <w:shd w:val="clear"/>
              <w:kinsoku/>
              <w:wordWrap/>
              <w:overflowPunct/>
              <w:topLinePunct w:val="0"/>
              <w:bidi w:val="0"/>
              <w:adjustRightInd/>
              <w:spacing w:line="432"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Cs w:val="21"/>
                <w:highlight w:val="none"/>
              </w:rPr>
              <w:t>投标人的资格要求</w:t>
            </w:r>
          </w:p>
        </w:tc>
        <w:tc>
          <w:tcPr>
            <w:tcW w:w="7658" w:type="dxa"/>
            <w:noWrap w:val="0"/>
            <w:vAlign w:val="center"/>
          </w:tcPr>
          <w:p w14:paraId="5F68438F">
            <w:pPr>
              <w:pStyle w:val="8"/>
              <w:keepNext w:val="0"/>
              <w:keepLines w:val="0"/>
              <w:pageBreakBefore w:val="0"/>
              <w:shd w:val="clear"/>
              <w:kinsoku/>
              <w:wordWrap/>
              <w:overflowPunct/>
              <w:topLinePunct w:val="0"/>
              <w:bidi w:val="0"/>
              <w:adjustRightInd/>
              <w:spacing w:line="432" w:lineRule="exact"/>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Cs w:val="21"/>
                <w:highlight w:val="none"/>
              </w:rPr>
              <w:t>详见招标公告。</w:t>
            </w:r>
          </w:p>
        </w:tc>
      </w:tr>
      <w:tr w14:paraId="3B0228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5" w:type="dxa"/>
            <w:noWrap w:val="0"/>
            <w:vAlign w:val="center"/>
          </w:tcPr>
          <w:p w14:paraId="5C60AA51">
            <w:pPr>
              <w:keepNext w:val="0"/>
              <w:keepLines w:val="0"/>
              <w:pageBreakBefore w:val="0"/>
              <w:shd w:val="clear"/>
              <w:kinsoku/>
              <w:wordWrap/>
              <w:overflowPunct/>
              <w:topLinePunct w:val="0"/>
              <w:bidi w:val="0"/>
              <w:adjustRightInd/>
              <w:spacing w:line="432"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6.1</w:t>
            </w:r>
          </w:p>
        </w:tc>
        <w:tc>
          <w:tcPr>
            <w:tcW w:w="1907" w:type="dxa"/>
            <w:noWrap w:val="0"/>
            <w:vAlign w:val="center"/>
          </w:tcPr>
          <w:p w14:paraId="390F2A91">
            <w:pPr>
              <w:keepNext w:val="0"/>
              <w:keepLines w:val="0"/>
              <w:pageBreakBefore w:val="0"/>
              <w:shd w:val="clear"/>
              <w:kinsoku/>
              <w:wordWrap/>
              <w:overflowPunct/>
              <w:topLinePunct w:val="0"/>
              <w:bidi w:val="0"/>
              <w:adjustRightInd/>
              <w:spacing w:line="432" w:lineRule="exact"/>
              <w:textAlignment w:val="auto"/>
              <w:rPr>
                <w:rFonts w:hint="eastAsia" w:ascii="宋体" w:hAnsi="宋体" w:eastAsia="宋体" w:cs="宋体"/>
                <w:color w:val="auto"/>
                <w:sz w:val="21"/>
                <w:szCs w:val="21"/>
                <w:highlight w:val="none"/>
              </w:rPr>
            </w:pPr>
            <w:bookmarkStart w:id="81" w:name="_5"/>
            <w:bookmarkEnd w:id="81"/>
            <w:bookmarkStart w:id="82" w:name="_9.2"/>
            <w:bookmarkEnd w:id="82"/>
            <w:bookmarkStart w:id="83" w:name="_8.1"/>
            <w:bookmarkEnd w:id="83"/>
            <w:r>
              <w:rPr>
                <w:rFonts w:hint="eastAsia" w:ascii="宋体" w:hAnsi="宋体" w:eastAsia="宋体" w:cs="宋体"/>
                <w:color w:val="auto"/>
                <w:sz w:val="21"/>
                <w:szCs w:val="21"/>
                <w:highlight w:val="none"/>
              </w:rPr>
              <w:t>是否接受联合体投标</w:t>
            </w:r>
          </w:p>
        </w:tc>
        <w:tc>
          <w:tcPr>
            <w:tcW w:w="7658" w:type="dxa"/>
            <w:noWrap w:val="0"/>
            <w:vAlign w:val="center"/>
          </w:tcPr>
          <w:p w14:paraId="14EC362E">
            <w:pPr>
              <w:pStyle w:val="8"/>
              <w:keepNext w:val="0"/>
              <w:keepLines w:val="0"/>
              <w:pageBreakBefore w:val="0"/>
              <w:shd w:val="clear"/>
              <w:kinsoku/>
              <w:wordWrap/>
              <w:overflowPunct/>
              <w:topLinePunct w:val="0"/>
              <w:bidi w:val="0"/>
              <w:adjustRightInd/>
              <w:spacing w:line="432" w:lineRule="exact"/>
              <w:textAlignment w:val="auto"/>
              <w:rPr>
                <w:rFonts w:hint="eastAsia" w:ascii="宋体" w:hAnsi="宋体" w:eastAsia="宋体" w:cs="宋体"/>
                <w:color w:val="auto"/>
                <w:sz w:val="21"/>
                <w:szCs w:val="21"/>
                <w:highlight w:val="none"/>
              </w:rPr>
            </w:pPr>
            <w:bookmarkStart w:id="84" w:name="PO_3000001866_PM007"/>
            <w:r>
              <w:rPr>
                <w:rFonts w:hint="eastAsia" w:ascii="宋体" w:hAnsi="宋体" w:eastAsia="宋体" w:cs="宋体"/>
                <w:color w:val="auto"/>
                <w:szCs w:val="21"/>
                <w:highlight w:val="none"/>
              </w:rPr>
              <w:t>详见招标公告。</w:t>
            </w:r>
            <w:bookmarkEnd w:id="84"/>
          </w:p>
        </w:tc>
      </w:tr>
      <w:tr w14:paraId="47F65D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5" w:type="dxa"/>
            <w:noWrap w:val="0"/>
            <w:vAlign w:val="center"/>
          </w:tcPr>
          <w:p w14:paraId="388D0E60">
            <w:pPr>
              <w:keepNext w:val="0"/>
              <w:keepLines w:val="0"/>
              <w:pageBreakBefore w:val="0"/>
              <w:shd w:val="clear"/>
              <w:kinsoku/>
              <w:wordWrap/>
              <w:overflowPunct/>
              <w:topLinePunct w:val="0"/>
              <w:bidi w:val="0"/>
              <w:adjustRightInd/>
              <w:spacing w:line="432"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6.2</w:t>
            </w:r>
          </w:p>
        </w:tc>
        <w:tc>
          <w:tcPr>
            <w:tcW w:w="1907" w:type="dxa"/>
            <w:noWrap w:val="0"/>
            <w:vAlign w:val="center"/>
          </w:tcPr>
          <w:p w14:paraId="5A797D65">
            <w:pPr>
              <w:keepNext w:val="0"/>
              <w:keepLines w:val="0"/>
              <w:pageBreakBefore w:val="0"/>
              <w:shd w:val="clear"/>
              <w:kinsoku/>
              <w:wordWrap/>
              <w:overflowPunct/>
              <w:topLinePunct w:val="0"/>
              <w:bidi w:val="0"/>
              <w:adjustRightInd/>
              <w:spacing w:line="432"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联合体投标要求</w:t>
            </w:r>
          </w:p>
        </w:tc>
        <w:tc>
          <w:tcPr>
            <w:tcW w:w="7658" w:type="dxa"/>
            <w:noWrap w:val="0"/>
            <w:vAlign w:val="center"/>
          </w:tcPr>
          <w:p w14:paraId="349592F4">
            <w:pPr>
              <w:pStyle w:val="8"/>
              <w:keepNext w:val="0"/>
              <w:keepLines w:val="0"/>
              <w:pageBreakBefore w:val="0"/>
              <w:shd w:val="clear"/>
              <w:kinsoku/>
              <w:wordWrap/>
              <w:overflowPunct/>
              <w:topLinePunct w:val="0"/>
              <w:bidi w:val="0"/>
              <w:adjustRightInd/>
              <w:spacing w:line="432" w:lineRule="exact"/>
              <w:textAlignment w:val="auto"/>
              <w:rPr>
                <w:rFonts w:hint="eastAsia" w:ascii="宋体" w:hAnsi="宋体" w:eastAsia="宋体" w:cs="宋体"/>
                <w:color w:val="auto"/>
                <w:sz w:val="21"/>
                <w:szCs w:val="21"/>
                <w:highlight w:val="none"/>
              </w:rPr>
            </w:pPr>
            <w:r>
              <w:rPr>
                <w:rFonts w:hint="eastAsia" w:ascii="宋体" w:hAnsi="宋体" w:cs="宋体"/>
                <w:color w:val="auto"/>
                <w:szCs w:val="21"/>
                <w:highlight w:val="none"/>
                <w:lang w:val="en-US" w:eastAsia="zh-CN"/>
              </w:rPr>
              <w:t>无</w:t>
            </w:r>
          </w:p>
        </w:tc>
      </w:tr>
      <w:tr w14:paraId="0BDD41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5" w:type="dxa"/>
            <w:noWrap w:val="0"/>
            <w:vAlign w:val="center"/>
          </w:tcPr>
          <w:p w14:paraId="4A6204F7">
            <w:pPr>
              <w:keepNext w:val="0"/>
              <w:keepLines w:val="0"/>
              <w:pageBreakBefore w:val="0"/>
              <w:shd w:val="clear"/>
              <w:kinsoku/>
              <w:wordWrap/>
              <w:overflowPunct/>
              <w:topLinePunct w:val="0"/>
              <w:bidi w:val="0"/>
              <w:adjustRightInd/>
              <w:spacing w:line="432"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7.2</w:t>
            </w:r>
          </w:p>
        </w:tc>
        <w:tc>
          <w:tcPr>
            <w:tcW w:w="1907" w:type="dxa"/>
            <w:noWrap w:val="0"/>
            <w:vAlign w:val="center"/>
          </w:tcPr>
          <w:p w14:paraId="6D6786A9">
            <w:pPr>
              <w:keepNext w:val="0"/>
              <w:keepLines w:val="0"/>
              <w:pageBreakBefore w:val="0"/>
              <w:shd w:val="clear"/>
              <w:kinsoku/>
              <w:wordWrap/>
              <w:overflowPunct/>
              <w:topLinePunct w:val="0"/>
              <w:bidi w:val="0"/>
              <w:adjustRightInd/>
              <w:spacing w:line="432"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是否允许转包/分包</w:t>
            </w:r>
          </w:p>
        </w:tc>
        <w:tc>
          <w:tcPr>
            <w:tcW w:w="7658" w:type="dxa"/>
            <w:noWrap w:val="0"/>
            <w:vAlign w:val="center"/>
          </w:tcPr>
          <w:p w14:paraId="70678389">
            <w:pPr>
              <w:pStyle w:val="8"/>
              <w:keepNext w:val="0"/>
              <w:keepLines w:val="0"/>
              <w:pageBreakBefore w:val="0"/>
              <w:shd w:val="clear"/>
              <w:kinsoku/>
              <w:wordWrap/>
              <w:overflowPunct/>
              <w:topLinePunct w:val="0"/>
              <w:bidi w:val="0"/>
              <w:adjustRightInd/>
              <w:spacing w:line="432" w:lineRule="exact"/>
              <w:textAlignment w:val="auto"/>
              <w:rPr>
                <w:rFonts w:hint="eastAsia" w:ascii="宋体" w:hAnsi="宋体" w:eastAsia="宋体" w:cs="宋体"/>
                <w:color w:val="auto"/>
                <w:sz w:val="21"/>
                <w:szCs w:val="21"/>
                <w:highlight w:val="none"/>
                <w:lang w:eastAsia="zh-CN"/>
              </w:rPr>
            </w:pPr>
            <w:bookmarkStart w:id="85" w:name="PO_3000001866_PM044"/>
            <w:r>
              <w:rPr>
                <w:rFonts w:hint="eastAsia" w:ascii="宋体" w:hAnsi="宋体" w:eastAsia="宋体" w:cs="宋体"/>
                <w:color w:val="auto"/>
                <w:sz w:val="21"/>
                <w:szCs w:val="21"/>
                <w:highlight w:val="none"/>
                <w:lang w:eastAsia="zh-CN"/>
              </w:rPr>
              <w:t>☑不允许分包</w:t>
            </w:r>
            <w:bookmarkEnd w:id="85"/>
          </w:p>
          <w:p w14:paraId="086102C3">
            <w:pPr>
              <w:pStyle w:val="8"/>
              <w:keepNext w:val="0"/>
              <w:keepLines w:val="0"/>
              <w:pageBreakBefore w:val="0"/>
              <w:shd w:val="clear"/>
              <w:kinsoku/>
              <w:wordWrap/>
              <w:overflowPunct/>
              <w:topLinePunct w:val="0"/>
              <w:bidi w:val="0"/>
              <w:adjustRightInd/>
              <w:spacing w:line="432"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转包/分包内容：</w:t>
            </w:r>
            <w:r>
              <w:rPr>
                <w:rFonts w:hint="eastAsia" w:ascii="宋体" w:hAnsi="宋体" w:eastAsia="宋体" w:cs="宋体"/>
                <w:color w:val="auto"/>
                <w:sz w:val="21"/>
                <w:szCs w:val="21"/>
                <w:highlight w:val="none"/>
                <w:u w:val="single"/>
              </w:rPr>
              <w:t xml:space="preserve">                  。</w:t>
            </w:r>
          </w:p>
          <w:p w14:paraId="5A64D988">
            <w:pPr>
              <w:pStyle w:val="8"/>
              <w:keepNext w:val="0"/>
              <w:keepLines w:val="0"/>
              <w:pageBreakBefore w:val="0"/>
              <w:shd w:val="clear"/>
              <w:kinsoku/>
              <w:wordWrap/>
              <w:overflowPunct/>
              <w:topLinePunct w:val="0"/>
              <w:bidi w:val="0"/>
              <w:adjustRightInd/>
              <w:spacing w:line="432"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转包/分包金额或者比例：</w:t>
            </w:r>
            <w:r>
              <w:rPr>
                <w:rFonts w:hint="eastAsia" w:ascii="宋体" w:hAnsi="宋体" w:eastAsia="宋体" w:cs="宋体"/>
                <w:color w:val="auto"/>
                <w:sz w:val="21"/>
                <w:szCs w:val="21"/>
                <w:highlight w:val="none"/>
                <w:u w:val="single"/>
              </w:rPr>
              <w:t xml:space="preserve">         。</w:t>
            </w:r>
          </w:p>
        </w:tc>
      </w:tr>
      <w:tr w14:paraId="0583D2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7" w:hRule="atLeast"/>
          <w:jc w:val="center"/>
        </w:trPr>
        <w:tc>
          <w:tcPr>
            <w:tcW w:w="675" w:type="dxa"/>
            <w:noWrap w:val="0"/>
            <w:vAlign w:val="center"/>
          </w:tcPr>
          <w:p w14:paraId="4B6C226D">
            <w:pPr>
              <w:keepNext w:val="0"/>
              <w:keepLines w:val="0"/>
              <w:pageBreakBefore w:val="0"/>
              <w:shd w:val="clear"/>
              <w:kinsoku/>
              <w:wordWrap/>
              <w:overflowPunct/>
              <w:topLinePunct w:val="0"/>
              <w:bidi w:val="0"/>
              <w:adjustRightInd/>
              <w:spacing w:line="432"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11.4</w:t>
            </w:r>
          </w:p>
        </w:tc>
        <w:tc>
          <w:tcPr>
            <w:tcW w:w="1907" w:type="dxa"/>
            <w:noWrap w:val="0"/>
            <w:vAlign w:val="center"/>
          </w:tcPr>
          <w:p w14:paraId="5006FC63">
            <w:pPr>
              <w:keepNext w:val="0"/>
              <w:keepLines w:val="0"/>
              <w:pageBreakBefore w:val="0"/>
              <w:shd w:val="clear"/>
              <w:kinsoku/>
              <w:wordWrap/>
              <w:overflowPunct/>
              <w:topLinePunct w:val="0"/>
              <w:bidi w:val="0"/>
              <w:adjustRightInd/>
              <w:spacing w:line="432"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媒体发布渠道</w:t>
            </w:r>
          </w:p>
        </w:tc>
        <w:tc>
          <w:tcPr>
            <w:tcW w:w="7658" w:type="dxa"/>
            <w:noWrap w:val="0"/>
            <w:vAlign w:val="center"/>
          </w:tcPr>
          <w:p w14:paraId="79EED412">
            <w:pPr>
              <w:keepNext w:val="0"/>
              <w:keepLines w:val="0"/>
              <w:pageBreakBefore w:val="0"/>
              <w:shd w:val="clear"/>
              <w:kinsoku/>
              <w:wordWrap/>
              <w:overflowPunct/>
              <w:topLinePunct w:val="0"/>
              <w:bidi w:val="0"/>
              <w:adjustRightInd/>
              <w:spacing w:line="432"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与本项目相关的政府采购业务澄清、更正及与之相关的事项将在</w:t>
            </w:r>
            <w:r>
              <w:rPr>
                <w:rFonts w:hint="eastAsia" w:ascii="宋体" w:hAnsi="宋体" w:eastAsia="宋体" w:cs="宋体"/>
                <w:color w:val="auto"/>
                <w:sz w:val="21"/>
                <w:szCs w:val="21"/>
                <w:highlight w:val="none"/>
                <w:lang w:eastAsia="zh-CN"/>
              </w:rPr>
              <w:t>招标</w:t>
            </w:r>
            <w:r>
              <w:rPr>
                <w:rFonts w:hint="eastAsia" w:ascii="宋体" w:hAnsi="宋体" w:eastAsia="宋体" w:cs="宋体"/>
                <w:color w:val="auto"/>
                <w:sz w:val="21"/>
                <w:szCs w:val="21"/>
                <w:highlight w:val="none"/>
              </w:rPr>
              <w:t>公告中“六、其他补充事宜”中网上查询地址上发布</w:t>
            </w:r>
            <w:r>
              <w:rPr>
                <w:rFonts w:hint="eastAsia" w:ascii="宋体" w:hAnsi="宋体" w:eastAsia="宋体" w:cs="宋体"/>
                <w:color w:val="auto"/>
                <w:kern w:val="0"/>
                <w:sz w:val="21"/>
                <w:szCs w:val="21"/>
                <w:highlight w:val="none"/>
              </w:rPr>
              <w:t>。</w:t>
            </w:r>
          </w:p>
        </w:tc>
      </w:tr>
      <w:tr w14:paraId="4802B7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5" w:type="dxa"/>
            <w:noWrap w:val="0"/>
            <w:vAlign w:val="center"/>
          </w:tcPr>
          <w:p w14:paraId="4014DFDE">
            <w:pPr>
              <w:keepNext w:val="0"/>
              <w:keepLines w:val="0"/>
              <w:pageBreakBefore w:val="0"/>
              <w:shd w:val="clear"/>
              <w:kinsoku/>
              <w:wordWrap/>
              <w:overflowPunct/>
              <w:topLinePunct w:val="0"/>
              <w:bidi w:val="0"/>
              <w:adjustRightInd/>
              <w:spacing w:line="432" w:lineRule="exact"/>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11.</w:t>
            </w:r>
            <w:r>
              <w:rPr>
                <w:rFonts w:hint="eastAsia" w:ascii="宋体" w:hAnsi="宋体" w:eastAsia="宋体" w:cs="宋体"/>
                <w:color w:val="auto"/>
                <w:sz w:val="21"/>
                <w:szCs w:val="21"/>
                <w:highlight w:val="none"/>
                <w:lang w:val="en-US" w:eastAsia="zh-CN"/>
              </w:rPr>
              <w:t>5</w:t>
            </w:r>
          </w:p>
        </w:tc>
        <w:tc>
          <w:tcPr>
            <w:tcW w:w="1907" w:type="dxa"/>
            <w:noWrap w:val="0"/>
            <w:vAlign w:val="center"/>
          </w:tcPr>
          <w:p w14:paraId="3038E135">
            <w:pPr>
              <w:keepNext w:val="0"/>
              <w:keepLines w:val="0"/>
              <w:pageBreakBefore w:val="0"/>
              <w:shd w:val="clear"/>
              <w:kinsoku/>
              <w:wordWrap/>
              <w:overflowPunct/>
              <w:topLinePunct w:val="0"/>
              <w:bidi w:val="0"/>
              <w:adjustRightInd/>
              <w:spacing w:line="432"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是否组织标前答疑会</w:t>
            </w:r>
          </w:p>
        </w:tc>
        <w:tc>
          <w:tcPr>
            <w:tcW w:w="7658" w:type="dxa"/>
            <w:noWrap w:val="0"/>
            <w:vAlign w:val="center"/>
          </w:tcPr>
          <w:p w14:paraId="5DE7ADE8">
            <w:pPr>
              <w:keepNext w:val="0"/>
              <w:keepLines w:val="0"/>
              <w:pageBreakBefore w:val="0"/>
              <w:shd w:val="clear"/>
              <w:kinsoku/>
              <w:wordWrap/>
              <w:overflowPunct/>
              <w:topLinePunct w:val="0"/>
              <w:bidi w:val="0"/>
              <w:adjustRightInd/>
              <w:snapToGrid w:val="0"/>
              <w:spacing w:line="432"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不组织召开开标前答疑会</w:t>
            </w:r>
          </w:p>
          <w:p w14:paraId="381F13CA">
            <w:pPr>
              <w:keepNext w:val="0"/>
              <w:keepLines w:val="0"/>
              <w:pageBreakBefore w:val="0"/>
              <w:shd w:val="clear"/>
              <w:kinsoku/>
              <w:wordWrap/>
              <w:overflowPunct/>
              <w:topLinePunct w:val="0"/>
              <w:bidi w:val="0"/>
              <w:adjustRightInd/>
              <w:snapToGrid w:val="0"/>
              <w:spacing w:line="432"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□组织召开开标前答疑会</w:t>
            </w:r>
          </w:p>
          <w:p w14:paraId="5DE98880">
            <w:pPr>
              <w:keepNext w:val="0"/>
              <w:keepLines w:val="0"/>
              <w:pageBreakBefore w:val="0"/>
              <w:shd w:val="clear"/>
              <w:kinsoku/>
              <w:wordWrap/>
              <w:overflowPunct/>
              <w:topLinePunct w:val="0"/>
              <w:bidi w:val="0"/>
              <w:adjustRightInd/>
              <w:snapToGrid w:val="0"/>
              <w:spacing w:line="432" w:lineRule="exact"/>
              <w:textAlignment w:val="auto"/>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rPr>
              <w:t>会议开始时间：</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年</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月</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 xml:space="preserve">日 </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时</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u w:val="none"/>
              </w:rPr>
              <w:t>分</w:t>
            </w:r>
            <w:r>
              <w:rPr>
                <w:rFonts w:hint="eastAsia" w:ascii="宋体" w:hAnsi="宋体" w:eastAsia="宋体" w:cs="宋体"/>
                <w:color w:val="auto"/>
                <w:sz w:val="21"/>
                <w:szCs w:val="21"/>
                <w:highlight w:val="none"/>
              </w:rPr>
              <w:t>，逾期后果自负。会议地点：</w:t>
            </w:r>
            <w:r>
              <w:rPr>
                <w:rFonts w:hint="eastAsia" w:ascii="宋体" w:hAnsi="宋体" w:eastAsia="宋体" w:cs="宋体"/>
                <w:color w:val="auto"/>
                <w:sz w:val="21"/>
                <w:szCs w:val="21"/>
                <w:highlight w:val="none"/>
                <w:u w:val="single"/>
              </w:rPr>
              <w:t xml:space="preserve">              </w:t>
            </w:r>
          </w:p>
        </w:tc>
      </w:tr>
      <w:tr w14:paraId="07D068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675" w:type="dxa"/>
            <w:noWrap w:val="0"/>
            <w:vAlign w:val="center"/>
          </w:tcPr>
          <w:p w14:paraId="0AB4B6ED">
            <w:pPr>
              <w:keepNext w:val="0"/>
              <w:keepLines w:val="0"/>
              <w:pageBreakBefore w:val="0"/>
              <w:shd w:val="clear"/>
              <w:kinsoku/>
              <w:wordWrap/>
              <w:overflowPunct/>
              <w:topLinePunct w:val="0"/>
              <w:bidi w:val="0"/>
              <w:adjustRightInd/>
              <w:spacing w:line="432"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13.1</w:t>
            </w:r>
          </w:p>
        </w:tc>
        <w:tc>
          <w:tcPr>
            <w:tcW w:w="1907" w:type="dxa"/>
            <w:noWrap w:val="0"/>
            <w:vAlign w:val="center"/>
          </w:tcPr>
          <w:p w14:paraId="5218D0F6">
            <w:pPr>
              <w:keepNext w:val="0"/>
              <w:keepLines w:val="0"/>
              <w:pageBreakBefore w:val="0"/>
              <w:shd w:val="clear"/>
              <w:kinsoku/>
              <w:wordWrap/>
              <w:overflowPunct/>
              <w:topLinePunct w:val="0"/>
              <w:bidi w:val="0"/>
              <w:adjustRightInd/>
              <w:snapToGrid w:val="0"/>
              <w:spacing w:line="432" w:lineRule="exact"/>
              <w:jc w:val="left"/>
              <w:textAlignment w:val="auto"/>
              <w:rPr>
                <w:rFonts w:hint="eastAsia" w:ascii="宋体" w:hAnsi="宋体" w:eastAsia="宋体" w:cs="宋体"/>
                <w:color w:val="auto"/>
                <w:sz w:val="21"/>
                <w:szCs w:val="21"/>
                <w:highlight w:val="none"/>
              </w:rPr>
            </w:pPr>
            <w:bookmarkStart w:id="86" w:name="_13.2"/>
            <w:bookmarkEnd w:id="86"/>
            <w:r>
              <w:rPr>
                <w:rFonts w:hint="eastAsia" w:ascii="宋体" w:hAnsi="宋体" w:eastAsia="宋体" w:cs="宋体"/>
                <w:color w:val="auto"/>
                <w:sz w:val="21"/>
                <w:szCs w:val="21"/>
                <w:highlight w:val="none"/>
              </w:rPr>
              <w:t>资格证明文件组成</w:t>
            </w:r>
          </w:p>
        </w:tc>
        <w:tc>
          <w:tcPr>
            <w:tcW w:w="7658" w:type="dxa"/>
            <w:noWrap w:val="0"/>
            <w:vAlign w:val="center"/>
          </w:tcPr>
          <w:p w14:paraId="6AEFC185">
            <w:pPr>
              <w:keepNext w:val="0"/>
              <w:keepLines w:val="0"/>
              <w:pageBreakBefore w:val="0"/>
              <w:shd w:val="clear"/>
              <w:kinsoku/>
              <w:wordWrap/>
              <w:overflowPunct/>
              <w:topLinePunct w:val="0"/>
              <w:bidi w:val="0"/>
              <w:adjustRightInd/>
              <w:snapToGrid w:val="0"/>
              <w:spacing w:line="432" w:lineRule="exact"/>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r>
              <w:rPr>
                <w:rFonts w:hint="eastAsia" w:ascii="宋体" w:hAnsi="宋体" w:eastAsia="宋体" w:cs="宋体"/>
                <w:color w:val="auto"/>
                <w:sz w:val="21"/>
                <w:szCs w:val="21"/>
                <w:highlight w:val="none"/>
                <w:lang w:val="en-US" w:eastAsia="zh-CN"/>
              </w:rPr>
              <w:t>.</w:t>
            </w:r>
            <w:r>
              <w:rPr>
                <w:rFonts w:hint="eastAsia" w:ascii="宋体" w:hAnsi="宋体" w:eastAsia="宋体" w:cs="宋体"/>
                <w:color w:val="auto"/>
                <w:sz w:val="21"/>
                <w:szCs w:val="21"/>
                <w:highlight w:val="none"/>
              </w:rPr>
              <w:t>投标人为法人或者其他组织的，提供营业执照等证明文件</w:t>
            </w:r>
            <w:r>
              <w:rPr>
                <w:rFonts w:hint="eastAsia" w:ascii="宋体" w:hAnsi="宋体" w:eastAsia="宋体" w:cs="宋体"/>
                <w:color w:val="auto"/>
                <w:sz w:val="21"/>
                <w:szCs w:val="21"/>
                <w:highlight w:val="none"/>
                <w:lang w:eastAsia="zh-CN"/>
              </w:rPr>
              <w:t>复印件</w:t>
            </w:r>
            <w:r>
              <w:rPr>
                <w:rFonts w:hint="eastAsia" w:ascii="宋体" w:hAnsi="宋体" w:eastAsia="宋体" w:cs="宋体"/>
                <w:color w:val="auto"/>
                <w:sz w:val="21"/>
                <w:szCs w:val="21"/>
                <w:highlight w:val="none"/>
              </w:rPr>
              <w:t>（如营业执照或者事业单位法人证书或者</w:t>
            </w:r>
            <w:r>
              <w:rPr>
                <w:rStyle w:val="34"/>
                <w:rFonts w:hint="eastAsia" w:ascii="宋体" w:hAnsi="宋体" w:eastAsia="宋体" w:cs="宋体"/>
                <w:color w:val="auto"/>
                <w:sz w:val="21"/>
                <w:szCs w:val="21"/>
                <w:highlight w:val="none"/>
              </w:rPr>
              <w:t>执业许可证</w:t>
            </w:r>
            <w:r>
              <w:rPr>
                <w:rFonts w:hint="eastAsia" w:ascii="宋体" w:hAnsi="宋体" w:eastAsia="宋体" w:cs="宋体"/>
                <w:color w:val="auto"/>
                <w:sz w:val="21"/>
                <w:szCs w:val="21"/>
                <w:highlight w:val="none"/>
              </w:rPr>
              <w:t>等），投标人为自然人的，提供</w:t>
            </w:r>
            <w:r>
              <w:rPr>
                <w:rFonts w:hint="eastAsia" w:ascii="宋体" w:hAnsi="宋体" w:eastAsia="宋体" w:cs="宋体"/>
                <w:color w:val="auto"/>
                <w:sz w:val="21"/>
                <w:szCs w:val="21"/>
                <w:highlight w:val="none"/>
                <w:lang w:eastAsia="zh-CN"/>
              </w:rPr>
              <w:t>有效</w:t>
            </w:r>
            <w:r>
              <w:rPr>
                <w:rFonts w:hint="eastAsia" w:ascii="宋体" w:hAnsi="宋体" w:eastAsia="宋体" w:cs="宋体"/>
                <w:color w:val="auto"/>
                <w:sz w:val="21"/>
                <w:szCs w:val="21"/>
                <w:highlight w:val="none"/>
              </w:rPr>
              <w:t>身份证</w:t>
            </w:r>
            <w:r>
              <w:rPr>
                <w:rFonts w:hint="eastAsia" w:ascii="宋体" w:hAnsi="宋体" w:eastAsia="宋体" w:cs="宋体"/>
                <w:color w:val="auto"/>
                <w:sz w:val="21"/>
                <w:szCs w:val="21"/>
                <w:highlight w:val="none"/>
                <w:lang w:eastAsia="zh-CN"/>
              </w:rPr>
              <w:t>正反面</w:t>
            </w:r>
            <w:r>
              <w:rPr>
                <w:rFonts w:hint="eastAsia" w:ascii="宋体" w:hAnsi="宋体" w:eastAsia="宋体" w:cs="宋体"/>
                <w:color w:val="auto"/>
                <w:sz w:val="21"/>
                <w:szCs w:val="21"/>
                <w:highlight w:val="none"/>
              </w:rPr>
              <w:t>复印件。（</w:t>
            </w:r>
            <w:r>
              <w:rPr>
                <w:rFonts w:hint="eastAsia" w:ascii="宋体" w:hAnsi="宋体" w:eastAsia="宋体" w:cs="宋体"/>
                <w:b/>
                <w:color w:val="auto"/>
                <w:sz w:val="21"/>
                <w:szCs w:val="21"/>
                <w:highlight w:val="none"/>
              </w:rPr>
              <w:t>必须提供，否则作无效投标处理</w:t>
            </w:r>
            <w:r>
              <w:rPr>
                <w:rFonts w:hint="eastAsia" w:ascii="宋体" w:hAnsi="宋体" w:eastAsia="宋体" w:cs="宋体"/>
                <w:color w:val="auto"/>
                <w:sz w:val="21"/>
                <w:szCs w:val="21"/>
                <w:highlight w:val="none"/>
              </w:rPr>
              <w:t>）</w:t>
            </w:r>
          </w:p>
          <w:p w14:paraId="06E1D473">
            <w:pPr>
              <w:pStyle w:val="8"/>
              <w:keepNext w:val="0"/>
              <w:keepLines w:val="0"/>
              <w:pageBreakBefore w:val="0"/>
              <w:shd w:val="clear"/>
              <w:kinsoku/>
              <w:wordWrap/>
              <w:overflowPunct/>
              <w:topLinePunct w:val="0"/>
              <w:bidi w:val="0"/>
              <w:adjustRightInd/>
              <w:snapToGrid w:val="0"/>
              <w:spacing w:line="432" w:lineRule="exact"/>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r>
              <w:rPr>
                <w:rFonts w:hint="eastAsia" w:ascii="宋体" w:hAnsi="宋体" w:eastAsia="宋体" w:cs="宋体"/>
                <w:color w:val="auto"/>
                <w:sz w:val="21"/>
                <w:szCs w:val="21"/>
                <w:highlight w:val="none"/>
                <w:lang w:val="en-US" w:eastAsia="zh-CN"/>
              </w:rPr>
              <w:t>.</w:t>
            </w:r>
            <w:r>
              <w:rPr>
                <w:rFonts w:hint="eastAsia" w:ascii="宋体" w:hAnsi="宋体" w:eastAsia="宋体" w:cs="宋体"/>
                <w:color w:val="auto"/>
                <w:sz w:val="21"/>
                <w:szCs w:val="21"/>
                <w:highlight w:val="none"/>
              </w:rPr>
              <w:t>投标人依法缴纳税收的相关材料</w:t>
            </w:r>
            <w:r>
              <w:rPr>
                <w:rFonts w:hint="eastAsia" w:ascii="宋体" w:hAnsi="宋体" w:eastAsia="宋体" w:cs="宋体"/>
                <w:color w:val="auto"/>
                <w:sz w:val="21"/>
                <w:szCs w:val="21"/>
                <w:highlight w:val="none"/>
                <w:lang w:val="en-US" w:eastAsia="zh-CN"/>
              </w:rPr>
              <w:t>（</w:t>
            </w:r>
            <w:r>
              <w:rPr>
                <w:rFonts w:hint="eastAsia" w:ascii="宋体" w:hAnsi="宋体" w:eastAsia="宋体" w:cs="宋体"/>
                <w:color w:val="auto"/>
                <w:szCs w:val="21"/>
                <w:highlight w:val="none"/>
                <w:u w:val="none"/>
                <w:lang w:val="en-US" w:eastAsia="zh-CN"/>
              </w:rPr>
              <w:t>提供税款所属时期为</w:t>
            </w:r>
            <w:r>
              <w:rPr>
                <w:rFonts w:hint="eastAsia" w:ascii="宋体" w:hAnsi="宋体" w:eastAsia="宋体" w:cs="宋体"/>
                <w:color w:val="auto"/>
                <w:szCs w:val="21"/>
                <w:highlight w:val="none"/>
                <w:u w:val="single"/>
                <w:lang w:val="en-US" w:eastAsia="zh-CN"/>
              </w:rPr>
              <w:t>2025</w:t>
            </w:r>
            <w:r>
              <w:rPr>
                <w:rFonts w:hint="eastAsia" w:ascii="宋体" w:hAnsi="宋体" w:eastAsia="宋体" w:cs="宋体"/>
                <w:color w:val="auto"/>
                <w:szCs w:val="21"/>
                <w:highlight w:val="none"/>
              </w:rPr>
              <w:t>年</w:t>
            </w:r>
            <w:r>
              <w:rPr>
                <w:rFonts w:hint="eastAsia" w:ascii="宋体" w:hAnsi="宋体" w:cs="宋体"/>
                <w:color w:val="auto"/>
                <w:szCs w:val="21"/>
                <w:highlight w:val="none"/>
                <w:u w:val="single"/>
                <w:lang w:val="en-US" w:eastAsia="zh-CN"/>
              </w:rPr>
              <w:t>6</w:t>
            </w:r>
            <w:r>
              <w:rPr>
                <w:rFonts w:hint="eastAsia" w:ascii="宋体" w:hAnsi="宋体" w:eastAsia="宋体" w:cs="宋体"/>
                <w:color w:val="auto"/>
                <w:szCs w:val="21"/>
                <w:highlight w:val="none"/>
              </w:rPr>
              <w:t>月至</w:t>
            </w:r>
            <w:r>
              <w:rPr>
                <w:rFonts w:hint="eastAsia" w:ascii="宋体" w:hAnsi="宋体" w:eastAsia="宋体" w:cs="宋体"/>
                <w:color w:val="auto"/>
                <w:sz w:val="21"/>
                <w:szCs w:val="21"/>
                <w:highlight w:val="none"/>
              </w:rPr>
              <w:t>投标文件提交截止时间止</w:t>
            </w:r>
            <w:r>
              <w:rPr>
                <w:rFonts w:hint="eastAsia" w:ascii="宋体" w:hAnsi="宋体" w:eastAsia="宋体" w:cs="宋体"/>
                <w:color w:val="auto"/>
                <w:sz w:val="21"/>
                <w:szCs w:val="21"/>
                <w:highlight w:val="none"/>
                <w:lang w:val="en-US" w:eastAsia="zh-CN"/>
              </w:rPr>
              <w:t>的</w:t>
            </w:r>
            <w:r>
              <w:rPr>
                <w:rFonts w:hint="eastAsia" w:ascii="宋体" w:hAnsi="宋体" w:cs="宋体"/>
                <w:color w:val="auto"/>
                <w:sz w:val="21"/>
                <w:szCs w:val="21"/>
                <w:highlight w:val="none"/>
                <w:lang w:val="en-US" w:eastAsia="zh-CN"/>
              </w:rPr>
              <w:t>任意</w:t>
            </w:r>
            <w:r>
              <w:rPr>
                <w:rFonts w:hint="eastAsia" w:ascii="宋体" w:hAnsi="宋体" w:cs="宋体"/>
                <w:color w:val="auto"/>
                <w:szCs w:val="21"/>
                <w:highlight w:val="none"/>
                <w:lang w:val="en-US" w:eastAsia="zh-CN"/>
              </w:rPr>
              <w:t>连续</w:t>
            </w:r>
            <w:r>
              <w:rPr>
                <w:rFonts w:hint="eastAsia" w:ascii="宋体" w:hAnsi="宋体" w:cs="宋体"/>
                <w:color w:val="auto"/>
                <w:szCs w:val="21"/>
                <w:highlight w:val="none"/>
                <w:u w:val="single"/>
                <w:lang w:val="en-US" w:eastAsia="zh-CN"/>
              </w:rPr>
              <w:t>3</w:t>
            </w:r>
            <w:r>
              <w:rPr>
                <w:rFonts w:hint="eastAsia" w:ascii="宋体" w:hAnsi="宋体" w:eastAsia="宋体" w:cs="宋体"/>
                <w:color w:val="auto"/>
                <w:szCs w:val="21"/>
                <w:highlight w:val="none"/>
              </w:rPr>
              <w:t>个月</w:t>
            </w:r>
            <w:r>
              <w:rPr>
                <w:rFonts w:hint="eastAsia" w:ascii="宋体" w:hAnsi="宋体" w:eastAsia="宋体" w:cs="宋体"/>
                <w:color w:val="auto"/>
                <w:sz w:val="21"/>
                <w:szCs w:val="21"/>
                <w:highlight w:val="none"/>
              </w:rPr>
              <w:t>的依法缴纳税收的凭据复印件；依法免税的</w:t>
            </w:r>
            <w:r>
              <w:rPr>
                <w:rFonts w:hint="eastAsia" w:ascii="宋体" w:hAnsi="宋体" w:eastAsia="宋体" w:cs="宋体"/>
                <w:color w:val="auto"/>
                <w:sz w:val="21"/>
                <w:szCs w:val="21"/>
                <w:highlight w:val="none"/>
                <w:lang w:eastAsia="zh-CN"/>
              </w:rPr>
              <w:t>投标人</w:t>
            </w:r>
            <w:r>
              <w:rPr>
                <w:rFonts w:hint="eastAsia" w:ascii="宋体" w:hAnsi="宋体" w:eastAsia="宋体" w:cs="宋体"/>
                <w:color w:val="auto"/>
                <w:sz w:val="21"/>
                <w:szCs w:val="21"/>
                <w:highlight w:val="none"/>
              </w:rPr>
              <w:t>，必须提供相应文件证明其依法免税。从取得营业执照时间起到投标文件提交截止时间为止不足要求月数的，只需提供从取得营业执照起的依法缴纳税收相应证明文件）。（</w:t>
            </w:r>
            <w:r>
              <w:rPr>
                <w:rFonts w:hint="eastAsia" w:ascii="宋体" w:hAnsi="宋体" w:eastAsia="宋体" w:cs="宋体"/>
                <w:b/>
                <w:color w:val="auto"/>
                <w:sz w:val="21"/>
                <w:szCs w:val="21"/>
                <w:highlight w:val="none"/>
              </w:rPr>
              <w:t>必须提供，否则作无效投标处理</w:t>
            </w:r>
            <w:r>
              <w:rPr>
                <w:rFonts w:hint="eastAsia" w:ascii="宋体" w:hAnsi="宋体" w:eastAsia="宋体" w:cs="宋体"/>
                <w:color w:val="auto"/>
                <w:sz w:val="21"/>
                <w:szCs w:val="21"/>
                <w:highlight w:val="none"/>
              </w:rPr>
              <w:t>）</w:t>
            </w:r>
          </w:p>
          <w:p w14:paraId="52F0C7D3">
            <w:pPr>
              <w:keepNext w:val="0"/>
              <w:keepLines w:val="0"/>
              <w:pageBreakBefore w:val="0"/>
              <w:shd w:val="clear"/>
              <w:kinsoku/>
              <w:wordWrap/>
              <w:overflowPunct/>
              <w:topLinePunct w:val="0"/>
              <w:bidi w:val="0"/>
              <w:adjustRightInd/>
              <w:snapToGrid w:val="0"/>
              <w:spacing w:line="432" w:lineRule="exact"/>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w:t>
            </w:r>
            <w:r>
              <w:rPr>
                <w:rFonts w:hint="eastAsia" w:ascii="宋体" w:hAnsi="宋体" w:eastAsia="宋体" w:cs="宋体"/>
                <w:color w:val="auto"/>
                <w:sz w:val="21"/>
                <w:szCs w:val="21"/>
                <w:highlight w:val="none"/>
                <w:lang w:val="en-US" w:eastAsia="zh-CN"/>
              </w:rPr>
              <w:t>.</w:t>
            </w:r>
            <w:r>
              <w:rPr>
                <w:rFonts w:hint="eastAsia" w:ascii="宋体" w:hAnsi="宋体" w:eastAsia="宋体" w:cs="宋体"/>
                <w:color w:val="auto"/>
                <w:sz w:val="21"/>
                <w:szCs w:val="21"/>
                <w:highlight w:val="none"/>
              </w:rPr>
              <w:t>投标人依法缴纳社会保障资金的相关材料</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Cs w:val="21"/>
                <w:highlight w:val="none"/>
                <w:u w:val="none"/>
                <w:lang w:val="en-US" w:eastAsia="zh-CN"/>
              </w:rPr>
              <w:t>提供税款所属时期或缴费起始时间为</w:t>
            </w:r>
            <w:r>
              <w:rPr>
                <w:rFonts w:hint="eastAsia" w:ascii="宋体" w:hAnsi="宋体" w:eastAsia="宋体" w:cs="宋体"/>
                <w:color w:val="auto"/>
                <w:szCs w:val="21"/>
                <w:highlight w:val="none"/>
                <w:u w:val="single"/>
                <w:lang w:val="en-US" w:eastAsia="zh-CN"/>
              </w:rPr>
              <w:t>2025</w:t>
            </w:r>
            <w:r>
              <w:rPr>
                <w:rFonts w:hint="eastAsia" w:ascii="宋体" w:hAnsi="宋体" w:eastAsia="宋体" w:cs="宋体"/>
                <w:color w:val="auto"/>
                <w:szCs w:val="21"/>
                <w:highlight w:val="none"/>
              </w:rPr>
              <w:t>年</w:t>
            </w:r>
            <w:r>
              <w:rPr>
                <w:rFonts w:hint="eastAsia" w:ascii="宋体" w:hAnsi="宋体" w:cs="宋体"/>
                <w:color w:val="auto"/>
                <w:szCs w:val="21"/>
                <w:highlight w:val="none"/>
                <w:u w:val="single"/>
                <w:lang w:val="en-US" w:eastAsia="zh-CN"/>
              </w:rPr>
              <w:t>6</w:t>
            </w:r>
            <w:r>
              <w:rPr>
                <w:rFonts w:hint="eastAsia" w:ascii="宋体" w:hAnsi="宋体" w:eastAsia="宋体" w:cs="宋体"/>
                <w:color w:val="auto"/>
                <w:szCs w:val="21"/>
                <w:highlight w:val="none"/>
                <w:lang w:val="en-US" w:eastAsia="zh-CN"/>
              </w:rPr>
              <w:t>月</w:t>
            </w:r>
            <w:r>
              <w:rPr>
                <w:rFonts w:hint="eastAsia" w:ascii="宋体" w:hAnsi="宋体" w:eastAsia="宋体" w:cs="宋体"/>
                <w:color w:val="auto"/>
                <w:szCs w:val="21"/>
                <w:highlight w:val="none"/>
              </w:rPr>
              <w:t>至</w:t>
            </w:r>
            <w:r>
              <w:rPr>
                <w:rFonts w:hint="eastAsia" w:ascii="宋体" w:hAnsi="宋体" w:eastAsia="宋体" w:cs="宋体"/>
                <w:color w:val="auto"/>
                <w:sz w:val="21"/>
                <w:szCs w:val="21"/>
                <w:highlight w:val="none"/>
              </w:rPr>
              <w:t>投标文件提交截止时间止</w:t>
            </w:r>
            <w:r>
              <w:rPr>
                <w:rFonts w:hint="eastAsia" w:ascii="宋体" w:hAnsi="宋体" w:eastAsia="宋体" w:cs="宋体"/>
                <w:color w:val="auto"/>
                <w:sz w:val="21"/>
                <w:szCs w:val="21"/>
                <w:highlight w:val="none"/>
                <w:lang w:val="en-US" w:eastAsia="zh-CN"/>
              </w:rPr>
              <w:t>的</w:t>
            </w:r>
            <w:r>
              <w:rPr>
                <w:rFonts w:hint="eastAsia" w:ascii="宋体" w:hAnsi="宋体" w:cs="宋体"/>
                <w:color w:val="auto"/>
                <w:sz w:val="21"/>
                <w:szCs w:val="21"/>
                <w:highlight w:val="none"/>
                <w:lang w:val="en-US" w:eastAsia="zh-CN"/>
              </w:rPr>
              <w:t>任意</w:t>
            </w:r>
            <w:r>
              <w:rPr>
                <w:rFonts w:hint="eastAsia" w:ascii="宋体" w:hAnsi="宋体" w:cs="宋体"/>
                <w:color w:val="auto"/>
                <w:szCs w:val="21"/>
                <w:highlight w:val="none"/>
                <w:lang w:val="en-US" w:eastAsia="zh-CN"/>
              </w:rPr>
              <w:t>连续</w:t>
            </w:r>
            <w:r>
              <w:rPr>
                <w:rFonts w:hint="eastAsia" w:ascii="宋体" w:hAnsi="宋体" w:cs="宋体"/>
                <w:color w:val="auto"/>
                <w:szCs w:val="21"/>
                <w:highlight w:val="none"/>
                <w:u w:val="single"/>
                <w:lang w:val="en-US" w:eastAsia="zh-CN"/>
              </w:rPr>
              <w:t>3</w:t>
            </w:r>
            <w:r>
              <w:rPr>
                <w:rFonts w:hint="eastAsia" w:ascii="宋体" w:hAnsi="宋体" w:eastAsia="宋体" w:cs="宋体"/>
                <w:color w:val="auto"/>
                <w:szCs w:val="21"/>
                <w:highlight w:val="none"/>
              </w:rPr>
              <w:t>个月</w:t>
            </w:r>
            <w:r>
              <w:rPr>
                <w:rFonts w:hint="eastAsia" w:ascii="宋体" w:hAnsi="宋体" w:eastAsia="宋体" w:cs="宋体"/>
                <w:color w:val="auto"/>
                <w:sz w:val="21"/>
                <w:szCs w:val="21"/>
                <w:highlight w:val="none"/>
              </w:rPr>
              <w:t>的依法缴纳社会保障资金的缴费凭证复印件；依法不需要缴纳社会保障资金的</w:t>
            </w:r>
            <w:r>
              <w:rPr>
                <w:rFonts w:hint="eastAsia" w:ascii="宋体" w:hAnsi="宋体" w:eastAsia="宋体" w:cs="宋体"/>
                <w:color w:val="auto"/>
                <w:sz w:val="21"/>
                <w:szCs w:val="21"/>
                <w:highlight w:val="none"/>
                <w:lang w:eastAsia="zh-CN"/>
              </w:rPr>
              <w:t>投标人</w:t>
            </w:r>
            <w:r>
              <w:rPr>
                <w:rFonts w:hint="eastAsia" w:ascii="宋体" w:hAnsi="宋体" w:eastAsia="宋体" w:cs="宋体"/>
                <w:color w:val="auto"/>
                <w:sz w:val="21"/>
                <w:szCs w:val="21"/>
                <w:highlight w:val="none"/>
              </w:rPr>
              <w:t>，必须提供相应文件证明不需要缴纳社会保障资金。从取得营业执照时间起到投标文件提交截止时间为止不足要求月数的只需提供从取得营业执照起的依法缴纳社会保障资金的相应证明文件</w:t>
            </w:r>
            <w:r>
              <w:rPr>
                <w:rFonts w:hint="eastAsia" w:ascii="宋体" w:hAnsi="宋体" w:eastAsia="宋体" w:cs="宋体"/>
                <w:color w:val="auto"/>
                <w:sz w:val="21"/>
                <w:szCs w:val="21"/>
                <w:highlight w:val="none"/>
                <w:lang w:val="en-US" w:eastAsia="zh-CN"/>
              </w:rPr>
              <w:t>）</w:t>
            </w:r>
            <w:r>
              <w:rPr>
                <w:rFonts w:hint="eastAsia" w:ascii="宋体" w:hAnsi="宋体" w:eastAsia="宋体" w:cs="宋体"/>
                <w:color w:val="auto"/>
                <w:sz w:val="21"/>
                <w:szCs w:val="21"/>
                <w:highlight w:val="none"/>
              </w:rPr>
              <w:t>。（</w:t>
            </w:r>
            <w:r>
              <w:rPr>
                <w:rFonts w:hint="eastAsia" w:ascii="宋体" w:hAnsi="宋体" w:eastAsia="宋体" w:cs="宋体"/>
                <w:b/>
                <w:color w:val="auto"/>
                <w:sz w:val="21"/>
                <w:szCs w:val="21"/>
                <w:highlight w:val="none"/>
              </w:rPr>
              <w:t>必须提供，否则作无效投标处理</w:t>
            </w:r>
            <w:r>
              <w:rPr>
                <w:rFonts w:hint="eastAsia" w:ascii="宋体" w:hAnsi="宋体" w:eastAsia="宋体" w:cs="宋体"/>
                <w:color w:val="auto"/>
                <w:sz w:val="21"/>
                <w:szCs w:val="21"/>
                <w:highlight w:val="none"/>
              </w:rPr>
              <w:t>）</w:t>
            </w:r>
          </w:p>
          <w:p w14:paraId="648B3622">
            <w:pPr>
              <w:keepNext w:val="0"/>
              <w:keepLines w:val="0"/>
              <w:pageBreakBefore w:val="0"/>
              <w:shd w:val="clear"/>
              <w:kinsoku/>
              <w:wordWrap/>
              <w:overflowPunct/>
              <w:topLinePunct w:val="0"/>
              <w:bidi w:val="0"/>
              <w:adjustRightInd/>
              <w:snapToGrid w:val="0"/>
              <w:spacing w:line="432" w:lineRule="exact"/>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w:t>
            </w:r>
            <w:r>
              <w:rPr>
                <w:rFonts w:hint="eastAsia" w:ascii="宋体" w:hAnsi="宋体" w:eastAsia="宋体" w:cs="宋体"/>
                <w:color w:val="auto"/>
                <w:sz w:val="21"/>
                <w:szCs w:val="21"/>
                <w:highlight w:val="none"/>
                <w:lang w:val="en-US" w:eastAsia="zh-CN"/>
              </w:rPr>
              <w:t>.</w:t>
            </w:r>
            <w:r>
              <w:rPr>
                <w:rFonts w:hint="eastAsia" w:ascii="宋体" w:hAnsi="宋体" w:eastAsia="宋体" w:cs="宋体"/>
                <w:color w:val="auto"/>
                <w:sz w:val="21"/>
                <w:szCs w:val="21"/>
                <w:highlight w:val="none"/>
              </w:rPr>
              <w:t>投标人财务状况报告</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Cs w:val="21"/>
                <w:highlight w:val="none"/>
              </w:rPr>
              <w:t>提供</w:t>
            </w:r>
            <w:r>
              <w:rPr>
                <w:rFonts w:hint="eastAsia" w:ascii="宋体" w:hAnsi="宋体" w:eastAsia="宋体" w:cs="宋体"/>
                <w:color w:val="auto"/>
                <w:szCs w:val="21"/>
                <w:highlight w:val="none"/>
                <w:u w:val="single"/>
                <w:lang w:val="en-US" w:eastAsia="zh-CN"/>
              </w:rPr>
              <w:t>2024</w:t>
            </w:r>
            <w:r>
              <w:rPr>
                <w:rFonts w:hint="eastAsia" w:ascii="宋体" w:hAnsi="宋体" w:eastAsia="宋体" w:cs="宋体"/>
                <w:color w:val="auto"/>
                <w:szCs w:val="21"/>
                <w:highlight w:val="none"/>
              </w:rPr>
              <w:t>年度的财务报告</w:t>
            </w:r>
            <w:r>
              <w:rPr>
                <w:rFonts w:hint="eastAsia" w:ascii="宋体" w:hAnsi="宋体" w:eastAsia="宋体" w:cs="宋体"/>
                <w:color w:val="auto"/>
                <w:szCs w:val="21"/>
                <w:highlight w:val="none"/>
                <w:lang w:eastAsia="zh-CN"/>
              </w:rPr>
              <w:t>复印件</w:t>
            </w:r>
            <w:r>
              <w:rPr>
                <w:rFonts w:hint="eastAsia" w:ascii="宋体" w:hAnsi="宋体" w:eastAsia="宋体" w:cs="宋体"/>
                <w:color w:val="auto"/>
                <w:szCs w:val="21"/>
                <w:highlight w:val="none"/>
              </w:rPr>
              <w:t>或</w:t>
            </w:r>
            <w:r>
              <w:rPr>
                <w:rFonts w:hint="eastAsia" w:ascii="宋体" w:hAnsi="宋体" w:eastAsia="宋体" w:cs="宋体"/>
                <w:color w:val="auto"/>
                <w:szCs w:val="21"/>
                <w:highlight w:val="none"/>
                <w:lang w:eastAsia="zh-CN"/>
              </w:rPr>
              <w:t>者</w:t>
            </w:r>
            <w:r>
              <w:rPr>
                <w:rFonts w:hint="eastAsia" w:ascii="宋体" w:hAnsi="宋体" w:eastAsia="宋体" w:cs="宋体"/>
                <w:color w:val="auto"/>
                <w:szCs w:val="21"/>
                <w:highlight w:val="none"/>
              </w:rPr>
              <w:t>或者其基本开户银行出具的资信证明</w:t>
            </w:r>
            <w:r>
              <w:rPr>
                <w:rFonts w:hint="eastAsia" w:ascii="宋体" w:hAnsi="宋体" w:eastAsia="宋体" w:cs="宋体"/>
                <w:b w:val="0"/>
                <w:bCs w:val="0"/>
                <w:color w:val="auto"/>
                <w:szCs w:val="21"/>
                <w:highlight w:val="none"/>
              </w:rPr>
              <w:t>（注明有效期的，应在有效期内；未注明有效期的，出具时间至竞标截止时间不超过一年）</w:t>
            </w:r>
            <w:r>
              <w:rPr>
                <w:rFonts w:hint="eastAsia" w:ascii="宋体" w:hAnsi="宋体" w:eastAsia="宋体" w:cs="宋体"/>
                <w:color w:val="auto"/>
                <w:szCs w:val="21"/>
                <w:highlight w:val="none"/>
                <w:lang w:val="en-US" w:eastAsia="zh-CN"/>
              </w:rPr>
              <w:t>或者</w:t>
            </w:r>
            <w:r>
              <w:rPr>
                <w:rFonts w:hint="eastAsia" w:ascii="宋体" w:hAnsi="宋体" w:eastAsia="宋体" w:cs="宋体"/>
                <w:color w:val="auto"/>
                <w:szCs w:val="21"/>
                <w:highlight w:val="none"/>
              </w:rPr>
              <w:t>截标时间前半年内至少一个月能反映财务状况的报表或</w:t>
            </w:r>
            <w:r>
              <w:rPr>
                <w:rFonts w:hint="eastAsia" w:ascii="宋体" w:hAnsi="宋体" w:eastAsia="宋体" w:cs="宋体"/>
                <w:color w:val="auto"/>
                <w:szCs w:val="21"/>
                <w:highlight w:val="none"/>
                <w:lang w:eastAsia="zh-CN"/>
              </w:rPr>
              <w:t>者</w:t>
            </w:r>
            <w:r>
              <w:rPr>
                <w:rFonts w:hint="eastAsia" w:ascii="宋体" w:hAnsi="宋体" w:eastAsia="宋体" w:cs="宋体"/>
                <w:color w:val="auto"/>
                <w:szCs w:val="21"/>
                <w:highlight w:val="none"/>
              </w:rPr>
              <w:t>投标人自拟的截标时间前半年内至少一个月的财务情况说明</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w:t>
            </w:r>
            <w:r>
              <w:rPr>
                <w:rFonts w:hint="eastAsia" w:ascii="宋体" w:hAnsi="宋体" w:eastAsia="宋体" w:cs="宋体"/>
                <w:b/>
                <w:color w:val="auto"/>
                <w:sz w:val="21"/>
                <w:szCs w:val="21"/>
                <w:highlight w:val="none"/>
              </w:rPr>
              <w:t>必须提供，否则作无效投标处理</w:t>
            </w:r>
            <w:r>
              <w:rPr>
                <w:rFonts w:hint="eastAsia" w:ascii="宋体" w:hAnsi="宋体" w:eastAsia="宋体" w:cs="宋体"/>
                <w:color w:val="auto"/>
                <w:sz w:val="21"/>
                <w:szCs w:val="21"/>
                <w:highlight w:val="none"/>
              </w:rPr>
              <w:t>）</w:t>
            </w:r>
          </w:p>
          <w:p w14:paraId="54ECDE05">
            <w:pPr>
              <w:keepNext w:val="0"/>
              <w:keepLines w:val="0"/>
              <w:pageBreakBefore w:val="0"/>
              <w:shd w:val="clear"/>
              <w:kinsoku/>
              <w:wordWrap/>
              <w:overflowPunct/>
              <w:topLinePunct w:val="0"/>
              <w:bidi w:val="0"/>
              <w:adjustRightInd/>
              <w:snapToGrid w:val="0"/>
              <w:spacing w:line="432" w:lineRule="exact"/>
              <w:jc w:val="left"/>
              <w:textAlignment w:val="auto"/>
              <w:rPr>
                <w:rFonts w:hint="eastAsia" w:ascii="宋体" w:hAnsi="宋体" w:eastAsia="宋体" w:cs="宋体"/>
                <w:color w:val="auto"/>
                <w:szCs w:val="21"/>
                <w:highlight w:val="none"/>
                <w:lang w:val="en-US" w:eastAsia="zh-CN"/>
              </w:rPr>
            </w:pPr>
            <w:r>
              <w:rPr>
                <w:rFonts w:hint="eastAsia" w:ascii="宋体" w:hAnsi="宋体" w:cs="宋体"/>
                <w:color w:val="auto"/>
                <w:szCs w:val="21"/>
                <w:highlight w:val="none"/>
                <w:lang w:val="en-US" w:eastAsia="zh-CN"/>
              </w:rPr>
              <w:t>5</w:t>
            </w:r>
            <w:r>
              <w:rPr>
                <w:rFonts w:hint="eastAsia" w:ascii="宋体" w:hAnsi="宋体" w:eastAsia="宋体" w:cs="宋体"/>
                <w:color w:val="auto"/>
                <w:szCs w:val="21"/>
                <w:highlight w:val="none"/>
                <w:lang w:val="en-US" w:eastAsia="zh-CN"/>
              </w:rPr>
              <w:t>.本项目为专门面向中小企业采购的项目。投标人必须提供中小企业声明函或者残疾人福利性单位声明函或者投标人属于监狱企业的需提供由省级以上监狱管理局、戒毒管理局（含新疆生产建设兵团）出具的属于监狱企业的证明文件。</w:t>
            </w:r>
            <w:r>
              <w:rPr>
                <w:rFonts w:hint="eastAsia" w:ascii="宋体" w:hAnsi="宋体" w:eastAsia="宋体" w:cs="宋体"/>
                <w:b/>
                <w:i w:val="0"/>
                <w:iCs w:val="0"/>
                <w:color w:val="auto"/>
                <w:sz w:val="21"/>
                <w:szCs w:val="21"/>
                <w:highlight w:val="none"/>
              </w:rPr>
              <w:t>（必须提供，否则作无效投标处理）</w:t>
            </w:r>
          </w:p>
          <w:p w14:paraId="3FCC1086">
            <w:pPr>
              <w:keepNext w:val="0"/>
              <w:keepLines w:val="0"/>
              <w:pageBreakBefore w:val="0"/>
              <w:numPr>
                <w:ilvl w:val="0"/>
                <w:numId w:val="0"/>
              </w:numPr>
              <w:shd w:val="clear"/>
              <w:kinsoku/>
              <w:wordWrap/>
              <w:overflowPunct/>
              <w:topLinePunct w:val="0"/>
              <w:bidi w:val="0"/>
              <w:adjustRightInd/>
              <w:snapToGrid w:val="0"/>
              <w:spacing w:line="432" w:lineRule="exact"/>
              <w:ind w:leftChars="0"/>
              <w:jc w:val="left"/>
              <w:textAlignment w:val="auto"/>
              <w:rPr>
                <w:rFonts w:hint="eastAsia" w:ascii="宋体" w:hAnsi="宋体" w:eastAsia="宋体" w:cs="宋体"/>
                <w:color w:val="auto"/>
                <w:sz w:val="21"/>
                <w:szCs w:val="21"/>
                <w:highlight w:val="none"/>
              </w:rPr>
            </w:pPr>
            <w:r>
              <w:rPr>
                <w:rFonts w:hint="eastAsia" w:ascii="宋体" w:hAnsi="宋体" w:cs="宋体"/>
                <w:color w:val="auto"/>
                <w:sz w:val="21"/>
                <w:szCs w:val="21"/>
                <w:highlight w:val="none"/>
                <w:lang w:val="en-US" w:eastAsia="zh-CN"/>
              </w:rPr>
              <w:t>6</w:t>
            </w:r>
            <w:r>
              <w:rPr>
                <w:rFonts w:hint="eastAsia" w:ascii="宋体" w:hAnsi="宋体" w:eastAsia="宋体" w:cs="宋体"/>
                <w:color w:val="auto"/>
                <w:sz w:val="21"/>
                <w:szCs w:val="21"/>
                <w:highlight w:val="none"/>
                <w:lang w:val="en-US" w:eastAsia="zh-CN"/>
              </w:rPr>
              <w:t>.</w:t>
            </w:r>
            <w:r>
              <w:rPr>
                <w:rFonts w:hint="eastAsia" w:ascii="宋体" w:hAnsi="宋体" w:eastAsia="宋体" w:cs="宋体"/>
                <w:color w:val="auto"/>
                <w:sz w:val="21"/>
                <w:szCs w:val="21"/>
                <w:highlight w:val="none"/>
              </w:rPr>
              <w:t>声明函（格式后附）。（</w:t>
            </w:r>
            <w:r>
              <w:rPr>
                <w:rFonts w:hint="eastAsia" w:ascii="宋体" w:hAnsi="宋体" w:eastAsia="宋体" w:cs="宋体"/>
                <w:b/>
                <w:color w:val="auto"/>
                <w:sz w:val="21"/>
                <w:szCs w:val="21"/>
                <w:highlight w:val="none"/>
              </w:rPr>
              <w:t>必须提供，否则作无效投标处理</w:t>
            </w:r>
            <w:r>
              <w:rPr>
                <w:rFonts w:hint="eastAsia" w:ascii="宋体" w:hAnsi="宋体" w:eastAsia="宋体" w:cs="宋体"/>
                <w:color w:val="auto"/>
                <w:sz w:val="21"/>
                <w:szCs w:val="21"/>
                <w:highlight w:val="none"/>
              </w:rPr>
              <w:t>）</w:t>
            </w:r>
          </w:p>
          <w:p w14:paraId="5E07BAB4">
            <w:pPr>
              <w:keepNext w:val="0"/>
              <w:keepLines w:val="0"/>
              <w:pageBreakBefore w:val="0"/>
              <w:shd w:val="clear"/>
              <w:kinsoku/>
              <w:wordWrap/>
              <w:overflowPunct/>
              <w:topLinePunct w:val="0"/>
              <w:bidi w:val="0"/>
              <w:adjustRightInd/>
              <w:snapToGrid w:val="0"/>
              <w:spacing w:line="432" w:lineRule="exact"/>
              <w:jc w:val="left"/>
              <w:textAlignment w:val="auto"/>
              <w:rPr>
                <w:rFonts w:hint="eastAsia" w:ascii="宋体" w:hAnsi="宋体" w:eastAsia="宋体" w:cs="宋体"/>
                <w:color w:val="auto"/>
                <w:sz w:val="21"/>
                <w:szCs w:val="21"/>
                <w:highlight w:val="none"/>
              </w:rPr>
            </w:pPr>
            <w:r>
              <w:rPr>
                <w:rFonts w:hint="eastAsia" w:ascii="宋体" w:hAnsi="宋体" w:cs="宋体"/>
                <w:color w:val="auto"/>
                <w:sz w:val="21"/>
                <w:szCs w:val="21"/>
                <w:highlight w:val="none"/>
                <w:lang w:val="en-US" w:eastAsia="zh-CN"/>
              </w:rPr>
              <w:t>7</w:t>
            </w:r>
            <w:r>
              <w:rPr>
                <w:rFonts w:hint="eastAsia" w:ascii="宋体" w:hAnsi="宋体" w:eastAsia="宋体" w:cs="宋体"/>
                <w:color w:val="auto"/>
                <w:sz w:val="21"/>
                <w:szCs w:val="21"/>
                <w:highlight w:val="none"/>
                <w:lang w:val="en-US" w:eastAsia="zh-CN"/>
              </w:rPr>
              <w:t>.</w:t>
            </w:r>
            <w:r>
              <w:rPr>
                <w:rFonts w:hint="eastAsia" w:ascii="宋体" w:hAnsi="宋体" w:eastAsia="宋体" w:cs="宋体"/>
                <w:color w:val="auto"/>
                <w:sz w:val="21"/>
                <w:szCs w:val="21"/>
                <w:highlight w:val="none"/>
              </w:rPr>
              <w:t>除招标文件规定必须提供以外，投标人认为需要提供的其他证明材料</w:t>
            </w:r>
            <w:r>
              <w:rPr>
                <w:rFonts w:hint="eastAsia" w:ascii="宋体" w:hAnsi="宋体" w:cs="宋体"/>
                <w:color w:val="auto"/>
                <w:sz w:val="21"/>
                <w:szCs w:val="21"/>
                <w:highlight w:val="none"/>
                <w:lang w:eastAsia="zh-CN"/>
              </w:rPr>
              <w:t>。</w:t>
            </w:r>
            <w:r>
              <w:rPr>
                <w:rFonts w:hint="eastAsia" w:ascii="宋体" w:hAnsi="宋体" w:eastAsia="宋体" w:cs="宋体"/>
                <w:color w:val="auto"/>
                <w:sz w:val="21"/>
                <w:szCs w:val="21"/>
                <w:highlight w:val="none"/>
              </w:rPr>
              <w:t>（格式自拟</w:t>
            </w:r>
            <w:r>
              <w:rPr>
                <w:rFonts w:hint="eastAsia" w:ascii="宋体" w:hAnsi="宋体" w:cs="宋体"/>
                <w:color w:val="auto"/>
                <w:sz w:val="21"/>
                <w:szCs w:val="21"/>
                <w:highlight w:val="none"/>
                <w:lang w:eastAsia="zh-CN"/>
              </w:rPr>
              <w:t>，</w:t>
            </w:r>
            <w:r>
              <w:rPr>
                <w:rFonts w:hint="eastAsia" w:ascii="宋体" w:hAnsi="宋体" w:cs="宋体"/>
                <w:color w:val="auto"/>
                <w:sz w:val="21"/>
                <w:szCs w:val="21"/>
                <w:highlight w:val="none"/>
                <w:lang w:val="en-US" w:eastAsia="zh-CN"/>
              </w:rPr>
              <w:t>如有请提供</w:t>
            </w:r>
            <w:r>
              <w:rPr>
                <w:rFonts w:hint="eastAsia" w:ascii="宋体" w:hAnsi="宋体" w:eastAsia="宋体" w:cs="宋体"/>
                <w:color w:val="auto"/>
                <w:sz w:val="21"/>
                <w:szCs w:val="21"/>
                <w:highlight w:val="none"/>
              </w:rPr>
              <w:t>）</w:t>
            </w:r>
          </w:p>
          <w:p w14:paraId="37775D15">
            <w:pPr>
              <w:keepNext w:val="0"/>
              <w:keepLines w:val="0"/>
              <w:pageBreakBefore w:val="0"/>
              <w:shd w:val="clear"/>
              <w:kinsoku/>
              <w:wordWrap/>
              <w:overflowPunct/>
              <w:topLinePunct w:val="0"/>
              <w:bidi w:val="0"/>
              <w:adjustRightInd/>
              <w:snapToGrid w:val="0"/>
              <w:spacing w:line="432" w:lineRule="exact"/>
              <w:jc w:val="left"/>
              <w:textAlignment w:val="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注：</w:t>
            </w:r>
            <w:r>
              <w:rPr>
                <w:rFonts w:hint="eastAsia" w:ascii="宋体" w:hAnsi="宋体" w:eastAsia="宋体" w:cs="宋体"/>
                <w:color w:val="auto"/>
                <w:sz w:val="21"/>
                <w:szCs w:val="21"/>
                <w:highlight w:val="none"/>
              </w:rPr>
              <w:t xml:space="preserve"> </w:t>
            </w:r>
            <w:r>
              <w:rPr>
                <w:rFonts w:hint="eastAsia" w:ascii="宋体" w:hAnsi="宋体" w:eastAsia="宋体" w:cs="宋体"/>
                <w:b/>
                <w:bCs/>
                <w:color w:val="auto"/>
                <w:sz w:val="21"/>
                <w:szCs w:val="21"/>
                <w:highlight w:val="none"/>
              </w:rPr>
              <w:t>以上标明“必须提供”的材料</w:t>
            </w:r>
            <w:r>
              <w:rPr>
                <w:rFonts w:hint="eastAsia" w:ascii="宋体" w:hAnsi="宋体" w:eastAsia="宋体" w:cs="宋体"/>
                <w:b/>
                <w:color w:val="auto"/>
                <w:sz w:val="21"/>
                <w:szCs w:val="21"/>
                <w:highlight w:val="none"/>
              </w:rPr>
              <w:t>属于复印件的扫描件的</w:t>
            </w:r>
            <w:r>
              <w:rPr>
                <w:rFonts w:hint="eastAsia" w:ascii="宋体" w:hAnsi="宋体" w:eastAsia="宋体" w:cs="宋体"/>
                <w:b/>
                <w:bCs/>
                <w:color w:val="auto"/>
                <w:sz w:val="21"/>
                <w:szCs w:val="21"/>
                <w:highlight w:val="none"/>
              </w:rPr>
              <w:t>，必须加盖</w:t>
            </w:r>
            <w:r>
              <w:rPr>
                <w:rFonts w:hint="eastAsia" w:ascii="宋体" w:hAnsi="宋体" w:eastAsia="宋体" w:cs="宋体"/>
                <w:b/>
                <w:bCs/>
                <w:color w:val="auto"/>
                <w:sz w:val="21"/>
                <w:szCs w:val="21"/>
                <w:highlight w:val="none"/>
                <w:lang w:eastAsia="zh-CN"/>
              </w:rPr>
              <w:t>投标人公章</w:t>
            </w:r>
            <w:r>
              <w:rPr>
                <w:rFonts w:hint="eastAsia" w:ascii="宋体" w:hAnsi="宋体" w:eastAsia="宋体" w:cs="宋体"/>
                <w:b/>
                <w:bCs/>
                <w:color w:val="auto"/>
                <w:sz w:val="21"/>
                <w:szCs w:val="21"/>
                <w:highlight w:val="none"/>
              </w:rPr>
              <w:t>，否则</w:t>
            </w:r>
            <w:r>
              <w:rPr>
                <w:rFonts w:hint="eastAsia" w:ascii="宋体" w:hAnsi="宋体" w:eastAsia="宋体" w:cs="宋体"/>
                <w:b/>
                <w:color w:val="auto"/>
                <w:sz w:val="21"/>
                <w:szCs w:val="21"/>
                <w:highlight w:val="none"/>
              </w:rPr>
              <w:t>作无效投标处理。</w:t>
            </w:r>
          </w:p>
        </w:tc>
      </w:tr>
      <w:tr w14:paraId="7AF175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5" w:type="dxa"/>
            <w:noWrap w:val="0"/>
            <w:vAlign w:val="center"/>
          </w:tcPr>
          <w:p w14:paraId="7CB98147">
            <w:pPr>
              <w:keepNext w:val="0"/>
              <w:keepLines w:val="0"/>
              <w:pageBreakBefore w:val="0"/>
              <w:shd w:val="clear"/>
              <w:kinsoku/>
              <w:wordWrap/>
              <w:overflowPunct/>
              <w:topLinePunct w:val="0"/>
              <w:bidi w:val="0"/>
              <w:adjustRightInd/>
              <w:spacing w:line="432" w:lineRule="exact"/>
              <w:textAlignment w:val="auto"/>
              <w:rPr>
                <w:rFonts w:hint="eastAsia" w:ascii="宋体" w:hAnsi="宋体" w:eastAsia="宋体" w:cs="宋体"/>
                <w:color w:val="auto"/>
                <w:sz w:val="21"/>
                <w:szCs w:val="21"/>
                <w:highlight w:val="none"/>
              </w:rPr>
            </w:pPr>
          </w:p>
        </w:tc>
        <w:tc>
          <w:tcPr>
            <w:tcW w:w="1907" w:type="dxa"/>
            <w:noWrap w:val="0"/>
            <w:vAlign w:val="center"/>
          </w:tcPr>
          <w:p w14:paraId="1DC14555">
            <w:pPr>
              <w:keepNext w:val="0"/>
              <w:keepLines w:val="0"/>
              <w:pageBreakBefore w:val="0"/>
              <w:shd w:val="clear"/>
              <w:kinsoku/>
              <w:wordWrap/>
              <w:overflowPunct/>
              <w:topLinePunct w:val="0"/>
              <w:bidi w:val="0"/>
              <w:adjustRightInd/>
              <w:snapToGrid w:val="0"/>
              <w:spacing w:line="432" w:lineRule="exact"/>
              <w:jc w:val="left"/>
              <w:textAlignment w:val="auto"/>
              <w:rPr>
                <w:rFonts w:hint="eastAsia" w:ascii="宋体" w:hAnsi="宋体" w:eastAsia="宋体" w:cs="宋体"/>
                <w:color w:val="auto"/>
                <w:sz w:val="21"/>
                <w:szCs w:val="21"/>
                <w:highlight w:val="none"/>
              </w:rPr>
            </w:pPr>
            <w:bookmarkStart w:id="87" w:name="_13.3"/>
            <w:bookmarkEnd w:id="87"/>
            <w:r>
              <w:rPr>
                <w:rFonts w:hint="eastAsia" w:ascii="宋体" w:hAnsi="宋体" w:eastAsia="宋体" w:cs="宋体"/>
                <w:color w:val="auto"/>
                <w:sz w:val="21"/>
                <w:szCs w:val="21"/>
                <w:highlight w:val="none"/>
              </w:rPr>
              <w:t>商务文件组成</w:t>
            </w:r>
          </w:p>
        </w:tc>
        <w:tc>
          <w:tcPr>
            <w:tcW w:w="7658" w:type="dxa"/>
            <w:noWrap w:val="0"/>
            <w:vAlign w:val="center"/>
          </w:tcPr>
          <w:p w14:paraId="2BF33FD0">
            <w:pPr>
              <w:keepNext w:val="0"/>
              <w:keepLines w:val="0"/>
              <w:pageBreakBefore w:val="0"/>
              <w:shd w:val="clear"/>
              <w:kinsoku/>
              <w:wordWrap/>
              <w:overflowPunct/>
              <w:topLinePunct w:val="0"/>
              <w:bidi w:val="0"/>
              <w:adjustRightInd/>
              <w:snapToGrid w:val="0"/>
              <w:spacing w:line="432" w:lineRule="exact"/>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r>
              <w:rPr>
                <w:rFonts w:hint="eastAsia" w:ascii="宋体" w:hAnsi="宋体" w:eastAsia="宋体" w:cs="宋体"/>
                <w:color w:val="auto"/>
                <w:sz w:val="21"/>
                <w:szCs w:val="21"/>
                <w:highlight w:val="none"/>
                <w:lang w:val="en-US" w:eastAsia="zh-CN"/>
              </w:rPr>
              <w:t>.</w:t>
            </w:r>
            <w:r>
              <w:rPr>
                <w:rFonts w:hint="eastAsia" w:ascii="宋体" w:hAnsi="宋体" w:eastAsia="宋体" w:cs="宋体"/>
                <w:color w:val="auto"/>
                <w:sz w:val="21"/>
                <w:szCs w:val="21"/>
                <w:highlight w:val="none"/>
              </w:rPr>
              <w:t>无串通投标行为的承诺函（格式后附）；（</w:t>
            </w:r>
            <w:r>
              <w:rPr>
                <w:rFonts w:hint="eastAsia" w:ascii="宋体" w:hAnsi="宋体" w:eastAsia="宋体" w:cs="宋体"/>
                <w:b/>
                <w:color w:val="auto"/>
                <w:sz w:val="21"/>
                <w:szCs w:val="21"/>
                <w:highlight w:val="none"/>
              </w:rPr>
              <w:t>必须提供，否则作无效投标处理</w:t>
            </w:r>
            <w:r>
              <w:rPr>
                <w:rFonts w:hint="eastAsia" w:ascii="宋体" w:hAnsi="宋体" w:eastAsia="宋体" w:cs="宋体"/>
                <w:color w:val="auto"/>
                <w:sz w:val="21"/>
                <w:szCs w:val="21"/>
                <w:highlight w:val="none"/>
              </w:rPr>
              <w:t>）</w:t>
            </w:r>
          </w:p>
          <w:p w14:paraId="79854FDA">
            <w:pPr>
              <w:keepNext w:val="0"/>
              <w:keepLines w:val="0"/>
              <w:pageBreakBefore w:val="0"/>
              <w:shd w:val="clear"/>
              <w:kinsoku/>
              <w:wordWrap/>
              <w:overflowPunct/>
              <w:topLinePunct w:val="0"/>
              <w:bidi w:val="0"/>
              <w:adjustRightInd/>
              <w:snapToGrid w:val="0"/>
              <w:spacing w:line="432" w:lineRule="exact"/>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r>
              <w:rPr>
                <w:rFonts w:hint="eastAsia" w:ascii="宋体" w:hAnsi="宋体" w:eastAsia="宋体" w:cs="宋体"/>
                <w:color w:val="auto"/>
                <w:sz w:val="21"/>
                <w:szCs w:val="21"/>
                <w:highlight w:val="none"/>
                <w:lang w:val="en-US" w:eastAsia="zh-CN"/>
              </w:rPr>
              <w:t>.</w:t>
            </w:r>
            <w:r>
              <w:rPr>
                <w:rFonts w:hint="eastAsia" w:ascii="宋体" w:hAnsi="宋体" w:eastAsia="宋体" w:cs="宋体"/>
                <w:color w:val="auto"/>
                <w:sz w:val="21"/>
                <w:szCs w:val="21"/>
                <w:highlight w:val="none"/>
              </w:rPr>
              <w:t>法定代表人身份证明及法定代表人有效身份证正反面复印件（格式后附）；（</w:t>
            </w:r>
            <w:r>
              <w:rPr>
                <w:rFonts w:hint="eastAsia" w:ascii="宋体" w:hAnsi="宋体" w:eastAsia="宋体" w:cs="宋体"/>
                <w:b/>
                <w:bCs/>
                <w:color w:val="auto"/>
                <w:sz w:val="21"/>
                <w:szCs w:val="21"/>
                <w:highlight w:val="none"/>
              </w:rPr>
              <w:t>除自然人投标外</w:t>
            </w:r>
            <w:r>
              <w:rPr>
                <w:rFonts w:hint="eastAsia" w:ascii="宋体" w:hAnsi="宋体" w:eastAsia="宋体" w:cs="宋体"/>
                <w:b/>
                <w:color w:val="auto"/>
                <w:sz w:val="21"/>
                <w:szCs w:val="21"/>
                <w:highlight w:val="none"/>
              </w:rPr>
              <w:t>必须提供，否则作无效投标处理</w:t>
            </w:r>
            <w:r>
              <w:rPr>
                <w:rFonts w:hint="eastAsia" w:ascii="宋体" w:hAnsi="宋体" w:eastAsia="宋体" w:cs="宋体"/>
                <w:color w:val="auto"/>
                <w:sz w:val="21"/>
                <w:szCs w:val="21"/>
                <w:highlight w:val="none"/>
              </w:rPr>
              <w:t>）</w:t>
            </w:r>
          </w:p>
          <w:p w14:paraId="2F8ACF56">
            <w:pPr>
              <w:keepNext w:val="0"/>
              <w:keepLines w:val="0"/>
              <w:pageBreakBefore w:val="0"/>
              <w:shd w:val="clear"/>
              <w:kinsoku/>
              <w:wordWrap/>
              <w:overflowPunct/>
              <w:topLinePunct w:val="0"/>
              <w:bidi w:val="0"/>
              <w:adjustRightInd/>
              <w:snapToGrid w:val="0"/>
              <w:spacing w:line="432" w:lineRule="exact"/>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w:t>
            </w:r>
            <w:r>
              <w:rPr>
                <w:rFonts w:hint="eastAsia" w:ascii="宋体" w:hAnsi="宋体" w:eastAsia="宋体" w:cs="宋体"/>
                <w:color w:val="auto"/>
                <w:sz w:val="21"/>
                <w:szCs w:val="21"/>
                <w:highlight w:val="none"/>
                <w:lang w:val="en-US" w:eastAsia="zh-CN"/>
              </w:rPr>
              <w:t>.</w:t>
            </w:r>
            <w:r>
              <w:rPr>
                <w:rFonts w:hint="eastAsia" w:ascii="宋体" w:hAnsi="宋体" w:eastAsia="宋体" w:cs="宋体"/>
                <w:color w:val="auto"/>
                <w:sz w:val="21"/>
                <w:szCs w:val="21"/>
                <w:highlight w:val="none"/>
              </w:rPr>
              <w:t>法定代表人授权委托书及委托代理人有效身份证正反面复印件（格式后附）；（</w:t>
            </w:r>
            <w:r>
              <w:rPr>
                <w:rFonts w:hint="eastAsia" w:ascii="宋体" w:hAnsi="宋体" w:eastAsia="宋体" w:cs="宋体"/>
                <w:b/>
                <w:color w:val="auto"/>
                <w:sz w:val="21"/>
                <w:szCs w:val="21"/>
                <w:highlight w:val="none"/>
              </w:rPr>
              <w:t>委托时必须提供，否则作无效投标处理</w:t>
            </w:r>
            <w:r>
              <w:rPr>
                <w:rFonts w:hint="eastAsia" w:ascii="宋体" w:hAnsi="宋体" w:eastAsia="宋体" w:cs="宋体"/>
                <w:color w:val="auto"/>
                <w:sz w:val="21"/>
                <w:szCs w:val="21"/>
                <w:highlight w:val="none"/>
              </w:rPr>
              <w:t>）</w:t>
            </w:r>
          </w:p>
          <w:p w14:paraId="67E11B3A">
            <w:pPr>
              <w:pStyle w:val="13"/>
              <w:keepNext w:val="0"/>
              <w:keepLines w:val="0"/>
              <w:pageBreakBefore w:val="0"/>
              <w:shd w:val="clear"/>
              <w:kinsoku/>
              <w:wordWrap/>
              <w:overflowPunct/>
              <w:topLinePunct w:val="0"/>
              <w:bidi w:val="0"/>
              <w:adjustRightInd/>
              <w:spacing w:line="432"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w:t>
            </w:r>
            <w:r>
              <w:rPr>
                <w:rFonts w:hint="eastAsia" w:ascii="宋体" w:hAnsi="宋体" w:eastAsia="宋体" w:cs="宋体"/>
                <w:color w:val="auto"/>
                <w:sz w:val="21"/>
                <w:szCs w:val="21"/>
                <w:highlight w:val="none"/>
                <w:lang w:val="en-US" w:eastAsia="zh-CN"/>
              </w:rPr>
              <w:t>.</w:t>
            </w:r>
            <w:r>
              <w:rPr>
                <w:rFonts w:hint="eastAsia" w:ascii="宋体" w:hAnsi="宋体" w:eastAsia="宋体" w:cs="宋体"/>
                <w:color w:val="auto"/>
                <w:sz w:val="21"/>
                <w:szCs w:val="21"/>
                <w:highlight w:val="none"/>
              </w:rPr>
              <w:t>投标保证金提交凭证</w:t>
            </w:r>
            <w:r>
              <w:rPr>
                <w:rFonts w:hint="eastAsia" w:ascii="宋体" w:hAnsi="宋体" w:eastAsia="宋体" w:cs="宋体"/>
                <w:color w:val="auto"/>
                <w:sz w:val="21"/>
                <w:szCs w:val="21"/>
                <w:highlight w:val="none"/>
                <w:lang w:eastAsia="zh-CN"/>
              </w:rPr>
              <w:t>；</w:t>
            </w:r>
            <w:r>
              <w:rPr>
                <w:rFonts w:hint="eastAsia" w:ascii="宋体" w:hAnsi="宋体" w:eastAsia="宋体" w:cs="宋体"/>
                <w:b/>
                <w:bCs/>
                <w:color w:val="auto"/>
                <w:sz w:val="21"/>
                <w:szCs w:val="21"/>
                <w:highlight w:val="none"/>
              </w:rPr>
              <w:t>（必须提供，否则作无效投标处理）</w:t>
            </w:r>
          </w:p>
          <w:p w14:paraId="6DF40313">
            <w:pPr>
              <w:keepNext w:val="0"/>
              <w:keepLines w:val="0"/>
              <w:pageBreakBefore w:val="0"/>
              <w:shd w:val="clear"/>
              <w:kinsoku/>
              <w:wordWrap/>
              <w:overflowPunct/>
              <w:topLinePunct w:val="0"/>
              <w:bidi w:val="0"/>
              <w:adjustRightInd/>
              <w:snapToGrid w:val="0"/>
              <w:spacing w:line="432" w:lineRule="exact"/>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5.</w:t>
            </w:r>
            <w:r>
              <w:rPr>
                <w:rFonts w:hint="eastAsia" w:ascii="宋体" w:hAnsi="宋体" w:eastAsia="宋体" w:cs="宋体"/>
                <w:color w:val="auto"/>
                <w:sz w:val="21"/>
                <w:szCs w:val="21"/>
                <w:highlight w:val="none"/>
              </w:rPr>
              <w:t>商务条款偏离表（格式后附）；（</w:t>
            </w:r>
            <w:r>
              <w:rPr>
                <w:rFonts w:hint="eastAsia" w:ascii="宋体" w:hAnsi="宋体" w:eastAsia="宋体" w:cs="宋体"/>
                <w:b/>
                <w:color w:val="auto"/>
                <w:sz w:val="21"/>
                <w:szCs w:val="21"/>
                <w:highlight w:val="none"/>
              </w:rPr>
              <w:t>必须提供，否则作无效投标处理</w:t>
            </w:r>
            <w:r>
              <w:rPr>
                <w:rFonts w:hint="eastAsia" w:ascii="宋体" w:hAnsi="宋体" w:eastAsia="宋体" w:cs="宋体"/>
                <w:color w:val="auto"/>
                <w:sz w:val="21"/>
                <w:szCs w:val="21"/>
                <w:highlight w:val="none"/>
              </w:rPr>
              <w:t>）</w:t>
            </w:r>
          </w:p>
          <w:p w14:paraId="76F21E2C">
            <w:pPr>
              <w:keepNext w:val="0"/>
              <w:keepLines w:val="0"/>
              <w:pageBreakBefore w:val="0"/>
              <w:shd w:val="clear"/>
              <w:kinsoku/>
              <w:wordWrap/>
              <w:overflowPunct/>
              <w:topLinePunct w:val="0"/>
              <w:bidi w:val="0"/>
              <w:adjustRightInd/>
              <w:snapToGrid w:val="0"/>
              <w:spacing w:line="432" w:lineRule="exact"/>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6.</w:t>
            </w:r>
            <w:r>
              <w:rPr>
                <w:rFonts w:hint="eastAsia" w:ascii="宋体" w:hAnsi="宋体" w:eastAsia="宋体" w:cs="宋体"/>
                <w:color w:val="auto"/>
                <w:sz w:val="21"/>
                <w:szCs w:val="21"/>
                <w:highlight w:val="none"/>
              </w:rPr>
              <w:t>投标人情况介绍（格式自拟）；</w:t>
            </w:r>
          </w:p>
          <w:p w14:paraId="290B39D8">
            <w:pPr>
              <w:keepNext w:val="0"/>
              <w:keepLines w:val="0"/>
              <w:pageBreakBefore w:val="0"/>
              <w:shd w:val="clear"/>
              <w:kinsoku/>
              <w:wordWrap/>
              <w:overflowPunct/>
              <w:topLinePunct w:val="0"/>
              <w:bidi w:val="0"/>
              <w:adjustRightInd/>
              <w:snapToGrid w:val="0"/>
              <w:spacing w:line="432" w:lineRule="exact"/>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7.</w:t>
            </w:r>
            <w:r>
              <w:rPr>
                <w:rFonts w:hint="eastAsia" w:ascii="宋体" w:hAnsi="宋体" w:eastAsia="宋体" w:cs="宋体"/>
                <w:color w:val="auto"/>
                <w:sz w:val="21"/>
                <w:szCs w:val="21"/>
                <w:highlight w:val="none"/>
              </w:rPr>
              <w:t>除招标文件规定必须提供以外，投标人认为需要提供的其他证明材料（格式自拟）。（投标人根据“第二章 采购需求”及“第四章 评标方法</w:t>
            </w:r>
            <w:r>
              <w:rPr>
                <w:rFonts w:hint="eastAsia" w:ascii="宋体" w:hAnsi="宋体" w:eastAsia="宋体" w:cs="宋体"/>
                <w:color w:val="auto"/>
                <w:sz w:val="21"/>
                <w:szCs w:val="21"/>
                <w:highlight w:val="none"/>
                <w:lang w:eastAsia="zh-CN"/>
              </w:rPr>
              <w:t>和</w:t>
            </w:r>
            <w:r>
              <w:rPr>
                <w:rFonts w:hint="eastAsia" w:ascii="宋体" w:hAnsi="宋体" w:eastAsia="宋体" w:cs="宋体"/>
                <w:color w:val="auto"/>
                <w:sz w:val="21"/>
                <w:szCs w:val="21"/>
                <w:highlight w:val="none"/>
              </w:rPr>
              <w:t>评标标准”提供有关证明材料）。</w:t>
            </w:r>
          </w:p>
          <w:p w14:paraId="6760F2EC">
            <w:pPr>
              <w:keepNext w:val="0"/>
              <w:keepLines w:val="0"/>
              <w:pageBreakBefore w:val="0"/>
              <w:shd w:val="clear"/>
              <w:kinsoku/>
              <w:wordWrap/>
              <w:overflowPunct/>
              <w:topLinePunct w:val="0"/>
              <w:bidi w:val="0"/>
              <w:adjustRightInd/>
              <w:snapToGrid w:val="0"/>
              <w:spacing w:line="432" w:lineRule="exact"/>
              <w:jc w:val="left"/>
              <w:textAlignment w:val="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注： 1.法定代表人授权委托书必须由法定代表人及委托代理人签字，并加盖投标人公章，否则作无效投标处理。</w:t>
            </w:r>
          </w:p>
          <w:p w14:paraId="6BA0EC40">
            <w:pPr>
              <w:keepNext w:val="0"/>
              <w:keepLines w:val="0"/>
              <w:pageBreakBefore w:val="0"/>
              <w:shd w:val="clear"/>
              <w:kinsoku/>
              <w:wordWrap/>
              <w:overflowPunct/>
              <w:topLinePunct w:val="0"/>
              <w:bidi w:val="0"/>
              <w:adjustRightInd/>
              <w:snapToGrid w:val="0"/>
              <w:spacing w:line="432" w:lineRule="exact"/>
              <w:ind w:firstLine="422" w:firstLineChars="200"/>
              <w:jc w:val="left"/>
              <w:textAlignment w:val="auto"/>
              <w:rPr>
                <w:rFonts w:hint="eastAsia" w:ascii="宋体" w:hAnsi="宋体" w:eastAsia="宋体" w:cs="宋体"/>
                <w:b/>
                <w:color w:val="auto"/>
                <w:sz w:val="21"/>
                <w:szCs w:val="21"/>
                <w:highlight w:val="none"/>
              </w:rPr>
            </w:pPr>
            <w:r>
              <w:rPr>
                <w:rFonts w:hint="eastAsia" w:ascii="宋体" w:hAnsi="宋体" w:eastAsia="宋体" w:cs="宋体"/>
                <w:b/>
                <w:bCs/>
                <w:color w:val="auto"/>
                <w:sz w:val="21"/>
                <w:szCs w:val="21"/>
                <w:highlight w:val="none"/>
              </w:rPr>
              <w:t>2.</w:t>
            </w:r>
            <w:r>
              <w:rPr>
                <w:rFonts w:hint="eastAsia" w:ascii="宋体" w:hAnsi="宋体" w:eastAsia="宋体" w:cs="宋体"/>
                <w:color w:val="auto"/>
                <w:sz w:val="21"/>
                <w:szCs w:val="21"/>
                <w:highlight w:val="none"/>
              </w:rPr>
              <w:t xml:space="preserve"> </w:t>
            </w:r>
            <w:r>
              <w:rPr>
                <w:rFonts w:hint="eastAsia" w:ascii="宋体" w:hAnsi="宋体" w:eastAsia="宋体" w:cs="宋体"/>
                <w:b/>
                <w:bCs/>
                <w:color w:val="auto"/>
                <w:sz w:val="21"/>
                <w:szCs w:val="21"/>
                <w:highlight w:val="none"/>
              </w:rPr>
              <w:t>以上标明“必须提供”的材料</w:t>
            </w:r>
            <w:r>
              <w:rPr>
                <w:rFonts w:hint="eastAsia" w:ascii="宋体" w:hAnsi="宋体" w:eastAsia="宋体" w:cs="宋体"/>
                <w:b/>
                <w:color w:val="auto"/>
                <w:sz w:val="21"/>
                <w:szCs w:val="21"/>
                <w:highlight w:val="none"/>
              </w:rPr>
              <w:t>属于复印件的扫描件的</w:t>
            </w:r>
            <w:r>
              <w:rPr>
                <w:rFonts w:hint="eastAsia" w:ascii="宋体" w:hAnsi="宋体" w:eastAsia="宋体" w:cs="宋体"/>
                <w:b/>
                <w:bCs/>
                <w:color w:val="auto"/>
                <w:sz w:val="21"/>
                <w:szCs w:val="21"/>
                <w:highlight w:val="none"/>
              </w:rPr>
              <w:t>，必须加盖</w:t>
            </w:r>
            <w:r>
              <w:rPr>
                <w:rFonts w:hint="eastAsia" w:ascii="宋体" w:hAnsi="宋体" w:eastAsia="宋体" w:cs="宋体"/>
                <w:b/>
                <w:bCs/>
                <w:color w:val="auto"/>
                <w:sz w:val="21"/>
                <w:szCs w:val="21"/>
                <w:highlight w:val="none"/>
                <w:lang w:eastAsia="zh-CN"/>
              </w:rPr>
              <w:t>投标人公章</w:t>
            </w:r>
            <w:r>
              <w:rPr>
                <w:rFonts w:hint="eastAsia" w:ascii="宋体" w:hAnsi="宋体" w:eastAsia="宋体" w:cs="宋体"/>
                <w:b/>
                <w:bCs/>
                <w:color w:val="auto"/>
                <w:sz w:val="21"/>
                <w:szCs w:val="21"/>
                <w:highlight w:val="none"/>
              </w:rPr>
              <w:t>，否则</w:t>
            </w:r>
            <w:r>
              <w:rPr>
                <w:rFonts w:hint="eastAsia" w:ascii="宋体" w:hAnsi="宋体" w:eastAsia="宋体" w:cs="宋体"/>
                <w:b/>
                <w:color w:val="auto"/>
                <w:sz w:val="21"/>
                <w:szCs w:val="21"/>
                <w:highlight w:val="none"/>
              </w:rPr>
              <w:t>作无效投标处理</w:t>
            </w:r>
            <w:r>
              <w:rPr>
                <w:rFonts w:hint="eastAsia" w:ascii="宋体" w:hAnsi="宋体" w:eastAsia="宋体" w:cs="宋体"/>
                <w:b/>
                <w:bCs/>
                <w:color w:val="auto"/>
                <w:sz w:val="21"/>
                <w:szCs w:val="21"/>
                <w:highlight w:val="none"/>
              </w:rPr>
              <w:t>。</w:t>
            </w:r>
          </w:p>
        </w:tc>
      </w:tr>
      <w:tr w14:paraId="20CA1D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5" w:type="dxa"/>
            <w:vMerge w:val="restart"/>
            <w:noWrap w:val="0"/>
            <w:vAlign w:val="center"/>
          </w:tcPr>
          <w:p w14:paraId="28AFDDEB">
            <w:pPr>
              <w:keepNext w:val="0"/>
              <w:keepLines w:val="0"/>
              <w:pageBreakBefore w:val="0"/>
              <w:shd w:val="clear"/>
              <w:kinsoku/>
              <w:wordWrap/>
              <w:overflowPunct/>
              <w:topLinePunct w:val="0"/>
              <w:bidi w:val="0"/>
              <w:adjustRightInd/>
              <w:spacing w:line="432" w:lineRule="exact"/>
              <w:textAlignment w:val="auto"/>
              <w:rPr>
                <w:rFonts w:hint="eastAsia" w:ascii="宋体" w:hAnsi="宋体" w:eastAsia="宋体" w:cs="宋体"/>
                <w:color w:val="auto"/>
                <w:sz w:val="21"/>
                <w:szCs w:val="21"/>
                <w:highlight w:val="none"/>
              </w:rPr>
            </w:pPr>
          </w:p>
        </w:tc>
        <w:tc>
          <w:tcPr>
            <w:tcW w:w="1907" w:type="dxa"/>
            <w:noWrap w:val="0"/>
            <w:vAlign w:val="center"/>
          </w:tcPr>
          <w:p w14:paraId="1B276749">
            <w:pPr>
              <w:keepNext w:val="0"/>
              <w:keepLines w:val="0"/>
              <w:pageBreakBefore w:val="0"/>
              <w:shd w:val="clear"/>
              <w:kinsoku/>
              <w:wordWrap/>
              <w:overflowPunct/>
              <w:topLinePunct w:val="0"/>
              <w:bidi w:val="0"/>
              <w:adjustRightInd/>
              <w:snapToGrid w:val="0"/>
              <w:spacing w:line="432" w:lineRule="exact"/>
              <w:jc w:val="left"/>
              <w:textAlignment w:val="auto"/>
              <w:rPr>
                <w:rFonts w:hint="eastAsia" w:ascii="宋体" w:hAnsi="宋体" w:eastAsia="宋体" w:cs="宋体"/>
                <w:color w:val="auto"/>
                <w:sz w:val="21"/>
                <w:szCs w:val="21"/>
                <w:highlight w:val="none"/>
              </w:rPr>
            </w:pPr>
            <w:bookmarkStart w:id="88" w:name="_13.4"/>
            <w:bookmarkEnd w:id="88"/>
            <w:r>
              <w:rPr>
                <w:rFonts w:hint="eastAsia" w:ascii="宋体" w:hAnsi="宋体" w:eastAsia="宋体" w:cs="宋体"/>
                <w:color w:val="auto"/>
                <w:sz w:val="21"/>
                <w:szCs w:val="21"/>
                <w:highlight w:val="none"/>
              </w:rPr>
              <w:t>技术文件组成</w:t>
            </w:r>
          </w:p>
        </w:tc>
        <w:tc>
          <w:tcPr>
            <w:tcW w:w="7658" w:type="dxa"/>
            <w:noWrap w:val="0"/>
            <w:vAlign w:val="center"/>
          </w:tcPr>
          <w:p w14:paraId="2C707CF3">
            <w:pPr>
              <w:keepNext w:val="0"/>
              <w:keepLines w:val="0"/>
              <w:pageBreakBefore w:val="0"/>
              <w:shd w:val="clear"/>
              <w:kinsoku/>
              <w:wordWrap/>
              <w:overflowPunct/>
              <w:topLinePunct w:val="0"/>
              <w:bidi w:val="0"/>
              <w:adjustRightInd/>
              <w:snapToGrid w:val="0"/>
              <w:spacing w:line="432" w:lineRule="exact"/>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r>
              <w:rPr>
                <w:rFonts w:hint="eastAsia" w:ascii="宋体" w:hAnsi="宋体" w:eastAsia="宋体" w:cs="宋体"/>
                <w:color w:val="auto"/>
                <w:sz w:val="21"/>
                <w:szCs w:val="21"/>
                <w:highlight w:val="none"/>
                <w:lang w:val="en-US" w:eastAsia="zh-CN"/>
              </w:rPr>
              <w:t>.</w:t>
            </w:r>
            <w:r>
              <w:rPr>
                <w:rFonts w:hint="eastAsia" w:ascii="宋体" w:hAnsi="宋体" w:eastAsia="宋体" w:cs="宋体"/>
                <w:color w:val="auto"/>
                <w:sz w:val="21"/>
                <w:szCs w:val="21"/>
                <w:highlight w:val="none"/>
              </w:rPr>
              <w:t>服务</w:t>
            </w:r>
            <w:r>
              <w:rPr>
                <w:rFonts w:hint="eastAsia" w:ascii="宋体" w:hAnsi="宋体" w:eastAsia="宋体" w:cs="宋体"/>
                <w:color w:val="auto"/>
                <w:sz w:val="21"/>
                <w:szCs w:val="21"/>
                <w:highlight w:val="none"/>
                <w:lang w:eastAsia="zh-CN"/>
              </w:rPr>
              <w:t>要求</w:t>
            </w:r>
            <w:r>
              <w:rPr>
                <w:rFonts w:hint="eastAsia" w:ascii="宋体" w:hAnsi="宋体" w:eastAsia="宋体" w:cs="宋体"/>
                <w:color w:val="auto"/>
                <w:sz w:val="21"/>
                <w:szCs w:val="21"/>
                <w:highlight w:val="none"/>
              </w:rPr>
              <w:t>偏离表（格式后附）；（</w:t>
            </w:r>
            <w:r>
              <w:rPr>
                <w:rFonts w:hint="eastAsia" w:ascii="宋体" w:hAnsi="宋体" w:eastAsia="宋体" w:cs="宋体"/>
                <w:b/>
                <w:color w:val="auto"/>
                <w:sz w:val="21"/>
                <w:szCs w:val="21"/>
                <w:highlight w:val="none"/>
              </w:rPr>
              <w:t>必须提供，否则作无效投标处理</w:t>
            </w:r>
            <w:r>
              <w:rPr>
                <w:rFonts w:hint="eastAsia" w:ascii="宋体" w:hAnsi="宋体" w:eastAsia="宋体" w:cs="宋体"/>
                <w:color w:val="auto"/>
                <w:sz w:val="21"/>
                <w:szCs w:val="21"/>
                <w:highlight w:val="none"/>
              </w:rPr>
              <w:t>）</w:t>
            </w:r>
          </w:p>
          <w:p w14:paraId="2F2C5802">
            <w:pPr>
              <w:keepNext w:val="0"/>
              <w:keepLines w:val="0"/>
              <w:pageBreakBefore w:val="0"/>
              <w:shd w:val="clear"/>
              <w:kinsoku/>
              <w:wordWrap/>
              <w:overflowPunct/>
              <w:topLinePunct w:val="0"/>
              <w:bidi w:val="0"/>
              <w:adjustRightInd/>
              <w:snapToGrid w:val="0"/>
              <w:spacing w:line="432" w:lineRule="exact"/>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r>
              <w:rPr>
                <w:rFonts w:hint="eastAsia" w:ascii="宋体" w:hAnsi="宋体" w:eastAsia="宋体" w:cs="宋体"/>
                <w:color w:val="auto"/>
                <w:sz w:val="21"/>
                <w:szCs w:val="21"/>
                <w:highlight w:val="none"/>
                <w:lang w:val="en-US" w:eastAsia="zh-CN"/>
              </w:rPr>
              <w:t>.</w:t>
            </w:r>
            <w:r>
              <w:rPr>
                <w:rFonts w:hint="eastAsia" w:ascii="宋体" w:hAnsi="宋体" w:eastAsia="宋体" w:cs="宋体"/>
                <w:color w:val="auto"/>
                <w:sz w:val="21"/>
                <w:szCs w:val="21"/>
                <w:highlight w:val="none"/>
                <w:lang w:eastAsia="zh-CN"/>
              </w:rPr>
              <w:t>服务方案（格式自拟</w:t>
            </w:r>
            <w:r>
              <w:rPr>
                <w:rFonts w:hint="eastAsia" w:ascii="宋体" w:hAnsi="宋体" w:cs="宋体"/>
                <w:color w:val="auto"/>
                <w:sz w:val="21"/>
                <w:szCs w:val="21"/>
                <w:highlight w:val="none"/>
                <w:lang w:eastAsia="zh-CN"/>
              </w:rPr>
              <w:t>，根据每个分标评分标准要求提供</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w:t>
            </w:r>
          </w:p>
          <w:p w14:paraId="0DADFBF6">
            <w:pPr>
              <w:keepNext w:val="0"/>
              <w:keepLines w:val="0"/>
              <w:pageBreakBefore w:val="0"/>
              <w:shd w:val="clear"/>
              <w:kinsoku/>
              <w:wordWrap/>
              <w:overflowPunct/>
              <w:topLinePunct w:val="0"/>
              <w:bidi w:val="0"/>
              <w:adjustRightInd/>
              <w:snapToGrid w:val="0"/>
              <w:spacing w:line="432" w:lineRule="exact"/>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w:t>
            </w:r>
            <w:r>
              <w:rPr>
                <w:rFonts w:hint="eastAsia" w:ascii="宋体" w:hAnsi="宋体" w:eastAsia="宋体" w:cs="宋体"/>
                <w:color w:val="auto"/>
                <w:sz w:val="21"/>
                <w:szCs w:val="21"/>
                <w:highlight w:val="none"/>
                <w:lang w:val="en-US" w:eastAsia="zh-CN"/>
              </w:rPr>
              <w:t>.</w:t>
            </w:r>
            <w:r>
              <w:rPr>
                <w:rFonts w:hint="eastAsia" w:ascii="宋体" w:hAnsi="宋体" w:eastAsia="宋体" w:cs="宋体"/>
                <w:color w:val="auto"/>
                <w:sz w:val="21"/>
                <w:szCs w:val="21"/>
                <w:highlight w:val="none"/>
              </w:rPr>
              <w:t>售后服务方案（格式自拟）；</w:t>
            </w:r>
          </w:p>
          <w:p w14:paraId="5153A517">
            <w:pPr>
              <w:keepNext w:val="0"/>
              <w:keepLines w:val="0"/>
              <w:pageBreakBefore w:val="0"/>
              <w:shd w:val="clear"/>
              <w:kinsoku/>
              <w:wordWrap/>
              <w:overflowPunct/>
              <w:topLinePunct w:val="0"/>
              <w:bidi w:val="0"/>
              <w:adjustRightInd/>
              <w:snapToGrid w:val="0"/>
              <w:spacing w:line="432" w:lineRule="exact"/>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w:t>
            </w:r>
            <w:r>
              <w:rPr>
                <w:rFonts w:hint="eastAsia" w:ascii="宋体" w:hAnsi="宋体" w:eastAsia="宋体" w:cs="宋体"/>
                <w:color w:val="auto"/>
                <w:sz w:val="21"/>
                <w:szCs w:val="21"/>
                <w:highlight w:val="none"/>
                <w:lang w:val="en-US" w:eastAsia="zh-CN"/>
              </w:rPr>
              <w:t>.</w:t>
            </w:r>
            <w:r>
              <w:rPr>
                <w:rFonts w:hint="eastAsia" w:ascii="宋体" w:hAnsi="宋体" w:eastAsia="宋体" w:cs="宋体"/>
                <w:color w:val="auto"/>
                <w:sz w:val="21"/>
                <w:szCs w:val="21"/>
                <w:highlight w:val="none"/>
              </w:rPr>
              <w:t>项目实施人员一览表（格式后附）；</w:t>
            </w:r>
          </w:p>
          <w:p w14:paraId="08CBC112">
            <w:pPr>
              <w:keepNext w:val="0"/>
              <w:keepLines w:val="0"/>
              <w:pageBreakBefore w:val="0"/>
              <w:shd w:val="clear"/>
              <w:kinsoku/>
              <w:wordWrap/>
              <w:overflowPunct/>
              <w:topLinePunct w:val="0"/>
              <w:bidi w:val="0"/>
              <w:adjustRightInd/>
              <w:snapToGrid w:val="0"/>
              <w:spacing w:line="432" w:lineRule="exact"/>
              <w:jc w:val="left"/>
              <w:textAlignment w:val="auto"/>
              <w:rPr>
                <w:rFonts w:hint="eastAsia" w:ascii="宋体" w:hAnsi="宋体" w:eastAsia="宋体" w:cs="宋体"/>
                <w:bCs/>
                <w:color w:val="auto"/>
                <w:sz w:val="21"/>
                <w:szCs w:val="21"/>
                <w:highlight w:val="none"/>
              </w:rPr>
            </w:pPr>
            <w:r>
              <w:rPr>
                <w:rFonts w:hint="eastAsia" w:ascii="宋体" w:hAnsi="宋体" w:eastAsia="宋体" w:cs="宋体"/>
                <w:color w:val="auto"/>
                <w:sz w:val="21"/>
                <w:szCs w:val="21"/>
                <w:highlight w:val="none"/>
                <w:lang w:val="en-US" w:eastAsia="zh-CN"/>
              </w:rPr>
              <w:t>5.</w:t>
            </w:r>
            <w:r>
              <w:rPr>
                <w:rFonts w:hint="eastAsia" w:ascii="宋体" w:hAnsi="宋体" w:eastAsia="宋体" w:cs="宋体"/>
                <w:color w:val="auto"/>
                <w:sz w:val="21"/>
                <w:szCs w:val="21"/>
                <w:highlight w:val="none"/>
              </w:rPr>
              <w:t>除招标文件规定必须提供以外，投标人需要说明的其他文件和说明（格式自拟）。</w:t>
            </w:r>
          </w:p>
          <w:p w14:paraId="61D009B6">
            <w:pPr>
              <w:keepNext w:val="0"/>
              <w:keepLines w:val="0"/>
              <w:pageBreakBefore w:val="0"/>
              <w:shd w:val="clear"/>
              <w:kinsoku/>
              <w:wordWrap/>
              <w:overflowPunct/>
              <w:topLinePunct w:val="0"/>
              <w:bidi w:val="0"/>
              <w:adjustRightInd/>
              <w:snapToGrid w:val="0"/>
              <w:spacing w:line="432" w:lineRule="exact"/>
              <w:jc w:val="left"/>
              <w:textAlignment w:val="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注：以上标明“必须提供”的材料</w:t>
            </w:r>
            <w:r>
              <w:rPr>
                <w:rFonts w:hint="eastAsia" w:ascii="宋体" w:hAnsi="宋体" w:eastAsia="宋体" w:cs="宋体"/>
                <w:b/>
                <w:color w:val="auto"/>
                <w:sz w:val="21"/>
                <w:szCs w:val="21"/>
                <w:highlight w:val="none"/>
              </w:rPr>
              <w:t>属于复印件的扫描件的</w:t>
            </w:r>
            <w:r>
              <w:rPr>
                <w:rFonts w:hint="eastAsia" w:ascii="宋体" w:hAnsi="宋体" w:eastAsia="宋体" w:cs="宋体"/>
                <w:b/>
                <w:bCs/>
                <w:color w:val="auto"/>
                <w:sz w:val="21"/>
                <w:szCs w:val="21"/>
                <w:highlight w:val="none"/>
              </w:rPr>
              <w:t>，必须加盖</w:t>
            </w:r>
            <w:r>
              <w:rPr>
                <w:rFonts w:hint="eastAsia" w:ascii="宋体" w:hAnsi="宋体" w:eastAsia="宋体" w:cs="宋体"/>
                <w:b/>
                <w:bCs/>
                <w:color w:val="auto"/>
                <w:sz w:val="21"/>
                <w:szCs w:val="21"/>
                <w:highlight w:val="none"/>
                <w:lang w:eastAsia="zh-CN"/>
              </w:rPr>
              <w:t>投标人公章</w:t>
            </w:r>
            <w:r>
              <w:rPr>
                <w:rFonts w:hint="eastAsia" w:ascii="宋体" w:hAnsi="宋体" w:eastAsia="宋体" w:cs="宋体"/>
                <w:b/>
                <w:bCs/>
                <w:color w:val="auto"/>
                <w:sz w:val="21"/>
                <w:szCs w:val="21"/>
                <w:highlight w:val="none"/>
              </w:rPr>
              <w:t>，否则</w:t>
            </w:r>
            <w:r>
              <w:rPr>
                <w:rFonts w:hint="eastAsia" w:ascii="宋体" w:hAnsi="宋体" w:eastAsia="宋体" w:cs="宋体"/>
                <w:b/>
                <w:color w:val="auto"/>
                <w:sz w:val="21"/>
                <w:szCs w:val="21"/>
                <w:highlight w:val="none"/>
              </w:rPr>
              <w:t>作无效投标处理</w:t>
            </w:r>
            <w:r>
              <w:rPr>
                <w:rFonts w:hint="eastAsia" w:ascii="宋体" w:hAnsi="宋体" w:eastAsia="宋体" w:cs="宋体"/>
                <w:b/>
                <w:bCs/>
                <w:color w:val="auto"/>
                <w:sz w:val="21"/>
                <w:szCs w:val="21"/>
                <w:highlight w:val="none"/>
              </w:rPr>
              <w:t>。</w:t>
            </w:r>
          </w:p>
        </w:tc>
      </w:tr>
      <w:tr w14:paraId="2B5DC3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5" w:type="dxa"/>
            <w:vMerge w:val="continue"/>
            <w:noWrap w:val="0"/>
            <w:vAlign w:val="center"/>
          </w:tcPr>
          <w:p w14:paraId="152C0F6C">
            <w:pPr>
              <w:keepNext w:val="0"/>
              <w:keepLines w:val="0"/>
              <w:pageBreakBefore w:val="0"/>
              <w:widowControl/>
              <w:shd w:val="clear"/>
              <w:kinsoku/>
              <w:wordWrap/>
              <w:overflowPunct/>
              <w:topLinePunct w:val="0"/>
              <w:bidi w:val="0"/>
              <w:adjustRightInd/>
              <w:spacing w:line="432" w:lineRule="exact"/>
              <w:jc w:val="left"/>
              <w:textAlignment w:val="auto"/>
              <w:rPr>
                <w:rFonts w:hint="eastAsia" w:ascii="宋体" w:hAnsi="宋体" w:eastAsia="宋体" w:cs="宋体"/>
                <w:color w:val="auto"/>
                <w:sz w:val="21"/>
                <w:szCs w:val="21"/>
                <w:highlight w:val="none"/>
              </w:rPr>
            </w:pPr>
          </w:p>
        </w:tc>
        <w:tc>
          <w:tcPr>
            <w:tcW w:w="1907" w:type="dxa"/>
            <w:noWrap w:val="0"/>
            <w:vAlign w:val="center"/>
          </w:tcPr>
          <w:p w14:paraId="479EA90B">
            <w:pPr>
              <w:keepNext w:val="0"/>
              <w:keepLines w:val="0"/>
              <w:pageBreakBefore w:val="0"/>
              <w:shd w:val="clear"/>
              <w:kinsoku/>
              <w:wordWrap/>
              <w:overflowPunct/>
              <w:topLinePunct w:val="0"/>
              <w:bidi w:val="0"/>
              <w:adjustRightInd/>
              <w:snapToGrid w:val="0"/>
              <w:spacing w:line="432" w:lineRule="exact"/>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报价文件组成</w:t>
            </w:r>
          </w:p>
        </w:tc>
        <w:tc>
          <w:tcPr>
            <w:tcW w:w="7658" w:type="dxa"/>
            <w:noWrap w:val="0"/>
            <w:vAlign w:val="center"/>
          </w:tcPr>
          <w:p w14:paraId="310675E5">
            <w:pPr>
              <w:keepNext w:val="0"/>
              <w:keepLines w:val="0"/>
              <w:pageBreakBefore w:val="0"/>
              <w:shd w:val="clear"/>
              <w:tabs>
                <w:tab w:val="left" w:pos="459"/>
              </w:tabs>
              <w:kinsoku/>
              <w:wordWrap/>
              <w:overflowPunct/>
              <w:topLinePunct w:val="0"/>
              <w:bidi w:val="0"/>
              <w:adjustRightInd/>
              <w:snapToGrid w:val="0"/>
              <w:spacing w:line="432" w:lineRule="exact"/>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r>
              <w:rPr>
                <w:rFonts w:hint="eastAsia" w:ascii="宋体" w:hAnsi="宋体" w:eastAsia="宋体" w:cs="宋体"/>
                <w:color w:val="auto"/>
                <w:sz w:val="21"/>
                <w:szCs w:val="21"/>
                <w:highlight w:val="none"/>
                <w:lang w:val="en-US" w:eastAsia="zh-CN"/>
              </w:rPr>
              <w:t>.</w:t>
            </w:r>
            <w:r>
              <w:rPr>
                <w:rFonts w:hint="eastAsia" w:ascii="宋体" w:hAnsi="宋体" w:eastAsia="宋体" w:cs="宋体"/>
                <w:color w:val="auto"/>
                <w:sz w:val="21"/>
                <w:szCs w:val="21"/>
                <w:highlight w:val="none"/>
              </w:rPr>
              <w:t>投标函（格式后附）；</w:t>
            </w:r>
            <w:r>
              <w:rPr>
                <w:rFonts w:hint="eastAsia" w:ascii="宋体" w:hAnsi="宋体" w:eastAsia="宋体" w:cs="宋体"/>
                <w:b w:val="0"/>
                <w:bCs/>
                <w:color w:val="auto"/>
                <w:sz w:val="21"/>
                <w:szCs w:val="21"/>
                <w:highlight w:val="none"/>
              </w:rPr>
              <w:t>（</w:t>
            </w:r>
            <w:r>
              <w:rPr>
                <w:rFonts w:hint="eastAsia" w:ascii="宋体" w:hAnsi="宋体" w:eastAsia="宋体" w:cs="宋体"/>
                <w:b/>
                <w:color w:val="auto"/>
                <w:sz w:val="21"/>
                <w:szCs w:val="21"/>
                <w:highlight w:val="none"/>
              </w:rPr>
              <w:t>必须提供，否则作无效投标处理</w:t>
            </w:r>
            <w:r>
              <w:rPr>
                <w:rFonts w:hint="eastAsia" w:ascii="宋体" w:hAnsi="宋体" w:eastAsia="宋体" w:cs="宋体"/>
                <w:b w:val="0"/>
                <w:bCs/>
                <w:color w:val="auto"/>
                <w:sz w:val="21"/>
                <w:szCs w:val="21"/>
                <w:highlight w:val="none"/>
              </w:rPr>
              <w:t>）</w:t>
            </w:r>
          </w:p>
          <w:p w14:paraId="2E4BB3D5">
            <w:pPr>
              <w:pStyle w:val="13"/>
              <w:keepNext w:val="0"/>
              <w:keepLines w:val="0"/>
              <w:pageBreakBefore w:val="0"/>
              <w:shd w:val="clear"/>
              <w:kinsoku/>
              <w:wordWrap/>
              <w:overflowPunct/>
              <w:topLinePunct w:val="0"/>
              <w:bidi w:val="0"/>
              <w:adjustRightInd/>
              <w:spacing w:line="432" w:lineRule="exact"/>
              <w:textAlignment w:val="auto"/>
              <w:rPr>
                <w:rFonts w:hint="eastAsia" w:ascii="宋体" w:hAnsi="宋体" w:eastAsia="宋体" w:cs="宋体"/>
                <w:i/>
                <w:iCs/>
                <w:color w:val="auto"/>
                <w:sz w:val="21"/>
                <w:szCs w:val="21"/>
                <w:highlight w:val="none"/>
                <w:lang w:val="en-US" w:eastAsia="zh-CN"/>
              </w:rPr>
            </w:pPr>
            <w:r>
              <w:rPr>
                <w:rFonts w:hint="eastAsia" w:ascii="宋体" w:hAnsi="宋体" w:eastAsia="宋体" w:cs="宋体"/>
                <w:color w:val="auto"/>
                <w:sz w:val="21"/>
                <w:szCs w:val="21"/>
                <w:highlight w:val="none"/>
              </w:rPr>
              <w:t>2</w:t>
            </w:r>
            <w:r>
              <w:rPr>
                <w:rFonts w:hint="eastAsia" w:ascii="宋体" w:hAnsi="宋体" w:eastAsia="宋体" w:cs="宋体"/>
                <w:color w:val="auto"/>
                <w:sz w:val="21"/>
                <w:szCs w:val="21"/>
                <w:highlight w:val="none"/>
                <w:lang w:val="en-US" w:eastAsia="zh-CN"/>
              </w:rPr>
              <w:t>.</w:t>
            </w:r>
            <w:r>
              <w:rPr>
                <w:rFonts w:hint="eastAsia" w:ascii="宋体" w:hAnsi="宋体" w:eastAsia="宋体" w:cs="宋体"/>
                <w:color w:val="auto"/>
                <w:sz w:val="21"/>
                <w:szCs w:val="21"/>
                <w:highlight w:val="none"/>
              </w:rPr>
              <w:t>开标一览表</w:t>
            </w:r>
            <w:r>
              <w:rPr>
                <w:rFonts w:hint="eastAsia" w:ascii="宋体" w:hAnsi="宋体" w:eastAsia="宋体" w:cs="宋体"/>
                <w:color w:val="auto"/>
                <w:kern w:val="2"/>
                <w:sz w:val="21"/>
                <w:szCs w:val="21"/>
                <w:highlight w:val="none"/>
                <w:lang w:val="en-US" w:eastAsia="zh-CN" w:bidi="ar-SA"/>
              </w:rPr>
              <w:t>（格式后附）；（</w:t>
            </w:r>
            <w:r>
              <w:rPr>
                <w:rFonts w:hint="eastAsia" w:ascii="宋体" w:hAnsi="宋体" w:eastAsia="宋体" w:cs="宋体"/>
                <w:b/>
                <w:color w:val="auto"/>
                <w:sz w:val="21"/>
                <w:szCs w:val="21"/>
                <w:highlight w:val="none"/>
              </w:rPr>
              <w:t>必须提供，否则作无效投标处理</w:t>
            </w:r>
            <w:r>
              <w:rPr>
                <w:rFonts w:hint="eastAsia" w:ascii="宋体" w:hAnsi="宋体" w:eastAsia="宋体" w:cs="宋体"/>
                <w:color w:val="auto"/>
                <w:sz w:val="21"/>
                <w:szCs w:val="21"/>
                <w:highlight w:val="none"/>
              </w:rPr>
              <w:t>）</w:t>
            </w:r>
          </w:p>
          <w:p w14:paraId="3425FF7F">
            <w:pPr>
              <w:keepNext w:val="0"/>
              <w:keepLines w:val="0"/>
              <w:pageBreakBefore w:val="0"/>
              <w:shd w:val="clear"/>
              <w:tabs>
                <w:tab w:val="left" w:pos="459"/>
              </w:tabs>
              <w:kinsoku/>
              <w:wordWrap/>
              <w:overflowPunct/>
              <w:topLinePunct w:val="0"/>
              <w:bidi w:val="0"/>
              <w:adjustRightInd/>
              <w:snapToGrid w:val="0"/>
              <w:spacing w:line="432" w:lineRule="exact"/>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3.</w:t>
            </w:r>
            <w:r>
              <w:rPr>
                <w:rFonts w:hint="eastAsia" w:ascii="宋体" w:hAnsi="宋体" w:eastAsia="宋体" w:cs="宋体"/>
                <w:color w:val="auto"/>
                <w:sz w:val="21"/>
                <w:szCs w:val="21"/>
                <w:highlight w:val="none"/>
              </w:rPr>
              <w:t>投标人针对报价需要说明的其他文件和说明（格式自拟</w:t>
            </w:r>
            <w:r>
              <w:rPr>
                <w:rFonts w:hint="eastAsia" w:ascii="宋体" w:hAnsi="宋体" w:cs="宋体"/>
                <w:color w:val="auto"/>
                <w:sz w:val="21"/>
                <w:szCs w:val="21"/>
                <w:highlight w:val="none"/>
                <w:lang w:eastAsia="zh-CN"/>
              </w:rPr>
              <w:t>，</w:t>
            </w:r>
            <w:r>
              <w:rPr>
                <w:rFonts w:hint="eastAsia" w:ascii="宋体" w:hAnsi="宋体" w:cs="宋体"/>
                <w:color w:val="auto"/>
                <w:sz w:val="21"/>
                <w:szCs w:val="21"/>
                <w:highlight w:val="none"/>
                <w:lang w:val="en-US" w:eastAsia="zh-CN"/>
              </w:rPr>
              <w:t>如有请提供</w:t>
            </w:r>
            <w:r>
              <w:rPr>
                <w:rFonts w:hint="eastAsia" w:ascii="宋体" w:hAnsi="宋体" w:eastAsia="宋体" w:cs="宋体"/>
                <w:color w:val="auto"/>
                <w:sz w:val="21"/>
                <w:szCs w:val="21"/>
                <w:highlight w:val="none"/>
              </w:rPr>
              <w:t>）。</w:t>
            </w:r>
          </w:p>
        </w:tc>
      </w:tr>
      <w:tr w14:paraId="6B7B6E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5" w:type="dxa"/>
            <w:noWrap w:val="0"/>
            <w:vAlign w:val="center"/>
          </w:tcPr>
          <w:p w14:paraId="08152ECA">
            <w:pPr>
              <w:keepNext w:val="0"/>
              <w:keepLines w:val="0"/>
              <w:pageBreakBefore w:val="0"/>
              <w:shd w:val="clear"/>
              <w:kinsoku/>
              <w:wordWrap/>
              <w:overflowPunct/>
              <w:topLinePunct w:val="0"/>
              <w:bidi w:val="0"/>
              <w:adjustRightInd/>
              <w:spacing w:line="432"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16.2</w:t>
            </w:r>
          </w:p>
        </w:tc>
        <w:tc>
          <w:tcPr>
            <w:tcW w:w="1907" w:type="dxa"/>
            <w:noWrap w:val="0"/>
            <w:vAlign w:val="center"/>
          </w:tcPr>
          <w:p w14:paraId="5BFECB57">
            <w:pPr>
              <w:keepNext w:val="0"/>
              <w:keepLines w:val="0"/>
              <w:pageBreakBefore w:val="0"/>
              <w:shd w:val="clear"/>
              <w:kinsoku/>
              <w:wordWrap/>
              <w:overflowPunct/>
              <w:topLinePunct w:val="0"/>
              <w:bidi w:val="0"/>
              <w:adjustRightInd/>
              <w:spacing w:line="432" w:lineRule="exact"/>
              <w:textAlignment w:val="auto"/>
              <w:rPr>
                <w:rFonts w:hint="eastAsia" w:ascii="宋体" w:hAnsi="宋体" w:eastAsia="宋体" w:cs="宋体"/>
                <w:color w:val="auto"/>
                <w:sz w:val="21"/>
                <w:szCs w:val="21"/>
                <w:highlight w:val="none"/>
              </w:rPr>
            </w:pPr>
            <w:bookmarkStart w:id="89" w:name="_16.2"/>
            <w:bookmarkEnd w:id="89"/>
            <w:r>
              <w:rPr>
                <w:rFonts w:hint="eastAsia" w:ascii="宋体" w:hAnsi="宋体" w:eastAsia="宋体" w:cs="宋体"/>
                <w:color w:val="auto"/>
                <w:sz w:val="21"/>
                <w:szCs w:val="21"/>
                <w:highlight w:val="none"/>
              </w:rPr>
              <w:t>投标报价要求</w:t>
            </w:r>
          </w:p>
        </w:tc>
        <w:tc>
          <w:tcPr>
            <w:tcW w:w="7658" w:type="dxa"/>
            <w:noWrap w:val="0"/>
            <w:vAlign w:val="center"/>
          </w:tcPr>
          <w:p w14:paraId="3C618C03">
            <w:pPr>
              <w:keepNext w:val="0"/>
              <w:keepLines w:val="0"/>
              <w:pageBreakBefore w:val="0"/>
              <w:shd w:val="clear"/>
              <w:kinsoku/>
              <w:wordWrap/>
              <w:overflowPunct/>
              <w:topLinePunct w:val="0"/>
              <w:bidi w:val="0"/>
              <w:adjustRightInd/>
              <w:snapToGrid w:val="0"/>
              <w:spacing w:line="432" w:lineRule="exact"/>
              <w:textAlignment w:val="auto"/>
              <w:rPr>
                <w:rFonts w:hint="eastAsia" w:ascii="宋体" w:hAnsi="宋体" w:eastAsia="宋体" w:cs="宋体"/>
                <w:color w:val="auto"/>
                <w:highlight w:val="none"/>
                <w:lang w:eastAsia="zh-CN"/>
              </w:rPr>
            </w:pPr>
            <w:r>
              <w:rPr>
                <w:rFonts w:hint="eastAsia" w:ascii="宋体" w:hAnsi="宋体" w:eastAsia="宋体" w:cs="宋体"/>
                <w:color w:val="auto"/>
                <w:highlight w:val="none"/>
              </w:rPr>
              <w:t>投标报价是履行合同的最终价格，</w:t>
            </w:r>
            <w:r>
              <w:rPr>
                <w:rFonts w:hint="eastAsia" w:ascii="宋体" w:hAnsi="宋体" w:eastAsia="宋体" w:cs="宋体"/>
                <w:color w:val="auto"/>
                <w:szCs w:val="21"/>
                <w:highlight w:val="none"/>
              </w:rPr>
              <w:t>必须包含满足本次投标全部采购需求所应提供的服务，以及伴随的货物的价格；包含投标服务、货物的成本、</w:t>
            </w:r>
            <w:r>
              <w:rPr>
                <w:rFonts w:hint="eastAsia" w:ascii="宋体" w:hAnsi="宋体" w:eastAsia="宋体" w:cs="宋体"/>
                <w:color w:val="auto"/>
                <w:szCs w:val="21"/>
                <w:highlight w:val="none"/>
                <w:lang w:eastAsia="zh-CN"/>
              </w:rPr>
              <w:t>装卸、</w:t>
            </w:r>
            <w:r>
              <w:rPr>
                <w:rFonts w:hint="eastAsia" w:ascii="宋体" w:hAnsi="宋体" w:eastAsia="宋体" w:cs="宋体"/>
                <w:color w:val="auto"/>
                <w:szCs w:val="21"/>
                <w:highlight w:val="none"/>
              </w:rPr>
              <w:t>运输（含保险）、检验、技术服务、税费等所有费用</w:t>
            </w:r>
            <w:r>
              <w:rPr>
                <w:rFonts w:hint="eastAsia" w:ascii="宋体" w:hAnsi="宋体" w:eastAsia="宋体" w:cs="宋体"/>
                <w:color w:val="auto"/>
                <w:szCs w:val="21"/>
                <w:highlight w:val="none"/>
                <w:lang w:eastAsia="zh-CN"/>
              </w:rPr>
              <w:t>。</w:t>
            </w:r>
          </w:p>
          <w:p w14:paraId="66C3946A">
            <w:pPr>
              <w:keepNext w:val="0"/>
              <w:keepLines w:val="0"/>
              <w:pageBreakBefore w:val="0"/>
              <w:shd w:val="clear"/>
              <w:kinsoku/>
              <w:wordWrap/>
              <w:overflowPunct/>
              <w:topLinePunct w:val="0"/>
              <w:bidi w:val="0"/>
              <w:adjustRightInd/>
              <w:snapToGrid w:val="0"/>
              <w:spacing w:line="432" w:lineRule="exact"/>
              <w:textAlignment w:val="auto"/>
              <w:rPr>
                <w:rFonts w:hint="eastAsia" w:ascii="宋体" w:hAnsi="宋体" w:eastAsia="宋体" w:cs="宋体"/>
                <w:b/>
                <w:color w:val="auto"/>
                <w:szCs w:val="21"/>
                <w:highlight w:val="none"/>
              </w:rPr>
            </w:pPr>
            <w:r>
              <w:rPr>
                <w:rFonts w:hint="eastAsia" w:ascii="宋体" w:hAnsi="宋体" w:eastAsia="宋体" w:cs="宋体"/>
                <w:b/>
                <w:color w:val="auto"/>
                <w:szCs w:val="21"/>
                <w:highlight w:val="none"/>
                <w:lang w:eastAsia="zh-CN"/>
              </w:rPr>
              <w:t>☑</w:t>
            </w:r>
            <w:r>
              <w:rPr>
                <w:rFonts w:hint="eastAsia" w:ascii="宋体" w:hAnsi="宋体" w:eastAsia="宋体" w:cs="宋体"/>
                <w:b/>
                <w:color w:val="auto"/>
                <w:szCs w:val="21"/>
                <w:highlight w:val="none"/>
              </w:rPr>
              <w:t>投标报价包含验收费用</w:t>
            </w:r>
          </w:p>
          <w:p w14:paraId="0F3F81C5">
            <w:pPr>
              <w:pStyle w:val="13"/>
              <w:keepNext w:val="0"/>
              <w:keepLines w:val="0"/>
              <w:pageBreakBefore w:val="0"/>
              <w:shd w:val="clear"/>
              <w:kinsoku/>
              <w:wordWrap/>
              <w:overflowPunct/>
              <w:topLinePunct w:val="0"/>
              <w:bidi w:val="0"/>
              <w:adjustRightInd/>
              <w:spacing w:line="432" w:lineRule="exact"/>
              <w:textAlignment w:val="auto"/>
              <w:rPr>
                <w:rFonts w:hint="eastAsia" w:ascii="宋体" w:hAnsi="宋体" w:eastAsia="宋体" w:cs="宋体"/>
                <w:color w:val="auto"/>
                <w:highlight w:val="none"/>
              </w:rPr>
            </w:pPr>
            <w:r>
              <w:rPr>
                <w:rFonts w:hint="eastAsia" w:ascii="宋体" w:hAnsi="宋体" w:eastAsia="宋体" w:cs="宋体"/>
                <w:b/>
                <w:color w:val="auto"/>
                <w:sz w:val="21"/>
                <w:szCs w:val="21"/>
                <w:highlight w:val="none"/>
              </w:rPr>
              <w:t>□投标报价不包含验收费用</w:t>
            </w:r>
          </w:p>
        </w:tc>
      </w:tr>
      <w:tr w14:paraId="3A2CC5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5" w:type="dxa"/>
            <w:noWrap w:val="0"/>
            <w:vAlign w:val="center"/>
          </w:tcPr>
          <w:p w14:paraId="6CC3B02C">
            <w:pPr>
              <w:keepNext w:val="0"/>
              <w:keepLines w:val="0"/>
              <w:pageBreakBefore w:val="0"/>
              <w:shd w:val="clear"/>
              <w:kinsoku/>
              <w:wordWrap/>
              <w:overflowPunct/>
              <w:topLinePunct w:val="0"/>
              <w:bidi w:val="0"/>
              <w:adjustRightInd/>
              <w:spacing w:line="432"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17.2</w:t>
            </w:r>
          </w:p>
        </w:tc>
        <w:tc>
          <w:tcPr>
            <w:tcW w:w="1907" w:type="dxa"/>
            <w:noWrap w:val="0"/>
            <w:vAlign w:val="center"/>
          </w:tcPr>
          <w:p w14:paraId="2B440B24">
            <w:pPr>
              <w:keepNext w:val="0"/>
              <w:keepLines w:val="0"/>
              <w:pageBreakBefore w:val="0"/>
              <w:shd w:val="clear"/>
              <w:kinsoku/>
              <w:wordWrap/>
              <w:overflowPunct/>
              <w:topLinePunct w:val="0"/>
              <w:bidi w:val="0"/>
              <w:adjustRightInd/>
              <w:spacing w:line="432" w:lineRule="exact"/>
              <w:textAlignment w:val="auto"/>
              <w:rPr>
                <w:rFonts w:hint="eastAsia" w:ascii="宋体" w:hAnsi="宋体" w:eastAsia="宋体" w:cs="宋体"/>
                <w:color w:val="auto"/>
                <w:sz w:val="21"/>
                <w:szCs w:val="21"/>
                <w:highlight w:val="none"/>
              </w:rPr>
            </w:pPr>
            <w:bookmarkStart w:id="90" w:name="_17.1"/>
            <w:bookmarkEnd w:id="90"/>
            <w:r>
              <w:rPr>
                <w:rFonts w:hint="eastAsia" w:ascii="宋体" w:hAnsi="宋体" w:eastAsia="宋体" w:cs="宋体"/>
                <w:color w:val="auto"/>
                <w:sz w:val="21"/>
                <w:szCs w:val="21"/>
                <w:highlight w:val="none"/>
              </w:rPr>
              <w:t>投标有效期</w:t>
            </w:r>
          </w:p>
        </w:tc>
        <w:tc>
          <w:tcPr>
            <w:tcW w:w="7658" w:type="dxa"/>
            <w:noWrap w:val="0"/>
            <w:vAlign w:val="center"/>
          </w:tcPr>
          <w:p w14:paraId="5D9CEBE7">
            <w:pPr>
              <w:keepNext w:val="0"/>
              <w:keepLines w:val="0"/>
              <w:pageBreakBefore w:val="0"/>
              <w:shd w:val="clear"/>
              <w:kinsoku/>
              <w:wordWrap/>
              <w:overflowPunct/>
              <w:topLinePunct w:val="0"/>
              <w:bidi w:val="0"/>
              <w:adjustRightInd/>
              <w:snapToGrid w:val="0"/>
              <w:spacing w:line="432"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自投标截止之日起</w:t>
            </w:r>
            <w:r>
              <w:rPr>
                <w:rFonts w:hint="eastAsia" w:ascii="宋体" w:hAnsi="宋体" w:eastAsia="宋体" w:cs="宋体"/>
                <w:color w:val="auto"/>
                <w:sz w:val="21"/>
                <w:szCs w:val="21"/>
                <w:highlight w:val="none"/>
                <w:u w:val="single"/>
                <w:lang w:val="en-US" w:eastAsia="zh-CN"/>
              </w:rPr>
              <w:t xml:space="preserve"> 90 </w:t>
            </w:r>
            <w:r>
              <w:rPr>
                <w:rFonts w:hint="eastAsia" w:ascii="宋体" w:hAnsi="宋体" w:eastAsia="宋体" w:cs="宋体"/>
                <w:color w:val="auto"/>
                <w:sz w:val="21"/>
                <w:szCs w:val="21"/>
                <w:highlight w:val="none"/>
                <w:u w:val="none"/>
                <w:lang w:val="en-US" w:eastAsia="zh-CN"/>
              </w:rPr>
              <w:t>日</w:t>
            </w:r>
            <w:r>
              <w:rPr>
                <w:rFonts w:hint="eastAsia" w:ascii="宋体" w:hAnsi="宋体" w:eastAsia="宋体" w:cs="宋体"/>
                <w:color w:val="auto"/>
                <w:sz w:val="21"/>
                <w:szCs w:val="21"/>
                <w:highlight w:val="none"/>
              </w:rPr>
              <w:t>。</w:t>
            </w:r>
          </w:p>
        </w:tc>
      </w:tr>
      <w:tr w14:paraId="6E3DCC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5" w:type="dxa"/>
            <w:noWrap w:val="0"/>
            <w:vAlign w:val="center"/>
          </w:tcPr>
          <w:p w14:paraId="6B899BC4">
            <w:pPr>
              <w:keepNext w:val="0"/>
              <w:keepLines w:val="0"/>
              <w:pageBreakBefore w:val="0"/>
              <w:shd w:val="clear"/>
              <w:kinsoku/>
              <w:wordWrap/>
              <w:overflowPunct/>
              <w:topLinePunct w:val="0"/>
              <w:bidi w:val="0"/>
              <w:adjustRightInd/>
              <w:spacing w:line="432"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18</w:t>
            </w:r>
          </w:p>
        </w:tc>
        <w:tc>
          <w:tcPr>
            <w:tcW w:w="1907" w:type="dxa"/>
            <w:noWrap w:val="0"/>
            <w:vAlign w:val="center"/>
          </w:tcPr>
          <w:p w14:paraId="4DDE9D54">
            <w:pPr>
              <w:keepNext w:val="0"/>
              <w:keepLines w:val="0"/>
              <w:pageBreakBefore w:val="0"/>
              <w:shd w:val="clear"/>
              <w:kinsoku/>
              <w:wordWrap/>
              <w:overflowPunct/>
              <w:topLinePunct w:val="0"/>
              <w:bidi w:val="0"/>
              <w:adjustRightInd/>
              <w:spacing w:line="432" w:lineRule="exact"/>
              <w:textAlignment w:val="auto"/>
              <w:rPr>
                <w:rFonts w:hint="eastAsia" w:ascii="宋体" w:hAnsi="宋体" w:eastAsia="宋体" w:cs="宋体"/>
                <w:color w:val="auto"/>
                <w:sz w:val="21"/>
                <w:szCs w:val="21"/>
                <w:highlight w:val="none"/>
              </w:rPr>
            </w:pPr>
            <w:bookmarkStart w:id="91" w:name="_18"/>
            <w:bookmarkEnd w:id="91"/>
            <w:r>
              <w:rPr>
                <w:rFonts w:hint="eastAsia" w:ascii="宋体" w:hAnsi="宋体" w:eastAsia="宋体" w:cs="宋体"/>
                <w:color w:val="auto"/>
                <w:sz w:val="21"/>
                <w:szCs w:val="21"/>
                <w:highlight w:val="none"/>
              </w:rPr>
              <w:t>投标保证金金额</w:t>
            </w:r>
          </w:p>
        </w:tc>
        <w:tc>
          <w:tcPr>
            <w:tcW w:w="7658" w:type="dxa"/>
            <w:noWrap w:val="0"/>
            <w:vAlign w:val="center"/>
          </w:tcPr>
          <w:p w14:paraId="09C0904F">
            <w:pPr>
              <w:keepNext w:val="0"/>
              <w:keepLines w:val="0"/>
              <w:pageBreakBefore w:val="0"/>
              <w:shd w:val="clear"/>
              <w:kinsoku/>
              <w:wordWrap/>
              <w:overflowPunct/>
              <w:topLinePunct w:val="0"/>
              <w:autoSpaceDE w:val="0"/>
              <w:autoSpaceDN w:val="0"/>
              <w:bidi w:val="0"/>
              <w:adjustRightInd/>
              <w:snapToGrid w:val="0"/>
              <w:spacing w:line="432" w:lineRule="exact"/>
              <w:textAlignment w:val="auto"/>
              <w:rPr>
                <w:rFonts w:hint="eastAsia" w:ascii="宋体" w:hAnsi="宋体" w:eastAsia="宋体" w:cs="宋体"/>
                <w:b/>
                <w:bCs/>
                <w:color w:val="auto"/>
                <w:szCs w:val="21"/>
                <w:highlight w:val="none"/>
              </w:rPr>
            </w:pPr>
            <w:r>
              <w:rPr>
                <w:rFonts w:hint="eastAsia" w:ascii="宋体" w:hAnsi="宋体" w:cs="宋体"/>
                <w:b/>
                <w:bCs/>
                <w:color w:val="auto"/>
                <w:szCs w:val="21"/>
                <w:highlight w:val="none"/>
                <w:lang w:eastAsia="zh-CN"/>
              </w:rPr>
              <w:t>□</w:t>
            </w:r>
            <w:r>
              <w:rPr>
                <w:rFonts w:hint="eastAsia" w:ascii="宋体" w:hAnsi="宋体" w:eastAsia="宋体" w:cs="宋体"/>
                <w:b/>
                <w:bCs/>
                <w:color w:val="auto"/>
                <w:szCs w:val="21"/>
                <w:highlight w:val="none"/>
              </w:rPr>
              <w:t>本项目不需要缴纳投标保证金。</w:t>
            </w:r>
          </w:p>
          <w:p w14:paraId="67CD871A">
            <w:pPr>
              <w:keepNext w:val="0"/>
              <w:keepLines w:val="0"/>
              <w:pageBreakBefore w:val="0"/>
              <w:shd w:val="clear"/>
              <w:kinsoku/>
              <w:wordWrap/>
              <w:overflowPunct/>
              <w:topLinePunct w:val="0"/>
              <w:bidi w:val="0"/>
              <w:adjustRightInd/>
              <w:snapToGrid w:val="0"/>
              <w:spacing w:line="432" w:lineRule="exact"/>
              <w:textAlignment w:val="auto"/>
              <w:rPr>
                <w:rFonts w:hint="eastAsia" w:ascii="宋体" w:hAnsi="宋体" w:eastAsia="宋体" w:cs="宋体"/>
                <w:b/>
                <w:bCs/>
                <w:color w:val="auto"/>
                <w:szCs w:val="21"/>
                <w:highlight w:val="none"/>
              </w:rPr>
            </w:pPr>
            <w:r>
              <w:rPr>
                <w:rFonts w:hint="eastAsia" w:ascii="宋体" w:hAnsi="宋体" w:cs="宋体"/>
                <w:b/>
                <w:bCs/>
                <w:color w:val="auto"/>
                <w:szCs w:val="21"/>
                <w:highlight w:val="none"/>
                <w:lang w:eastAsia="zh-CN"/>
              </w:rPr>
              <w:t>☑</w:t>
            </w:r>
            <w:r>
              <w:rPr>
                <w:rFonts w:hint="eastAsia" w:ascii="宋体" w:hAnsi="宋体" w:eastAsia="宋体" w:cs="宋体"/>
                <w:b/>
                <w:bCs/>
                <w:color w:val="auto"/>
                <w:szCs w:val="21"/>
                <w:highlight w:val="none"/>
              </w:rPr>
              <w:t>本项目需要缴纳投标保证金，</w:t>
            </w:r>
            <w:r>
              <w:rPr>
                <w:rFonts w:hint="eastAsia" w:ascii="宋体" w:hAnsi="宋体" w:eastAsia="宋体" w:cs="宋体"/>
                <w:b/>
                <w:bCs/>
                <w:color w:val="auto"/>
                <w:szCs w:val="21"/>
                <w:highlight w:val="none"/>
                <w:lang w:eastAsia="zh-CN"/>
              </w:rPr>
              <w:t>相关要求</w:t>
            </w:r>
            <w:r>
              <w:rPr>
                <w:rFonts w:hint="eastAsia" w:ascii="宋体" w:hAnsi="宋体" w:eastAsia="宋体" w:cs="宋体"/>
                <w:b/>
                <w:bCs/>
                <w:color w:val="auto"/>
                <w:szCs w:val="21"/>
                <w:highlight w:val="none"/>
              </w:rPr>
              <w:t>如下：</w:t>
            </w:r>
          </w:p>
          <w:p w14:paraId="1FB6F941">
            <w:pPr>
              <w:keepNext w:val="0"/>
              <w:keepLines w:val="0"/>
              <w:pageBreakBefore w:val="0"/>
              <w:shd w:val="clear"/>
              <w:kinsoku/>
              <w:wordWrap/>
              <w:overflowPunct/>
              <w:topLinePunct w:val="0"/>
              <w:bidi w:val="0"/>
              <w:adjustRightInd/>
              <w:snapToGrid w:val="0"/>
              <w:spacing w:line="432" w:lineRule="exac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1.</w:t>
            </w:r>
            <w:r>
              <w:rPr>
                <w:rFonts w:hint="eastAsia" w:ascii="宋体" w:hAnsi="宋体" w:eastAsia="宋体" w:cs="宋体"/>
                <w:color w:val="auto"/>
                <w:szCs w:val="21"/>
                <w:highlight w:val="none"/>
              </w:rPr>
              <w:t>投标保证金的</w:t>
            </w:r>
            <w:r>
              <w:rPr>
                <w:rFonts w:hint="eastAsia" w:ascii="宋体" w:hAnsi="宋体" w:eastAsia="宋体" w:cs="宋体"/>
                <w:color w:val="auto"/>
                <w:szCs w:val="21"/>
                <w:highlight w:val="none"/>
                <w:lang w:eastAsia="zh-CN"/>
              </w:rPr>
              <w:t>缴纳</w:t>
            </w:r>
            <w:r>
              <w:rPr>
                <w:rFonts w:hint="eastAsia" w:ascii="宋体" w:hAnsi="宋体" w:eastAsia="宋体" w:cs="宋体"/>
                <w:color w:val="auto"/>
                <w:szCs w:val="21"/>
                <w:highlight w:val="none"/>
              </w:rPr>
              <w:t>方式：</w:t>
            </w:r>
            <w:r>
              <w:rPr>
                <w:rFonts w:hint="eastAsia" w:ascii="宋体" w:hAnsi="宋体" w:eastAsia="宋体" w:cs="宋体"/>
                <w:color w:val="auto"/>
                <w:kern w:val="0"/>
                <w:szCs w:val="21"/>
                <w:highlight w:val="none"/>
                <w:lang w:eastAsia="zh-CN"/>
              </w:rPr>
              <w:t>以</w:t>
            </w:r>
            <w:r>
              <w:rPr>
                <w:rFonts w:hint="eastAsia" w:ascii="宋体" w:hAnsi="宋体" w:eastAsia="宋体" w:cs="宋体"/>
                <w:color w:val="auto"/>
                <w:kern w:val="0"/>
                <w:szCs w:val="21"/>
                <w:highlight w:val="none"/>
              </w:rPr>
              <w:t>银行转账、支票、汇票、本票或者金融</w:t>
            </w:r>
            <w:r>
              <w:rPr>
                <w:rFonts w:hint="eastAsia" w:ascii="宋体" w:hAnsi="宋体" w:eastAsia="宋体" w:cs="宋体"/>
                <w:color w:val="auto"/>
                <w:kern w:val="0"/>
                <w:szCs w:val="21"/>
                <w:highlight w:val="none"/>
                <w:lang w:eastAsia="zh-CN"/>
              </w:rPr>
              <w:t>机构</w:t>
            </w:r>
            <w:r>
              <w:rPr>
                <w:rFonts w:hint="eastAsia" w:ascii="宋体" w:hAnsi="宋体" w:eastAsia="宋体" w:cs="宋体"/>
                <w:color w:val="auto"/>
                <w:kern w:val="0"/>
                <w:szCs w:val="21"/>
                <w:highlight w:val="none"/>
              </w:rPr>
              <w:t>、担保机构出具的保函</w:t>
            </w:r>
            <w:r>
              <w:rPr>
                <w:rFonts w:hint="eastAsia" w:ascii="宋体" w:hAnsi="宋体" w:eastAsia="宋体" w:cs="宋体"/>
                <w:color w:val="auto"/>
                <w:kern w:val="0"/>
                <w:szCs w:val="21"/>
                <w:highlight w:val="none"/>
                <w:lang w:eastAsia="zh-CN"/>
              </w:rPr>
              <w:t>等非现金形式提交</w:t>
            </w:r>
            <w:r>
              <w:rPr>
                <w:rFonts w:hint="eastAsia" w:ascii="宋体" w:hAnsi="宋体" w:eastAsia="宋体" w:cs="宋体"/>
                <w:color w:val="auto"/>
                <w:kern w:val="0"/>
                <w:szCs w:val="21"/>
                <w:highlight w:val="none"/>
              </w:rPr>
              <w:t>。</w:t>
            </w:r>
          </w:p>
          <w:p w14:paraId="5ED2707D">
            <w:pPr>
              <w:keepNext w:val="0"/>
              <w:keepLines w:val="0"/>
              <w:pageBreakBefore w:val="0"/>
              <w:shd w:val="clear"/>
              <w:kinsoku/>
              <w:wordWrap/>
              <w:overflowPunct/>
              <w:topLinePunct w:val="0"/>
              <w:bidi w:val="0"/>
              <w:adjustRightInd/>
              <w:snapToGrid w:val="0"/>
              <w:spacing w:line="432" w:lineRule="exac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2.</w:t>
            </w:r>
            <w:r>
              <w:rPr>
                <w:rFonts w:hint="eastAsia" w:ascii="宋体" w:hAnsi="宋体" w:eastAsia="宋体" w:cs="宋体"/>
                <w:color w:val="auto"/>
                <w:szCs w:val="21"/>
                <w:highlight w:val="none"/>
              </w:rPr>
              <w:t>投标保证金的金额：</w:t>
            </w:r>
          </w:p>
          <w:p w14:paraId="75CF9947">
            <w:pPr>
              <w:keepNext w:val="0"/>
              <w:keepLines w:val="0"/>
              <w:pageBreakBefore w:val="0"/>
              <w:shd w:val="clear"/>
              <w:kinsoku/>
              <w:wordWrap/>
              <w:overflowPunct/>
              <w:topLinePunct w:val="0"/>
              <w:bidi w:val="0"/>
              <w:adjustRightInd/>
              <w:snapToGrid w:val="0"/>
              <w:spacing w:line="432" w:lineRule="exac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标项一：（大写）人民币捌仟元整（小写）¥8000.00。</w:t>
            </w:r>
          </w:p>
          <w:p w14:paraId="72853F31">
            <w:pPr>
              <w:keepNext w:val="0"/>
              <w:keepLines w:val="0"/>
              <w:pageBreakBefore w:val="0"/>
              <w:shd w:val="clear"/>
              <w:kinsoku/>
              <w:wordWrap/>
              <w:overflowPunct/>
              <w:topLinePunct w:val="0"/>
              <w:bidi w:val="0"/>
              <w:adjustRightInd/>
              <w:snapToGrid w:val="0"/>
              <w:spacing w:line="432" w:lineRule="exac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标项二：（大写）人民币陆仟元整（小写）¥6000.00。</w:t>
            </w:r>
          </w:p>
          <w:p w14:paraId="7939C9AF">
            <w:pPr>
              <w:keepNext w:val="0"/>
              <w:keepLines w:val="0"/>
              <w:pageBreakBefore w:val="0"/>
              <w:shd w:val="clear"/>
              <w:kinsoku/>
              <w:wordWrap/>
              <w:overflowPunct/>
              <w:topLinePunct w:val="0"/>
              <w:bidi w:val="0"/>
              <w:adjustRightInd/>
              <w:snapToGrid w:val="0"/>
              <w:spacing w:line="432" w:lineRule="exac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标项三：（大写）人民币柒仟元整（小写）¥7000.00。</w:t>
            </w:r>
          </w:p>
          <w:p w14:paraId="54D1C54A">
            <w:pPr>
              <w:keepNext w:val="0"/>
              <w:keepLines w:val="0"/>
              <w:pageBreakBefore w:val="0"/>
              <w:shd w:val="clear"/>
              <w:kinsoku/>
              <w:wordWrap/>
              <w:overflowPunct/>
              <w:topLinePunct w:val="0"/>
              <w:bidi w:val="0"/>
              <w:adjustRightInd/>
              <w:snapToGrid w:val="0"/>
              <w:spacing w:line="432" w:lineRule="exac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标项四：（大写）人民币玖仟元整（小写）¥9000.00。</w:t>
            </w:r>
          </w:p>
          <w:p w14:paraId="79A9D48B">
            <w:pPr>
              <w:pStyle w:val="8"/>
              <w:keepNext w:val="0"/>
              <w:keepLines w:val="0"/>
              <w:pageBreakBefore w:val="0"/>
              <w:shd w:val="clear"/>
              <w:kinsoku/>
              <w:wordWrap/>
              <w:overflowPunct/>
              <w:topLinePunct w:val="0"/>
              <w:bidi w:val="0"/>
              <w:adjustRightInd/>
              <w:spacing w:line="432" w:lineRule="exact"/>
              <w:textAlignment w:val="auto"/>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3.投标保证金采用银行转账缴纳方式的，在投标截止时间前交至采购代理机构指定账户并且到账，投标人应将银行转账底单的复印件作为投标保证金提交凭证，放置于商务文件中，</w:t>
            </w:r>
            <w:r>
              <w:rPr>
                <w:rFonts w:hint="eastAsia" w:ascii="宋体" w:hAnsi="宋体" w:eastAsia="宋体" w:cs="宋体"/>
                <w:b/>
                <w:color w:val="auto"/>
                <w:szCs w:val="21"/>
                <w:highlight w:val="none"/>
                <w:lang w:val="en-US" w:eastAsia="zh-CN"/>
              </w:rPr>
              <w:t>否则作无效投标处理</w:t>
            </w:r>
            <w:r>
              <w:rPr>
                <w:rFonts w:hint="eastAsia" w:ascii="宋体" w:hAnsi="宋体" w:eastAsia="宋体" w:cs="宋体"/>
                <w:color w:val="auto"/>
                <w:szCs w:val="21"/>
                <w:highlight w:val="none"/>
                <w:lang w:val="en-US" w:eastAsia="zh-CN"/>
              </w:rPr>
              <w:t>。</w:t>
            </w:r>
          </w:p>
          <w:p w14:paraId="50FE8001">
            <w:pPr>
              <w:keepNext w:val="0"/>
              <w:keepLines w:val="0"/>
              <w:pageBreakBefore w:val="0"/>
              <w:shd w:val="clear"/>
              <w:kinsoku/>
              <w:wordWrap/>
              <w:overflowPunct/>
              <w:topLinePunct w:val="0"/>
              <w:bidi w:val="0"/>
              <w:adjustRightInd/>
              <w:snapToGrid w:val="0"/>
              <w:spacing w:line="432" w:lineRule="exac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4</w:t>
            </w:r>
            <w:r>
              <w:rPr>
                <w:rFonts w:hint="eastAsia" w:ascii="宋体" w:hAnsi="宋体" w:eastAsia="宋体" w:cs="宋体"/>
                <w:color w:val="auto"/>
                <w:szCs w:val="21"/>
                <w:highlight w:val="none"/>
              </w:rPr>
              <w:t>.投标保证金采用支票、汇票、本票或者金融机构、担保机构出具的保函</w:t>
            </w:r>
            <w:r>
              <w:rPr>
                <w:rFonts w:hint="eastAsia" w:ascii="宋体" w:hAnsi="宋体" w:eastAsia="宋体" w:cs="宋体"/>
                <w:color w:val="auto"/>
                <w:szCs w:val="21"/>
                <w:highlight w:val="none"/>
                <w:lang w:eastAsia="zh-CN"/>
              </w:rPr>
              <w:t>等缴纳</w:t>
            </w:r>
            <w:r>
              <w:rPr>
                <w:rFonts w:hint="eastAsia" w:ascii="宋体" w:hAnsi="宋体" w:eastAsia="宋体" w:cs="宋体"/>
                <w:color w:val="auto"/>
                <w:szCs w:val="21"/>
                <w:highlight w:val="none"/>
              </w:rPr>
              <w:t>方式的，投标人应将支票、汇票、本票或者金融</w:t>
            </w:r>
            <w:r>
              <w:rPr>
                <w:rFonts w:hint="eastAsia" w:ascii="宋体" w:hAnsi="宋体" w:eastAsia="宋体" w:cs="宋体"/>
                <w:color w:val="auto"/>
                <w:szCs w:val="21"/>
                <w:highlight w:val="none"/>
                <w:lang w:eastAsia="zh-CN"/>
              </w:rPr>
              <w:t>机构</w:t>
            </w:r>
            <w:r>
              <w:rPr>
                <w:rFonts w:hint="eastAsia" w:ascii="宋体" w:hAnsi="宋体" w:eastAsia="宋体" w:cs="宋体"/>
                <w:color w:val="auto"/>
                <w:szCs w:val="21"/>
                <w:highlight w:val="none"/>
              </w:rPr>
              <w:t>、担保机构出具的保函</w:t>
            </w:r>
            <w:r>
              <w:rPr>
                <w:rFonts w:hint="eastAsia" w:ascii="宋体" w:hAnsi="宋体" w:eastAsia="宋体" w:cs="宋体"/>
                <w:color w:val="auto"/>
                <w:szCs w:val="21"/>
                <w:highlight w:val="none"/>
                <w:lang w:eastAsia="zh-CN"/>
              </w:rPr>
              <w:t>等</w:t>
            </w:r>
            <w:r>
              <w:rPr>
                <w:rFonts w:hint="eastAsia" w:ascii="宋体" w:hAnsi="宋体" w:eastAsia="宋体" w:cs="宋体"/>
                <w:color w:val="auto"/>
                <w:szCs w:val="21"/>
                <w:highlight w:val="none"/>
              </w:rPr>
              <w:t>的复印件</w:t>
            </w:r>
            <w:r>
              <w:rPr>
                <w:rFonts w:hint="eastAsia" w:ascii="宋体" w:hAnsi="宋体" w:eastAsia="宋体" w:cs="宋体"/>
                <w:color w:val="auto"/>
                <w:highlight w:val="none"/>
                <w:lang w:val="en-US" w:eastAsia="zh-CN"/>
              </w:rPr>
              <w:t>或者金融机构、担保机构出具的电子保函</w:t>
            </w:r>
            <w:r>
              <w:rPr>
                <w:rFonts w:hint="eastAsia" w:ascii="宋体" w:hAnsi="宋体" w:eastAsia="宋体" w:cs="宋体"/>
                <w:color w:val="auto"/>
                <w:szCs w:val="21"/>
                <w:highlight w:val="none"/>
              </w:rPr>
              <w:t>作为投标保证金提交凭证，放置于商务文件中，</w:t>
            </w:r>
            <w:r>
              <w:rPr>
                <w:rFonts w:hint="eastAsia" w:ascii="宋体" w:hAnsi="宋体" w:eastAsia="宋体" w:cs="宋体"/>
                <w:b/>
                <w:color w:val="auto"/>
                <w:szCs w:val="21"/>
                <w:highlight w:val="none"/>
              </w:rPr>
              <w:t>否则作无效投标处理</w:t>
            </w:r>
            <w:r>
              <w:rPr>
                <w:rFonts w:hint="eastAsia" w:ascii="宋体" w:hAnsi="宋体" w:eastAsia="宋体" w:cs="宋体"/>
                <w:color w:val="auto"/>
                <w:szCs w:val="21"/>
                <w:highlight w:val="none"/>
              </w:rPr>
              <w:t>。投标人必须</w:t>
            </w:r>
            <w:r>
              <w:rPr>
                <w:rFonts w:hint="eastAsia" w:ascii="宋体" w:hAnsi="宋体" w:eastAsia="宋体" w:cs="宋体"/>
                <w:color w:val="auto"/>
                <w:kern w:val="0"/>
                <w:szCs w:val="21"/>
                <w:highlight w:val="none"/>
              </w:rPr>
              <w:t>在投标截止时间前</w:t>
            </w:r>
            <w:r>
              <w:rPr>
                <w:rFonts w:hint="eastAsia" w:ascii="宋体" w:hAnsi="宋体" w:eastAsia="宋体" w:cs="宋体"/>
                <w:color w:val="auto"/>
                <w:szCs w:val="21"/>
                <w:highlight w:val="none"/>
              </w:rPr>
              <w:t>将支票、汇票、本票或者金融、担保机构出具的保函</w:t>
            </w:r>
            <w:r>
              <w:rPr>
                <w:rFonts w:hint="eastAsia" w:ascii="宋体" w:hAnsi="宋体" w:eastAsia="宋体" w:cs="宋体"/>
                <w:color w:val="auto"/>
                <w:highlight w:val="none"/>
                <w:lang w:val="en-US" w:eastAsia="zh-CN"/>
              </w:rPr>
              <w:t>（电子保函除外）</w:t>
            </w:r>
            <w:r>
              <w:rPr>
                <w:rFonts w:hint="eastAsia" w:ascii="宋体" w:hAnsi="宋体" w:eastAsia="宋体" w:cs="宋体"/>
                <w:color w:val="auto"/>
                <w:szCs w:val="21"/>
                <w:highlight w:val="none"/>
                <w:lang w:eastAsia="zh-CN"/>
              </w:rPr>
              <w:t>等</w:t>
            </w:r>
            <w:r>
              <w:rPr>
                <w:rFonts w:hint="eastAsia" w:ascii="宋体" w:hAnsi="宋体" w:eastAsia="宋体" w:cs="宋体"/>
                <w:color w:val="auto"/>
                <w:szCs w:val="21"/>
                <w:highlight w:val="none"/>
              </w:rPr>
              <w:t>原件提交给采购代理机构，由采购代理机构向投标人出具回执，并妥善保管。</w:t>
            </w:r>
          </w:p>
          <w:p w14:paraId="073E0917">
            <w:pPr>
              <w:keepNext w:val="0"/>
              <w:keepLines w:val="0"/>
              <w:pageBreakBefore w:val="0"/>
              <w:shd w:val="clear"/>
              <w:kinsoku/>
              <w:wordWrap/>
              <w:overflowPunct/>
              <w:topLinePunct w:val="0"/>
              <w:bidi w:val="0"/>
              <w:adjustRightInd/>
              <w:snapToGrid w:val="0"/>
              <w:spacing w:line="432" w:lineRule="exac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5</w:t>
            </w:r>
            <w:r>
              <w:rPr>
                <w:rFonts w:hint="eastAsia" w:ascii="宋体" w:hAnsi="宋体" w:eastAsia="宋体" w:cs="宋体"/>
                <w:color w:val="auto"/>
                <w:szCs w:val="21"/>
                <w:highlight w:val="none"/>
              </w:rPr>
              <w:t>.</w:t>
            </w:r>
            <w:r>
              <w:rPr>
                <w:rFonts w:hint="eastAsia" w:ascii="宋体" w:hAnsi="宋体" w:eastAsia="宋体" w:cs="宋体"/>
                <w:color w:val="auto"/>
                <w:szCs w:val="21"/>
                <w:highlight w:val="none"/>
                <w:lang w:eastAsia="zh-CN"/>
              </w:rPr>
              <w:t>缴纳</w:t>
            </w:r>
            <w:r>
              <w:rPr>
                <w:rFonts w:hint="eastAsia" w:ascii="宋体" w:hAnsi="宋体" w:eastAsia="宋体" w:cs="宋体"/>
                <w:color w:val="auto"/>
                <w:szCs w:val="21"/>
                <w:highlight w:val="none"/>
              </w:rPr>
              <w:t>投标保证金指定</w:t>
            </w:r>
            <w:r>
              <w:rPr>
                <w:rFonts w:hint="eastAsia" w:ascii="宋体" w:hAnsi="宋体" w:eastAsia="宋体" w:cs="宋体"/>
                <w:color w:val="auto"/>
                <w:szCs w:val="21"/>
                <w:highlight w:val="none"/>
                <w:lang w:eastAsia="zh-CN"/>
              </w:rPr>
              <w:t>账</w:t>
            </w:r>
            <w:r>
              <w:rPr>
                <w:rFonts w:hint="eastAsia" w:ascii="宋体" w:hAnsi="宋体" w:eastAsia="宋体" w:cs="宋体"/>
                <w:color w:val="auto"/>
                <w:szCs w:val="21"/>
                <w:highlight w:val="none"/>
              </w:rPr>
              <w:t>户：</w:t>
            </w:r>
          </w:p>
          <w:p w14:paraId="09ADB49A">
            <w:pPr>
              <w:pStyle w:val="33"/>
              <w:shd w:val="clear"/>
              <w:spacing w:line="360" w:lineRule="auto"/>
              <w:rPr>
                <w:rFonts w:hint="eastAsia" w:ascii="宋体" w:hAnsi="宋体" w:eastAsia="宋体" w:cs="宋体"/>
                <w:color w:val="auto"/>
                <w:kern w:val="0"/>
                <w:szCs w:val="21"/>
                <w:highlight w:val="none"/>
                <w:lang w:eastAsia="zh-CN"/>
              </w:rPr>
            </w:pPr>
            <w:r>
              <w:rPr>
                <w:rFonts w:hint="eastAsia" w:ascii="宋体" w:hAnsi="宋体" w:cs="宋体"/>
                <w:color w:val="auto"/>
                <w:kern w:val="0"/>
                <w:szCs w:val="21"/>
                <w:highlight w:val="none"/>
                <w:lang w:eastAsia="zh-CN"/>
              </w:rPr>
              <w:t>标项一：</w:t>
            </w:r>
          </w:p>
          <w:p w14:paraId="21BC9FFB">
            <w:pPr>
              <w:pStyle w:val="33"/>
              <w:shd w:val="clear"/>
              <w:spacing w:line="360" w:lineRule="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开户名称：浦北县公共资源交易中心</w:t>
            </w:r>
          </w:p>
          <w:p w14:paraId="62A30AA5">
            <w:pPr>
              <w:pStyle w:val="33"/>
              <w:shd w:val="clear"/>
              <w:spacing w:line="360" w:lineRule="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开户银行：广西浦北农村商业银行股份有限公司江城支行</w:t>
            </w:r>
          </w:p>
          <w:p w14:paraId="1CFA9017">
            <w:pPr>
              <w:pStyle w:val="33"/>
              <w:shd w:val="clear"/>
              <w:spacing w:line="360" w:lineRule="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银行账号：20332220839000606</w:t>
            </w:r>
          </w:p>
          <w:p w14:paraId="29614E76">
            <w:pPr>
              <w:pStyle w:val="33"/>
              <w:shd w:val="clear"/>
              <w:spacing w:line="360" w:lineRule="auto"/>
              <w:rPr>
                <w:rFonts w:hint="eastAsia" w:ascii="宋体" w:hAnsi="宋体" w:eastAsia="宋体" w:cs="宋体"/>
                <w:color w:val="auto"/>
                <w:kern w:val="0"/>
                <w:szCs w:val="21"/>
                <w:highlight w:val="none"/>
                <w:lang w:eastAsia="zh-CN"/>
              </w:rPr>
            </w:pPr>
            <w:r>
              <w:rPr>
                <w:rFonts w:hint="eastAsia" w:ascii="宋体" w:hAnsi="宋体" w:cs="宋体"/>
                <w:color w:val="auto"/>
                <w:kern w:val="0"/>
                <w:szCs w:val="21"/>
                <w:highlight w:val="none"/>
                <w:lang w:eastAsia="zh-CN"/>
              </w:rPr>
              <w:t>标项二：</w:t>
            </w:r>
          </w:p>
          <w:p w14:paraId="33F7D6CA">
            <w:pPr>
              <w:pStyle w:val="33"/>
              <w:shd w:val="clear"/>
              <w:spacing w:line="360" w:lineRule="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开户名称：浦北县公共资源交易中心</w:t>
            </w:r>
          </w:p>
          <w:p w14:paraId="7CE0E1B6">
            <w:pPr>
              <w:pStyle w:val="33"/>
              <w:shd w:val="clear"/>
              <w:spacing w:line="360" w:lineRule="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开户银行：广西浦北农村商业银行股份有限公司江城支行</w:t>
            </w:r>
          </w:p>
          <w:p w14:paraId="3F1845F6">
            <w:pPr>
              <w:pStyle w:val="33"/>
              <w:shd w:val="clear"/>
              <w:spacing w:line="360" w:lineRule="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银行账号：20332220839000607</w:t>
            </w:r>
          </w:p>
          <w:p w14:paraId="5157D9E0">
            <w:pPr>
              <w:pStyle w:val="33"/>
              <w:shd w:val="clear"/>
              <w:spacing w:line="360" w:lineRule="auto"/>
              <w:rPr>
                <w:rFonts w:hint="eastAsia" w:ascii="宋体" w:hAnsi="宋体" w:eastAsia="宋体" w:cs="宋体"/>
                <w:color w:val="auto"/>
                <w:kern w:val="0"/>
                <w:szCs w:val="21"/>
                <w:highlight w:val="none"/>
                <w:lang w:eastAsia="zh-CN"/>
              </w:rPr>
            </w:pPr>
            <w:r>
              <w:rPr>
                <w:rFonts w:hint="eastAsia" w:ascii="宋体" w:hAnsi="宋体" w:cs="宋体"/>
                <w:color w:val="auto"/>
                <w:kern w:val="0"/>
                <w:szCs w:val="21"/>
                <w:highlight w:val="none"/>
                <w:lang w:eastAsia="zh-CN"/>
              </w:rPr>
              <w:t>标项三：</w:t>
            </w:r>
          </w:p>
          <w:p w14:paraId="0908B732">
            <w:pPr>
              <w:pStyle w:val="33"/>
              <w:shd w:val="clear"/>
              <w:spacing w:line="360" w:lineRule="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开户名称：浦北县公共资源交易中心</w:t>
            </w:r>
          </w:p>
          <w:p w14:paraId="0674E20C">
            <w:pPr>
              <w:pStyle w:val="33"/>
              <w:shd w:val="clear"/>
              <w:spacing w:line="360" w:lineRule="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开户银行：广西浦北农村商业银行股份有限公司江城支行</w:t>
            </w:r>
          </w:p>
          <w:p w14:paraId="1CB7A514">
            <w:pPr>
              <w:pStyle w:val="33"/>
              <w:shd w:val="clear"/>
              <w:spacing w:line="360" w:lineRule="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银行账号：20332220839000608</w:t>
            </w:r>
          </w:p>
          <w:p w14:paraId="01DD2822">
            <w:pPr>
              <w:pStyle w:val="33"/>
              <w:shd w:val="clear"/>
              <w:spacing w:line="360" w:lineRule="auto"/>
              <w:rPr>
                <w:rFonts w:hint="eastAsia" w:ascii="宋体" w:hAnsi="宋体" w:eastAsia="宋体" w:cs="宋体"/>
                <w:color w:val="auto"/>
                <w:kern w:val="0"/>
                <w:szCs w:val="21"/>
                <w:highlight w:val="none"/>
                <w:lang w:eastAsia="zh-CN"/>
              </w:rPr>
            </w:pPr>
            <w:r>
              <w:rPr>
                <w:rFonts w:hint="eastAsia" w:ascii="宋体" w:hAnsi="宋体" w:cs="宋体"/>
                <w:color w:val="auto"/>
                <w:kern w:val="0"/>
                <w:szCs w:val="21"/>
                <w:highlight w:val="none"/>
                <w:lang w:eastAsia="zh-CN"/>
              </w:rPr>
              <w:t>标项四：</w:t>
            </w:r>
          </w:p>
          <w:p w14:paraId="75FEE086">
            <w:pPr>
              <w:pStyle w:val="33"/>
              <w:shd w:val="clear"/>
              <w:spacing w:line="360" w:lineRule="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开户名称：浦北县公共资源交易中心</w:t>
            </w:r>
          </w:p>
          <w:p w14:paraId="64CB5D37">
            <w:pPr>
              <w:pStyle w:val="33"/>
              <w:shd w:val="clear"/>
              <w:spacing w:line="360" w:lineRule="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开户银行：广西浦北农村商业银行股份有限公司江城支行</w:t>
            </w:r>
          </w:p>
          <w:p w14:paraId="644B3312">
            <w:pPr>
              <w:pStyle w:val="33"/>
              <w:shd w:val="clear"/>
              <w:spacing w:line="360" w:lineRule="auto"/>
              <w:rPr>
                <w:rFonts w:hint="eastAsia" w:ascii="宋体" w:hAnsi="宋体" w:eastAsia="宋体" w:cs="宋体"/>
                <w:color w:val="auto"/>
                <w:szCs w:val="21"/>
                <w:highlight w:val="none"/>
                <w:lang w:val="en-US" w:eastAsia="zh-CN"/>
              </w:rPr>
            </w:pPr>
            <w:r>
              <w:rPr>
                <w:rFonts w:hint="eastAsia" w:ascii="宋体" w:hAnsi="宋体" w:eastAsia="宋体" w:cs="宋体"/>
                <w:color w:val="auto"/>
                <w:kern w:val="0"/>
                <w:szCs w:val="21"/>
                <w:highlight w:val="none"/>
              </w:rPr>
              <w:t>银行账号：20332220839000609</w:t>
            </w:r>
          </w:p>
          <w:p w14:paraId="0175E94C">
            <w:pPr>
              <w:keepNext w:val="0"/>
              <w:keepLines w:val="0"/>
              <w:pageBreakBefore w:val="0"/>
              <w:shd w:val="clear"/>
              <w:kinsoku/>
              <w:wordWrap/>
              <w:overflowPunct/>
              <w:topLinePunct w:val="0"/>
              <w:bidi w:val="0"/>
              <w:adjustRightInd/>
              <w:snapToGrid w:val="0"/>
              <w:spacing w:line="432" w:lineRule="exac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6</w:t>
            </w:r>
            <w:r>
              <w:rPr>
                <w:rFonts w:hint="eastAsia" w:ascii="宋体" w:hAnsi="宋体" w:eastAsia="宋体" w:cs="宋体"/>
                <w:color w:val="auto"/>
                <w:szCs w:val="21"/>
                <w:highlight w:val="none"/>
              </w:rPr>
              <w:t>.投标人为联合体的，可以由联合体中的一方或者多方共同</w:t>
            </w:r>
            <w:r>
              <w:rPr>
                <w:rFonts w:hint="eastAsia" w:ascii="宋体" w:hAnsi="宋体" w:eastAsia="宋体" w:cs="宋体"/>
                <w:color w:val="auto"/>
                <w:szCs w:val="21"/>
                <w:highlight w:val="none"/>
                <w:lang w:eastAsia="zh-CN"/>
              </w:rPr>
              <w:t>缴纳</w:t>
            </w:r>
            <w:r>
              <w:rPr>
                <w:rFonts w:hint="eastAsia" w:ascii="宋体" w:hAnsi="宋体" w:eastAsia="宋体" w:cs="宋体"/>
                <w:color w:val="auto"/>
                <w:szCs w:val="21"/>
                <w:highlight w:val="none"/>
              </w:rPr>
              <w:t>投标保证金，其</w:t>
            </w:r>
            <w:r>
              <w:rPr>
                <w:rFonts w:hint="eastAsia" w:ascii="宋体" w:hAnsi="宋体" w:eastAsia="宋体" w:cs="宋体"/>
                <w:color w:val="auto"/>
                <w:szCs w:val="21"/>
                <w:highlight w:val="none"/>
                <w:lang w:eastAsia="zh-CN"/>
              </w:rPr>
              <w:t>缴纳</w:t>
            </w:r>
            <w:r>
              <w:rPr>
                <w:rFonts w:hint="eastAsia" w:ascii="宋体" w:hAnsi="宋体" w:eastAsia="宋体" w:cs="宋体"/>
                <w:color w:val="auto"/>
                <w:szCs w:val="21"/>
                <w:highlight w:val="none"/>
              </w:rPr>
              <w:t>的</w:t>
            </w:r>
            <w:r>
              <w:rPr>
                <w:rFonts w:hint="eastAsia" w:ascii="宋体" w:hAnsi="宋体" w:eastAsia="宋体" w:cs="宋体"/>
                <w:color w:val="auto"/>
                <w:szCs w:val="21"/>
                <w:highlight w:val="none"/>
                <w:lang w:eastAsia="zh-CN"/>
              </w:rPr>
              <w:t>投标</w:t>
            </w:r>
            <w:r>
              <w:rPr>
                <w:rFonts w:hint="eastAsia" w:ascii="宋体" w:hAnsi="宋体" w:eastAsia="宋体" w:cs="宋体"/>
                <w:color w:val="auto"/>
                <w:szCs w:val="21"/>
                <w:highlight w:val="none"/>
              </w:rPr>
              <w:t>保证金对联合体各方均具有约束力。</w:t>
            </w:r>
          </w:p>
          <w:p w14:paraId="7A8408E0">
            <w:pPr>
              <w:keepNext w:val="0"/>
              <w:keepLines w:val="0"/>
              <w:pageBreakBefore w:val="0"/>
              <w:shd w:val="clear"/>
              <w:kinsoku/>
              <w:wordWrap/>
              <w:overflowPunct/>
              <w:topLinePunct w:val="0"/>
              <w:bidi w:val="0"/>
              <w:adjustRightInd/>
              <w:snapToGrid w:val="0"/>
              <w:spacing w:line="432" w:lineRule="exact"/>
              <w:textAlignment w:val="auto"/>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 xml:space="preserve">备注： </w:t>
            </w:r>
          </w:p>
          <w:p w14:paraId="4D1BE9EF">
            <w:pPr>
              <w:keepNext w:val="0"/>
              <w:keepLines w:val="0"/>
              <w:pageBreakBefore w:val="0"/>
              <w:shd w:val="clear"/>
              <w:kinsoku/>
              <w:wordWrap/>
              <w:overflowPunct/>
              <w:topLinePunct w:val="0"/>
              <w:bidi w:val="0"/>
              <w:adjustRightInd/>
              <w:snapToGrid w:val="0"/>
              <w:spacing w:line="432" w:lineRule="exact"/>
              <w:textAlignment w:val="auto"/>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1. 投标保证金在投标截止时间后提交的，或者不按规定</w:t>
            </w:r>
            <w:r>
              <w:rPr>
                <w:rFonts w:hint="eastAsia" w:ascii="宋体" w:hAnsi="宋体" w:eastAsia="宋体" w:cs="宋体"/>
                <w:b/>
                <w:color w:val="auto"/>
                <w:szCs w:val="21"/>
                <w:highlight w:val="none"/>
                <w:lang w:eastAsia="zh-CN"/>
              </w:rPr>
              <w:t>缴纳</w:t>
            </w:r>
            <w:r>
              <w:rPr>
                <w:rFonts w:hint="eastAsia" w:ascii="宋体" w:hAnsi="宋体" w:eastAsia="宋体" w:cs="宋体"/>
                <w:b/>
                <w:color w:val="auto"/>
                <w:szCs w:val="21"/>
                <w:highlight w:val="none"/>
              </w:rPr>
              <w:t>方式</w:t>
            </w:r>
            <w:r>
              <w:rPr>
                <w:rFonts w:hint="eastAsia" w:ascii="宋体" w:hAnsi="宋体" w:eastAsia="宋体" w:cs="宋体"/>
                <w:b/>
                <w:color w:val="auto"/>
                <w:szCs w:val="21"/>
                <w:highlight w:val="none"/>
                <w:lang w:eastAsia="zh-CN"/>
              </w:rPr>
              <w:t>缴纳</w:t>
            </w:r>
            <w:r>
              <w:rPr>
                <w:rFonts w:hint="eastAsia" w:ascii="宋体" w:hAnsi="宋体" w:eastAsia="宋体" w:cs="宋体"/>
                <w:b/>
                <w:color w:val="auto"/>
                <w:szCs w:val="21"/>
                <w:highlight w:val="none"/>
              </w:rPr>
              <w:t>的，或者未足额</w:t>
            </w:r>
            <w:r>
              <w:rPr>
                <w:rFonts w:hint="eastAsia" w:ascii="宋体" w:hAnsi="宋体" w:eastAsia="宋体" w:cs="宋体"/>
                <w:b/>
                <w:color w:val="auto"/>
                <w:szCs w:val="21"/>
                <w:highlight w:val="none"/>
                <w:lang w:eastAsia="zh-CN"/>
              </w:rPr>
              <w:t>缴纳</w:t>
            </w:r>
            <w:r>
              <w:rPr>
                <w:rFonts w:hint="eastAsia" w:ascii="宋体" w:hAnsi="宋体" w:eastAsia="宋体" w:cs="宋体"/>
                <w:b/>
                <w:color w:val="auto"/>
                <w:szCs w:val="21"/>
                <w:highlight w:val="none"/>
              </w:rPr>
              <w:t>的（包含保函额度不足的），视为无效投标保证金。</w:t>
            </w:r>
          </w:p>
          <w:p w14:paraId="559A2D7A">
            <w:pPr>
              <w:keepNext w:val="0"/>
              <w:keepLines w:val="0"/>
              <w:pageBreakBefore w:val="0"/>
              <w:shd w:val="clear"/>
              <w:kinsoku/>
              <w:wordWrap/>
              <w:overflowPunct/>
              <w:topLinePunct w:val="0"/>
              <w:bidi w:val="0"/>
              <w:adjustRightInd/>
              <w:snapToGrid w:val="0"/>
              <w:spacing w:line="432" w:lineRule="exact"/>
              <w:textAlignment w:val="auto"/>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2.投标人采用现</w:t>
            </w:r>
            <w:r>
              <w:rPr>
                <w:rFonts w:hint="eastAsia" w:ascii="宋体" w:hAnsi="宋体" w:eastAsia="宋体" w:cs="宋体"/>
                <w:b/>
                <w:color w:val="auto"/>
                <w:szCs w:val="21"/>
                <w:highlight w:val="none"/>
                <w:lang w:eastAsia="zh-CN"/>
              </w:rPr>
              <w:t>金</w:t>
            </w:r>
            <w:r>
              <w:rPr>
                <w:rFonts w:hint="eastAsia" w:ascii="宋体" w:hAnsi="宋体" w:eastAsia="宋体" w:cs="宋体"/>
                <w:b/>
                <w:color w:val="auto"/>
                <w:szCs w:val="21"/>
                <w:highlight w:val="none"/>
              </w:rPr>
              <w:t>方式或者从个人账户（自然人投标除外）转出的投标保证金，视为无效投标保证金。</w:t>
            </w:r>
          </w:p>
          <w:p w14:paraId="06BD4DAE">
            <w:pPr>
              <w:keepNext w:val="0"/>
              <w:keepLines w:val="0"/>
              <w:pageBreakBefore w:val="0"/>
              <w:shd w:val="clear"/>
              <w:kinsoku/>
              <w:wordWrap/>
              <w:overflowPunct/>
              <w:topLinePunct w:val="0"/>
              <w:bidi w:val="0"/>
              <w:adjustRightInd/>
              <w:snapToGrid w:val="0"/>
              <w:spacing w:line="432" w:lineRule="exact"/>
              <w:textAlignment w:val="auto"/>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3.支票、汇票或者本票出现无效或者背书情形的，视为无效投标保证金。</w:t>
            </w:r>
          </w:p>
          <w:p w14:paraId="204A6917">
            <w:pPr>
              <w:keepNext w:val="0"/>
              <w:keepLines w:val="0"/>
              <w:pageBreakBefore w:val="0"/>
              <w:shd w:val="clear"/>
              <w:kinsoku/>
              <w:wordWrap/>
              <w:overflowPunct/>
              <w:topLinePunct w:val="0"/>
              <w:bidi w:val="0"/>
              <w:adjustRightInd/>
              <w:snapToGrid w:val="0"/>
              <w:spacing w:line="432" w:lineRule="exact"/>
              <w:textAlignment w:val="auto"/>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4.保函有效期低于投标有效期的，视为无效投标保证金。</w:t>
            </w:r>
          </w:p>
          <w:p w14:paraId="7EA001B5">
            <w:pPr>
              <w:keepNext w:val="0"/>
              <w:keepLines w:val="0"/>
              <w:pageBreakBefore w:val="0"/>
              <w:shd w:val="clear"/>
              <w:kinsoku/>
              <w:wordWrap/>
              <w:overflowPunct/>
              <w:topLinePunct w:val="0"/>
              <w:autoSpaceDE w:val="0"/>
              <w:autoSpaceDN w:val="0"/>
              <w:bidi w:val="0"/>
              <w:adjustRightInd/>
              <w:snapToGrid w:val="0"/>
              <w:spacing w:line="432" w:lineRule="exact"/>
              <w:textAlignment w:val="auto"/>
              <w:rPr>
                <w:rFonts w:hint="eastAsia" w:ascii="宋体" w:hAnsi="宋体" w:eastAsia="宋体" w:cs="宋体"/>
                <w:color w:val="auto"/>
                <w:sz w:val="21"/>
                <w:szCs w:val="21"/>
                <w:highlight w:val="none"/>
              </w:rPr>
            </w:pPr>
            <w:r>
              <w:rPr>
                <w:rFonts w:hint="eastAsia" w:ascii="宋体" w:hAnsi="宋体" w:eastAsia="宋体" w:cs="宋体"/>
                <w:b/>
                <w:color w:val="auto"/>
                <w:szCs w:val="21"/>
                <w:highlight w:val="none"/>
              </w:rPr>
              <w:t>5.采用金融、担保机构出具保函的，必须为无条件保函，否则视为无效投标保证金</w:t>
            </w:r>
            <w:r>
              <w:rPr>
                <w:rFonts w:hint="eastAsia" w:ascii="宋体" w:hAnsi="宋体" w:eastAsia="宋体" w:cs="宋体"/>
                <w:b/>
                <w:bCs/>
                <w:color w:val="auto"/>
                <w:szCs w:val="21"/>
                <w:highlight w:val="none"/>
              </w:rPr>
              <w:t>。</w:t>
            </w:r>
          </w:p>
        </w:tc>
      </w:tr>
      <w:tr w14:paraId="2BEF60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5" w:type="dxa"/>
            <w:noWrap w:val="0"/>
            <w:vAlign w:val="center"/>
          </w:tcPr>
          <w:p w14:paraId="70EFF35A">
            <w:pPr>
              <w:keepNext w:val="0"/>
              <w:keepLines w:val="0"/>
              <w:pageBreakBefore w:val="0"/>
              <w:shd w:val="clear"/>
              <w:kinsoku/>
              <w:wordWrap/>
              <w:overflowPunct/>
              <w:topLinePunct w:val="0"/>
              <w:bidi w:val="0"/>
              <w:adjustRightInd/>
              <w:spacing w:line="432"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19.1</w:t>
            </w:r>
          </w:p>
        </w:tc>
        <w:tc>
          <w:tcPr>
            <w:tcW w:w="1907" w:type="dxa"/>
            <w:noWrap w:val="0"/>
            <w:vAlign w:val="center"/>
          </w:tcPr>
          <w:p w14:paraId="09EB0B56">
            <w:pPr>
              <w:keepNext w:val="0"/>
              <w:keepLines w:val="0"/>
              <w:pageBreakBefore w:val="0"/>
              <w:shd w:val="clear"/>
              <w:kinsoku/>
              <w:wordWrap/>
              <w:overflowPunct/>
              <w:topLinePunct w:val="0"/>
              <w:bidi w:val="0"/>
              <w:adjustRightInd/>
              <w:spacing w:line="432"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投标文件编制要求</w:t>
            </w:r>
          </w:p>
        </w:tc>
        <w:tc>
          <w:tcPr>
            <w:tcW w:w="7658" w:type="dxa"/>
            <w:noWrap w:val="0"/>
            <w:vAlign w:val="center"/>
          </w:tcPr>
          <w:p w14:paraId="2D224316">
            <w:pPr>
              <w:keepNext w:val="0"/>
              <w:keepLines w:val="0"/>
              <w:pageBreakBefore w:val="0"/>
              <w:shd w:val="clear"/>
              <w:kinsoku/>
              <w:wordWrap/>
              <w:overflowPunct/>
              <w:topLinePunct w:val="0"/>
              <w:bidi w:val="0"/>
              <w:adjustRightInd/>
              <w:spacing w:line="432" w:lineRule="exact"/>
              <w:textAlignment w:val="auto"/>
              <w:rPr>
                <w:rFonts w:hint="eastAsia" w:ascii="宋体" w:hAnsi="宋体" w:eastAsia="宋体" w:cs="宋体"/>
                <w:b/>
                <w:color w:val="auto"/>
                <w:sz w:val="21"/>
                <w:szCs w:val="21"/>
                <w:highlight w:val="none"/>
                <w:u w:val="single"/>
              </w:rPr>
            </w:pPr>
            <w:r>
              <w:rPr>
                <w:rFonts w:hint="eastAsia" w:ascii="宋体" w:hAnsi="宋体" w:eastAsia="宋体" w:cs="宋体"/>
                <w:color w:val="auto"/>
                <w:sz w:val="21"/>
                <w:szCs w:val="21"/>
                <w:highlight w:val="none"/>
              </w:rPr>
              <w:t>投标文件应按报价文件、资格证明文件、商务文件、技术文件分别编制，报价文件、资格证明文件分别生</w:t>
            </w:r>
            <w:r>
              <w:rPr>
                <w:rFonts w:hint="eastAsia" w:ascii="宋体" w:hAnsi="宋体" w:eastAsia="宋体" w:cs="宋体"/>
                <w:color w:val="auto"/>
                <w:sz w:val="21"/>
                <w:szCs w:val="21"/>
                <w:highlight w:val="none"/>
                <w:lang w:eastAsia="zh-CN"/>
              </w:rPr>
              <w:t>成</w:t>
            </w:r>
            <w:r>
              <w:rPr>
                <w:rFonts w:hint="eastAsia" w:ascii="宋体" w:hAnsi="宋体" w:eastAsia="宋体" w:cs="宋体"/>
                <w:color w:val="auto"/>
                <w:sz w:val="21"/>
                <w:szCs w:val="21"/>
                <w:highlight w:val="none"/>
              </w:rPr>
              <w:t>电子文件，商务文件和技术文件按顺序合并生成电子文件。</w:t>
            </w:r>
            <w:r>
              <w:rPr>
                <w:rFonts w:hint="eastAsia" w:ascii="宋体" w:hAnsi="宋体" w:eastAsia="宋体" w:cs="宋体"/>
                <w:b/>
                <w:bCs/>
                <w:color w:val="auto"/>
                <w:sz w:val="21"/>
                <w:szCs w:val="21"/>
                <w:highlight w:val="none"/>
                <w:lang w:eastAsia="zh-CN"/>
              </w:rPr>
              <w:t>（</w:t>
            </w:r>
            <w:r>
              <w:rPr>
                <w:rFonts w:hint="eastAsia" w:ascii="宋体" w:hAnsi="宋体" w:eastAsia="宋体" w:cs="宋体"/>
                <w:b/>
                <w:bCs/>
                <w:color w:val="auto"/>
                <w:szCs w:val="21"/>
                <w:highlight w:val="none"/>
                <w:lang w:eastAsia="zh-CN"/>
              </w:rPr>
              <w:t>注：</w:t>
            </w:r>
            <w:r>
              <w:rPr>
                <w:rFonts w:hint="eastAsia" w:ascii="宋体" w:hAnsi="宋体" w:eastAsia="宋体" w:cs="宋体"/>
                <w:b/>
                <w:bCs/>
                <w:color w:val="auto"/>
                <w:szCs w:val="21"/>
                <w:highlight w:val="none"/>
              </w:rPr>
              <w:t>按照本</w:t>
            </w:r>
            <w:r>
              <w:rPr>
                <w:rFonts w:hint="eastAsia" w:ascii="宋体" w:hAnsi="宋体" w:eastAsia="宋体" w:cs="宋体"/>
                <w:b/>
                <w:bCs/>
                <w:color w:val="auto"/>
                <w:szCs w:val="21"/>
                <w:highlight w:val="none"/>
                <w:lang w:eastAsia="zh-CN"/>
              </w:rPr>
              <w:t>招标</w:t>
            </w:r>
            <w:r>
              <w:rPr>
                <w:rFonts w:hint="eastAsia" w:ascii="宋体" w:hAnsi="宋体" w:eastAsia="宋体" w:cs="宋体"/>
                <w:b/>
                <w:bCs/>
                <w:color w:val="auto"/>
                <w:szCs w:val="21"/>
                <w:highlight w:val="none"/>
              </w:rPr>
              <w:t>文件“第六章 投标文件格式”编写</w:t>
            </w:r>
            <w:r>
              <w:rPr>
                <w:rFonts w:hint="eastAsia" w:ascii="宋体" w:hAnsi="宋体" w:eastAsia="宋体" w:cs="宋体"/>
                <w:b/>
                <w:bCs/>
                <w:color w:val="auto"/>
                <w:szCs w:val="21"/>
                <w:highlight w:val="none"/>
                <w:lang w:eastAsia="zh-CN"/>
              </w:rPr>
              <w:t>，</w:t>
            </w:r>
            <w:r>
              <w:rPr>
                <w:rFonts w:hint="eastAsia" w:ascii="宋体" w:hAnsi="宋体" w:eastAsia="宋体" w:cs="宋体"/>
                <w:b/>
                <w:bCs/>
                <w:color w:val="auto"/>
                <w:szCs w:val="21"/>
                <w:highlight w:val="none"/>
              </w:rPr>
              <w:t>第</w:t>
            </w:r>
            <w:r>
              <w:rPr>
                <w:rFonts w:hint="eastAsia" w:ascii="宋体" w:hAnsi="宋体" w:eastAsia="宋体" w:cs="宋体"/>
                <w:b/>
                <w:bCs/>
                <w:color w:val="auto"/>
                <w:szCs w:val="21"/>
                <w:highlight w:val="none"/>
                <w:lang w:eastAsia="zh-CN"/>
              </w:rPr>
              <w:t>六</w:t>
            </w:r>
            <w:r>
              <w:rPr>
                <w:rFonts w:hint="eastAsia" w:ascii="宋体" w:hAnsi="宋体" w:eastAsia="宋体" w:cs="宋体"/>
                <w:b/>
                <w:bCs/>
                <w:color w:val="auto"/>
                <w:szCs w:val="21"/>
                <w:highlight w:val="none"/>
              </w:rPr>
              <w:t>章未附格式的，由</w:t>
            </w:r>
            <w:r>
              <w:rPr>
                <w:rFonts w:hint="eastAsia" w:ascii="宋体" w:hAnsi="宋体" w:eastAsia="宋体" w:cs="宋体"/>
                <w:b/>
                <w:bCs/>
                <w:color w:val="auto"/>
                <w:szCs w:val="21"/>
                <w:highlight w:val="none"/>
                <w:lang w:eastAsia="zh-CN"/>
              </w:rPr>
              <w:t>投标人</w:t>
            </w:r>
            <w:r>
              <w:rPr>
                <w:rFonts w:hint="eastAsia" w:ascii="宋体" w:hAnsi="宋体" w:eastAsia="宋体" w:cs="宋体"/>
                <w:b/>
                <w:bCs/>
                <w:color w:val="auto"/>
                <w:szCs w:val="21"/>
                <w:highlight w:val="none"/>
              </w:rPr>
              <w:t>自行拟定</w:t>
            </w:r>
            <w:r>
              <w:rPr>
                <w:rFonts w:hint="eastAsia" w:ascii="宋体" w:hAnsi="宋体" w:eastAsia="宋体" w:cs="宋体"/>
                <w:b/>
                <w:bCs/>
                <w:color w:val="auto"/>
                <w:szCs w:val="21"/>
                <w:highlight w:val="none"/>
                <w:lang w:eastAsia="zh-CN"/>
              </w:rPr>
              <w:t>。）</w:t>
            </w:r>
          </w:p>
        </w:tc>
      </w:tr>
      <w:tr w14:paraId="5515CE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5" w:type="dxa"/>
            <w:noWrap w:val="0"/>
            <w:vAlign w:val="center"/>
          </w:tcPr>
          <w:p w14:paraId="04B6DD8B">
            <w:pPr>
              <w:keepNext w:val="0"/>
              <w:keepLines w:val="0"/>
              <w:pageBreakBefore w:val="0"/>
              <w:shd w:val="clear"/>
              <w:kinsoku/>
              <w:wordWrap/>
              <w:overflowPunct/>
              <w:topLinePunct w:val="0"/>
              <w:bidi w:val="0"/>
              <w:adjustRightInd/>
              <w:spacing w:line="432"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20</w:t>
            </w:r>
          </w:p>
        </w:tc>
        <w:tc>
          <w:tcPr>
            <w:tcW w:w="1907" w:type="dxa"/>
            <w:noWrap w:val="0"/>
            <w:vAlign w:val="center"/>
          </w:tcPr>
          <w:p w14:paraId="3D212B76">
            <w:pPr>
              <w:keepNext w:val="0"/>
              <w:keepLines w:val="0"/>
              <w:pageBreakBefore w:val="0"/>
              <w:shd w:val="clear"/>
              <w:kinsoku/>
              <w:wordWrap/>
              <w:overflowPunct/>
              <w:topLinePunct w:val="0"/>
              <w:bidi w:val="0"/>
              <w:adjustRightInd/>
              <w:spacing w:line="432"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备份投标文件</w:t>
            </w:r>
          </w:p>
        </w:tc>
        <w:tc>
          <w:tcPr>
            <w:tcW w:w="7658" w:type="dxa"/>
            <w:noWrap w:val="0"/>
            <w:vAlign w:val="center"/>
          </w:tcPr>
          <w:p w14:paraId="4933888A">
            <w:pPr>
              <w:keepNext w:val="0"/>
              <w:keepLines w:val="0"/>
              <w:pageBreakBefore w:val="0"/>
              <w:shd w:val="clear"/>
              <w:kinsoku/>
              <w:wordWrap/>
              <w:overflowPunct/>
              <w:topLinePunct w:val="0"/>
              <w:autoSpaceDE w:val="0"/>
              <w:autoSpaceDN w:val="0"/>
              <w:bidi w:val="0"/>
              <w:adjustRightInd/>
              <w:snapToGrid w:val="0"/>
              <w:spacing w:line="432"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本项目不接受备份投标文件。</w:t>
            </w:r>
          </w:p>
        </w:tc>
      </w:tr>
      <w:tr w14:paraId="484798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7" w:hRule="atLeast"/>
          <w:jc w:val="center"/>
        </w:trPr>
        <w:tc>
          <w:tcPr>
            <w:tcW w:w="675" w:type="dxa"/>
            <w:vMerge w:val="restart"/>
            <w:noWrap w:val="0"/>
            <w:vAlign w:val="center"/>
          </w:tcPr>
          <w:p w14:paraId="40D8EB37">
            <w:pPr>
              <w:keepNext w:val="0"/>
              <w:keepLines w:val="0"/>
              <w:pageBreakBefore w:val="0"/>
              <w:shd w:val="clear"/>
              <w:kinsoku/>
              <w:wordWrap/>
              <w:overflowPunct/>
              <w:topLinePunct w:val="0"/>
              <w:bidi w:val="0"/>
              <w:adjustRightInd/>
              <w:spacing w:line="432"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21.1</w:t>
            </w:r>
          </w:p>
        </w:tc>
        <w:tc>
          <w:tcPr>
            <w:tcW w:w="1907" w:type="dxa"/>
            <w:noWrap w:val="0"/>
            <w:vAlign w:val="center"/>
          </w:tcPr>
          <w:p w14:paraId="35A121A1">
            <w:pPr>
              <w:keepNext w:val="0"/>
              <w:keepLines w:val="0"/>
              <w:pageBreakBefore w:val="0"/>
              <w:shd w:val="clear"/>
              <w:kinsoku/>
              <w:wordWrap/>
              <w:overflowPunct/>
              <w:topLinePunct w:val="0"/>
              <w:bidi w:val="0"/>
              <w:adjustRightInd/>
              <w:spacing w:line="432" w:lineRule="exact"/>
              <w:textAlignment w:val="auto"/>
              <w:rPr>
                <w:rFonts w:hint="eastAsia" w:ascii="宋体" w:hAnsi="宋体" w:eastAsia="宋体" w:cs="宋体"/>
                <w:color w:val="auto"/>
                <w:sz w:val="21"/>
                <w:szCs w:val="21"/>
                <w:highlight w:val="none"/>
              </w:rPr>
            </w:pPr>
            <w:bookmarkStart w:id="92" w:name="_21.1"/>
            <w:bookmarkEnd w:id="92"/>
            <w:r>
              <w:rPr>
                <w:rFonts w:hint="eastAsia" w:ascii="宋体" w:hAnsi="宋体" w:eastAsia="宋体" w:cs="宋体"/>
                <w:color w:val="auto"/>
                <w:sz w:val="21"/>
                <w:szCs w:val="21"/>
                <w:highlight w:val="none"/>
              </w:rPr>
              <w:t>投标截止时间</w:t>
            </w:r>
          </w:p>
        </w:tc>
        <w:tc>
          <w:tcPr>
            <w:tcW w:w="7658" w:type="dxa"/>
            <w:noWrap w:val="0"/>
            <w:vAlign w:val="center"/>
          </w:tcPr>
          <w:p w14:paraId="26F17895">
            <w:pPr>
              <w:keepNext w:val="0"/>
              <w:keepLines w:val="0"/>
              <w:pageBreakBefore w:val="0"/>
              <w:shd w:val="clear"/>
              <w:kinsoku/>
              <w:wordWrap/>
              <w:overflowPunct/>
              <w:topLinePunct w:val="0"/>
              <w:bidi w:val="0"/>
              <w:adjustRightInd/>
              <w:snapToGrid w:val="0"/>
              <w:spacing w:line="432" w:lineRule="exact"/>
              <w:textAlignment w:val="auto"/>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rPr>
              <w:t>详见招标公告</w:t>
            </w:r>
          </w:p>
        </w:tc>
      </w:tr>
      <w:tr w14:paraId="3855DB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675" w:type="dxa"/>
            <w:vMerge w:val="continue"/>
            <w:noWrap w:val="0"/>
            <w:vAlign w:val="center"/>
          </w:tcPr>
          <w:p w14:paraId="17888670">
            <w:pPr>
              <w:keepNext w:val="0"/>
              <w:keepLines w:val="0"/>
              <w:pageBreakBefore w:val="0"/>
              <w:widowControl/>
              <w:shd w:val="clear"/>
              <w:kinsoku/>
              <w:wordWrap/>
              <w:overflowPunct/>
              <w:topLinePunct w:val="0"/>
              <w:bidi w:val="0"/>
              <w:adjustRightInd/>
              <w:spacing w:line="432" w:lineRule="exact"/>
              <w:jc w:val="left"/>
              <w:textAlignment w:val="auto"/>
              <w:rPr>
                <w:rFonts w:hint="eastAsia" w:ascii="宋体" w:hAnsi="宋体" w:eastAsia="宋体" w:cs="宋体"/>
                <w:color w:val="auto"/>
                <w:sz w:val="21"/>
                <w:szCs w:val="21"/>
                <w:highlight w:val="none"/>
              </w:rPr>
            </w:pPr>
          </w:p>
        </w:tc>
        <w:tc>
          <w:tcPr>
            <w:tcW w:w="1907" w:type="dxa"/>
            <w:noWrap w:val="0"/>
            <w:vAlign w:val="center"/>
          </w:tcPr>
          <w:p w14:paraId="16D48FB4">
            <w:pPr>
              <w:keepNext w:val="0"/>
              <w:keepLines w:val="0"/>
              <w:pageBreakBefore w:val="0"/>
              <w:shd w:val="clear"/>
              <w:kinsoku/>
              <w:wordWrap/>
              <w:overflowPunct/>
              <w:topLinePunct w:val="0"/>
              <w:bidi w:val="0"/>
              <w:adjustRightInd/>
              <w:spacing w:line="432"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投标地点</w:t>
            </w:r>
          </w:p>
        </w:tc>
        <w:tc>
          <w:tcPr>
            <w:tcW w:w="7658" w:type="dxa"/>
            <w:noWrap w:val="0"/>
            <w:vAlign w:val="center"/>
          </w:tcPr>
          <w:p w14:paraId="0209546E">
            <w:pPr>
              <w:keepNext w:val="0"/>
              <w:keepLines w:val="0"/>
              <w:pageBreakBefore w:val="0"/>
              <w:shd w:val="clear"/>
              <w:kinsoku/>
              <w:wordWrap/>
              <w:overflowPunct/>
              <w:topLinePunct w:val="0"/>
              <w:bidi w:val="0"/>
              <w:adjustRightInd/>
              <w:snapToGrid w:val="0"/>
              <w:spacing w:line="432"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详见招标公告</w:t>
            </w:r>
          </w:p>
        </w:tc>
      </w:tr>
      <w:tr w14:paraId="339DC9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675" w:type="dxa"/>
            <w:vMerge w:val="continue"/>
            <w:noWrap w:val="0"/>
            <w:vAlign w:val="center"/>
          </w:tcPr>
          <w:p w14:paraId="66BB85E5">
            <w:pPr>
              <w:keepNext w:val="0"/>
              <w:keepLines w:val="0"/>
              <w:pageBreakBefore w:val="0"/>
              <w:widowControl/>
              <w:shd w:val="clear"/>
              <w:kinsoku/>
              <w:wordWrap/>
              <w:overflowPunct/>
              <w:topLinePunct w:val="0"/>
              <w:bidi w:val="0"/>
              <w:adjustRightInd/>
              <w:spacing w:line="432" w:lineRule="exact"/>
              <w:jc w:val="left"/>
              <w:textAlignment w:val="auto"/>
              <w:rPr>
                <w:rFonts w:hint="eastAsia" w:ascii="宋体" w:hAnsi="宋体" w:eastAsia="宋体" w:cs="宋体"/>
                <w:color w:val="auto"/>
                <w:sz w:val="21"/>
                <w:szCs w:val="21"/>
                <w:highlight w:val="none"/>
              </w:rPr>
            </w:pPr>
          </w:p>
        </w:tc>
        <w:tc>
          <w:tcPr>
            <w:tcW w:w="1907" w:type="dxa"/>
            <w:noWrap w:val="0"/>
            <w:vAlign w:val="center"/>
          </w:tcPr>
          <w:p w14:paraId="1295AE12">
            <w:pPr>
              <w:keepNext w:val="0"/>
              <w:keepLines w:val="0"/>
              <w:pageBreakBefore w:val="0"/>
              <w:shd w:val="clear"/>
              <w:kinsoku/>
              <w:wordWrap/>
              <w:overflowPunct/>
              <w:topLinePunct w:val="0"/>
              <w:bidi w:val="0"/>
              <w:adjustRightInd/>
              <w:spacing w:line="432"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投标人递交投标样品截止时间及地点</w:t>
            </w:r>
          </w:p>
        </w:tc>
        <w:tc>
          <w:tcPr>
            <w:tcW w:w="7658" w:type="dxa"/>
            <w:noWrap w:val="0"/>
            <w:vAlign w:val="center"/>
          </w:tcPr>
          <w:p w14:paraId="00A00C9F">
            <w:pPr>
              <w:keepNext w:val="0"/>
              <w:keepLines w:val="0"/>
              <w:pageBreakBefore w:val="0"/>
              <w:shd w:val="clear"/>
              <w:kinsoku/>
              <w:wordWrap/>
              <w:overflowPunct/>
              <w:topLinePunct w:val="0"/>
              <w:bidi w:val="0"/>
              <w:adjustRightInd/>
              <w:snapToGrid w:val="0"/>
              <w:spacing w:line="432" w:lineRule="exact"/>
              <w:textAlignment w:val="auto"/>
              <w:rPr>
                <w:rFonts w:hint="eastAsia" w:ascii="宋体" w:hAnsi="宋体" w:eastAsia="宋体" w:cs="宋体"/>
                <w:color w:val="auto"/>
                <w:sz w:val="21"/>
                <w:szCs w:val="21"/>
                <w:highlight w:val="none"/>
                <w:lang w:eastAsia="zh-CN"/>
              </w:rPr>
            </w:pPr>
            <w:r>
              <w:rPr>
                <w:rFonts w:hint="eastAsia" w:ascii="宋体" w:hAnsi="宋体" w:eastAsia="宋体" w:cs="宋体"/>
                <w:bCs/>
                <w:color w:val="auto"/>
                <w:szCs w:val="21"/>
                <w:highlight w:val="none"/>
                <w:lang w:eastAsia="zh-CN"/>
              </w:rPr>
              <w:t>无</w:t>
            </w:r>
          </w:p>
        </w:tc>
      </w:tr>
      <w:tr w14:paraId="14573B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5" w:type="dxa"/>
            <w:noWrap w:val="0"/>
            <w:vAlign w:val="center"/>
          </w:tcPr>
          <w:p w14:paraId="6E21C012">
            <w:pPr>
              <w:keepNext w:val="0"/>
              <w:keepLines w:val="0"/>
              <w:pageBreakBefore w:val="0"/>
              <w:shd w:val="clear"/>
              <w:kinsoku/>
              <w:wordWrap/>
              <w:overflowPunct/>
              <w:topLinePunct w:val="0"/>
              <w:bidi w:val="0"/>
              <w:adjustRightInd/>
              <w:spacing w:line="432"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23</w:t>
            </w:r>
          </w:p>
        </w:tc>
        <w:tc>
          <w:tcPr>
            <w:tcW w:w="1907" w:type="dxa"/>
            <w:noWrap w:val="0"/>
            <w:vAlign w:val="center"/>
          </w:tcPr>
          <w:p w14:paraId="5685DBC3">
            <w:pPr>
              <w:keepNext w:val="0"/>
              <w:keepLines w:val="0"/>
              <w:pageBreakBefore w:val="0"/>
              <w:shd w:val="clear"/>
              <w:kinsoku/>
              <w:wordWrap/>
              <w:overflowPunct/>
              <w:topLinePunct w:val="0"/>
              <w:bidi w:val="0"/>
              <w:adjustRightInd/>
              <w:spacing w:line="432" w:lineRule="exact"/>
              <w:textAlignment w:val="auto"/>
              <w:rPr>
                <w:rFonts w:hint="eastAsia" w:ascii="宋体" w:hAnsi="宋体" w:eastAsia="宋体" w:cs="宋体"/>
                <w:color w:val="auto"/>
                <w:sz w:val="21"/>
                <w:szCs w:val="21"/>
                <w:highlight w:val="none"/>
              </w:rPr>
            </w:pPr>
            <w:bookmarkStart w:id="93" w:name="_23"/>
            <w:bookmarkEnd w:id="93"/>
            <w:r>
              <w:rPr>
                <w:rFonts w:hint="eastAsia" w:ascii="宋体" w:hAnsi="宋体" w:eastAsia="宋体" w:cs="宋体"/>
                <w:color w:val="auto"/>
                <w:sz w:val="21"/>
                <w:szCs w:val="21"/>
                <w:highlight w:val="none"/>
              </w:rPr>
              <w:t>开标时间、地点</w:t>
            </w:r>
          </w:p>
        </w:tc>
        <w:tc>
          <w:tcPr>
            <w:tcW w:w="7658" w:type="dxa"/>
            <w:noWrap w:val="0"/>
            <w:vAlign w:val="center"/>
          </w:tcPr>
          <w:p w14:paraId="7D24E309">
            <w:pPr>
              <w:keepNext w:val="0"/>
              <w:keepLines w:val="0"/>
              <w:pageBreakBefore w:val="0"/>
              <w:shd w:val="clear"/>
              <w:kinsoku/>
              <w:wordWrap/>
              <w:overflowPunct/>
              <w:topLinePunct w:val="0"/>
              <w:bidi w:val="0"/>
              <w:adjustRightInd/>
              <w:snapToGrid w:val="0"/>
              <w:spacing w:line="432"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详见招标公告 </w:t>
            </w:r>
          </w:p>
        </w:tc>
      </w:tr>
      <w:tr w14:paraId="763134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87" w:hRule="atLeast"/>
          <w:jc w:val="center"/>
        </w:trPr>
        <w:tc>
          <w:tcPr>
            <w:tcW w:w="675" w:type="dxa"/>
            <w:vMerge w:val="restart"/>
            <w:noWrap w:val="0"/>
            <w:vAlign w:val="center"/>
          </w:tcPr>
          <w:p w14:paraId="6DA90BD1">
            <w:pPr>
              <w:keepNext w:val="0"/>
              <w:keepLines w:val="0"/>
              <w:pageBreakBefore w:val="0"/>
              <w:shd w:val="clear"/>
              <w:kinsoku/>
              <w:wordWrap/>
              <w:overflowPunct/>
              <w:topLinePunct w:val="0"/>
              <w:bidi w:val="0"/>
              <w:adjustRightInd/>
              <w:spacing w:line="432"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25.3（2）</w:t>
            </w:r>
          </w:p>
        </w:tc>
        <w:tc>
          <w:tcPr>
            <w:tcW w:w="1907" w:type="dxa"/>
            <w:noWrap w:val="0"/>
            <w:vAlign w:val="center"/>
          </w:tcPr>
          <w:p w14:paraId="41F251F0">
            <w:pPr>
              <w:keepNext w:val="0"/>
              <w:keepLines w:val="0"/>
              <w:pageBreakBefore w:val="0"/>
              <w:shd w:val="clear"/>
              <w:kinsoku/>
              <w:wordWrap/>
              <w:overflowPunct/>
              <w:topLinePunct w:val="0"/>
              <w:bidi w:val="0"/>
              <w:adjustRightInd/>
              <w:spacing w:line="432" w:lineRule="exact"/>
              <w:textAlignment w:val="auto"/>
              <w:rPr>
                <w:rFonts w:hint="eastAsia" w:ascii="宋体" w:hAnsi="宋体" w:eastAsia="宋体" w:cs="宋体"/>
                <w:color w:val="auto"/>
                <w:sz w:val="21"/>
                <w:szCs w:val="21"/>
                <w:highlight w:val="none"/>
              </w:rPr>
            </w:pPr>
            <w:bookmarkStart w:id="94" w:name="_25.3"/>
            <w:bookmarkEnd w:id="94"/>
            <w:r>
              <w:rPr>
                <w:rFonts w:hint="eastAsia" w:ascii="宋体" w:hAnsi="宋体" w:eastAsia="宋体" w:cs="宋体"/>
                <w:color w:val="auto"/>
                <w:sz w:val="21"/>
                <w:szCs w:val="21"/>
                <w:highlight w:val="none"/>
              </w:rPr>
              <w:t>投标人信用查询渠道</w:t>
            </w:r>
          </w:p>
        </w:tc>
        <w:tc>
          <w:tcPr>
            <w:tcW w:w="7658" w:type="dxa"/>
            <w:noWrap w:val="0"/>
            <w:vAlign w:val="center"/>
          </w:tcPr>
          <w:p w14:paraId="6DD5AA87">
            <w:pPr>
              <w:keepNext w:val="0"/>
              <w:keepLines w:val="0"/>
              <w:pageBreakBefore w:val="0"/>
              <w:shd w:val="clear"/>
              <w:kinsoku/>
              <w:wordWrap/>
              <w:overflowPunct/>
              <w:topLinePunct w:val="0"/>
              <w:bidi w:val="0"/>
              <w:adjustRightInd/>
              <w:snapToGrid w:val="0"/>
              <w:spacing w:line="432"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采购人或者采购代理机构在资格审查结束前，对投标人进行信用查询。</w:t>
            </w:r>
          </w:p>
          <w:p w14:paraId="7B93036A">
            <w:pPr>
              <w:keepNext w:val="0"/>
              <w:keepLines w:val="0"/>
              <w:pageBreakBefore w:val="0"/>
              <w:shd w:val="clear"/>
              <w:kinsoku/>
              <w:wordWrap/>
              <w:overflowPunct/>
              <w:topLinePunct w:val="0"/>
              <w:bidi w:val="0"/>
              <w:adjustRightInd/>
              <w:snapToGrid w:val="0"/>
              <w:spacing w:line="432"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查询渠道：“信用中国”网站(www.creditchina.gov.cn) 、中国政府采购网(www.ccgp.gov.cn)。</w:t>
            </w:r>
          </w:p>
        </w:tc>
      </w:tr>
      <w:tr w14:paraId="4A9737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7" w:hRule="atLeast"/>
          <w:jc w:val="center"/>
        </w:trPr>
        <w:tc>
          <w:tcPr>
            <w:tcW w:w="675" w:type="dxa"/>
            <w:vMerge w:val="continue"/>
            <w:noWrap w:val="0"/>
            <w:vAlign w:val="center"/>
          </w:tcPr>
          <w:p w14:paraId="03520B38">
            <w:pPr>
              <w:keepNext w:val="0"/>
              <w:keepLines w:val="0"/>
              <w:pageBreakBefore w:val="0"/>
              <w:widowControl/>
              <w:shd w:val="clear"/>
              <w:kinsoku/>
              <w:wordWrap/>
              <w:overflowPunct/>
              <w:topLinePunct w:val="0"/>
              <w:bidi w:val="0"/>
              <w:adjustRightInd/>
              <w:spacing w:line="432" w:lineRule="exact"/>
              <w:jc w:val="left"/>
              <w:textAlignment w:val="auto"/>
              <w:rPr>
                <w:rFonts w:hint="eastAsia" w:ascii="宋体" w:hAnsi="宋体" w:eastAsia="宋体" w:cs="宋体"/>
                <w:color w:val="auto"/>
                <w:sz w:val="21"/>
                <w:szCs w:val="21"/>
                <w:highlight w:val="none"/>
              </w:rPr>
            </w:pPr>
          </w:p>
        </w:tc>
        <w:tc>
          <w:tcPr>
            <w:tcW w:w="1907" w:type="dxa"/>
            <w:noWrap w:val="0"/>
            <w:vAlign w:val="center"/>
          </w:tcPr>
          <w:p w14:paraId="138E3E25">
            <w:pPr>
              <w:keepNext w:val="0"/>
              <w:keepLines w:val="0"/>
              <w:pageBreakBefore w:val="0"/>
              <w:shd w:val="clear"/>
              <w:kinsoku/>
              <w:wordWrap/>
              <w:overflowPunct/>
              <w:topLinePunct w:val="0"/>
              <w:bidi w:val="0"/>
              <w:adjustRightInd/>
              <w:spacing w:line="432"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信用查询截止时点</w:t>
            </w:r>
          </w:p>
        </w:tc>
        <w:tc>
          <w:tcPr>
            <w:tcW w:w="7658" w:type="dxa"/>
            <w:noWrap w:val="0"/>
            <w:vAlign w:val="center"/>
          </w:tcPr>
          <w:p w14:paraId="0421E974">
            <w:pPr>
              <w:keepNext w:val="0"/>
              <w:keepLines w:val="0"/>
              <w:pageBreakBefore w:val="0"/>
              <w:shd w:val="clear"/>
              <w:kinsoku/>
              <w:wordWrap/>
              <w:overflowPunct/>
              <w:topLinePunct w:val="0"/>
              <w:bidi w:val="0"/>
              <w:adjustRightInd/>
              <w:snapToGrid w:val="0"/>
              <w:spacing w:line="432"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资格审查结束前</w:t>
            </w:r>
          </w:p>
        </w:tc>
      </w:tr>
      <w:tr w14:paraId="107AFD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8" w:hRule="atLeast"/>
          <w:jc w:val="center"/>
        </w:trPr>
        <w:tc>
          <w:tcPr>
            <w:tcW w:w="675" w:type="dxa"/>
            <w:vMerge w:val="continue"/>
            <w:noWrap w:val="0"/>
            <w:vAlign w:val="center"/>
          </w:tcPr>
          <w:p w14:paraId="19B4C830">
            <w:pPr>
              <w:keepNext w:val="0"/>
              <w:keepLines w:val="0"/>
              <w:pageBreakBefore w:val="0"/>
              <w:widowControl/>
              <w:shd w:val="clear"/>
              <w:kinsoku/>
              <w:wordWrap/>
              <w:overflowPunct/>
              <w:topLinePunct w:val="0"/>
              <w:bidi w:val="0"/>
              <w:adjustRightInd/>
              <w:spacing w:line="432" w:lineRule="exact"/>
              <w:jc w:val="left"/>
              <w:textAlignment w:val="auto"/>
              <w:rPr>
                <w:rFonts w:hint="eastAsia" w:ascii="宋体" w:hAnsi="宋体" w:eastAsia="宋体" w:cs="宋体"/>
                <w:color w:val="auto"/>
                <w:sz w:val="21"/>
                <w:szCs w:val="21"/>
                <w:highlight w:val="none"/>
              </w:rPr>
            </w:pPr>
          </w:p>
        </w:tc>
        <w:tc>
          <w:tcPr>
            <w:tcW w:w="1907" w:type="dxa"/>
            <w:noWrap w:val="0"/>
            <w:vAlign w:val="center"/>
          </w:tcPr>
          <w:p w14:paraId="50F0DCFB">
            <w:pPr>
              <w:keepNext w:val="0"/>
              <w:keepLines w:val="0"/>
              <w:pageBreakBefore w:val="0"/>
              <w:shd w:val="clear"/>
              <w:kinsoku/>
              <w:wordWrap/>
              <w:overflowPunct/>
              <w:topLinePunct w:val="0"/>
              <w:bidi w:val="0"/>
              <w:adjustRightInd/>
              <w:spacing w:line="432"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查询记录和证据留存方式</w:t>
            </w:r>
          </w:p>
        </w:tc>
        <w:tc>
          <w:tcPr>
            <w:tcW w:w="7658" w:type="dxa"/>
            <w:noWrap w:val="0"/>
            <w:vAlign w:val="center"/>
          </w:tcPr>
          <w:p w14:paraId="5DEBAA9F">
            <w:pPr>
              <w:keepNext w:val="0"/>
              <w:keepLines w:val="0"/>
              <w:pageBreakBefore w:val="0"/>
              <w:shd w:val="clear"/>
              <w:kinsoku/>
              <w:wordWrap/>
              <w:overflowPunct/>
              <w:topLinePunct w:val="0"/>
              <w:bidi w:val="0"/>
              <w:adjustRightInd/>
              <w:snapToGrid w:val="0"/>
              <w:spacing w:line="432"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在查询网站中直接截图查询记录，截图作为</w:t>
            </w:r>
            <w:r>
              <w:rPr>
                <w:rFonts w:hint="eastAsia" w:ascii="宋体" w:hAnsi="宋体" w:eastAsia="宋体" w:cs="宋体"/>
                <w:color w:val="auto"/>
                <w:szCs w:val="21"/>
                <w:highlight w:val="none"/>
                <w:lang w:val="en-US" w:eastAsia="zh-CN"/>
              </w:rPr>
              <w:t>附件</w:t>
            </w:r>
            <w:r>
              <w:rPr>
                <w:rFonts w:hint="eastAsia" w:ascii="宋体" w:hAnsi="宋体" w:eastAsia="宋体" w:cs="宋体"/>
                <w:color w:val="auto"/>
                <w:szCs w:val="21"/>
                <w:highlight w:val="none"/>
              </w:rPr>
              <w:t>在</w:t>
            </w:r>
            <w:r>
              <w:rPr>
                <w:rFonts w:hint="eastAsia" w:ascii="宋体" w:hAnsi="宋体" w:eastAsia="宋体" w:cs="宋体"/>
                <w:b w:val="0"/>
                <w:bCs w:val="0"/>
                <w:color w:val="auto"/>
                <w:sz w:val="21"/>
                <w:szCs w:val="21"/>
                <w:highlight w:val="none"/>
                <w:lang w:val="en-US" w:eastAsia="zh-CN"/>
              </w:rPr>
              <w:t>广西政府采购云平台</w:t>
            </w:r>
            <w:r>
              <w:rPr>
                <w:rFonts w:hint="eastAsia" w:ascii="宋体" w:hAnsi="宋体" w:eastAsia="宋体" w:cs="宋体"/>
                <w:color w:val="auto"/>
                <w:sz w:val="21"/>
                <w:szCs w:val="21"/>
                <w:highlight w:val="none"/>
              </w:rPr>
              <w:t>上传保存。</w:t>
            </w:r>
          </w:p>
        </w:tc>
      </w:tr>
      <w:tr w14:paraId="1ABDC8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0" w:hRule="atLeast"/>
          <w:jc w:val="center"/>
        </w:trPr>
        <w:tc>
          <w:tcPr>
            <w:tcW w:w="675" w:type="dxa"/>
            <w:vMerge w:val="continue"/>
            <w:noWrap w:val="0"/>
            <w:vAlign w:val="center"/>
          </w:tcPr>
          <w:p w14:paraId="686027A4">
            <w:pPr>
              <w:keepNext w:val="0"/>
              <w:keepLines w:val="0"/>
              <w:pageBreakBefore w:val="0"/>
              <w:widowControl/>
              <w:shd w:val="clear"/>
              <w:kinsoku/>
              <w:wordWrap/>
              <w:overflowPunct/>
              <w:topLinePunct w:val="0"/>
              <w:bidi w:val="0"/>
              <w:adjustRightInd/>
              <w:spacing w:line="432" w:lineRule="exact"/>
              <w:jc w:val="left"/>
              <w:textAlignment w:val="auto"/>
              <w:rPr>
                <w:rFonts w:hint="eastAsia" w:ascii="宋体" w:hAnsi="宋体" w:eastAsia="宋体" w:cs="宋体"/>
                <w:color w:val="auto"/>
                <w:sz w:val="21"/>
                <w:szCs w:val="21"/>
                <w:highlight w:val="none"/>
              </w:rPr>
            </w:pPr>
          </w:p>
        </w:tc>
        <w:tc>
          <w:tcPr>
            <w:tcW w:w="1907" w:type="dxa"/>
            <w:noWrap w:val="0"/>
            <w:vAlign w:val="center"/>
          </w:tcPr>
          <w:p w14:paraId="15CF2917">
            <w:pPr>
              <w:keepNext w:val="0"/>
              <w:keepLines w:val="0"/>
              <w:pageBreakBefore w:val="0"/>
              <w:shd w:val="clear"/>
              <w:kinsoku/>
              <w:wordWrap/>
              <w:overflowPunct/>
              <w:topLinePunct w:val="0"/>
              <w:bidi w:val="0"/>
              <w:adjustRightInd/>
              <w:spacing w:line="432"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信用信息使用规则</w:t>
            </w:r>
          </w:p>
        </w:tc>
        <w:tc>
          <w:tcPr>
            <w:tcW w:w="7658" w:type="dxa"/>
            <w:noWrap w:val="0"/>
            <w:vAlign w:val="center"/>
          </w:tcPr>
          <w:p w14:paraId="40DFFE0B">
            <w:pPr>
              <w:keepNext w:val="0"/>
              <w:keepLines w:val="0"/>
              <w:pageBreakBefore w:val="0"/>
              <w:shd w:val="clear"/>
              <w:kinsoku/>
              <w:wordWrap/>
              <w:overflowPunct/>
              <w:topLinePunct w:val="0"/>
              <w:bidi w:val="0"/>
              <w:adjustRightInd/>
              <w:snapToGrid w:val="0"/>
              <w:spacing w:line="432"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对在“信用中国”网站(www.creditchina.gov.cn) 、中国政府采购网(www.ccgp.gov.cn)被列入失信被执行人、</w:t>
            </w:r>
            <w:r>
              <w:rPr>
                <w:rFonts w:hint="eastAsia" w:ascii="宋体" w:hAnsi="宋体" w:eastAsia="宋体" w:cs="宋体"/>
                <w:color w:val="auto"/>
                <w:sz w:val="21"/>
                <w:szCs w:val="21"/>
                <w:highlight w:val="none"/>
                <w:lang w:eastAsia="zh-CN"/>
              </w:rPr>
              <w:t>重大税收违法失信主体</w:t>
            </w:r>
            <w:r>
              <w:rPr>
                <w:rFonts w:hint="eastAsia" w:ascii="宋体" w:hAnsi="宋体" w:eastAsia="宋体" w:cs="宋体"/>
                <w:color w:val="auto"/>
                <w:sz w:val="21"/>
                <w:szCs w:val="21"/>
                <w:highlight w:val="none"/>
              </w:rPr>
              <w:t>、政府采购严重违法失信行为记录名单及其他不符合《中华人民共和国政府采购法》第二十二条规定条件的供应商，采购人或者采购代理机构应当拒绝其参与政府采购活动。两个以上的自然人、法人或者其他组织组成一个联合体，以一个供应商的身份共同参加政府采购活动的，应当对所有联合体成员进行信用记录查询，联合体成员存在不良信用记录的，视同联合体存在不良信用记录。</w:t>
            </w:r>
          </w:p>
        </w:tc>
      </w:tr>
      <w:tr w14:paraId="752EE7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0" w:hRule="atLeast"/>
          <w:jc w:val="center"/>
        </w:trPr>
        <w:tc>
          <w:tcPr>
            <w:tcW w:w="675" w:type="dxa"/>
            <w:noWrap w:val="0"/>
            <w:vAlign w:val="center"/>
          </w:tcPr>
          <w:p w14:paraId="4DD33518">
            <w:pPr>
              <w:keepNext w:val="0"/>
              <w:keepLines w:val="0"/>
              <w:pageBreakBefore w:val="0"/>
              <w:widowControl/>
              <w:shd w:val="clear"/>
              <w:kinsoku/>
              <w:wordWrap/>
              <w:overflowPunct/>
              <w:topLinePunct w:val="0"/>
              <w:bidi w:val="0"/>
              <w:adjustRightInd/>
              <w:spacing w:line="432" w:lineRule="exact"/>
              <w:jc w:val="left"/>
              <w:textAlignment w:val="auto"/>
              <w:rPr>
                <w:rFonts w:hint="default"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26</w:t>
            </w:r>
          </w:p>
        </w:tc>
        <w:tc>
          <w:tcPr>
            <w:tcW w:w="1907" w:type="dxa"/>
            <w:noWrap w:val="0"/>
            <w:vAlign w:val="center"/>
          </w:tcPr>
          <w:p w14:paraId="414C97B6">
            <w:pPr>
              <w:keepNext w:val="0"/>
              <w:keepLines w:val="0"/>
              <w:pageBreakBefore w:val="0"/>
              <w:shd w:val="clear"/>
              <w:kinsoku/>
              <w:wordWrap/>
              <w:overflowPunct/>
              <w:topLinePunct w:val="0"/>
              <w:bidi w:val="0"/>
              <w:adjustRightInd/>
              <w:spacing w:line="432" w:lineRule="exact"/>
              <w:textAlignment w:val="auto"/>
              <w:rPr>
                <w:rFonts w:hint="eastAsia" w:ascii="宋体" w:hAnsi="宋体" w:eastAsia="宋体" w:cs="宋体"/>
                <w:color w:val="auto"/>
                <w:sz w:val="21"/>
                <w:szCs w:val="21"/>
                <w:highlight w:val="none"/>
                <w:lang w:eastAsia="zh-CN"/>
              </w:rPr>
            </w:pPr>
            <w:r>
              <w:rPr>
                <w:rFonts w:hint="eastAsia" w:ascii="宋体" w:hAnsi="宋体" w:cs="宋体"/>
                <w:color w:val="auto"/>
                <w:sz w:val="21"/>
                <w:szCs w:val="21"/>
                <w:highlight w:val="none"/>
                <w:lang w:eastAsia="zh-CN"/>
              </w:rPr>
              <w:t>评标委员会组成</w:t>
            </w:r>
          </w:p>
        </w:tc>
        <w:tc>
          <w:tcPr>
            <w:tcW w:w="7658" w:type="dxa"/>
            <w:noWrap w:val="0"/>
            <w:vAlign w:val="center"/>
          </w:tcPr>
          <w:p w14:paraId="5B8907AE">
            <w:pPr>
              <w:keepNext w:val="0"/>
              <w:keepLines w:val="0"/>
              <w:pageBreakBefore w:val="0"/>
              <w:shd w:val="clear"/>
              <w:kinsoku/>
              <w:wordWrap/>
              <w:overflowPunct/>
              <w:topLinePunct w:val="0"/>
              <w:bidi w:val="0"/>
              <w:adjustRightInd/>
              <w:snapToGrid w:val="0"/>
              <w:spacing w:line="432"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评标委员会构成：</w:t>
            </w:r>
            <w:r>
              <w:rPr>
                <w:rFonts w:hint="eastAsia" w:ascii="宋体" w:hAnsi="宋体" w:cs="宋体"/>
                <w:color w:val="auto"/>
                <w:sz w:val="21"/>
                <w:szCs w:val="21"/>
                <w:highlight w:val="none"/>
                <w:lang w:val="en-US" w:eastAsia="zh-CN"/>
              </w:rPr>
              <w:t>5</w:t>
            </w:r>
            <w:r>
              <w:rPr>
                <w:rFonts w:hint="eastAsia" w:ascii="宋体" w:hAnsi="宋体" w:eastAsia="宋体" w:cs="宋体"/>
                <w:color w:val="auto"/>
                <w:sz w:val="21"/>
                <w:szCs w:val="21"/>
                <w:highlight w:val="none"/>
              </w:rPr>
              <w:t>人，其中</w:t>
            </w:r>
            <w:r>
              <w:rPr>
                <w:rFonts w:hint="eastAsia" w:ascii="宋体" w:hAnsi="宋体" w:cs="宋体"/>
                <w:color w:val="auto"/>
                <w:sz w:val="21"/>
                <w:szCs w:val="21"/>
                <w:highlight w:val="none"/>
                <w:lang w:eastAsia="zh-CN"/>
              </w:rPr>
              <w:t>采购</w:t>
            </w:r>
            <w:r>
              <w:rPr>
                <w:rFonts w:hint="eastAsia" w:ascii="宋体" w:hAnsi="宋体" w:eastAsia="宋体" w:cs="宋体"/>
                <w:color w:val="auto"/>
                <w:sz w:val="21"/>
                <w:szCs w:val="21"/>
                <w:highlight w:val="none"/>
              </w:rPr>
              <w:t>人代表</w:t>
            </w:r>
            <w:r>
              <w:rPr>
                <w:rFonts w:hint="eastAsia" w:ascii="宋体" w:hAnsi="宋体" w:cs="宋体"/>
                <w:color w:val="auto"/>
                <w:sz w:val="21"/>
                <w:szCs w:val="21"/>
                <w:highlight w:val="none"/>
                <w:lang w:val="en-US" w:eastAsia="zh-CN"/>
              </w:rPr>
              <w:t>1</w:t>
            </w:r>
            <w:r>
              <w:rPr>
                <w:rFonts w:hint="eastAsia" w:ascii="宋体" w:hAnsi="宋体" w:eastAsia="宋体" w:cs="宋体"/>
                <w:color w:val="auto"/>
                <w:sz w:val="21"/>
                <w:szCs w:val="21"/>
                <w:highlight w:val="none"/>
              </w:rPr>
              <w:t>人，</w:t>
            </w:r>
            <w:r>
              <w:rPr>
                <w:rFonts w:hint="eastAsia" w:ascii="宋体" w:hAnsi="宋体" w:cs="宋体"/>
                <w:color w:val="auto"/>
                <w:sz w:val="21"/>
                <w:szCs w:val="21"/>
                <w:highlight w:val="none"/>
                <w:lang w:eastAsia="zh-CN"/>
              </w:rPr>
              <w:t>评审</w:t>
            </w:r>
            <w:r>
              <w:rPr>
                <w:rFonts w:hint="eastAsia" w:ascii="宋体" w:hAnsi="宋体" w:eastAsia="宋体" w:cs="宋体"/>
                <w:color w:val="auto"/>
                <w:sz w:val="21"/>
                <w:szCs w:val="21"/>
                <w:highlight w:val="none"/>
              </w:rPr>
              <w:t>专家</w:t>
            </w:r>
            <w:r>
              <w:rPr>
                <w:rFonts w:hint="eastAsia" w:ascii="宋体" w:hAnsi="宋体" w:cs="宋体"/>
                <w:color w:val="auto"/>
                <w:sz w:val="21"/>
                <w:szCs w:val="21"/>
                <w:highlight w:val="none"/>
                <w:lang w:val="en-US" w:eastAsia="zh-CN"/>
              </w:rPr>
              <w:t>4</w:t>
            </w:r>
            <w:r>
              <w:rPr>
                <w:rFonts w:hint="eastAsia" w:ascii="宋体" w:hAnsi="宋体" w:eastAsia="宋体" w:cs="宋体"/>
                <w:color w:val="auto"/>
                <w:sz w:val="21"/>
                <w:szCs w:val="21"/>
                <w:highlight w:val="none"/>
              </w:rPr>
              <w:t>人。</w:t>
            </w:r>
          </w:p>
          <w:p w14:paraId="2DB404E5">
            <w:pPr>
              <w:keepNext w:val="0"/>
              <w:keepLines w:val="0"/>
              <w:pageBreakBefore w:val="0"/>
              <w:shd w:val="clear"/>
              <w:kinsoku/>
              <w:wordWrap/>
              <w:overflowPunct/>
              <w:topLinePunct w:val="0"/>
              <w:bidi w:val="0"/>
              <w:adjustRightInd/>
              <w:snapToGrid w:val="0"/>
              <w:spacing w:line="432"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评</w:t>
            </w:r>
            <w:r>
              <w:rPr>
                <w:rFonts w:hint="eastAsia" w:ascii="宋体" w:hAnsi="宋体" w:cs="宋体"/>
                <w:color w:val="auto"/>
                <w:sz w:val="21"/>
                <w:szCs w:val="21"/>
                <w:highlight w:val="none"/>
                <w:lang w:eastAsia="zh-CN"/>
              </w:rPr>
              <w:t>审</w:t>
            </w:r>
            <w:r>
              <w:rPr>
                <w:rFonts w:hint="eastAsia" w:ascii="宋体" w:hAnsi="宋体" w:eastAsia="宋体" w:cs="宋体"/>
                <w:color w:val="auto"/>
                <w:sz w:val="21"/>
                <w:szCs w:val="21"/>
                <w:highlight w:val="none"/>
              </w:rPr>
              <w:t>专家分工：分</w:t>
            </w:r>
            <w:r>
              <w:rPr>
                <w:rFonts w:hint="eastAsia" w:ascii="宋体" w:hAnsi="宋体" w:cs="宋体"/>
                <w:color w:val="auto"/>
                <w:sz w:val="21"/>
                <w:szCs w:val="21"/>
                <w:highlight w:val="none"/>
                <w:lang w:eastAsia="zh-CN"/>
              </w:rPr>
              <w:t>主场</w:t>
            </w:r>
            <w:r>
              <w:rPr>
                <w:rFonts w:hint="eastAsia" w:ascii="宋体" w:hAnsi="宋体" w:eastAsia="宋体" w:cs="宋体"/>
                <w:color w:val="auto"/>
                <w:sz w:val="21"/>
                <w:szCs w:val="21"/>
                <w:highlight w:val="none"/>
              </w:rPr>
              <w:t>、</w:t>
            </w:r>
            <w:r>
              <w:rPr>
                <w:rFonts w:hint="eastAsia" w:ascii="宋体" w:hAnsi="宋体" w:cs="宋体"/>
                <w:color w:val="auto"/>
                <w:sz w:val="21"/>
                <w:szCs w:val="21"/>
                <w:highlight w:val="none"/>
                <w:lang w:eastAsia="zh-CN"/>
              </w:rPr>
              <w:t>副场；</w:t>
            </w:r>
            <w:r>
              <w:rPr>
                <w:rFonts w:hint="eastAsia" w:ascii="宋体" w:hAnsi="宋体" w:eastAsia="宋体" w:cs="宋体"/>
                <w:color w:val="auto"/>
                <w:sz w:val="21"/>
                <w:szCs w:val="21"/>
                <w:highlight w:val="none"/>
              </w:rPr>
              <w:t>其中，</w:t>
            </w:r>
            <w:r>
              <w:rPr>
                <w:rFonts w:hint="eastAsia" w:ascii="宋体" w:hAnsi="宋体" w:cs="宋体"/>
                <w:color w:val="auto"/>
                <w:sz w:val="21"/>
                <w:szCs w:val="21"/>
                <w:highlight w:val="none"/>
                <w:lang w:eastAsia="zh-CN"/>
              </w:rPr>
              <w:t>采购</w:t>
            </w:r>
            <w:r>
              <w:rPr>
                <w:rFonts w:hint="eastAsia" w:ascii="宋体" w:hAnsi="宋体" w:eastAsia="宋体" w:cs="宋体"/>
                <w:color w:val="auto"/>
                <w:sz w:val="21"/>
                <w:szCs w:val="21"/>
                <w:highlight w:val="none"/>
              </w:rPr>
              <w:t>人代表</w:t>
            </w:r>
            <w:r>
              <w:rPr>
                <w:rFonts w:hint="eastAsia" w:ascii="宋体" w:hAnsi="宋体" w:cs="宋体"/>
                <w:color w:val="auto"/>
                <w:sz w:val="21"/>
                <w:szCs w:val="21"/>
                <w:highlight w:val="none"/>
                <w:lang w:val="en-US" w:eastAsia="zh-CN"/>
              </w:rPr>
              <w:t>1人</w:t>
            </w:r>
            <w:r>
              <w:rPr>
                <w:rFonts w:hint="eastAsia" w:ascii="宋体" w:hAnsi="宋体" w:cs="宋体"/>
                <w:color w:val="auto"/>
                <w:sz w:val="21"/>
                <w:szCs w:val="21"/>
                <w:highlight w:val="none"/>
                <w:lang w:eastAsia="zh-CN"/>
              </w:rPr>
              <w:t>在主场评标，评审</w:t>
            </w:r>
            <w:r>
              <w:rPr>
                <w:rFonts w:hint="eastAsia" w:ascii="宋体" w:hAnsi="宋体" w:eastAsia="宋体" w:cs="宋体"/>
                <w:color w:val="auto"/>
                <w:sz w:val="21"/>
                <w:szCs w:val="21"/>
                <w:highlight w:val="none"/>
              </w:rPr>
              <w:t>专家</w:t>
            </w:r>
            <w:r>
              <w:rPr>
                <w:rFonts w:hint="eastAsia" w:ascii="宋体" w:hAnsi="宋体" w:cs="宋体"/>
                <w:color w:val="auto"/>
                <w:sz w:val="21"/>
                <w:szCs w:val="21"/>
                <w:highlight w:val="none"/>
                <w:lang w:val="en-US" w:eastAsia="zh-CN"/>
              </w:rPr>
              <w:t>4</w:t>
            </w:r>
            <w:r>
              <w:rPr>
                <w:rFonts w:hint="eastAsia" w:ascii="宋体" w:hAnsi="宋体" w:eastAsia="宋体" w:cs="宋体"/>
                <w:color w:val="auto"/>
                <w:sz w:val="21"/>
                <w:szCs w:val="21"/>
                <w:highlight w:val="none"/>
              </w:rPr>
              <w:t>人</w:t>
            </w:r>
            <w:r>
              <w:rPr>
                <w:rFonts w:hint="eastAsia" w:ascii="宋体" w:hAnsi="宋体" w:eastAsia="宋体" w:cs="宋体"/>
                <w:color w:val="auto"/>
                <w:sz w:val="21"/>
                <w:szCs w:val="21"/>
                <w:highlight w:val="none"/>
                <w:lang w:eastAsia="zh-CN"/>
              </w:rPr>
              <w:t>（</w:t>
            </w:r>
            <w:r>
              <w:rPr>
                <w:rFonts w:hint="eastAsia" w:ascii="宋体" w:hAnsi="宋体" w:cs="宋体"/>
                <w:color w:val="auto"/>
                <w:sz w:val="21"/>
                <w:szCs w:val="21"/>
                <w:highlight w:val="none"/>
                <w:lang w:eastAsia="zh-CN"/>
              </w:rPr>
              <w:t>主场抽取</w:t>
            </w:r>
            <w:r>
              <w:rPr>
                <w:rFonts w:hint="eastAsia" w:ascii="宋体" w:hAnsi="宋体" w:cs="宋体"/>
                <w:color w:val="auto"/>
                <w:sz w:val="21"/>
                <w:szCs w:val="21"/>
                <w:highlight w:val="none"/>
                <w:lang w:val="en-US" w:eastAsia="zh-CN"/>
              </w:rPr>
              <w:t>2人，副场抽取2人</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w:t>
            </w:r>
          </w:p>
          <w:p w14:paraId="0FF2184A">
            <w:pPr>
              <w:keepNext w:val="0"/>
              <w:keepLines w:val="0"/>
              <w:pageBreakBefore w:val="0"/>
              <w:shd w:val="clear"/>
              <w:kinsoku/>
              <w:wordWrap/>
              <w:overflowPunct/>
              <w:topLinePunct w:val="0"/>
              <w:bidi w:val="0"/>
              <w:adjustRightInd/>
              <w:snapToGrid w:val="0"/>
              <w:spacing w:line="432" w:lineRule="exact"/>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评标专家</w:t>
            </w:r>
            <w:r>
              <w:rPr>
                <w:rFonts w:hint="eastAsia" w:ascii="宋体" w:hAnsi="宋体" w:cs="宋体"/>
                <w:color w:val="auto"/>
                <w:sz w:val="21"/>
                <w:szCs w:val="21"/>
                <w:highlight w:val="none"/>
                <w:lang w:eastAsia="zh-CN"/>
              </w:rPr>
              <w:t>抽取</w:t>
            </w:r>
            <w:r>
              <w:rPr>
                <w:rFonts w:hint="eastAsia" w:ascii="宋体" w:hAnsi="宋体" w:eastAsia="宋体" w:cs="宋体"/>
                <w:color w:val="auto"/>
                <w:sz w:val="21"/>
                <w:szCs w:val="21"/>
                <w:highlight w:val="none"/>
              </w:rPr>
              <w:t>方式：</w:t>
            </w:r>
            <w:r>
              <w:rPr>
                <w:rFonts w:hint="eastAsia" w:ascii="宋体" w:hAnsi="宋体" w:cs="宋体"/>
                <w:color w:val="auto"/>
                <w:sz w:val="21"/>
                <w:szCs w:val="21"/>
                <w:highlight w:val="none"/>
                <w:lang w:eastAsia="zh-CN"/>
              </w:rPr>
              <w:t>通过广西政府采购云平台</w:t>
            </w:r>
            <w:r>
              <w:rPr>
                <w:rFonts w:hint="eastAsia" w:ascii="宋体" w:hAnsi="宋体" w:eastAsia="宋体" w:cs="宋体"/>
                <w:color w:val="auto"/>
                <w:sz w:val="21"/>
                <w:szCs w:val="21"/>
                <w:highlight w:val="none"/>
              </w:rPr>
              <w:t>随机抽取</w:t>
            </w:r>
            <w:r>
              <w:rPr>
                <w:rFonts w:hint="eastAsia" w:ascii="宋体" w:hAnsi="宋体" w:cs="宋体"/>
                <w:color w:val="auto"/>
                <w:sz w:val="21"/>
                <w:szCs w:val="21"/>
                <w:highlight w:val="none"/>
                <w:lang w:eastAsia="zh-CN"/>
              </w:rPr>
              <w:t>。</w:t>
            </w:r>
          </w:p>
        </w:tc>
      </w:tr>
      <w:tr w14:paraId="29F9EC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5" w:type="dxa"/>
            <w:noWrap w:val="0"/>
            <w:vAlign w:val="center"/>
          </w:tcPr>
          <w:p w14:paraId="5469314B">
            <w:pPr>
              <w:keepNext w:val="0"/>
              <w:keepLines w:val="0"/>
              <w:pageBreakBefore w:val="0"/>
              <w:shd w:val="clear"/>
              <w:kinsoku/>
              <w:wordWrap/>
              <w:overflowPunct/>
              <w:topLinePunct w:val="0"/>
              <w:bidi w:val="0"/>
              <w:adjustRightInd/>
              <w:spacing w:line="432"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29.1</w:t>
            </w:r>
          </w:p>
        </w:tc>
        <w:tc>
          <w:tcPr>
            <w:tcW w:w="1907" w:type="dxa"/>
            <w:noWrap w:val="0"/>
            <w:vAlign w:val="center"/>
          </w:tcPr>
          <w:p w14:paraId="0729EFC7">
            <w:pPr>
              <w:keepNext w:val="0"/>
              <w:keepLines w:val="0"/>
              <w:pageBreakBefore w:val="0"/>
              <w:shd w:val="clear"/>
              <w:kinsoku/>
              <w:wordWrap/>
              <w:overflowPunct/>
              <w:topLinePunct w:val="0"/>
              <w:bidi w:val="0"/>
              <w:adjustRightInd/>
              <w:spacing w:line="432" w:lineRule="exact"/>
              <w:textAlignment w:val="auto"/>
              <w:rPr>
                <w:rFonts w:hint="eastAsia" w:ascii="宋体" w:hAnsi="宋体" w:eastAsia="宋体" w:cs="宋体"/>
                <w:color w:val="auto"/>
                <w:sz w:val="21"/>
                <w:szCs w:val="21"/>
                <w:highlight w:val="none"/>
              </w:rPr>
            </w:pPr>
            <w:bookmarkStart w:id="95" w:name="_28.3"/>
            <w:bookmarkEnd w:id="95"/>
            <w:bookmarkStart w:id="96" w:name="_26"/>
            <w:bookmarkEnd w:id="96"/>
            <w:r>
              <w:rPr>
                <w:rFonts w:hint="eastAsia" w:ascii="宋体" w:hAnsi="宋体" w:eastAsia="宋体" w:cs="宋体"/>
                <w:color w:val="auto"/>
                <w:sz w:val="21"/>
                <w:szCs w:val="21"/>
                <w:highlight w:val="none"/>
              </w:rPr>
              <w:t>评标方法</w:t>
            </w:r>
          </w:p>
        </w:tc>
        <w:tc>
          <w:tcPr>
            <w:tcW w:w="7658" w:type="dxa"/>
            <w:noWrap w:val="0"/>
            <w:vAlign w:val="center"/>
          </w:tcPr>
          <w:p w14:paraId="2B38DCCB">
            <w:pPr>
              <w:keepNext w:val="0"/>
              <w:keepLines w:val="0"/>
              <w:pageBreakBefore w:val="0"/>
              <w:shd w:val="clear"/>
              <w:kinsoku/>
              <w:wordWrap/>
              <w:overflowPunct/>
              <w:topLinePunct w:val="0"/>
              <w:autoSpaceDE w:val="0"/>
              <w:autoSpaceDN w:val="0"/>
              <w:bidi w:val="0"/>
              <w:adjustRightInd/>
              <w:snapToGrid w:val="0"/>
              <w:spacing w:line="432"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综合评分法</w:t>
            </w:r>
          </w:p>
          <w:p w14:paraId="34C04321">
            <w:pPr>
              <w:keepNext w:val="0"/>
              <w:keepLines w:val="0"/>
              <w:pageBreakBefore w:val="0"/>
              <w:shd w:val="clear"/>
              <w:kinsoku/>
              <w:wordWrap/>
              <w:overflowPunct/>
              <w:topLinePunct w:val="0"/>
              <w:autoSpaceDE w:val="0"/>
              <w:autoSpaceDN w:val="0"/>
              <w:bidi w:val="0"/>
              <w:adjustRightInd/>
              <w:snapToGrid w:val="0"/>
              <w:spacing w:line="432"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□最低评标价法</w:t>
            </w:r>
          </w:p>
        </w:tc>
      </w:tr>
      <w:tr w14:paraId="588CA9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5" w:hRule="atLeast"/>
          <w:jc w:val="center"/>
        </w:trPr>
        <w:tc>
          <w:tcPr>
            <w:tcW w:w="675" w:type="dxa"/>
            <w:noWrap w:val="0"/>
            <w:vAlign w:val="center"/>
          </w:tcPr>
          <w:p w14:paraId="75EBF240">
            <w:pPr>
              <w:keepNext w:val="0"/>
              <w:keepLines w:val="0"/>
              <w:pageBreakBefore w:val="0"/>
              <w:shd w:val="clear"/>
              <w:kinsoku/>
              <w:wordWrap/>
              <w:overflowPunct/>
              <w:topLinePunct w:val="0"/>
              <w:bidi w:val="0"/>
              <w:adjustRightInd/>
              <w:spacing w:line="432"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29.2</w:t>
            </w:r>
          </w:p>
        </w:tc>
        <w:tc>
          <w:tcPr>
            <w:tcW w:w="1907" w:type="dxa"/>
            <w:noWrap w:val="0"/>
            <w:vAlign w:val="center"/>
          </w:tcPr>
          <w:p w14:paraId="0B3315AD">
            <w:pPr>
              <w:keepNext w:val="0"/>
              <w:keepLines w:val="0"/>
              <w:pageBreakBefore w:val="0"/>
              <w:shd w:val="clear"/>
              <w:kinsoku/>
              <w:wordWrap/>
              <w:overflowPunct/>
              <w:topLinePunct w:val="0"/>
              <w:bidi w:val="0"/>
              <w:adjustRightInd/>
              <w:spacing w:line="432" w:lineRule="exact"/>
              <w:textAlignment w:val="auto"/>
              <w:rPr>
                <w:rFonts w:hint="eastAsia" w:ascii="宋体" w:hAnsi="宋体" w:eastAsia="宋体" w:cs="宋体"/>
                <w:color w:val="auto"/>
                <w:sz w:val="21"/>
                <w:szCs w:val="21"/>
                <w:highlight w:val="none"/>
              </w:rPr>
            </w:pPr>
            <w:bookmarkStart w:id="97" w:name="_29.2.2（2）"/>
            <w:bookmarkEnd w:id="97"/>
            <w:r>
              <w:rPr>
                <w:rFonts w:hint="eastAsia" w:ascii="宋体" w:hAnsi="宋体" w:eastAsia="宋体" w:cs="宋体"/>
                <w:color w:val="auto"/>
                <w:sz w:val="21"/>
                <w:szCs w:val="21"/>
                <w:highlight w:val="none"/>
              </w:rPr>
              <w:t>允许负偏离项</w:t>
            </w:r>
          </w:p>
        </w:tc>
        <w:tc>
          <w:tcPr>
            <w:tcW w:w="7658" w:type="dxa"/>
            <w:noWrap w:val="0"/>
            <w:vAlign w:val="center"/>
          </w:tcPr>
          <w:p w14:paraId="69E54E1F">
            <w:pPr>
              <w:keepNext w:val="0"/>
              <w:keepLines w:val="0"/>
              <w:pageBreakBefore w:val="0"/>
              <w:shd w:val="clear"/>
              <w:kinsoku/>
              <w:wordWrap/>
              <w:overflowPunct/>
              <w:topLinePunct w:val="0"/>
              <w:bidi w:val="0"/>
              <w:adjustRightInd/>
              <w:snapToGrid w:val="0"/>
              <w:spacing w:line="432" w:lineRule="exact"/>
              <w:textAlignment w:val="auto"/>
              <w:rPr>
                <w:rFonts w:hint="default"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标项一：</w:t>
            </w:r>
          </w:p>
          <w:p w14:paraId="5C82C729">
            <w:pPr>
              <w:keepNext w:val="0"/>
              <w:keepLines w:val="0"/>
              <w:pageBreakBefore w:val="0"/>
              <w:shd w:val="clear"/>
              <w:kinsoku/>
              <w:wordWrap/>
              <w:overflowPunct/>
              <w:topLinePunct w:val="0"/>
              <w:bidi w:val="0"/>
              <w:adjustRightInd/>
              <w:snapToGrid w:val="0"/>
              <w:spacing w:line="432"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商务条款评审中允许负偏离的条款数为</w:t>
            </w:r>
            <w:r>
              <w:rPr>
                <w:rFonts w:hint="eastAsia" w:ascii="宋体" w:hAnsi="宋体" w:eastAsia="宋体" w:cs="宋体"/>
                <w:color w:val="auto"/>
                <w:sz w:val="21"/>
                <w:szCs w:val="21"/>
                <w:highlight w:val="none"/>
                <w:u w:val="single"/>
              </w:rPr>
              <w:t xml:space="preserve"> </w:t>
            </w:r>
            <w:r>
              <w:rPr>
                <w:rFonts w:hint="eastAsia" w:ascii="宋体" w:hAnsi="宋体" w:cs="宋体"/>
                <w:color w:val="auto"/>
                <w:sz w:val="21"/>
                <w:szCs w:val="21"/>
                <w:highlight w:val="none"/>
                <w:u w:val="single"/>
                <w:lang w:val="en-US" w:eastAsia="zh-CN"/>
              </w:rPr>
              <w:t>1</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项。</w:t>
            </w:r>
          </w:p>
          <w:p w14:paraId="4F88D844">
            <w:pPr>
              <w:keepNext w:val="0"/>
              <w:keepLines w:val="0"/>
              <w:pageBreakBefore w:val="0"/>
              <w:shd w:val="clear"/>
              <w:kinsoku/>
              <w:wordWrap/>
              <w:overflowPunct/>
              <w:topLinePunct w:val="0"/>
              <w:bidi w:val="0"/>
              <w:adjustRightInd/>
              <w:snapToGrid w:val="0"/>
              <w:spacing w:line="432"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技术需求评审中允许负偏离的条款数为</w:t>
            </w:r>
            <w:r>
              <w:rPr>
                <w:rFonts w:hint="eastAsia" w:ascii="宋体" w:hAnsi="宋体" w:eastAsia="宋体" w:cs="宋体"/>
                <w:color w:val="auto"/>
                <w:sz w:val="21"/>
                <w:szCs w:val="21"/>
                <w:highlight w:val="none"/>
                <w:u w:val="single"/>
              </w:rPr>
              <w:t xml:space="preserve"> </w:t>
            </w:r>
            <w:r>
              <w:rPr>
                <w:rFonts w:hint="eastAsia" w:ascii="宋体" w:hAnsi="宋体" w:cs="宋体"/>
                <w:color w:val="auto"/>
                <w:sz w:val="21"/>
                <w:szCs w:val="21"/>
                <w:highlight w:val="none"/>
                <w:u w:val="single"/>
                <w:lang w:val="en-US" w:eastAsia="zh-CN"/>
              </w:rPr>
              <w:t>1</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项。</w:t>
            </w:r>
          </w:p>
          <w:p w14:paraId="4FAB15CD">
            <w:pPr>
              <w:keepNext w:val="0"/>
              <w:keepLines w:val="0"/>
              <w:pageBreakBefore w:val="0"/>
              <w:shd w:val="clear"/>
              <w:kinsoku/>
              <w:wordWrap/>
              <w:overflowPunct/>
              <w:topLinePunct w:val="0"/>
              <w:bidi w:val="0"/>
              <w:adjustRightInd/>
              <w:snapToGrid w:val="0"/>
              <w:spacing w:line="432" w:lineRule="exact"/>
              <w:textAlignment w:val="auto"/>
              <w:rPr>
                <w:rFonts w:hint="default"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标项二：</w:t>
            </w:r>
          </w:p>
          <w:p w14:paraId="4F1FED24">
            <w:pPr>
              <w:keepNext w:val="0"/>
              <w:keepLines w:val="0"/>
              <w:pageBreakBefore w:val="0"/>
              <w:shd w:val="clear"/>
              <w:kinsoku/>
              <w:wordWrap/>
              <w:overflowPunct/>
              <w:topLinePunct w:val="0"/>
              <w:bidi w:val="0"/>
              <w:adjustRightInd/>
              <w:snapToGrid w:val="0"/>
              <w:spacing w:line="432"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商务条款评审中允许负偏离的条款数为</w:t>
            </w:r>
            <w:r>
              <w:rPr>
                <w:rFonts w:hint="eastAsia" w:ascii="宋体" w:hAnsi="宋体" w:eastAsia="宋体" w:cs="宋体"/>
                <w:color w:val="auto"/>
                <w:sz w:val="21"/>
                <w:szCs w:val="21"/>
                <w:highlight w:val="none"/>
                <w:u w:val="single"/>
              </w:rPr>
              <w:t xml:space="preserve"> </w:t>
            </w:r>
            <w:r>
              <w:rPr>
                <w:rFonts w:hint="eastAsia" w:ascii="宋体" w:hAnsi="宋体" w:cs="宋体"/>
                <w:color w:val="auto"/>
                <w:sz w:val="21"/>
                <w:szCs w:val="21"/>
                <w:highlight w:val="none"/>
                <w:u w:val="single"/>
                <w:lang w:val="en-US" w:eastAsia="zh-CN"/>
              </w:rPr>
              <w:t>1</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项。</w:t>
            </w:r>
          </w:p>
          <w:p w14:paraId="2F576878">
            <w:pPr>
              <w:keepNext w:val="0"/>
              <w:keepLines w:val="0"/>
              <w:pageBreakBefore w:val="0"/>
              <w:shd w:val="clear"/>
              <w:kinsoku/>
              <w:wordWrap/>
              <w:overflowPunct/>
              <w:topLinePunct w:val="0"/>
              <w:bidi w:val="0"/>
              <w:adjustRightInd/>
              <w:snapToGrid w:val="0"/>
              <w:spacing w:line="432"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技术需求评审中允许负偏离的条款数为</w:t>
            </w:r>
            <w:r>
              <w:rPr>
                <w:rFonts w:hint="eastAsia" w:ascii="宋体" w:hAnsi="宋体" w:eastAsia="宋体" w:cs="宋体"/>
                <w:color w:val="auto"/>
                <w:sz w:val="21"/>
                <w:szCs w:val="21"/>
                <w:highlight w:val="none"/>
                <w:u w:val="single"/>
              </w:rPr>
              <w:t xml:space="preserve"> </w:t>
            </w:r>
            <w:r>
              <w:rPr>
                <w:rFonts w:hint="eastAsia" w:ascii="宋体" w:hAnsi="宋体" w:cs="宋体"/>
                <w:color w:val="auto"/>
                <w:sz w:val="21"/>
                <w:szCs w:val="21"/>
                <w:highlight w:val="none"/>
                <w:u w:val="single"/>
                <w:lang w:val="en-US" w:eastAsia="zh-CN"/>
              </w:rPr>
              <w:t>1</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项。</w:t>
            </w:r>
          </w:p>
          <w:p w14:paraId="0AA071B9">
            <w:pPr>
              <w:keepNext w:val="0"/>
              <w:keepLines w:val="0"/>
              <w:pageBreakBefore w:val="0"/>
              <w:shd w:val="clear"/>
              <w:kinsoku/>
              <w:wordWrap/>
              <w:overflowPunct/>
              <w:topLinePunct w:val="0"/>
              <w:bidi w:val="0"/>
              <w:adjustRightInd/>
              <w:snapToGrid w:val="0"/>
              <w:spacing w:line="432" w:lineRule="exact"/>
              <w:textAlignment w:val="auto"/>
              <w:rPr>
                <w:rFonts w:hint="default"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标项三：</w:t>
            </w:r>
          </w:p>
          <w:p w14:paraId="190780A4">
            <w:pPr>
              <w:keepNext w:val="0"/>
              <w:keepLines w:val="0"/>
              <w:pageBreakBefore w:val="0"/>
              <w:shd w:val="clear"/>
              <w:kinsoku/>
              <w:wordWrap/>
              <w:overflowPunct/>
              <w:topLinePunct w:val="0"/>
              <w:bidi w:val="0"/>
              <w:adjustRightInd/>
              <w:snapToGrid w:val="0"/>
              <w:spacing w:line="432"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商务条款评审中允许负偏离的条款数为</w:t>
            </w:r>
            <w:r>
              <w:rPr>
                <w:rFonts w:hint="eastAsia" w:ascii="宋体" w:hAnsi="宋体" w:eastAsia="宋体" w:cs="宋体"/>
                <w:color w:val="auto"/>
                <w:sz w:val="21"/>
                <w:szCs w:val="21"/>
                <w:highlight w:val="none"/>
                <w:u w:val="single"/>
              </w:rPr>
              <w:t xml:space="preserve"> </w:t>
            </w:r>
            <w:r>
              <w:rPr>
                <w:rFonts w:hint="eastAsia" w:ascii="宋体" w:hAnsi="宋体" w:cs="宋体"/>
                <w:color w:val="auto"/>
                <w:sz w:val="21"/>
                <w:szCs w:val="21"/>
                <w:highlight w:val="none"/>
                <w:u w:val="single"/>
                <w:lang w:val="en-US" w:eastAsia="zh-CN"/>
              </w:rPr>
              <w:t>1</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项。</w:t>
            </w:r>
          </w:p>
          <w:p w14:paraId="70F95DAE">
            <w:pPr>
              <w:keepNext w:val="0"/>
              <w:keepLines w:val="0"/>
              <w:pageBreakBefore w:val="0"/>
              <w:shd w:val="clear"/>
              <w:kinsoku/>
              <w:wordWrap/>
              <w:overflowPunct/>
              <w:topLinePunct w:val="0"/>
              <w:bidi w:val="0"/>
              <w:adjustRightInd/>
              <w:snapToGrid w:val="0"/>
              <w:spacing w:line="432"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技术需求评审中允许负偏离的条款数为</w:t>
            </w:r>
            <w:r>
              <w:rPr>
                <w:rFonts w:hint="eastAsia" w:ascii="宋体" w:hAnsi="宋体" w:eastAsia="宋体" w:cs="宋体"/>
                <w:color w:val="auto"/>
                <w:sz w:val="21"/>
                <w:szCs w:val="21"/>
                <w:highlight w:val="none"/>
                <w:u w:val="single"/>
              </w:rPr>
              <w:t xml:space="preserve"> </w:t>
            </w:r>
            <w:r>
              <w:rPr>
                <w:rFonts w:hint="eastAsia" w:ascii="宋体" w:hAnsi="宋体" w:cs="宋体"/>
                <w:color w:val="auto"/>
                <w:sz w:val="21"/>
                <w:szCs w:val="21"/>
                <w:highlight w:val="none"/>
                <w:u w:val="single"/>
                <w:lang w:val="en-US" w:eastAsia="zh-CN"/>
              </w:rPr>
              <w:t>1</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项。</w:t>
            </w:r>
          </w:p>
          <w:p w14:paraId="0ED0AB8E">
            <w:pPr>
              <w:keepNext w:val="0"/>
              <w:keepLines w:val="0"/>
              <w:pageBreakBefore w:val="0"/>
              <w:shd w:val="clear"/>
              <w:kinsoku/>
              <w:wordWrap/>
              <w:overflowPunct/>
              <w:topLinePunct w:val="0"/>
              <w:bidi w:val="0"/>
              <w:adjustRightInd/>
              <w:snapToGrid w:val="0"/>
              <w:spacing w:line="432" w:lineRule="exact"/>
              <w:textAlignment w:val="auto"/>
              <w:rPr>
                <w:rFonts w:hint="default"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标项四：</w:t>
            </w:r>
          </w:p>
          <w:p w14:paraId="49F44816">
            <w:pPr>
              <w:keepNext w:val="0"/>
              <w:keepLines w:val="0"/>
              <w:pageBreakBefore w:val="0"/>
              <w:shd w:val="clear"/>
              <w:kinsoku/>
              <w:wordWrap/>
              <w:overflowPunct/>
              <w:topLinePunct w:val="0"/>
              <w:bidi w:val="0"/>
              <w:adjustRightInd/>
              <w:snapToGrid w:val="0"/>
              <w:spacing w:line="432"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商务条款评审中允许负偏离的条款数为</w:t>
            </w:r>
            <w:r>
              <w:rPr>
                <w:rFonts w:hint="eastAsia" w:ascii="宋体" w:hAnsi="宋体" w:eastAsia="宋体" w:cs="宋体"/>
                <w:color w:val="auto"/>
                <w:sz w:val="21"/>
                <w:szCs w:val="21"/>
                <w:highlight w:val="none"/>
                <w:u w:val="single"/>
              </w:rPr>
              <w:t xml:space="preserve"> </w:t>
            </w:r>
            <w:r>
              <w:rPr>
                <w:rFonts w:hint="eastAsia" w:ascii="宋体" w:hAnsi="宋体" w:cs="宋体"/>
                <w:color w:val="auto"/>
                <w:sz w:val="21"/>
                <w:szCs w:val="21"/>
                <w:highlight w:val="none"/>
                <w:u w:val="single"/>
                <w:lang w:val="en-US" w:eastAsia="zh-CN"/>
              </w:rPr>
              <w:t>1</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项。</w:t>
            </w:r>
          </w:p>
          <w:p w14:paraId="662DEC6F">
            <w:pPr>
              <w:keepNext w:val="0"/>
              <w:keepLines w:val="0"/>
              <w:pageBreakBefore w:val="0"/>
              <w:shd w:val="clear"/>
              <w:kinsoku/>
              <w:wordWrap/>
              <w:overflowPunct/>
              <w:topLinePunct w:val="0"/>
              <w:bidi w:val="0"/>
              <w:adjustRightInd/>
              <w:snapToGrid w:val="0"/>
              <w:spacing w:line="432" w:lineRule="exact"/>
              <w:textAlignment w:val="auto"/>
              <w:rPr>
                <w:rFonts w:hint="eastAsia" w:ascii="宋体" w:hAnsi="宋体" w:eastAsia="宋体" w:cs="宋体"/>
                <w:b/>
                <w:bCs/>
                <w:color w:val="auto"/>
                <w:sz w:val="21"/>
                <w:szCs w:val="21"/>
                <w:highlight w:val="none"/>
              </w:rPr>
            </w:pPr>
            <w:r>
              <w:rPr>
                <w:rFonts w:hint="eastAsia" w:ascii="宋体" w:hAnsi="宋体" w:eastAsia="宋体" w:cs="宋体"/>
                <w:color w:val="auto"/>
                <w:sz w:val="21"/>
                <w:szCs w:val="21"/>
                <w:highlight w:val="none"/>
              </w:rPr>
              <w:t>技术需求评审中允许负偏离的条款数为</w:t>
            </w:r>
            <w:r>
              <w:rPr>
                <w:rFonts w:hint="eastAsia" w:ascii="宋体" w:hAnsi="宋体" w:eastAsia="宋体" w:cs="宋体"/>
                <w:color w:val="auto"/>
                <w:sz w:val="21"/>
                <w:szCs w:val="21"/>
                <w:highlight w:val="none"/>
                <w:u w:val="single"/>
              </w:rPr>
              <w:t xml:space="preserve"> </w:t>
            </w:r>
            <w:r>
              <w:rPr>
                <w:rFonts w:hint="eastAsia" w:ascii="宋体" w:hAnsi="宋体" w:cs="宋体"/>
                <w:color w:val="auto"/>
                <w:sz w:val="21"/>
                <w:szCs w:val="21"/>
                <w:highlight w:val="none"/>
                <w:u w:val="single"/>
                <w:lang w:val="en-US" w:eastAsia="zh-CN"/>
              </w:rPr>
              <w:t>1</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项。</w:t>
            </w:r>
          </w:p>
        </w:tc>
      </w:tr>
      <w:tr w14:paraId="3CBE38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5" w:type="dxa"/>
            <w:noWrap w:val="0"/>
            <w:vAlign w:val="center"/>
          </w:tcPr>
          <w:p w14:paraId="7AEDC3E8">
            <w:pPr>
              <w:keepNext w:val="0"/>
              <w:keepLines w:val="0"/>
              <w:pageBreakBefore w:val="0"/>
              <w:shd w:val="clear"/>
              <w:kinsoku/>
              <w:wordWrap/>
              <w:overflowPunct/>
              <w:topLinePunct w:val="0"/>
              <w:bidi w:val="0"/>
              <w:adjustRightInd/>
              <w:spacing w:line="432"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30.1</w:t>
            </w:r>
          </w:p>
        </w:tc>
        <w:tc>
          <w:tcPr>
            <w:tcW w:w="1907" w:type="dxa"/>
            <w:noWrap w:val="0"/>
            <w:vAlign w:val="center"/>
          </w:tcPr>
          <w:p w14:paraId="392EDE80">
            <w:pPr>
              <w:keepNext w:val="0"/>
              <w:keepLines w:val="0"/>
              <w:pageBreakBefore w:val="0"/>
              <w:shd w:val="clear"/>
              <w:kinsoku/>
              <w:wordWrap/>
              <w:overflowPunct/>
              <w:topLinePunct w:val="0"/>
              <w:autoSpaceDE w:val="0"/>
              <w:autoSpaceDN w:val="0"/>
              <w:bidi w:val="0"/>
              <w:adjustRightInd/>
              <w:snapToGrid w:val="0"/>
              <w:spacing w:line="432"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确定中标人时，出现中标候选人</w:t>
            </w:r>
            <w:r>
              <w:rPr>
                <w:rFonts w:hint="eastAsia" w:ascii="宋体" w:hAnsi="宋体" w:eastAsia="宋体" w:cs="宋体"/>
                <w:color w:val="auto"/>
                <w:szCs w:val="21"/>
                <w:highlight w:val="none"/>
                <w:lang w:eastAsia="zh-CN"/>
              </w:rPr>
              <w:t>排名</w:t>
            </w:r>
            <w:r>
              <w:rPr>
                <w:rFonts w:hint="eastAsia" w:ascii="宋体" w:hAnsi="宋体" w:eastAsia="宋体" w:cs="宋体"/>
                <w:color w:val="auto"/>
                <w:sz w:val="21"/>
                <w:szCs w:val="21"/>
                <w:highlight w:val="none"/>
              </w:rPr>
              <w:t xml:space="preserve">并列的情形，确定中标人方式 </w:t>
            </w:r>
          </w:p>
        </w:tc>
        <w:tc>
          <w:tcPr>
            <w:tcW w:w="7658" w:type="dxa"/>
            <w:noWrap w:val="0"/>
            <w:vAlign w:val="center"/>
          </w:tcPr>
          <w:p w14:paraId="439D8022">
            <w:pPr>
              <w:pStyle w:val="8"/>
              <w:keepNext w:val="0"/>
              <w:keepLines w:val="0"/>
              <w:pageBreakBefore w:val="0"/>
              <w:shd w:val="clear"/>
              <w:kinsoku/>
              <w:wordWrap/>
              <w:overflowPunct/>
              <w:topLinePunct w:val="0"/>
              <w:bidi w:val="0"/>
              <w:adjustRightInd/>
              <w:spacing w:line="432" w:lineRule="exact"/>
              <w:textAlignment w:val="auto"/>
              <w:rPr>
                <w:rFonts w:hint="eastAsia" w:ascii="宋体" w:hAnsi="宋体" w:eastAsia="宋体" w:cs="宋体"/>
                <w:b/>
                <w:bCs/>
                <w:color w:val="auto"/>
                <w:highlight w:val="none"/>
                <w:lang w:eastAsia="zh-CN"/>
              </w:rPr>
            </w:pPr>
            <w:r>
              <w:rPr>
                <w:rFonts w:hint="eastAsia" w:ascii="宋体" w:hAnsi="宋体" w:eastAsia="宋体" w:cs="宋体"/>
                <w:color w:val="auto"/>
                <w:szCs w:val="21"/>
                <w:highlight w:val="none"/>
              </w:rPr>
              <w:t>采购人确定中标人时，出现中标候选人并列的情形，采购人按以下的方式确定中标人：</w:t>
            </w:r>
          </w:p>
          <w:p w14:paraId="6896C3E3">
            <w:pPr>
              <w:keepNext w:val="0"/>
              <w:keepLines w:val="0"/>
              <w:pageBreakBefore w:val="0"/>
              <w:shd w:val="clear"/>
              <w:kinsoku/>
              <w:wordWrap/>
              <w:overflowPunct/>
              <w:topLinePunct w:val="0"/>
              <w:autoSpaceDE w:val="0"/>
              <w:autoSpaceDN w:val="0"/>
              <w:bidi w:val="0"/>
              <w:adjustRightInd/>
              <w:snapToGrid w:val="0"/>
              <w:spacing w:line="432" w:lineRule="exact"/>
              <w:textAlignment w:val="auto"/>
              <w:rPr>
                <w:rFonts w:hint="eastAsia" w:ascii="宋体" w:hAnsi="宋体" w:eastAsia="宋体" w:cs="宋体"/>
                <w:i/>
                <w:iCs/>
                <w:color w:val="auto"/>
                <w:szCs w:val="21"/>
                <w:highlight w:val="none"/>
              </w:rPr>
            </w:pPr>
            <w:r>
              <w:rPr>
                <w:rFonts w:hint="eastAsia" w:ascii="宋体" w:hAnsi="宋体" w:eastAsia="宋体" w:cs="宋体"/>
                <w:color w:val="auto"/>
                <w:szCs w:val="21"/>
                <w:highlight w:val="none"/>
                <w:lang w:eastAsia="zh-CN"/>
              </w:rPr>
              <w:t>☑若综合得分相同的，按投标</w:t>
            </w:r>
            <w:r>
              <w:rPr>
                <w:rFonts w:hint="eastAsia" w:ascii="宋体" w:hAnsi="宋体" w:cs="宋体"/>
                <w:color w:val="auto"/>
                <w:szCs w:val="21"/>
                <w:highlight w:val="none"/>
                <w:lang w:val="en-US" w:eastAsia="zh-CN"/>
              </w:rPr>
              <w:t>报价</w:t>
            </w:r>
            <w:r>
              <w:rPr>
                <w:rFonts w:hint="eastAsia" w:ascii="宋体" w:hAnsi="宋体" w:eastAsia="宋体" w:cs="宋体"/>
                <w:color w:val="auto"/>
                <w:szCs w:val="21"/>
                <w:highlight w:val="none"/>
                <w:lang w:eastAsia="zh-CN"/>
              </w:rPr>
              <w:t>由</w:t>
            </w:r>
            <w:r>
              <w:rPr>
                <w:rFonts w:hint="eastAsia" w:ascii="宋体" w:hAnsi="宋体" w:cs="宋体"/>
                <w:color w:val="auto"/>
                <w:szCs w:val="21"/>
                <w:highlight w:val="none"/>
                <w:lang w:val="en-US" w:eastAsia="zh-CN"/>
              </w:rPr>
              <w:t>低</w:t>
            </w:r>
            <w:r>
              <w:rPr>
                <w:rFonts w:hint="eastAsia" w:ascii="宋体" w:hAnsi="宋体" w:eastAsia="宋体" w:cs="宋体"/>
                <w:color w:val="auto"/>
                <w:szCs w:val="21"/>
                <w:highlight w:val="none"/>
                <w:lang w:eastAsia="zh-CN"/>
              </w:rPr>
              <w:t>到</w:t>
            </w:r>
            <w:r>
              <w:rPr>
                <w:rFonts w:hint="eastAsia" w:ascii="宋体" w:hAnsi="宋体" w:cs="宋体"/>
                <w:color w:val="auto"/>
                <w:szCs w:val="21"/>
                <w:highlight w:val="none"/>
                <w:lang w:val="en-US" w:eastAsia="zh-CN"/>
              </w:rPr>
              <w:t>高</w:t>
            </w:r>
            <w:r>
              <w:rPr>
                <w:rFonts w:hint="eastAsia" w:ascii="宋体" w:hAnsi="宋体" w:eastAsia="宋体" w:cs="宋体"/>
                <w:color w:val="auto"/>
                <w:szCs w:val="21"/>
                <w:highlight w:val="none"/>
                <w:lang w:eastAsia="zh-CN"/>
              </w:rPr>
              <w:t>顺序排列。若综合得分且投标报价相同的，</w:t>
            </w:r>
            <w:r>
              <w:rPr>
                <w:rFonts w:hint="eastAsia" w:ascii="宋体" w:hAnsi="宋体" w:cs="宋体"/>
                <w:color w:val="auto"/>
                <w:szCs w:val="21"/>
                <w:highlight w:val="none"/>
                <w:lang w:val="en-US" w:eastAsia="zh-CN"/>
              </w:rPr>
              <w:t>按</w:t>
            </w:r>
            <w:r>
              <w:rPr>
                <w:rFonts w:hint="eastAsia" w:ascii="宋体" w:hAnsi="宋体" w:eastAsia="宋体" w:cs="宋体"/>
                <w:color w:val="auto"/>
                <w:szCs w:val="21"/>
                <w:highlight w:val="none"/>
              </w:rPr>
              <w:t>技术分</w:t>
            </w:r>
            <w:r>
              <w:rPr>
                <w:rFonts w:hint="eastAsia" w:ascii="宋体" w:hAnsi="宋体" w:eastAsia="宋体" w:cs="宋体"/>
                <w:color w:val="auto"/>
                <w:szCs w:val="21"/>
                <w:highlight w:val="none"/>
                <w:lang w:eastAsia="zh-CN"/>
              </w:rPr>
              <w:t>得分</w:t>
            </w:r>
            <w:r>
              <w:rPr>
                <w:rFonts w:hint="eastAsia" w:ascii="宋体" w:hAnsi="宋体" w:eastAsia="宋体" w:cs="宋体"/>
                <w:color w:val="auto"/>
                <w:szCs w:val="21"/>
                <w:highlight w:val="none"/>
              </w:rPr>
              <w:t>高的优先、商务分</w:t>
            </w:r>
            <w:r>
              <w:rPr>
                <w:rFonts w:hint="eastAsia" w:ascii="宋体" w:hAnsi="宋体" w:eastAsia="宋体" w:cs="宋体"/>
                <w:color w:val="auto"/>
                <w:szCs w:val="21"/>
                <w:highlight w:val="none"/>
                <w:lang w:eastAsia="zh-CN"/>
              </w:rPr>
              <w:t>得分</w:t>
            </w:r>
            <w:r>
              <w:rPr>
                <w:rFonts w:hint="eastAsia" w:ascii="宋体" w:hAnsi="宋体" w:eastAsia="宋体" w:cs="宋体"/>
                <w:color w:val="auto"/>
                <w:szCs w:val="21"/>
                <w:highlight w:val="none"/>
              </w:rPr>
              <w:t>高的优先</w:t>
            </w:r>
            <w:r>
              <w:rPr>
                <w:rFonts w:hint="eastAsia" w:ascii="宋体" w:hAnsi="宋体" w:eastAsia="宋体" w:cs="宋体"/>
                <w:color w:val="auto"/>
                <w:szCs w:val="21"/>
                <w:highlight w:val="none"/>
                <w:lang w:eastAsia="zh-CN"/>
              </w:rPr>
              <w:t>的</w:t>
            </w:r>
            <w:r>
              <w:rPr>
                <w:rFonts w:hint="eastAsia" w:ascii="宋体" w:hAnsi="宋体" w:eastAsia="宋体" w:cs="宋体"/>
                <w:color w:val="auto"/>
                <w:szCs w:val="21"/>
                <w:highlight w:val="none"/>
              </w:rPr>
              <w:t>顺序</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rPr>
              <w:t xml:space="preserve"> </w:t>
            </w:r>
          </w:p>
          <w:p w14:paraId="7D93D0FB">
            <w:pPr>
              <w:pStyle w:val="8"/>
              <w:keepNext w:val="0"/>
              <w:keepLines w:val="0"/>
              <w:pageBreakBefore w:val="0"/>
              <w:shd w:val="clear"/>
              <w:kinsoku/>
              <w:wordWrap/>
              <w:overflowPunct/>
              <w:topLinePunct w:val="0"/>
              <w:bidi w:val="0"/>
              <w:adjustRightInd/>
              <w:spacing w:line="432" w:lineRule="exact"/>
              <w:textAlignment w:val="auto"/>
              <w:rPr>
                <w:rFonts w:hint="eastAsia" w:ascii="宋体" w:hAnsi="宋体" w:eastAsia="宋体" w:cs="宋体"/>
                <w:b/>
                <w:color w:val="auto"/>
                <w:sz w:val="21"/>
                <w:szCs w:val="21"/>
                <w:highlight w:val="none"/>
              </w:rPr>
            </w:pPr>
            <w:r>
              <w:rPr>
                <w:rFonts w:hint="eastAsia" w:ascii="宋体" w:hAnsi="宋体" w:eastAsia="宋体" w:cs="宋体"/>
                <w:color w:val="auto"/>
                <w:szCs w:val="21"/>
                <w:highlight w:val="none"/>
              </w:rPr>
              <w:t>□</w:t>
            </w:r>
            <w:r>
              <w:rPr>
                <w:rFonts w:hint="eastAsia" w:ascii="宋体" w:hAnsi="宋体" w:eastAsia="宋体" w:cs="宋体"/>
                <w:color w:val="auto"/>
                <w:sz w:val="21"/>
                <w:highlight w:val="none"/>
              </w:rPr>
              <w:t>采取随机抽取的方式确定</w:t>
            </w:r>
            <w:r>
              <w:rPr>
                <w:rFonts w:hint="eastAsia" w:ascii="宋体" w:hAnsi="宋体" w:eastAsia="宋体" w:cs="宋体"/>
                <w:color w:val="auto"/>
                <w:sz w:val="21"/>
                <w:highlight w:val="none"/>
                <w:lang w:eastAsia="zh-CN"/>
              </w:rPr>
              <w:t>。</w:t>
            </w:r>
          </w:p>
        </w:tc>
      </w:tr>
      <w:tr w14:paraId="7981D6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jc w:val="center"/>
        </w:trPr>
        <w:tc>
          <w:tcPr>
            <w:tcW w:w="675" w:type="dxa"/>
            <w:noWrap w:val="0"/>
            <w:vAlign w:val="center"/>
          </w:tcPr>
          <w:p w14:paraId="35DE5CF2">
            <w:pPr>
              <w:keepNext w:val="0"/>
              <w:keepLines w:val="0"/>
              <w:pageBreakBefore w:val="0"/>
              <w:shd w:val="clear"/>
              <w:kinsoku/>
              <w:wordWrap/>
              <w:overflowPunct/>
              <w:topLinePunct w:val="0"/>
              <w:bidi w:val="0"/>
              <w:adjustRightInd/>
              <w:spacing w:line="432"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35</w:t>
            </w:r>
          </w:p>
        </w:tc>
        <w:tc>
          <w:tcPr>
            <w:tcW w:w="1907" w:type="dxa"/>
            <w:noWrap w:val="0"/>
            <w:vAlign w:val="center"/>
          </w:tcPr>
          <w:p w14:paraId="1983BDA6">
            <w:pPr>
              <w:keepNext w:val="0"/>
              <w:keepLines w:val="0"/>
              <w:pageBreakBefore w:val="0"/>
              <w:shd w:val="clear"/>
              <w:kinsoku/>
              <w:wordWrap/>
              <w:overflowPunct/>
              <w:topLinePunct w:val="0"/>
              <w:bidi w:val="0"/>
              <w:adjustRightInd/>
              <w:spacing w:line="432" w:lineRule="exact"/>
              <w:textAlignment w:val="auto"/>
              <w:rPr>
                <w:rFonts w:hint="eastAsia" w:ascii="宋体" w:hAnsi="宋体" w:eastAsia="宋体" w:cs="宋体"/>
                <w:color w:val="auto"/>
                <w:sz w:val="21"/>
                <w:szCs w:val="21"/>
                <w:highlight w:val="none"/>
              </w:rPr>
            </w:pPr>
            <w:bookmarkStart w:id="98" w:name="_39.1"/>
            <w:bookmarkEnd w:id="98"/>
            <w:r>
              <w:rPr>
                <w:rFonts w:hint="eastAsia" w:ascii="宋体" w:hAnsi="宋体" w:eastAsia="宋体" w:cs="宋体"/>
                <w:color w:val="auto"/>
                <w:sz w:val="21"/>
                <w:szCs w:val="21"/>
                <w:highlight w:val="none"/>
              </w:rPr>
              <w:t>履约保证金金额</w:t>
            </w:r>
          </w:p>
        </w:tc>
        <w:tc>
          <w:tcPr>
            <w:tcW w:w="7658" w:type="dxa"/>
            <w:noWrap w:val="0"/>
            <w:vAlign w:val="bottom"/>
          </w:tcPr>
          <w:p w14:paraId="79912197">
            <w:pPr>
              <w:keepNext w:val="0"/>
              <w:keepLines w:val="0"/>
              <w:pageBreakBefore w:val="0"/>
              <w:shd w:val="clear"/>
              <w:kinsoku/>
              <w:wordWrap/>
              <w:overflowPunct/>
              <w:topLinePunct w:val="0"/>
              <w:bidi w:val="0"/>
              <w:adjustRightInd/>
              <w:spacing w:line="432" w:lineRule="exact"/>
              <w:ind w:firstLine="0" w:firstLineChars="0"/>
              <w:textAlignment w:val="auto"/>
              <w:rPr>
                <w:rFonts w:hint="eastAsia" w:ascii="宋体" w:hAnsi="宋体" w:eastAsia="宋体" w:cs="宋体"/>
                <w:b/>
                <w:bCs/>
                <w:color w:val="auto"/>
                <w:szCs w:val="21"/>
                <w:highlight w:val="none"/>
                <w:lang w:eastAsia="zh-CN"/>
              </w:rPr>
            </w:pPr>
            <w:r>
              <w:rPr>
                <w:rFonts w:hint="eastAsia" w:ascii="宋体" w:hAnsi="宋体" w:cs="宋体"/>
                <w:b/>
                <w:bCs/>
                <w:color w:val="auto"/>
                <w:szCs w:val="21"/>
                <w:highlight w:val="none"/>
                <w:lang w:eastAsia="zh-CN"/>
              </w:rPr>
              <w:t>☑</w:t>
            </w:r>
            <w:r>
              <w:rPr>
                <w:rFonts w:hint="eastAsia" w:ascii="宋体" w:hAnsi="宋体" w:eastAsia="宋体" w:cs="宋体"/>
                <w:b/>
                <w:bCs/>
                <w:color w:val="auto"/>
                <w:szCs w:val="21"/>
                <w:highlight w:val="none"/>
              </w:rPr>
              <w:t xml:space="preserve"> </w:t>
            </w:r>
            <w:r>
              <w:rPr>
                <w:rFonts w:hint="eastAsia" w:ascii="宋体" w:hAnsi="宋体" w:eastAsia="宋体" w:cs="宋体"/>
                <w:b/>
                <w:bCs/>
                <w:color w:val="auto"/>
                <w:szCs w:val="21"/>
                <w:highlight w:val="none"/>
                <w:lang w:eastAsia="zh-CN"/>
              </w:rPr>
              <w:t>本项目不需要缴</w:t>
            </w:r>
            <w:r>
              <w:rPr>
                <w:rFonts w:hint="eastAsia" w:ascii="宋体" w:hAnsi="宋体" w:eastAsia="宋体" w:cs="宋体"/>
                <w:b/>
                <w:bCs/>
                <w:color w:val="auto"/>
                <w:kern w:val="0"/>
                <w:szCs w:val="21"/>
                <w:highlight w:val="none"/>
              </w:rPr>
              <w:t>纳</w:t>
            </w:r>
            <w:r>
              <w:rPr>
                <w:rFonts w:hint="eastAsia" w:ascii="宋体" w:hAnsi="宋体" w:eastAsia="宋体" w:cs="宋体"/>
                <w:b/>
                <w:bCs/>
                <w:color w:val="auto"/>
                <w:szCs w:val="21"/>
                <w:highlight w:val="none"/>
              </w:rPr>
              <w:t>履约</w:t>
            </w:r>
            <w:r>
              <w:rPr>
                <w:rFonts w:hint="eastAsia" w:ascii="宋体" w:hAnsi="宋体" w:eastAsia="宋体" w:cs="宋体"/>
                <w:b/>
                <w:bCs/>
                <w:color w:val="auto"/>
                <w:szCs w:val="21"/>
                <w:highlight w:val="none"/>
                <w:lang w:eastAsia="zh-CN"/>
              </w:rPr>
              <w:t>保证金。</w:t>
            </w:r>
          </w:p>
          <w:p w14:paraId="3991A716">
            <w:pPr>
              <w:keepNext w:val="0"/>
              <w:keepLines w:val="0"/>
              <w:pageBreakBefore w:val="0"/>
              <w:shd w:val="clear"/>
              <w:kinsoku/>
              <w:wordWrap/>
              <w:overflowPunct/>
              <w:topLinePunct w:val="0"/>
              <w:bidi w:val="0"/>
              <w:adjustRightInd/>
              <w:spacing w:line="432" w:lineRule="exact"/>
              <w:ind w:firstLine="0" w:firstLineChars="0"/>
              <w:textAlignment w:val="auto"/>
              <w:rPr>
                <w:rFonts w:hint="eastAsia" w:ascii="宋体" w:hAnsi="宋体" w:eastAsia="宋体" w:cs="宋体"/>
                <w:b/>
                <w:bCs/>
                <w:color w:val="auto"/>
                <w:szCs w:val="21"/>
                <w:highlight w:val="none"/>
              </w:rPr>
            </w:pPr>
            <w:r>
              <w:rPr>
                <w:rFonts w:hint="eastAsia" w:ascii="宋体" w:hAnsi="宋体" w:cs="宋体"/>
                <w:b/>
                <w:bCs/>
                <w:color w:val="auto"/>
                <w:szCs w:val="21"/>
                <w:highlight w:val="none"/>
                <w:lang w:eastAsia="zh-CN"/>
              </w:rPr>
              <w:t>□</w:t>
            </w:r>
            <w:r>
              <w:rPr>
                <w:rFonts w:hint="eastAsia" w:ascii="宋体" w:hAnsi="宋体" w:eastAsia="宋体" w:cs="宋体"/>
                <w:b/>
                <w:bCs/>
                <w:color w:val="auto"/>
                <w:szCs w:val="21"/>
                <w:highlight w:val="none"/>
              </w:rPr>
              <w:t xml:space="preserve"> </w:t>
            </w:r>
            <w:r>
              <w:rPr>
                <w:rFonts w:hint="eastAsia" w:ascii="宋体" w:hAnsi="宋体" w:eastAsia="宋体" w:cs="宋体"/>
                <w:b/>
                <w:bCs/>
                <w:color w:val="auto"/>
                <w:szCs w:val="21"/>
                <w:highlight w:val="none"/>
                <w:lang w:eastAsia="zh-CN"/>
              </w:rPr>
              <w:t>本项目需要缴</w:t>
            </w:r>
            <w:r>
              <w:rPr>
                <w:rFonts w:hint="eastAsia" w:ascii="宋体" w:hAnsi="宋体" w:eastAsia="宋体" w:cs="宋体"/>
                <w:b/>
                <w:bCs/>
                <w:color w:val="auto"/>
                <w:kern w:val="0"/>
                <w:szCs w:val="21"/>
                <w:highlight w:val="none"/>
              </w:rPr>
              <w:t>纳</w:t>
            </w:r>
            <w:r>
              <w:rPr>
                <w:rFonts w:hint="eastAsia" w:ascii="宋体" w:hAnsi="宋体" w:eastAsia="宋体" w:cs="宋体"/>
                <w:b/>
                <w:bCs/>
                <w:color w:val="auto"/>
                <w:szCs w:val="21"/>
                <w:highlight w:val="none"/>
              </w:rPr>
              <w:t>履约</w:t>
            </w:r>
            <w:r>
              <w:rPr>
                <w:rFonts w:hint="eastAsia" w:ascii="宋体" w:hAnsi="宋体" w:eastAsia="宋体" w:cs="宋体"/>
                <w:b/>
                <w:bCs/>
                <w:color w:val="auto"/>
                <w:szCs w:val="21"/>
                <w:highlight w:val="none"/>
                <w:lang w:eastAsia="zh-CN"/>
              </w:rPr>
              <w:t>保证金，</w:t>
            </w:r>
            <w:r>
              <w:rPr>
                <w:rFonts w:hint="eastAsia" w:ascii="宋体" w:hAnsi="宋体" w:eastAsia="宋体" w:cs="宋体"/>
                <w:b/>
                <w:bCs/>
                <w:color w:val="auto"/>
                <w:szCs w:val="21"/>
                <w:highlight w:val="none"/>
              </w:rPr>
              <w:t>相关要求</w:t>
            </w:r>
            <w:r>
              <w:rPr>
                <w:rFonts w:hint="eastAsia" w:ascii="宋体" w:hAnsi="宋体" w:eastAsia="宋体" w:cs="宋体"/>
                <w:b/>
                <w:bCs/>
                <w:color w:val="auto"/>
                <w:szCs w:val="21"/>
                <w:highlight w:val="none"/>
                <w:lang w:eastAsia="zh-CN"/>
              </w:rPr>
              <w:t>如下</w:t>
            </w:r>
            <w:r>
              <w:rPr>
                <w:rFonts w:hint="eastAsia" w:ascii="宋体" w:hAnsi="宋体" w:eastAsia="宋体" w:cs="宋体"/>
                <w:b/>
                <w:bCs/>
                <w:color w:val="auto"/>
                <w:szCs w:val="21"/>
                <w:highlight w:val="none"/>
              </w:rPr>
              <w:t>：</w:t>
            </w:r>
          </w:p>
          <w:p w14:paraId="1410CD9E">
            <w:pPr>
              <w:keepNext w:val="0"/>
              <w:keepLines w:val="0"/>
              <w:pageBreakBefore w:val="0"/>
              <w:shd w:val="clear"/>
              <w:kinsoku/>
              <w:wordWrap/>
              <w:overflowPunct/>
              <w:topLinePunct w:val="0"/>
              <w:autoSpaceDE w:val="0"/>
              <w:autoSpaceDN w:val="0"/>
              <w:bidi w:val="0"/>
              <w:adjustRightInd/>
              <w:snapToGrid w:val="0"/>
              <w:spacing w:line="432" w:lineRule="exac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1.</w:t>
            </w:r>
            <w:r>
              <w:rPr>
                <w:rFonts w:hint="eastAsia" w:ascii="宋体" w:hAnsi="宋体" w:eastAsia="宋体" w:cs="宋体"/>
                <w:color w:val="auto"/>
                <w:szCs w:val="21"/>
                <w:highlight w:val="none"/>
              </w:rPr>
              <w:t>履约保证金金额：</w:t>
            </w:r>
            <w:r>
              <w:rPr>
                <w:rFonts w:hint="eastAsia" w:ascii="宋体" w:hAnsi="宋体" w:cs="宋体"/>
                <w:color w:val="auto"/>
                <w:szCs w:val="21"/>
                <w:highlight w:val="none"/>
                <w:u w:val="single"/>
                <w:lang w:val="en-US" w:eastAsia="zh-CN"/>
              </w:rPr>
              <w:t xml:space="preserve">  /  </w:t>
            </w:r>
            <w:r>
              <w:rPr>
                <w:rFonts w:hint="eastAsia" w:ascii="宋体" w:hAnsi="宋体" w:eastAsia="宋体" w:cs="宋体"/>
                <w:color w:val="auto"/>
                <w:szCs w:val="21"/>
                <w:highlight w:val="none"/>
                <w:lang w:val="en-US" w:eastAsia="zh-CN"/>
              </w:rPr>
              <w:t>万元</w:t>
            </w:r>
            <w:r>
              <w:rPr>
                <w:rFonts w:hint="eastAsia" w:ascii="宋体" w:hAnsi="宋体" w:eastAsia="宋体" w:cs="宋体"/>
                <w:color w:val="auto"/>
                <w:szCs w:val="21"/>
                <w:highlight w:val="none"/>
              </w:rPr>
              <w:t>。</w:t>
            </w:r>
          </w:p>
          <w:p w14:paraId="56C4D46B">
            <w:pPr>
              <w:keepNext w:val="0"/>
              <w:keepLines w:val="0"/>
              <w:pageBreakBefore w:val="0"/>
              <w:shd w:val="clear"/>
              <w:kinsoku/>
              <w:wordWrap/>
              <w:overflowPunct/>
              <w:topLinePunct w:val="0"/>
              <w:autoSpaceDE w:val="0"/>
              <w:autoSpaceDN w:val="0"/>
              <w:bidi w:val="0"/>
              <w:adjustRightInd/>
              <w:snapToGrid w:val="0"/>
              <w:spacing w:line="432" w:lineRule="exact"/>
              <w:textAlignment w:val="auto"/>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lang w:val="en-US" w:eastAsia="zh-CN"/>
              </w:rPr>
              <w:t>2.</w:t>
            </w:r>
            <w:r>
              <w:rPr>
                <w:rFonts w:hint="eastAsia" w:ascii="宋体" w:hAnsi="宋体" w:eastAsia="宋体" w:cs="宋体"/>
                <w:color w:val="auto"/>
                <w:szCs w:val="21"/>
                <w:highlight w:val="none"/>
              </w:rPr>
              <w:t>履约保证金递交方式：</w:t>
            </w:r>
            <w:r>
              <w:rPr>
                <w:rFonts w:hint="eastAsia" w:ascii="宋体" w:hAnsi="宋体" w:eastAsia="宋体" w:cs="宋体"/>
                <w:color w:val="auto"/>
                <w:szCs w:val="21"/>
                <w:highlight w:val="none"/>
                <w:lang w:eastAsia="zh-CN"/>
              </w:rPr>
              <w:t>中标人</w:t>
            </w:r>
            <w:r>
              <w:rPr>
                <w:rFonts w:hint="eastAsia" w:ascii="宋体" w:hAnsi="宋体" w:eastAsia="宋体" w:cs="宋体"/>
                <w:color w:val="auto"/>
                <w:szCs w:val="21"/>
                <w:highlight w:val="none"/>
              </w:rPr>
              <w:t>在</w:t>
            </w:r>
            <w:r>
              <w:rPr>
                <w:rFonts w:hint="eastAsia" w:ascii="宋体" w:hAnsi="宋体" w:eastAsia="宋体" w:cs="宋体"/>
                <w:color w:val="auto"/>
                <w:kern w:val="0"/>
                <w:szCs w:val="21"/>
                <w:highlight w:val="none"/>
                <w:u w:val="none"/>
              </w:rPr>
              <w:t>签订合同</w:t>
            </w:r>
            <w:r>
              <w:rPr>
                <w:rFonts w:hint="eastAsia" w:ascii="宋体" w:hAnsi="宋体" w:eastAsia="宋体" w:cs="宋体"/>
                <w:color w:val="auto"/>
                <w:szCs w:val="21"/>
                <w:highlight w:val="none"/>
                <w:u w:val="none"/>
              </w:rPr>
              <w:t>前</w:t>
            </w:r>
            <w:r>
              <w:rPr>
                <w:rFonts w:hint="eastAsia" w:ascii="宋体" w:hAnsi="宋体" w:eastAsia="宋体" w:cs="宋体"/>
                <w:color w:val="auto"/>
                <w:szCs w:val="21"/>
                <w:highlight w:val="none"/>
                <w:lang w:eastAsia="zh-CN"/>
              </w:rPr>
              <w:t>以</w:t>
            </w:r>
            <w:r>
              <w:rPr>
                <w:rFonts w:hint="eastAsia" w:ascii="宋体" w:hAnsi="宋体" w:eastAsia="宋体" w:cs="宋体"/>
                <w:color w:val="auto"/>
                <w:szCs w:val="21"/>
                <w:highlight w:val="none"/>
              </w:rPr>
              <w:t>银行转账、支票、汇票、本票或者金融机构、担保机构出具的保函等非现金方式</w:t>
            </w:r>
            <w:r>
              <w:rPr>
                <w:rFonts w:hint="eastAsia" w:ascii="宋体" w:hAnsi="宋体" w:eastAsia="宋体" w:cs="宋体"/>
                <w:color w:val="auto"/>
                <w:szCs w:val="21"/>
                <w:highlight w:val="none"/>
                <w:lang w:eastAsia="zh-CN"/>
              </w:rPr>
              <w:t>向</w:t>
            </w:r>
            <w:r>
              <w:rPr>
                <w:rFonts w:hint="eastAsia" w:ascii="宋体" w:hAnsi="宋体" w:eastAsia="宋体" w:cs="宋体"/>
                <w:color w:val="auto"/>
                <w:szCs w:val="21"/>
                <w:highlight w:val="none"/>
                <w:u w:val="none"/>
                <w:lang w:val="en-US" w:eastAsia="zh-CN"/>
              </w:rPr>
              <w:t>采购人提交</w:t>
            </w:r>
            <w:r>
              <w:rPr>
                <w:rFonts w:hint="eastAsia" w:ascii="宋体" w:hAnsi="宋体" w:eastAsia="宋体" w:cs="宋体"/>
                <w:color w:val="auto"/>
                <w:szCs w:val="21"/>
                <w:highlight w:val="none"/>
                <w:lang w:eastAsia="zh-CN"/>
              </w:rPr>
              <w:t>。</w:t>
            </w:r>
          </w:p>
          <w:p w14:paraId="63EEB455">
            <w:pPr>
              <w:keepNext w:val="0"/>
              <w:keepLines w:val="0"/>
              <w:pageBreakBefore w:val="0"/>
              <w:shd w:val="clear"/>
              <w:kinsoku/>
              <w:wordWrap/>
              <w:overflowPunct/>
              <w:topLinePunct w:val="0"/>
              <w:autoSpaceDE w:val="0"/>
              <w:autoSpaceDN w:val="0"/>
              <w:bidi w:val="0"/>
              <w:adjustRightInd/>
              <w:snapToGrid w:val="0"/>
              <w:spacing w:line="432" w:lineRule="exact"/>
              <w:textAlignment w:val="auto"/>
              <w:rPr>
                <w:rFonts w:hint="eastAsia" w:ascii="宋体" w:hAnsi="宋体" w:eastAsia="宋体" w:cs="宋体"/>
                <w:color w:val="auto"/>
                <w:szCs w:val="21"/>
                <w:highlight w:val="none"/>
                <w:u w:val="single"/>
                <w:lang w:eastAsia="zh-CN"/>
              </w:rPr>
            </w:pPr>
            <w:r>
              <w:rPr>
                <w:rFonts w:hint="eastAsia" w:ascii="宋体" w:hAnsi="宋体" w:eastAsia="宋体" w:cs="宋体"/>
                <w:color w:val="auto"/>
                <w:szCs w:val="21"/>
                <w:highlight w:val="none"/>
                <w:lang w:val="en-US" w:eastAsia="zh-CN"/>
              </w:rPr>
              <w:t>3.</w:t>
            </w:r>
            <w:r>
              <w:rPr>
                <w:rFonts w:hint="eastAsia" w:ascii="宋体" w:hAnsi="宋体" w:eastAsia="宋体" w:cs="宋体"/>
                <w:color w:val="auto"/>
                <w:szCs w:val="21"/>
                <w:highlight w:val="none"/>
              </w:rPr>
              <w:t>履约保证金退付方式、时间及条件：项目服务结束后退付（无息）。由</w:t>
            </w:r>
            <w:r>
              <w:rPr>
                <w:rFonts w:hint="eastAsia" w:ascii="宋体" w:hAnsi="宋体" w:eastAsia="宋体" w:cs="宋体"/>
                <w:color w:val="auto"/>
                <w:szCs w:val="21"/>
                <w:highlight w:val="none"/>
                <w:lang w:eastAsia="zh-CN"/>
              </w:rPr>
              <w:t>中标</w:t>
            </w:r>
            <w:r>
              <w:rPr>
                <w:rFonts w:hint="eastAsia" w:ascii="宋体" w:hAnsi="宋体" w:eastAsia="宋体" w:cs="宋体"/>
                <w:color w:val="auto"/>
                <w:szCs w:val="21"/>
                <w:highlight w:val="none"/>
              </w:rPr>
              <w:t>人向</w:t>
            </w:r>
            <w:r>
              <w:rPr>
                <w:rFonts w:hint="eastAsia" w:ascii="宋体" w:hAnsi="宋体" w:eastAsia="宋体" w:cs="宋体"/>
                <w:color w:val="auto"/>
                <w:szCs w:val="21"/>
                <w:highlight w:val="none"/>
                <w:lang w:eastAsia="zh-CN"/>
              </w:rPr>
              <w:t>采购人</w:t>
            </w:r>
            <w:r>
              <w:rPr>
                <w:rFonts w:hint="eastAsia" w:ascii="宋体" w:hAnsi="宋体" w:eastAsia="宋体" w:cs="宋体"/>
                <w:color w:val="auto"/>
                <w:szCs w:val="21"/>
                <w:highlight w:val="none"/>
              </w:rPr>
              <w:t>提供《广西壮族自治区政府采购项目合同验收书》及《政府采购项目履约保证金退付意见书》，</w:t>
            </w:r>
            <w:r>
              <w:rPr>
                <w:rFonts w:hint="eastAsia" w:ascii="宋体" w:hAnsi="宋体" w:eastAsia="宋体" w:cs="宋体"/>
                <w:color w:val="auto"/>
                <w:szCs w:val="21"/>
                <w:highlight w:val="none"/>
                <w:lang w:eastAsia="zh-CN"/>
              </w:rPr>
              <w:t>采购人</w:t>
            </w:r>
            <w:r>
              <w:rPr>
                <w:rFonts w:hint="eastAsia" w:ascii="宋体" w:hAnsi="宋体" w:eastAsia="宋体" w:cs="宋体"/>
                <w:color w:val="auto"/>
                <w:szCs w:val="21"/>
                <w:highlight w:val="none"/>
              </w:rPr>
              <w:t>在收到合格材料于项目服务结束后，根据</w:t>
            </w:r>
            <w:r>
              <w:rPr>
                <w:rFonts w:hint="eastAsia" w:ascii="宋体" w:hAnsi="宋体" w:eastAsia="宋体" w:cs="宋体"/>
                <w:color w:val="auto"/>
                <w:szCs w:val="21"/>
                <w:highlight w:val="none"/>
                <w:lang w:eastAsia="zh-CN"/>
              </w:rPr>
              <w:t>中标</w:t>
            </w:r>
            <w:r>
              <w:rPr>
                <w:rFonts w:hint="eastAsia" w:ascii="宋体" w:hAnsi="宋体" w:eastAsia="宋体" w:cs="宋体"/>
                <w:color w:val="auto"/>
                <w:szCs w:val="21"/>
                <w:highlight w:val="none"/>
              </w:rPr>
              <w:t>人相关违约处罚扣款后的实际数额在</w:t>
            </w:r>
            <w:r>
              <w:rPr>
                <w:rFonts w:hint="eastAsia" w:ascii="宋体" w:hAnsi="宋体" w:eastAsia="宋体" w:cs="宋体"/>
                <w:color w:val="auto"/>
                <w:szCs w:val="21"/>
                <w:highlight w:val="none"/>
                <w:lang w:val="en-US" w:eastAsia="zh-CN"/>
              </w:rPr>
              <w:t>5</w:t>
            </w:r>
            <w:r>
              <w:rPr>
                <w:rFonts w:hint="eastAsia" w:ascii="宋体" w:hAnsi="宋体" w:eastAsia="宋体" w:cs="宋体"/>
                <w:color w:val="auto"/>
                <w:szCs w:val="21"/>
                <w:highlight w:val="none"/>
              </w:rPr>
              <w:t>个工作日内办理退还手续（无息）</w:t>
            </w:r>
            <w:r>
              <w:rPr>
                <w:rFonts w:hint="eastAsia" w:ascii="宋体" w:hAnsi="宋体" w:eastAsia="宋体" w:cs="宋体"/>
                <w:color w:val="auto"/>
                <w:szCs w:val="21"/>
                <w:highlight w:val="none"/>
                <w:lang w:eastAsia="zh-CN"/>
              </w:rPr>
              <w:t>。</w:t>
            </w:r>
          </w:p>
          <w:p w14:paraId="406C9A8D">
            <w:pPr>
              <w:keepNext w:val="0"/>
              <w:keepLines w:val="0"/>
              <w:pageBreakBefore w:val="0"/>
              <w:shd w:val="clear"/>
              <w:kinsoku/>
              <w:wordWrap/>
              <w:overflowPunct/>
              <w:topLinePunct w:val="0"/>
              <w:autoSpaceDE w:val="0"/>
              <w:autoSpaceDN w:val="0"/>
              <w:bidi w:val="0"/>
              <w:adjustRightInd/>
              <w:snapToGrid w:val="0"/>
              <w:spacing w:line="432" w:lineRule="exac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4.</w:t>
            </w:r>
            <w:r>
              <w:rPr>
                <w:rFonts w:hint="eastAsia" w:ascii="宋体" w:hAnsi="宋体" w:eastAsia="宋体" w:cs="宋体"/>
                <w:color w:val="auto"/>
                <w:szCs w:val="21"/>
                <w:highlight w:val="none"/>
                <w:lang w:eastAsia="zh-CN"/>
              </w:rPr>
              <w:t>缴纳</w:t>
            </w:r>
            <w:r>
              <w:rPr>
                <w:rFonts w:hint="eastAsia" w:ascii="宋体" w:hAnsi="宋体" w:eastAsia="宋体" w:cs="宋体"/>
                <w:color w:val="auto"/>
                <w:szCs w:val="21"/>
                <w:highlight w:val="none"/>
              </w:rPr>
              <w:t>履约保证金</w:t>
            </w:r>
            <w:r>
              <w:rPr>
                <w:rFonts w:hint="eastAsia" w:ascii="宋体" w:hAnsi="宋体" w:eastAsia="宋体" w:cs="宋体"/>
                <w:color w:val="auto"/>
                <w:szCs w:val="21"/>
                <w:highlight w:val="none"/>
                <w:lang w:eastAsia="zh-CN"/>
              </w:rPr>
              <w:t>的</w:t>
            </w:r>
            <w:r>
              <w:rPr>
                <w:rFonts w:hint="eastAsia" w:ascii="宋体" w:hAnsi="宋体" w:eastAsia="宋体" w:cs="宋体"/>
                <w:color w:val="auto"/>
                <w:szCs w:val="21"/>
                <w:highlight w:val="none"/>
              </w:rPr>
              <w:t>指定账户：</w:t>
            </w:r>
          </w:p>
          <w:p w14:paraId="448D0824">
            <w:pPr>
              <w:keepNext w:val="0"/>
              <w:keepLines w:val="0"/>
              <w:pageBreakBefore w:val="0"/>
              <w:shd w:val="clear"/>
              <w:kinsoku/>
              <w:wordWrap/>
              <w:overflowPunct/>
              <w:topLinePunct w:val="0"/>
              <w:autoSpaceDE w:val="0"/>
              <w:autoSpaceDN w:val="0"/>
              <w:bidi w:val="0"/>
              <w:adjustRightInd/>
              <w:snapToGrid w:val="0"/>
              <w:spacing w:line="432" w:lineRule="exact"/>
              <w:textAlignment w:val="auto"/>
              <w:rPr>
                <w:rFonts w:hint="default" w:ascii="宋体" w:hAnsi="宋体" w:eastAsia="宋体" w:cs="宋体"/>
                <w:color w:val="auto"/>
                <w:szCs w:val="21"/>
                <w:highlight w:val="none"/>
                <w:lang w:val="en-US" w:eastAsia="zh-CN"/>
              </w:rPr>
            </w:pPr>
            <w:r>
              <w:rPr>
                <w:rFonts w:hint="eastAsia" w:ascii="宋体" w:hAnsi="宋体" w:eastAsia="宋体" w:cs="宋体"/>
                <w:color w:val="auto"/>
                <w:szCs w:val="21"/>
                <w:highlight w:val="none"/>
              </w:rPr>
              <w:t>开户名称：</w:t>
            </w:r>
            <w:r>
              <w:rPr>
                <w:rFonts w:hint="eastAsia" w:ascii="宋体" w:hAnsi="宋体" w:cs="宋体"/>
                <w:color w:val="auto"/>
                <w:szCs w:val="21"/>
                <w:highlight w:val="none"/>
                <w:u w:val="single"/>
                <w:lang w:val="en-US" w:eastAsia="zh-CN"/>
              </w:rPr>
              <w:t xml:space="preserve">                   </w:t>
            </w:r>
          </w:p>
          <w:p w14:paraId="3DDEF7A8">
            <w:pPr>
              <w:keepNext w:val="0"/>
              <w:keepLines w:val="0"/>
              <w:pageBreakBefore w:val="0"/>
              <w:shd w:val="clear"/>
              <w:kinsoku/>
              <w:wordWrap/>
              <w:overflowPunct/>
              <w:topLinePunct w:val="0"/>
              <w:autoSpaceDE w:val="0"/>
              <w:autoSpaceDN w:val="0"/>
              <w:bidi w:val="0"/>
              <w:adjustRightInd/>
              <w:snapToGrid w:val="0"/>
              <w:spacing w:line="432" w:lineRule="exact"/>
              <w:textAlignment w:val="auto"/>
              <w:rPr>
                <w:rFonts w:hint="default" w:ascii="宋体" w:hAnsi="宋体" w:eastAsia="宋体" w:cs="宋体"/>
                <w:color w:val="auto"/>
                <w:szCs w:val="21"/>
                <w:highlight w:val="none"/>
                <w:lang w:val="en-US" w:eastAsia="zh-CN"/>
              </w:rPr>
            </w:pPr>
            <w:r>
              <w:rPr>
                <w:rFonts w:hint="eastAsia" w:ascii="宋体" w:hAnsi="宋体" w:eastAsia="宋体" w:cs="宋体"/>
                <w:color w:val="auto"/>
                <w:szCs w:val="21"/>
                <w:highlight w:val="none"/>
              </w:rPr>
              <w:t>开户银行：</w:t>
            </w:r>
            <w:r>
              <w:rPr>
                <w:rFonts w:hint="eastAsia" w:ascii="宋体" w:hAnsi="宋体" w:eastAsia="宋体" w:cs="宋体"/>
                <w:color w:val="auto"/>
                <w:szCs w:val="21"/>
                <w:highlight w:val="none"/>
                <w:u w:val="single"/>
              </w:rPr>
              <w:t xml:space="preserve"> </w:t>
            </w:r>
            <w:r>
              <w:rPr>
                <w:rFonts w:hint="eastAsia" w:ascii="宋体" w:hAnsi="宋体" w:cs="宋体"/>
                <w:color w:val="auto"/>
                <w:szCs w:val="21"/>
                <w:highlight w:val="none"/>
                <w:u w:val="single"/>
                <w:lang w:val="en-US" w:eastAsia="zh-CN"/>
              </w:rPr>
              <w:t xml:space="preserve">                  </w:t>
            </w:r>
          </w:p>
          <w:p w14:paraId="6671EEF2">
            <w:pPr>
              <w:keepNext w:val="0"/>
              <w:keepLines w:val="0"/>
              <w:pageBreakBefore w:val="0"/>
              <w:shd w:val="clear"/>
              <w:kinsoku/>
              <w:wordWrap/>
              <w:overflowPunct/>
              <w:topLinePunct w:val="0"/>
              <w:autoSpaceDE w:val="0"/>
              <w:autoSpaceDN w:val="0"/>
              <w:bidi w:val="0"/>
              <w:adjustRightInd/>
              <w:snapToGrid w:val="0"/>
              <w:spacing w:line="432" w:lineRule="exac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银行账号：</w:t>
            </w:r>
            <w:r>
              <w:rPr>
                <w:rFonts w:hint="eastAsia" w:ascii="宋体" w:hAnsi="宋体" w:cs="宋体"/>
                <w:color w:val="auto"/>
                <w:szCs w:val="21"/>
                <w:highlight w:val="none"/>
                <w:u w:val="single"/>
                <w:lang w:val="en-US" w:eastAsia="zh-CN"/>
              </w:rPr>
              <w:t xml:space="preserve">                  </w:t>
            </w:r>
            <w:r>
              <w:rPr>
                <w:rFonts w:hint="eastAsia" w:ascii="宋体" w:hAnsi="宋体" w:eastAsia="宋体" w:cs="宋体"/>
                <w:color w:val="auto"/>
                <w:szCs w:val="21"/>
                <w:highlight w:val="none"/>
                <w:u w:val="single"/>
              </w:rPr>
              <w:t xml:space="preserve"> </w:t>
            </w:r>
          </w:p>
          <w:p w14:paraId="3E86F717">
            <w:pPr>
              <w:keepNext w:val="0"/>
              <w:keepLines w:val="0"/>
              <w:pageBreakBefore w:val="0"/>
              <w:shd w:val="clear"/>
              <w:kinsoku/>
              <w:wordWrap/>
              <w:overflowPunct/>
              <w:topLinePunct w:val="0"/>
              <w:bidi w:val="0"/>
              <w:adjustRightInd/>
              <w:spacing w:line="432" w:lineRule="exact"/>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备注：</w:t>
            </w:r>
          </w:p>
          <w:p w14:paraId="14B4EAD9">
            <w:pPr>
              <w:keepNext w:val="0"/>
              <w:keepLines w:val="0"/>
              <w:pageBreakBefore w:val="0"/>
              <w:shd w:val="clear"/>
              <w:kinsoku/>
              <w:wordWrap/>
              <w:overflowPunct/>
              <w:topLinePunct w:val="0"/>
              <w:bidi w:val="0"/>
              <w:adjustRightInd/>
              <w:spacing w:line="432" w:lineRule="exact"/>
              <w:jc w:val="left"/>
              <w:textAlignment w:val="auto"/>
              <w:rPr>
                <w:rFonts w:hint="eastAsia" w:ascii="宋体" w:hAnsi="宋体" w:eastAsia="宋体" w:cs="宋体"/>
                <w:color w:val="auto"/>
                <w:highlight w:val="none"/>
                <w:lang w:eastAsia="zh-CN"/>
              </w:rPr>
            </w:pPr>
            <w:r>
              <w:rPr>
                <w:rFonts w:hint="eastAsia" w:ascii="宋体" w:hAnsi="宋体" w:eastAsia="宋体" w:cs="宋体"/>
                <w:b/>
                <w:color w:val="auto"/>
                <w:szCs w:val="21"/>
                <w:highlight w:val="none"/>
              </w:rPr>
              <w:t xml:space="preserve">1. </w:t>
            </w:r>
            <w:bookmarkStart w:id="99" w:name="_Hlk54170335"/>
            <w:r>
              <w:rPr>
                <w:rFonts w:hint="eastAsia" w:ascii="宋体" w:hAnsi="宋体" w:eastAsia="宋体" w:cs="宋体"/>
                <w:b/>
                <w:color w:val="auto"/>
                <w:szCs w:val="21"/>
                <w:highlight w:val="none"/>
              </w:rPr>
              <w:t>根据《广西壮族自治区财政厅关于贯彻落实政府采购优化营商环境百日攻坚行动方案的通知》（桂财采〔2020〕49号）</w:t>
            </w:r>
            <w:r>
              <w:rPr>
                <w:rFonts w:hint="eastAsia" w:ascii="宋体" w:hAnsi="宋体" w:eastAsia="宋体" w:cs="宋体"/>
                <w:b/>
                <w:color w:val="auto"/>
                <w:szCs w:val="21"/>
                <w:highlight w:val="none"/>
                <w:lang w:val="en-US" w:eastAsia="zh-CN"/>
              </w:rPr>
              <w:t>和</w:t>
            </w:r>
            <w:r>
              <w:rPr>
                <w:rFonts w:hint="eastAsia" w:ascii="宋体" w:hAnsi="宋体" w:eastAsia="宋体" w:cs="宋体"/>
                <w:b/>
                <w:color w:val="auto"/>
                <w:szCs w:val="21"/>
                <w:highlight w:val="none"/>
              </w:rPr>
              <w:t>《广西壮族自治区财政厅关于规范政府采购货物和服务项目保证金管理的通知》</w:t>
            </w:r>
            <w:r>
              <w:rPr>
                <w:rFonts w:hint="eastAsia" w:ascii="宋体" w:hAnsi="宋体" w:eastAsia="宋体" w:cs="宋体"/>
                <w:b/>
                <w:color w:val="auto"/>
                <w:szCs w:val="21"/>
                <w:highlight w:val="none"/>
                <w:lang w:eastAsia="zh-CN"/>
              </w:rPr>
              <w:t>（桂财规〔2022〕8号）</w:t>
            </w:r>
            <w:r>
              <w:rPr>
                <w:rFonts w:hint="eastAsia" w:ascii="宋体" w:hAnsi="宋体" w:eastAsia="宋体" w:cs="宋体"/>
                <w:b/>
                <w:color w:val="auto"/>
                <w:szCs w:val="21"/>
                <w:highlight w:val="none"/>
              </w:rPr>
              <w:t>规定，鼓励采购人在与</w:t>
            </w:r>
            <w:r>
              <w:rPr>
                <w:rFonts w:hint="eastAsia" w:ascii="宋体" w:hAnsi="宋体" w:eastAsia="宋体" w:cs="宋体"/>
                <w:b/>
                <w:i w:val="0"/>
                <w:caps w:val="0"/>
                <w:color w:val="auto"/>
                <w:spacing w:val="0"/>
                <w:sz w:val="21"/>
                <w:szCs w:val="21"/>
                <w:highlight w:val="none"/>
              </w:rPr>
              <w:t>中小微企业</w:t>
            </w:r>
            <w:r>
              <w:rPr>
                <w:rFonts w:hint="eastAsia" w:ascii="宋体" w:hAnsi="宋体" w:eastAsia="宋体" w:cs="宋体"/>
                <w:b/>
                <w:color w:val="auto"/>
                <w:szCs w:val="21"/>
                <w:highlight w:val="none"/>
              </w:rPr>
              <w:t>签订政府采购合同时，</w:t>
            </w:r>
            <w:r>
              <w:rPr>
                <w:rFonts w:hint="eastAsia" w:ascii="宋体" w:hAnsi="宋体" w:eastAsia="宋体" w:cs="宋体"/>
                <w:b/>
                <w:i w:val="0"/>
                <w:caps w:val="0"/>
                <w:color w:val="auto"/>
                <w:spacing w:val="0"/>
                <w:sz w:val="21"/>
                <w:szCs w:val="21"/>
                <w:highlight w:val="none"/>
              </w:rPr>
              <w:t>减少或免于收取履约保证金</w:t>
            </w:r>
            <w:r>
              <w:rPr>
                <w:rFonts w:hint="eastAsia" w:ascii="宋体" w:hAnsi="宋体" w:eastAsia="宋体" w:cs="宋体"/>
                <w:b/>
                <w:color w:val="auto"/>
                <w:szCs w:val="21"/>
                <w:highlight w:val="none"/>
              </w:rPr>
              <w:t>，有必要收取履约保证金的，收取的履约保证金不得超过政府采购合同金额的5%</w:t>
            </w:r>
            <w:r>
              <w:rPr>
                <w:rFonts w:hint="eastAsia" w:ascii="宋体" w:hAnsi="宋体" w:eastAsia="宋体" w:cs="宋体"/>
                <w:b/>
                <w:color w:val="auto"/>
                <w:szCs w:val="21"/>
                <w:highlight w:val="none"/>
                <w:lang w:eastAsia="zh-CN"/>
              </w:rPr>
              <w:t>，对中小企业收取的履约保证金数额不得超过政府采购合同金额的2%</w:t>
            </w:r>
            <w:r>
              <w:rPr>
                <w:rFonts w:hint="eastAsia" w:ascii="宋体" w:hAnsi="宋体" w:eastAsia="宋体" w:cs="宋体"/>
                <w:b/>
                <w:color w:val="auto"/>
                <w:szCs w:val="21"/>
                <w:highlight w:val="none"/>
              </w:rPr>
              <w:t>。</w:t>
            </w:r>
            <w:bookmarkEnd w:id="99"/>
          </w:p>
          <w:p w14:paraId="1F9E7B29">
            <w:pPr>
              <w:keepNext w:val="0"/>
              <w:keepLines w:val="0"/>
              <w:pageBreakBefore w:val="0"/>
              <w:shd w:val="clear"/>
              <w:kinsoku/>
              <w:wordWrap/>
              <w:overflowPunct/>
              <w:topLinePunct w:val="0"/>
              <w:bidi w:val="0"/>
              <w:adjustRightInd/>
              <w:spacing w:line="432" w:lineRule="exact"/>
              <w:jc w:val="left"/>
              <w:textAlignment w:val="auto"/>
              <w:rPr>
                <w:rFonts w:hint="eastAsia" w:ascii="宋体" w:hAnsi="宋体" w:eastAsia="宋体" w:cs="宋体"/>
                <w:b/>
                <w:color w:val="auto"/>
                <w:szCs w:val="21"/>
                <w:highlight w:val="none"/>
                <w:lang w:eastAsia="zh-CN"/>
              </w:rPr>
            </w:pPr>
            <w:r>
              <w:rPr>
                <w:rFonts w:hint="eastAsia" w:ascii="宋体" w:hAnsi="宋体" w:eastAsia="宋体" w:cs="宋体"/>
                <w:b/>
                <w:color w:val="auto"/>
                <w:szCs w:val="21"/>
                <w:highlight w:val="none"/>
              </w:rPr>
              <w:t>2.</w:t>
            </w:r>
            <w:r>
              <w:rPr>
                <w:rFonts w:hint="eastAsia" w:ascii="宋体" w:hAnsi="宋体" w:eastAsia="宋体" w:cs="宋体"/>
                <w:color w:val="auto"/>
                <w:szCs w:val="21"/>
                <w:highlight w:val="none"/>
              </w:rPr>
              <w:t xml:space="preserve"> </w:t>
            </w:r>
            <w:r>
              <w:rPr>
                <w:rFonts w:hint="eastAsia" w:ascii="宋体" w:hAnsi="宋体" w:eastAsia="宋体" w:cs="宋体"/>
                <w:b/>
                <w:color w:val="auto"/>
                <w:szCs w:val="21"/>
                <w:highlight w:val="none"/>
              </w:rPr>
              <w:t>履约保证金不足额缴纳的（包含保函额度不足的），或者不按规定提交方式提交的，或者保函有效期低于合同履行期限（即合同中规定的当事人履行自己的义务，如交付标的物、价款或者报酬，履行劳务、完成工作的时间界限）的，不予签订合同。</w:t>
            </w:r>
          </w:p>
          <w:p w14:paraId="11BDED21">
            <w:pPr>
              <w:keepNext w:val="0"/>
              <w:keepLines w:val="0"/>
              <w:pageBreakBefore w:val="0"/>
              <w:shd w:val="clear"/>
              <w:kinsoku/>
              <w:wordWrap/>
              <w:overflowPunct/>
              <w:topLinePunct w:val="0"/>
              <w:bidi w:val="0"/>
              <w:adjustRightInd/>
              <w:spacing w:line="432" w:lineRule="exact"/>
              <w:jc w:val="left"/>
              <w:textAlignment w:val="auto"/>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3.采用金融、担保机构出具的保函的，必须为无条件保函，否则不予签订合同。</w:t>
            </w:r>
          </w:p>
          <w:p w14:paraId="3B8529AA">
            <w:pPr>
              <w:keepNext w:val="0"/>
              <w:keepLines w:val="0"/>
              <w:pageBreakBefore w:val="0"/>
              <w:shd w:val="clear"/>
              <w:kinsoku/>
              <w:wordWrap/>
              <w:overflowPunct/>
              <w:topLinePunct w:val="0"/>
              <w:autoSpaceDE w:val="0"/>
              <w:autoSpaceDN w:val="0"/>
              <w:bidi w:val="0"/>
              <w:adjustRightInd/>
              <w:snapToGrid w:val="0"/>
              <w:spacing w:line="432" w:lineRule="exact"/>
              <w:jc w:val="left"/>
              <w:textAlignment w:val="auto"/>
              <w:rPr>
                <w:rFonts w:hint="eastAsia" w:ascii="宋体" w:hAnsi="宋体" w:eastAsia="宋体" w:cs="宋体"/>
                <w:color w:val="auto"/>
                <w:sz w:val="21"/>
                <w:szCs w:val="21"/>
                <w:highlight w:val="none"/>
              </w:rPr>
            </w:pPr>
            <w:r>
              <w:rPr>
                <w:rFonts w:hint="eastAsia" w:ascii="宋体" w:hAnsi="宋体" w:eastAsia="宋体" w:cs="宋体"/>
                <w:b/>
                <w:color w:val="auto"/>
                <w:szCs w:val="21"/>
                <w:highlight w:val="none"/>
              </w:rPr>
              <w:t>4.投标人为联合体的，由联合体其中一方按规定提交的履约保证金，视为有效履约保证金。</w:t>
            </w:r>
          </w:p>
        </w:tc>
      </w:tr>
      <w:tr w14:paraId="4DFED2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5" w:type="dxa"/>
            <w:noWrap w:val="0"/>
            <w:vAlign w:val="center"/>
          </w:tcPr>
          <w:p w14:paraId="61E4DB36">
            <w:pPr>
              <w:keepNext w:val="0"/>
              <w:keepLines w:val="0"/>
              <w:pageBreakBefore w:val="0"/>
              <w:shd w:val="clear"/>
              <w:kinsoku/>
              <w:wordWrap/>
              <w:overflowPunct/>
              <w:topLinePunct w:val="0"/>
              <w:bidi w:val="0"/>
              <w:adjustRightInd/>
              <w:spacing w:line="432"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36.1</w:t>
            </w:r>
          </w:p>
        </w:tc>
        <w:tc>
          <w:tcPr>
            <w:tcW w:w="1907" w:type="dxa"/>
            <w:noWrap w:val="0"/>
            <w:vAlign w:val="center"/>
          </w:tcPr>
          <w:p w14:paraId="3A423452">
            <w:pPr>
              <w:keepNext w:val="0"/>
              <w:keepLines w:val="0"/>
              <w:pageBreakBefore w:val="0"/>
              <w:shd w:val="clear"/>
              <w:kinsoku/>
              <w:wordWrap/>
              <w:overflowPunct/>
              <w:topLinePunct w:val="0"/>
              <w:bidi w:val="0"/>
              <w:adjustRightInd/>
              <w:spacing w:line="432" w:lineRule="exact"/>
              <w:textAlignment w:val="auto"/>
              <w:rPr>
                <w:rFonts w:hint="eastAsia" w:ascii="宋体" w:hAnsi="宋体" w:eastAsia="宋体" w:cs="宋体"/>
                <w:color w:val="auto"/>
                <w:sz w:val="21"/>
                <w:szCs w:val="21"/>
                <w:highlight w:val="none"/>
              </w:rPr>
            </w:pPr>
            <w:bookmarkStart w:id="100" w:name="_40.1"/>
            <w:bookmarkEnd w:id="100"/>
            <w:r>
              <w:rPr>
                <w:rFonts w:hint="eastAsia" w:ascii="宋体" w:hAnsi="宋体" w:eastAsia="宋体" w:cs="宋体"/>
                <w:color w:val="auto"/>
                <w:sz w:val="21"/>
                <w:szCs w:val="21"/>
                <w:highlight w:val="none"/>
              </w:rPr>
              <w:t>签订合同携带的材料</w:t>
            </w:r>
          </w:p>
        </w:tc>
        <w:tc>
          <w:tcPr>
            <w:tcW w:w="7658" w:type="dxa"/>
            <w:noWrap w:val="0"/>
            <w:vAlign w:val="center"/>
          </w:tcPr>
          <w:p w14:paraId="06024A83">
            <w:pPr>
              <w:keepNext w:val="0"/>
              <w:keepLines w:val="0"/>
              <w:pageBreakBefore w:val="0"/>
              <w:shd w:val="clear"/>
              <w:kinsoku/>
              <w:wordWrap/>
              <w:overflowPunct/>
              <w:topLinePunct w:val="0"/>
              <w:autoSpaceDE w:val="0"/>
              <w:autoSpaceDN w:val="0"/>
              <w:bidi w:val="0"/>
              <w:adjustRightInd/>
              <w:snapToGrid w:val="0"/>
              <w:spacing w:line="432" w:lineRule="exac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委托代理人负责签订合同的，须携带</w:t>
            </w:r>
            <w:r>
              <w:rPr>
                <w:rFonts w:hint="eastAsia" w:ascii="宋体" w:hAnsi="宋体" w:eastAsia="宋体" w:cs="宋体"/>
                <w:color w:val="auto"/>
                <w:szCs w:val="21"/>
                <w:highlight w:val="none"/>
                <w:lang w:eastAsia="zh-CN"/>
              </w:rPr>
              <w:t>有效的法定代表人</w:t>
            </w:r>
            <w:r>
              <w:rPr>
                <w:rFonts w:hint="eastAsia" w:ascii="宋体" w:hAnsi="宋体" w:eastAsia="宋体" w:cs="宋体"/>
                <w:color w:val="auto"/>
                <w:szCs w:val="21"/>
                <w:highlight w:val="none"/>
              </w:rPr>
              <w:t>授权委托书及</w:t>
            </w:r>
            <w:r>
              <w:rPr>
                <w:rFonts w:hint="eastAsia" w:ascii="宋体" w:hAnsi="宋体" w:eastAsia="宋体" w:cs="宋体"/>
                <w:color w:val="auto"/>
                <w:szCs w:val="21"/>
                <w:highlight w:val="none"/>
                <w:lang w:eastAsia="zh-CN"/>
              </w:rPr>
              <w:t>其</w:t>
            </w:r>
            <w:r>
              <w:rPr>
                <w:rFonts w:hint="eastAsia" w:ascii="宋体" w:hAnsi="宋体" w:eastAsia="宋体" w:cs="宋体"/>
                <w:color w:val="auto"/>
                <w:szCs w:val="21"/>
                <w:highlight w:val="none"/>
              </w:rPr>
              <w:t>委托代理人身份证原件等</w:t>
            </w:r>
            <w:r>
              <w:rPr>
                <w:rFonts w:hint="eastAsia" w:ascii="宋体" w:hAnsi="宋体" w:eastAsia="宋体" w:cs="宋体"/>
                <w:color w:val="auto"/>
                <w:szCs w:val="21"/>
                <w:highlight w:val="none"/>
                <w:lang w:eastAsia="zh-CN"/>
              </w:rPr>
              <w:t>其他</w:t>
            </w:r>
            <w:r>
              <w:rPr>
                <w:rFonts w:hint="eastAsia" w:ascii="宋体" w:hAnsi="宋体" w:eastAsia="宋体" w:cs="宋体"/>
                <w:color w:val="auto"/>
                <w:szCs w:val="21"/>
                <w:highlight w:val="none"/>
              </w:rPr>
              <w:t>资格证件。</w:t>
            </w:r>
          </w:p>
          <w:p w14:paraId="0ADAE906">
            <w:pPr>
              <w:keepNext w:val="0"/>
              <w:keepLines w:val="0"/>
              <w:pageBreakBefore w:val="0"/>
              <w:shd w:val="clear"/>
              <w:kinsoku/>
              <w:wordWrap/>
              <w:overflowPunct/>
              <w:topLinePunct w:val="0"/>
              <w:autoSpaceDE w:val="0"/>
              <w:autoSpaceDN w:val="0"/>
              <w:bidi w:val="0"/>
              <w:adjustRightInd/>
              <w:snapToGrid w:val="0"/>
              <w:spacing w:line="432"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法定代表人负责签订合同的，须携带法定代表人身份证明原件及身份证原件等</w:t>
            </w:r>
            <w:r>
              <w:rPr>
                <w:rFonts w:hint="eastAsia" w:ascii="宋体" w:hAnsi="宋体" w:eastAsia="宋体" w:cs="宋体"/>
                <w:color w:val="auto"/>
                <w:sz w:val="21"/>
                <w:szCs w:val="21"/>
                <w:highlight w:val="none"/>
                <w:lang w:eastAsia="zh-CN"/>
              </w:rPr>
              <w:t>其他</w:t>
            </w:r>
            <w:r>
              <w:rPr>
                <w:rFonts w:hint="eastAsia" w:ascii="宋体" w:hAnsi="宋体" w:eastAsia="宋体" w:cs="宋体"/>
                <w:color w:val="auto"/>
                <w:sz w:val="21"/>
                <w:szCs w:val="21"/>
                <w:highlight w:val="none"/>
              </w:rPr>
              <w:t>证明材料。</w:t>
            </w:r>
          </w:p>
        </w:tc>
      </w:tr>
      <w:tr w14:paraId="7A51BD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1" w:hRule="atLeast"/>
          <w:jc w:val="center"/>
        </w:trPr>
        <w:tc>
          <w:tcPr>
            <w:tcW w:w="675" w:type="dxa"/>
            <w:vMerge w:val="restart"/>
            <w:noWrap w:val="0"/>
            <w:vAlign w:val="center"/>
          </w:tcPr>
          <w:p w14:paraId="39076923">
            <w:pPr>
              <w:keepNext w:val="0"/>
              <w:keepLines w:val="0"/>
              <w:pageBreakBefore w:val="0"/>
              <w:shd w:val="clear"/>
              <w:kinsoku/>
              <w:wordWrap/>
              <w:overflowPunct/>
              <w:topLinePunct w:val="0"/>
              <w:bidi w:val="0"/>
              <w:adjustRightInd/>
              <w:spacing w:line="432"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38.2.1</w:t>
            </w:r>
          </w:p>
        </w:tc>
        <w:tc>
          <w:tcPr>
            <w:tcW w:w="1907" w:type="dxa"/>
            <w:noWrap w:val="0"/>
            <w:vAlign w:val="center"/>
          </w:tcPr>
          <w:p w14:paraId="6CCA0D46">
            <w:pPr>
              <w:keepNext w:val="0"/>
              <w:keepLines w:val="0"/>
              <w:pageBreakBefore w:val="0"/>
              <w:shd w:val="clear"/>
              <w:kinsoku/>
              <w:wordWrap/>
              <w:overflowPunct/>
              <w:topLinePunct w:val="0"/>
              <w:bidi w:val="0"/>
              <w:adjustRightInd/>
              <w:spacing w:line="432"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接收质疑函方式</w:t>
            </w:r>
          </w:p>
        </w:tc>
        <w:tc>
          <w:tcPr>
            <w:tcW w:w="7658" w:type="dxa"/>
            <w:noWrap w:val="0"/>
            <w:vAlign w:val="center"/>
          </w:tcPr>
          <w:p w14:paraId="3A8A94B8">
            <w:pPr>
              <w:keepNext w:val="0"/>
              <w:keepLines w:val="0"/>
              <w:pageBreakBefore w:val="0"/>
              <w:shd w:val="clear"/>
              <w:kinsoku/>
              <w:wordWrap/>
              <w:overflowPunct/>
              <w:topLinePunct w:val="0"/>
              <w:bidi w:val="0"/>
              <w:adjustRightInd/>
              <w:snapToGrid w:val="0"/>
              <w:spacing w:line="432"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以书面形式</w:t>
            </w:r>
          </w:p>
        </w:tc>
      </w:tr>
      <w:tr w14:paraId="691964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9" w:hRule="atLeast"/>
          <w:jc w:val="center"/>
        </w:trPr>
        <w:tc>
          <w:tcPr>
            <w:tcW w:w="675" w:type="dxa"/>
            <w:vMerge w:val="continue"/>
            <w:noWrap w:val="0"/>
            <w:vAlign w:val="center"/>
          </w:tcPr>
          <w:p w14:paraId="6C159589">
            <w:pPr>
              <w:keepNext w:val="0"/>
              <w:keepLines w:val="0"/>
              <w:pageBreakBefore w:val="0"/>
              <w:widowControl/>
              <w:shd w:val="clear"/>
              <w:kinsoku/>
              <w:wordWrap/>
              <w:overflowPunct/>
              <w:topLinePunct w:val="0"/>
              <w:bidi w:val="0"/>
              <w:adjustRightInd/>
              <w:spacing w:line="432" w:lineRule="exact"/>
              <w:jc w:val="left"/>
              <w:textAlignment w:val="auto"/>
              <w:rPr>
                <w:rFonts w:hint="eastAsia" w:ascii="宋体" w:hAnsi="宋体" w:eastAsia="宋体" w:cs="宋体"/>
                <w:color w:val="auto"/>
                <w:sz w:val="21"/>
                <w:szCs w:val="21"/>
                <w:highlight w:val="none"/>
              </w:rPr>
            </w:pPr>
          </w:p>
        </w:tc>
        <w:tc>
          <w:tcPr>
            <w:tcW w:w="1907" w:type="dxa"/>
            <w:noWrap w:val="0"/>
            <w:vAlign w:val="center"/>
          </w:tcPr>
          <w:p w14:paraId="260B7D42">
            <w:pPr>
              <w:keepNext w:val="0"/>
              <w:keepLines w:val="0"/>
              <w:pageBreakBefore w:val="0"/>
              <w:shd w:val="clear"/>
              <w:kinsoku/>
              <w:wordWrap/>
              <w:overflowPunct/>
              <w:topLinePunct w:val="0"/>
              <w:bidi w:val="0"/>
              <w:adjustRightInd/>
              <w:spacing w:line="432"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质疑联系部门及联系方式</w:t>
            </w:r>
          </w:p>
        </w:tc>
        <w:tc>
          <w:tcPr>
            <w:tcW w:w="7658" w:type="dxa"/>
            <w:noWrap w:val="0"/>
            <w:vAlign w:val="center"/>
          </w:tcPr>
          <w:p w14:paraId="2910CBA7">
            <w:pPr>
              <w:keepNext w:val="0"/>
              <w:keepLines w:val="0"/>
              <w:pageBreakBefore w:val="0"/>
              <w:shd w:val="clear"/>
              <w:kinsoku/>
              <w:wordWrap/>
              <w:overflowPunct/>
              <w:topLinePunct w:val="0"/>
              <w:bidi w:val="0"/>
              <w:adjustRightInd/>
              <w:snapToGrid w:val="0"/>
              <w:spacing w:line="432" w:lineRule="exact"/>
              <w:textAlignment w:val="auto"/>
              <w:rPr>
                <w:rFonts w:hint="eastAsia" w:ascii="宋体" w:hAnsi="宋体" w:eastAsia="宋体" w:cs="宋体"/>
                <w:color w:val="auto"/>
                <w:kern w:val="0"/>
                <w:szCs w:val="21"/>
                <w:highlight w:val="none"/>
                <w:lang w:eastAsia="zh-CN"/>
              </w:rPr>
            </w:pP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rPr>
              <w:t>1）</w:t>
            </w:r>
            <w:r>
              <w:rPr>
                <w:rFonts w:hint="eastAsia" w:ascii="宋体" w:hAnsi="宋体" w:eastAsia="宋体" w:cs="宋体"/>
                <w:color w:val="auto"/>
                <w:szCs w:val="21"/>
                <w:highlight w:val="none"/>
                <w:lang w:eastAsia="zh-CN"/>
              </w:rPr>
              <w:t>名称：</w:t>
            </w:r>
            <w:r>
              <w:rPr>
                <w:rFonts w:hint="eastAsia" w:ascii="宋体" w:hAnsi="宋体" w:cs="宋体"/>
                <w:color w:val="auto"/>
                <w:kern w:val="0"/>
                <w:szCs w:val="21"/>
                <w:highlight w:val="none"/>
                <w:lang w:eastAsia="zh-CN"/>
              </w:rPr>
              <w:t>浦北县第一职业技术学校</w:t>
            </w:r>
          </w:p>
          <w:p w14:paraId="5328E16B">
            <w:pPr>
              <w:keepNext w:val="0"/>
              <w:keepLines w:val="0"/>
              <w:pageBreakBefore w:val="0"/>
              <w:shd w:val="clear"/>
              <w:kinsoku/>
              <w:wordWrap/>
              <w:overflowPunct/>
              <w:topLinePunct w:val="0"/>
              <w:bidi w:val="0"/>
              <w:adjustRightInd/>
              <w:snapToGrid w:val="0"/>
              <w:spacing w:line="432" w:lineRule="exact"/>
              <w:textAlignment w:val="auto"/>
              <w:rPr>
                <w:rFonts w:hint="default" w:ascii="宋体" w:hAnsi="宋体" w:eastAsia="宋体" w:cs="宋体"/>
                <w:color w:val="auto"/>
                <w:szCs w:val="21"/>
                <w:highlight w:val="none"/>
                <w:lang w:val="en-US" w:eastAsia="zh-CN"/>
              </w:rPr>
            </w:pPr>
            <w:r>
              <w:rPr>
                <w:rFonts w:hint="eastAsia" w:ascii="宋体" w:hAnsi="宋体" w:eastAsia="宋体" w:cs="宋体"/>
                <w:color w:val="auto"/>
                <w:szCs w:val="21"/>
                <w:highlight w:val="none"/>
              </w:rPr>
              <w:t>联系电话：0777</w:t>
            </w:r>
            <w:r>
              <w:rPr>
                <w:rFonts w:hint="eastAsia" w:ascii="宋体" w:hAnsi="宋体" w:cs="宋体"/>
                <w:color w:val="auto"/>
                <w:szCs w:val="21"/>
                <w:highlight w:val="none"/>
                <w:lang w:val="en-US" w:eastAsia="zh-CN"/>
              </w:rPr>
              <w:t>-</w:t>
            </w:r>
            <w:r>
              <w:rPr>
                <w:rFonts w:hint="eastAsia" w:ascii="宋体" w:hAnsi="宋体" w:eastAsia="宋体" w:cs="宋体"/>
                <w:color w:val="auto"/>
                <w:szCs w:val="21"/>
                <w:highlight w:val="none"/>
              </w:rPr>
              <w:t>8319585</w:t>
            </w:r>
          </w:p>
          <w:p w14:paraId="0462F5F4">
            <w:pPr>
              <w:keepNext w:val="0"/>
              <w:keepLines w:val="0"/>
              <w:pageBreakBefore w:val="0"/>
              <w:shd w:val="clear"/>
              <w:kinsoku/>
              <w:wordWrap/>
              <w:overflowPunct/>
              <w:topLinePunct w:val="0"/>
              <w:bidi w:val="0"/>
              <w:adjustRightInd/>
              <w:snapToGrid w:val="0"/>
              <w:spacing w:line="432" w:lineRule="exac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通讯地址：</w:t>
            </w:r>
            <w:r>
              <w:rPr>
                <w:rFonts w:hint="eastAsia" w:ascii="宋体" w:hAnsi="宋体" w:eastAsia="宋体" w:cs="宋体"/>
                <w:color w:val="auto"/>
                <w:kern w:val="0"/>
                <w:szCs w:val="21"/>
                <w:highlight w:val="none"/>
              </w:rPr>
              <w:t>浦北县江城街道科园路111号</w:t>
            </w:r>
          </w:p>
          <w:p w14:paraId="342DD6DA">
            <w:pPr>
              <w:keepNext w:val="0"/>
              <w:keepLines w:val="0"/>
              <w:pageBreakBefore w:val="0"/>
              <w:shd w:val="clear"/>
              <w:kinsoku/>
              <w:wordWrap/>
              <w:overflowPunct/>
              <w:topLinePunct w:val="0"/>
              <w:bidi w:val="0"/>
              <w:adjustRightInd/>
              <w:snapToGrid w:val="0"/>
              <w:spacing w:line="432" w:lineRule="exact"/>
              <w:textAlignment w:val="auto"/>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rPr>
              <w:t>（2）</w:t>
            </w:r>
            <w:r>
              <w:rPr>
                <w:rFonts w:hint="eastAsia" w:ascii="宋体" w:hAnsi="宋体" w:eastAsia="宋体" w:cs="宋体"/>
                <w:color w:val="auto"/>
                <w:szCs w:val="21"/>
                <w:highlight w:val="none"/>
                <w:lang w:eastAsia="zh-CN"/>
              </w:rPr>
              <w:t>名称：</w:t>
            </w:r>
            <w:r>
              <w:rPr>
                <w:rFonts w:hint="eastAsia" w:ascii="宋体" w:hAnsi="宋体" w:eastAsia="宋体" w:cs="宋体"/>
                <w:color w:val="auto"/>
                <w:kern w:val="0"/>
                <w:szCs w:val="21"/>
                <w:highlight w:val="none"/>
                <w:lang w:eastAsia="zh-CN"/>
              </w:rPr>
              <w:t>广西至胜招标有限公司</w:t>
            </w:r>
          </w:p>
          <w:p w14:paraId="610D2B05">
            <w:pPr>
              <w:keepNext w:val="0"/>
              <w:keepLines w:val="0"/>
              <w:pageBreakBefore w:val="0"/>
              <w:shd w:val="clear"/>
              <w:kinsoku/>
              <w:wordWrap/>
              <w:overflowPunct/>
              <w:topLinePunct w:val="0"/>
              <w:bidi w:val="0"/>
              <w:adjustRightInd/>
              <w:snapToGrid w:val="0"/>
              <w:spacing w:line="432" w:lineRule="exact"/>
              <w:textAlignment w:val="auto"/>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rPr>
              <w:t>联系电话：0777-8831096</w:t>
            </w:r>
          </w:p>
          <w:p w14:paraId="29D3520C">
            <w:pPr>
              <w:keepNext w:val="0"/>
              <w:keepLines w:val="0"/>
              <w:pageBreakBefore w:val="0"/>
              <w:shd w:val="clear"/>
              <w:kinsoku/>
              <w:wordWrap/>
              <w:overflowPunct/>
              <w:topLinePunct w:val="0"/>
              <w:bidi w:val="0"/>
              <w:adjustRightInd/>
              <w:snapToGrid w:val="0"/>
              <w:spacing w:line="432" w:lineRule="exact"/>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Cs w:val="21"/>
                <w:highlight w:val="none"/>
              </w:rPr>
              <w:t>通讯地址：</w:t>
            </w:r>
            <w:r>
              <w:rPr>
                <w:rFonts w:hint="eastAsia" w:ascii="宋体" w:hAnsi="宋体" w:eastAsia="宋体" w:cs="宋体"/>
                <w:color w:val="auto"/>
                <w:szCs w:val="21"/>
                <w:highlight w:val="none"/>
                <w:lang w:eastAsia="zh-CN"/>
              </w:rPr>
              <w:t>浦北县小江镇常青路18号(县城南区二级公路西向)</w:t>
            </w:r>
          </w:p>
        </w:tc>
      </w:tr>
      <w:tr w14:paraId="4A6E41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9" w:hRule="atLeast"/>
          <w:jc w:val="center"/>
        </w:trPr>
        <w:tc>
          <w:tcPr>
            <w:tcW w:w="675" w:type="dxa"/>
            <w:vMerge w:val="continue"/>
            <w:noWrap w:val="0"/>
            <w:vAlign w:val="center"/>
          </w:tcPr>
          <w:p w14:paraId="7AFC83C1">
            <w:pPr>
              <w:keepNext w:val="0"/>
              <w:keepLines w:val="0"/>
              <w:pageBreakBefore w:val="0"/>
              <w:widowControl/>
              <w:shd w:val="clear"/>
              <w:kinsoku/>
              <w:wordWrap/>
              <w:overflowPunct/>
              <w:topLinePunct w:val="0"/>
              <w:bidi w:val="0"/>
              <w:adjustRightInd/>
              <w:spacing w:line="432" w:lineRule="exact"/>
              <w:jc w:val="left"/>
              <w:textAlignment w:val="auto"/>
              <w:rPr>
                <w:rFonts w:hint="eastAsia" w:ascii="宋体" w:hAnsi="宋体" w:eastAsia="宋体" w:cs="宋体"/>
                <w:color w:val="auto"/>
                <w:sz w:val="21"/>
                <w:szCs w:val="21"/>
                <w:highlight w:val="none"/>
              </w:rPr>
            </w:pPr>
          </w:p>
        </w:tc>
        <w:tc>
          <w:tcPr>
            <w:tcW w:w="1907" w:type="dxa"/>
            <w:noWrap w:val="0"/>
            <w:vAlign w:val="center"/>
          </w:tcPr>
          <w:p w14:paraId="43EEFAE8">
            <w:pPr>
              <w:keepNext w:val="0"/>
              <w:keepLines w:val="0"/>
              <w:pageBreakBefore w:val="0"/>
              <w:shd w:val="clear"/>
              <w:kinsoku/>
              <w:wordWrap/>
              <w:overflowPunct/>
              <w:topLinePunct w:val="0"/>
              <w:bidi w:val="0"/>
              <w:adjustRightInd/>
              <w:spacing w:line="432"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现场提交质疑办理业务时间</w:t>
            </w:r>
          </w:p>
        </w:tc>
        <w:tc>
          <w:tcPr>
            <w:tcW w:w="7658" w:type="dxa"/>
            <w:noWrap w:val="0"/>
            <w:vAlign w:val="center"/>
          </w:tcPr>
          <w:p w14:paraId="4BEC3942">
            <w:pPr>
              <w:keepNext w:val="0"/>
              <w:keepLines w:val="0"/>
              <w:pageBreakBefore w:val="0"/>
              <w:shd w:val="clear"/>
              <w:kinsoku/>
              <w:wordWrap/>
              <w:overflowPunct/>
              <w:topLinePunct w:val="0"/>
              <w:bidi w:val="0"/>
              <w:adjustRightInd/>
              <w:snapToGrid w:val="0"/>
              <w:spacing w:line="432" w:lineRule="exact"/>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质疑期内每个工作日（北京时间）</w:t>
            </w:r>
            <w:r>
              <w:rPr>
                <w:rFonts w:hint="eastAsia" w:ascii="宋体" w:hAnsi="宋体" w:eastAsia="宋体" w:cs="宋体"/>
                <w:color w:val="auto"/>
                <w:sz w:val="21"/>
                <w:szCs w:val="21"/>
                <w:highlight w:val="none"/>
                <w:lang w:eastAsia="zh-CN"/>
              </w:rPr>
              <w:t>上午</w:t>
            </w:r>
            <w:r>
              <w:rPr>
                <w:rFonts w:hint="eastAsia" w:ascii="宋体" w:hAnsi="宋体" w:eastAsia="宋体" w:cs="宋体"/>
                <w:color w:val="auto"/>
                <w:sz w:val="21"/>
                <w:szCs w:val="21"/>
                <w:highlight w:val="none"/>
                <w:u w:val="single"/>
              </w:rPr>
              <w:t>8</w:t>
            </w:r>
            <w:r>
              <w:rPr>
                <w:rFonts w:hint="eastAsia" w:ascii="宋体" w:hAnsi="宋体" w:eastAsia="宋体" w:cs="宋体"/>
                <w:color w:val="auto"/>
                <w:sz w:val="21"/>
                <w:szCs w:val="21"/>
                <w:highlight w:val="none"/>
              </w:rPr>
              <w:t>时</w:t>
            </w:r>
            <w:r>
              <w:rPr>
                <w:rFonts w:hint="eastAsia" w:ascii="宋体" w:hAnsi="宋体" w:eastAsia="宋体" w:cs="宋体"/>
                <w:color w:val="auto"/>
                <w:sz w:val="21"/>
                <w:szCs w:val="21"/>
                <w:highlight w:val="none"/>
                <w:u w:val="single"/>
              </w:rPr>
              <w:t>00</w:t>
            </w:r>
            <w:r>
              <w:rPr>
                <w:rFonts w:hint="eastAsia" w:ascii="宋体" w:hAnsi="宋体" w:eastAsia="宋体" w:cs="宋体"/>
                <w:color w:val="auto"/>
                <w:sz w:val="21"/>
                <w:szCs w:val="21"/>
                <w:highlight w:val="none"/>
              </w:rPr>
              <w:t>分到</w:t>
            </w:r>
            <w:r>
              <w:rPr>
                <w:rFonts w:hint="eastAsia" w:ascii="宋体" w:hAnsi="宋体" w:eastAsia="宋体" w:cs="宋体"/>
                <w:color w:val="auto"/>
                <w:sz w:val="21"/>
                <w:szCs w:val="21"/>
                <w:highlight w:val="none"/>
                <w:u w:val="single"/>
              </w:rPr>
              <w:t>12</w:t>
            </w:r>
            <w:r>
              <w:rPr>
                <w:rFonts w:hint="eastAsia" w:ascii="宋体" w:hAnsi="宋体" w:eastAsia="宋体" w:cs="宋体"/>
                <w:color w:val="auto"/>
                <w:sz w:val="21"/>
                <w:szCs w:val="21"/>
                <w:highlight w:val="none"/>
              </w:rPr>
              <w:t>时</w:t>
            </w:r>
            <w:r>
              <w:rPr>
                <w:rFonts w:hint="eastAsia" w:ascii="宋体" w:hAnsi="宋体" w:eastAsia="宋体" w:cs="宋体"/>
                <w:color w:val="auto"/>
                <w:sz w:val="21"/>
                <w:szCs w:val="21"/>
                <w:highlight w:val="none"/>
                <w:u w:val="single"/>
              </w:rPr>
              <w:t>00</w:t>
            </w:r>
            <w:r>
              <w:rPr>
                <w:rFonts w:hint="eastAsia" w:ascii="宋体" w:hAnsi="宋体" w:eastAsia="宋体" w:cs="宋体"/>
                <w:color w:val="auto"/>
                <w:sz w:val="21"/>
                <w:szCs w:val="21"/>
                <w:highlight w:val="none"/>
              </w:rPr>
              <w:t>分，</w:t>
            </w:r>
            <w:r>
              <w:rPr>
                <w:rFonts w:hint="eastAsia" w:ascii="宋体" w:hAnsi="宋体" w:eastAsia="宋体" w:cs="宋体"/>
                <w:color w:val="auto"/>
                <w:sz w:val="21"/>
                <w:szCs w:val="21"/>
                <w:highlight w:val="none"/>
                <w:lang w:eastAsia="zh-CN"/>
              </w:rPr>
              <w:t>下午</w:t>
            </w:r>
            <w:r>
              <w:rPr>
                <w:rFonts w:hint="eastAsia" w:ascii="宋体" w:hAnsi="宋体" w:eastAsia="宋体" w:cs="宋体"/>
                <w:color w:val="auto"/>
                <w:sz w:val="21"/>
                <w:szCs w:val="21"/>
                <w:highlight w:val="none"/>
                <w:u w:val="single"/>
              </w:rPr>
              <w:t>15</w:t>
            </w:r>
            <w:r>
              <w:rPr>
                <w:rFonts w:hint="eastAsia" w:ascii="宋体" w:hAnsi="宋体" w:eastAsia="宋体" w:cs="宋体"/>
                <w:color w:val="auto"/>
                <w:sz w:val="21"/>
                <w:szCs w:val="21"/>
                <w:highlight w:val="none"/>
              </w:rPr>
              <w:t>时</w:t>
            </w:r>
            <w:r>
              <w:rPr>
                <w:rFonts w:hint="eastAsia" w:ascii="宋体" w:hAnsi="宋体" w:eastAsia="宋体" w:cs="宋体"/>
                <w:color w:val="auto"/>
                <w:sz w:val="21"/>
                <w:szCs w:val="21"/>
                <w:highlight w:val="none"/>
                <w:u w:val="single"/>
              </w:rPr>
              <w:t>00</w:t>
            </w:r>
            <w:r>
              <w:rPr>
                <w:rFonts w:hint="eastAsia" w:ascii="宋体" w:hAnsi="宋体" w:eastAsia="宋体" w:cs="宋体"/>
                <w:color w:val="auto"/>
                <w:sz w:val="21"/>
                <w:szCs w:val="21"/>
                <w:highlight w:val="none"/>
              </w:rPr>
              <w:t>分到</w:t>
            </w:r>
            <w:r>
              <w:rPr>
                <w:rFonts w:hint="eastAsia" w:ascii="宋体" w:hAnsi="宋体" w:eastAsia="宋体" w:cs="宋体"/>
                <w:color w:val="auto"/>
                <w:sz w:val="21"/>
                <w:szCs w:val="21"/>
                <w:highlight w:val="none"/>
                <w:u w:val="single"/>
              </w:rPr>
              <w:t>18</w:t>
            </w:r>
            <w:r>
              <w:rPr>
                <w:rFonts w:hint="eastAsia" w:ascii="宋体" w:hAnsi="宋体" w:eastAsia="宋体" w:cs="宋体"/>
                <w:color w:val="auto"/>
                <w:sz w:val="21"/>
                <w:szCs w:val="21"/>
                <w:highlight w:val="none"/>
              </w:rPr>
              <w:t>时</w:t>
            </w:r>
            <w:r>
              <w:rPr>
                <w:rFonts w:hint="eastAsia" w:ascii="宋体" w:hAnsi="宋体" w:eastAsia="宋体" w:cs="宋体"/>
                <w:color w:val="auto"/>
                <w:sz w:val="21"/>
                <w:szCs w:val="21"/>
                <w:highlight w:val="none"/>
                <w:u w:val="single"/>
              </w:rPr>
              <w:t>00</w:t>
            </w:r>
            <w:r>
              <w:rPr>
                <w:rFonts w:hint="eastAsia" w:ascii="宋体" w:hAnsi="宋体" w:eastAsia="宋体" w:cs="宋体"/>
                <w:color w:val="auto"/>
                <w:sz w:val="21"/>
                <w:szCs w:val="21"/>
                <w:highlight w:val="none"/>
              </w:rPr>
              <w:t>分</w:t>
            </w:r>
            <w:r>
              <w:rPr>
                <w:rFonts w:hint="eastAsia" w:ascii="宋体" w:hAnsi="宋体" w:eastAsia="宋体" w:cs="宋体"/>
                <w:color w:val="auto"/>
                <w:sz w:val="21"/>
                <w:szCs w:val="21"/>
                <w:highlight w:val="none"/>
                <w:lang w:eastAsia="zh-CN"/>
              </w:rPr>
              <w:t>。</w:t>
            </w:r>
          </w:p>
        </w:tc>
      </w:tr>
      <w:tr w14:paraId="5C90D3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9" w:hRule="atLeast"/>
          <w:jc w:val="center"/>
        </w:trPr>
        <w:tc>
          <w:tcPr>
            <w:tcW w:w="675" w:type="dxa"/>
            <w:noWrap w:val="0"/>
            <w:vAlign w:val="center"/>
          </w:tcPr>
          <w:p w14:paraId="7A15F3B7">
            <w:pPr>
              <w:keepNext w:val="0"/>
              <w:keepLines w:val="0"/>
              <w:pageBreakBefore w:val="0"/>
              <w:shd w:val="clear"/>
              <w:kinsoku/>
              <w:wordWrap/>
              <w:overflowPunct/>
              <w:topLinePunct w:val="0"/>
              <w:bidi w:val="0"/>
              <w:adjustRightInd/>
              <w:spacing w:line="432"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38.3.1</w:t>
            </w:r>
          </w:p>
        </w:tc>
        <w:tc>
          <w:tcPr>
            <w:tcW w:w="1907" w:type="dxa"/>
            <w:noWrap w:val="0"/>
            <w:vAlign w:val="center"/>
          </w:tcPr>
          <w:p w14:paraId="5ECA32C6">
            <w:pPr>
              <w:keepNext w:val="0"/>
              <w:keepLines w:val="0"/>
              <w:pageBreakBefore w:val="0"/>
              <w:shd w:val="clear"/>
              <w:kinsoku/>
              <w:wordWrap/>
              <w:overflowPunct/>
              <w:topLinePunct w:val="0"/>
              <w:bidi w:val="0"/>
              <w:adjustRightInd/>
              <w:spacing w:line="432"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投诉受理方式</w:t>
            </w:r>
          </w:p>
        </w:tc>
        <w:tc>
          <w:tcPr>
            <w:tcW w:w="7658" w:type="dxa"/>
            <w:noWrap w:val="0"/>
            <w:vAlign w:val="center"/>
          </w:tcPr>
          <w:p w14:paraId="3865A212">
            <w:pPr>
              <w:keepNext w:val="0"/>
              <w:keepLines w:val="0"/>
              <w:pageBreakBefore w:val="0"/>
              <w:shd w:val="clear"/>
              <w:kinsoku/>
              <w:wordWrap/>
              <w:overflowPunct/>
              <w:topLinePunct w:val="0"/>
              <w:bidi w:val="0"/>
              <w:adjustRightInd/>
              <w:snapToGrid w:val="0"/>
              <w:spacing w:line="432"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1、受理方式：纸质方式受理，投诉书正、副本（经过质疑的事项才可投诉）。</w:t>
            </w:r>
          </w:p>
          <w:p w14:paraId="385044F4">
            <w:pPr>
              <w:keepNext w:val="0"/>
              <w:keepLines w:val="0"/>
              <w:pageBreakBefore w:val="0"/>
              <w:shd w:val="clear"/>
              <w:kinsoku/>
              <w:wordWrap/>
              <w:overflowPunct/>
              <w:topLinePunct w:val="0"/>
              <w:bidi w:val="0"/>
              <w:adjustRightInd/>
              <w:snapToGrid w:val="0"/>
              <w:spacing w:line="432" w:lineRule="exact"/>
              <w:textAlignment w:val="auto"/>
              <w:rPr>
                <w:rFonts w:hint="eastAsia" w:ascii="宋体" w:hAnsi="宋体" w:eastAsia="宋体" w:cs="宋体"/>
                <w:color w:val="auto"/>
                <w:highlight w:val="none"/>
              </w:rPr>
            </w:pPr>
            <w:r>
              <w:rPr>
                <w:rFonts w:hint="eastAsia" w:ascii="宋体" w:hAnsi="宋体" w:eastAsia="宋体" w:cs="宋体"/>
                <w:color w:val="auto"/>
                <w:sz w:val="21"/>
                <w:szCs w:val="21"/>
                <w:highlight w:val="none"/>
              </w:rPr>
              <w:t>2、</w:t>
            </w:r>
            <w:r>
              <w:rPr>
                <w:rFonts w:hint="eastAsia" w:ascii="宋体" w:hAnsi="宋体" w:eastAsia="宋体" w:cs="宋体"/>
                <w:color w:val="auto"/>
                <w:szCs w:val="21"/>
                <w:highlight w:val="none"/>
                <w:lang w:eastAsia="zh-CN"/>
              </w:rPr>
              <w:t>通讯</w:t>
            </w:r>
            <w:r>
              <w:rPr>
                <w:rFonts w:hint="eastAsia" w:ascii="宋体" w:hAnsi="宋体" w:eastAsia="宋体" w:cs="宋体"/>
                <w:color w:val="auto"/>
                <w:highlight w:val="none"/>
                <w:lang w:eastAsia="zh-CN"/>
              </w:rPr>
              <w:t>方式</w:t>
            </w:r>
          </w:p>
          <w:p w14:paraId="29E21FB5">
            <w:pPr>
              <w:keepNext w:val="0"/>
              <w:keepLines w:val="0"/>
              <w:pageBreakBefore w:val="0"/>
              <w:shd w:val="clear"/>
              <w:kinsoku/>
              <w:wordWrap/>
              <w:overflowPunct/>
              <w:topLinePunct w:val="0"/>
              <w:bidi w:val="0"/>
              <w:adjustRightInd/>
              <w:snapToGrid w:val="0"/>
              <w:spacing w:line="432" w:lineRule="exact"/>
              <w:textAlignment w:val="auto"/>
              <w:rPr>
                <w:rFonts w:hint="eastAsia" w:ascii="宋体" w:hAnsi="宋体" w:eastAsia="宋体" w:cs="宋体"/>
                <w:color w:val="auto"/>
                <w:highlight w:val="none"/>
              </w:rPr>
            </w:pPr>
            <w:r>
              <w:rPr>
                <w:rFonts w:hint="eastAsia" w:ascii="宋体" w:hAnsi="宋体" w:eastAsia="宋体" w:cs="宋体"/>
                <w:color w:val="auto"/>
                <w:highlight w:val="none"/>
              </w:rPr>
              <w:t>名称：</w:t>
            </w:r>
            <w:r>
              <w:rPr>
                <w:rFonts w:hint="eastAsia" w:ascii="宋体" w:hAnsi="宋体" w:eastAsia="宋体" w:cs="宋体"/>
                <w:color w:val="auto"/>
                <w:kern w:val="0"/>
                <w:szCs w:val="21"/>
                <w:highlight w:val="none"/>
              </w:rPr>
              <w:t>浦北县财政局政府采购监督管理部门</w:t>
            </w:r>
          </w:p>
          <w:p w14:paraId="45D9B524">
            <w:pPr>
              <w:keepNext w:val="0"/>
              <w:keepLines w:val="0"/>
              <w:pageBreakBefore w:val="0"/>
              <w:shd w:val="clear"/>
              <w:kinsoku/>
              <w:wordWrap/>
              <w:overflowPunct/>
              <w:topLinePunct w:val="0"/>
              <w:bidi w:val="0"/>
              <w:adjustRightInd/>
              <w:snapToGrid w:val="0"/>
              <w:spacing w:line="432" w:lineRule="exact"/>
              <w:textAlignment w:val="auto"/>
              <w:rPr>
                <w:rFonts w:hint="eastAsia" w:ascii="宋体" w:hAnsi="宋体" w:eastAsia="宋体" w:cs="宋体"/>
                <w:color w:val="auto"/>
                <w:highlight w:val="none"/>
              </w:rPr>
            </w:pPr>
            <w:r>
              <w:rPr>
                <w:rFonts w:hint="eastAsia" w:ascii="宋体" w:hAnsi="宋体" w:eastAsia="宋体" w:cs="宋体"/>
                <w:color w:val="auto"/>
                <w:highlight w:val="none"/>
              </w:rPr>
              <w:t>地址：</w:t>
            </w:r>
            <w:r>
              <w:rPr>
                <w:rFonts w:hint="eastAsia" w:ascii="宋体" w:hAnsi="宋体" w:eastAsia="宋体" w:cs="宋体"/>
                <w:color w:val="auto"/>
                <w:kern w:val="0"/>
                <w:szCs w:val="21"/>
                <w:highlight w:val="none"/>
              </w:rPr>
              <w:t>钦州市浦北县小江镇西滨路财政大厦</w:t>
            </w:r>
          </w:p>
          <w:p w14:paraId="7A387357">
            <w:pPr>
              <w:keepNext w:val="0"/>
              <w:keepLines w:val="0"/>
              <w:pageBreakBefore w:val="0"/>
              <w:shd w:val="clear"/>
              <w:kinsoku/>
              <w:wordWrap/>
              <w:overflowPunct/>
              <w:topLinePunct w:val="0"/>
              <w:bidi w:val="0"/>
              <w:adjustRightInd/>
              <w:snapToGrid w:val="0"/>
              <w:spacing w:line="432" w:lineRule="exact"/>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highlight w:val="none"/>
              </w:rPr>
              <w:t>联系电话：</w:t>
            </w:r>
            <w:r>
              <w:rPr>
                <w:rFonts w:hint="eastAsia" w:ascii="宋体" w:hAnsi="宋体" w:eastAsia="宋体" w:cs="宋体"/>
                <w:color w:val="auto"/>
                <w:szCs w:val="20"/>
                <w:highlight w:val="none"/>
              </w:rPr>
              <w:t>077</w:t>
            </w:r>
            <w:r>
              <w:rPr>
                <w:rFonts w:hint="eastAsia" w:ascii="宋体" w:hAnsi="宋体" w:eastAsia="宋体" w:cs="宋体"/>
                <w:color w:val="auto"/>
                <w:szCs w:val="20"/>
                <w:highlight w:val="none"/>
                <w:lang w:val="en-US" w:eastAsia="zh-CN"/>
              </w:rPr>
              <w:t>7</w:t>
            </w:r>
            <w:r>
              <w:rPr>
                <w:rFonts w:hint="eastAsia" w:ascii="宋体" w:hAnsi="宋体" w:eastAsia="宋体" w:cs="宋体"/>
                <w:color w:val="auto"/>
                <w:szCs w:val="20"/>
                <w:highlight w:val="none"/>
              </w:rPr>
              <w:t>-</w:t>
            </w:r>
            <w:r>
              <w:rPr>
                <w:rFonts w:hint="eastAsia" w:ascii="宋体" w:hAnsi="宋体" w:eastAsia="宋体" w:cs="宋体"/>
                <w:color w:val="auto"/>
                <w:szCs w:val="20"/>
                <w:highlight w:val="none"/>
                <w:lang w:val="en-US" w:eastAsia="zh-CN"/>
              </w:rPr>
              <w:t>8314622</w:t>
            </w:r>
          </w:p>
        </w:tc>
      </w:tr>
      <w:tr w14:paraId="62BF49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6" w:hRule="atLeast"/>
          <w:jc w:val="center"/>
        </w:trPr>
        <w:tc>
          <w:tcPr>
            <w:tcW w:w="675" w:type="dxa"/>
            <w:vMerge w:val="restart"/>
            <w:noWrap w:val="0"/>
            <w:vAlign w:val="center"/>
          </w:tcPr>
          <w:p w14:paraId="20ABB130">
            <w:pPr>
              <w:keepNext w:val="0"/>
              <w:keepLines w:val="0"/>
              <w:pageBreakBefore w:val="0"/>
              <w:shd w:val="clear"/>
              <w:kinsoku/>
              <w:wordWrap/>
              <w:overflowPunct/>
              <w:topLinePunct w:val="0"/>
              <w:bidi w:val="0"/>
              <w:adjustRightInd/>
              <w:spacing w:line="432"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40</w:t>
            </w:r>
          </w:p>
        </w:tc>
        <w:tc>
          <w:tcPr>
            <w:tcW w:w="1907" w:type="dxa"/>
            <w:noWrap w:val="0"/>
            <w:vAlign w:val="center"/>
          </w:tcPr>
          <w:p w14:paraId="52E67169">
            <w:pPr>
              <w:keepNext w:val="0"/>
              <w:keepLines w:val="0"/>
              <w:pageBreakBefore w:val="0"/>
              <w:shd w:val="clear"/>
              <w:kinsoku/>
              <w:wordWrap/>
              <w:overflowPunct/>
              <w:topLinePunct w:val="0"/>
              <w:bidi w:val="0"/>
              <w:adjustRightInd/>
              <w:spacing w:line="432" w:lineRule="exact"/>
              <w:textAlignment w:val="auto"/>
              <w:rPr>
                <w:rFonts w:hint="eastAsia" w:ascii="宋体" w:hAnsi="宋体" w:eastAsia="宋体" w:cs="宋体"/>
                <w:color w:val="auto"/>
                <w:sz w:val="21"/>
                <w:szCs w:val="21"/>
                <w:highlight w:val="none"/>
              </w:rPr>
            </w:pPr>
            <w:bookmarkStart w:id="101" w:name="_42"/>
            <w:bookmarkEnd w:id="101"/>
            <w:bookmarkStart w:id="102" w:name="_41"/>
            <w:bookmarkEnd w:id="102"/>
            <w:r>
              <w:rPr>
                <w:rFonts w:hint="eastAsia" w:ascii="宋体" w:hAnsi="宋体" w:eastAsia="宋体" w:cs="宋体"/>
                <w:color w:val="auto"/>
                <w:sz w:val="21"/>
                <w:szCs w:val="21"/>
                <w:highlight w:val="none"/>
              </w:rPr>
              <w:t>采购代理</w:t>
            </w:r>
            <w:r>
              <w:rPr>
                <w:rFonts w:hint="eastAsia" w:ascii="宋体" w:hAnsi="宋体" w:eastAsia="宋体" w:cs="宋体"/>
                <w:color w:val="auto"/>
                <w:sz w:val="21"/>
                <w:szCs w:val="21"/>
                <w:highlight w:val="none"/>
                <w:lang w:eastAsia="zh-CN"/>
              </w:rPr>
              <w:t>服务</w:t>
            </w:r>
            <w:r>
              <w:rPr>
                <w:rFonts w:hint="eastAsia" w:ascii="宋体" w:hAnsi="宋体" w:eastAsia="宋体" w:cs="宋体"/>
                <w:color w:val="auto"/>
                <w:sz w:val="21"/>
                <w:szCs w:val="21"/>
                <w:highlight w:val="none"/>
              </w:rPr>
              <w:t>费支付方式</w:t>
            </w:r>
          </w:p>
        </w:tc>
        <w:tc>
          <w:tcPr>
            <w:tcW w:w="7658" w:type="dxa"/>
            <w:noWrap w:val="0"/>
            <w:vAlign w:val="center"/>
          </w:tcPr>
          <w:p w14:paraId="0106E1DE">
            <w:pPr>
              <w:pStyle w:val="12"/>
              <w:keepNext w:val="0"/>
              <w:keepLines w:val="0"/>
              <w:pageBreakBefore w:val="0"/>
              <w:shd w:val="clear"/>
              <w:kinsoku/>
              <w:wordWrap/>
              <w:overflowPunct/>
              <w:topLinePunct w:val="0"/>
              <w:bidi w:val="0"/>
              <w:adjustRightInd/>
              <w:snapToGrid w:val="0"/>
              <w:spacing w:line="432"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本项目</w:t>
            </w:r>
            <w:r>
              <w:rPr>
                <w:rFonts w:hint="eastAsia" w:ascii="宋体" w:hAnsi="宋体" w:eastAsia="宋体" w:cs="宋体"/>
                <w:color w:val="auto"/>
                <w:sz w:val="21"/>
                <w:szCs w:val="21"/>
                <w:highlight w:val="none"/>
                <w:lang w:eastAsia="zh-CN"/>
              </w:rPr>
              <w:t>采购</w:t>
            </w:r>
            <w:r>
              <w:rPr>
                <w:rFonts w:hint="eastAsia" w:ascii="宋体" w:hAnsi="宋体" w:eastAsia="宋体" w:cs="宋体"/>
                <w:color w:val="auto"/>
                <w:sz w:val="21"/>
                <w:szCs w:val="21"/>
                <w:highlight w:val="none"/>
              </w:rPr>
              <w:t>代理服务费由</w:t>
            </w:r>
            <w:r>
              <w:rPr>
                <w:rFonts w:hint="eastAsia" w:ascii="宋体" w:hAnsi="宋体" w:eastAsia="宋体" w:cs="宋体"/>
                <w:color w:val="auto"/>
                <w:sz w:val="21"/>
                <w:szCs w:val="21"/>
                <w:highlight w:val="none"/>
                <w:u w:val="single"/>
              </w:rPr>
              <w:t>中标人</w:t>
            </w:r>
            <w:r>
              <w:rPr>
                <w:rFonts w:hint="eastAsia" w:ascii="宋体" w:hAnsi="宋体" w:eastAsia="宋体" w:cs="宋体"/>
                <w:color w:val="auto"/>
                <w:highlight w:val="none"/>
              </w:rPr>
              <w:t>在</w:t>
            </w:r>
            <w:r>
              <w:rPr>
                <w:rFonts w:hint="eastAsia" w:ascii="宋体" w:hAnsi="宋体" w:eastAsia="宋体" w:cs="宋体"/>
                <w:color w:val="auto"/>
                <w:sz w:val="21"/>
                <w:highlight w:val="none"/>
                <w:lang w:val="en-US" w:eastAsia="zh-CN"/>
              </w:rPr>
              <w:t>签订合同</w:t>
            </w:r>
            <w:r>
              <w:rPr>
                <w:rFonts w:hint="eastAsia" w:ascii="宋体" w:hAnsi="宋体" w:eastAsia="宋体" w:cs="宋体"/>
                <w:color w:val="auto"/>
                <w:highlight w:val="none"/>
              </w:rPr>
              <w:t>前，</w:t>
            </w:r>
            <w:r>
              <w:rPr>
                <w:rFonts w:hint="eastAsia" w:ascii="宋体" w:hAnsi="宋体" w:eastAsia="宋体" w:cs="宋体"/>
                <w:color w:val="auto"/>
                <w:sz w:val="21"/>
                <w:highlight w:val="none"/>
                <w:lang w:val="en-US" w:eastAsia="zh-CN"/>
              </w:rPr>
              <w:t>以银行转账、电汇等方式</w:t>
            </w:r>
            <w:r>
              <w:rPr>
                <w:rFonts w:hint="eastAsia" w:ascii="宋体" w:hAnsi="宋体" w:eastAsia="宋体" w:cs="宋体"/>
                <w:color w:val="auto"/>
                <w:highlight w:val="none"/>
              </w:rPr>
              <w:t>一次性向采购代理机构支付</w:t>
            </w:r>
            <w:r>
              <w:rPr>
                <w:rFonts w:hint="eastAsia" w:ascii="宋体" w:hAnsi="宋体" w:eastAsia="宋体" w:cs="宋体"/>
                <w:color w:val="auto"/>
                <w:sz w:val="21"/>
                <w:szCs w:val="21"/>
                <w:highlight w:val="none"/>
              </w:rPr>
              <w:t>。</w:t>
            </w:r>
          </w:p>
          <w:p w14:paraId="7B594EDE">
            <w:pPr>
              <w:pStyle w:val="12"/>
              <w:keepNext w:val="0"/>
              <w:keepLines w:val="0"/>
              <w:pageBreakBefore w:val="0"/>
              <w:shd w:val="clear"/>
              <w:kinsoku/>
              <w:wordWrap/>
              <w:overflowPunct/>
              <w:topLinePunct w:val="0"/>
              <w:bidi w:val="0"/>
              <w:adjustRightInd/>
              <w:snapToGrid w:val="0"/>
              <w:spacing w:line="432"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□采购人支付</w:t>
            </w:r>
            <w:r>
              <w:rPr>
                <w:rFonts w:hint="eastAsia" w:ascii="宋体" w:hAnsi="宋体" w:eastAsia="宋体" w:cs="宋体"/>
                <w:color w:val="auto"/>
                <w:highlight w:val="none"/>
                <w:lang w:eastAsia="zh-CN"/>
              </w:rPr>
              <w:t>：</w:t>
            </w:r>
            <w:r>
              <w:rPr>
                <w:rFonts w:hint="eastAsia" w:ascii="宋体" w:hAnsi="宋体" w:eastAsia="宋体" w:cs="宋体"/>
                <w:color w:val="auto"/>
                <w:szCs w:val="20"/>
                <w:highlight w:val="none"/>
                <w:u w:val="single"/>
                <w:lang w:val="en-US" w:eastAsia="zh-CN"/>
              </w:rPr>
              <w:t xml:space="preserve">     </w:t>
            </w:r>
          </w:p>
          <w:p w14:paraId="6C7F2A3B">
            <w:pPr>
              <w:pStyle w:val="12"/>
              <w:keepNext w:val="0"/>
              <w:keepLines w:val="0"/>
              <w:pageBreakBefore w:val="0"/>
              <w:shd w:val="clear"/>
              <w:kinsoku/>
              <w:wordWrap/>
              <w:overflowPunct/>
              <w:topLinePunct w:val="0"/>
              <w:bidi w:val="0"/>
              <w:adjustRightInd/>
              <w:snapToGrid w:val="0"/>
              <w:spacing w:line="432"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□本项目不收取</w:t>
            </w:r>
            <w:r>
              <w:rPr>
                <w:rFonts w:hint="eastAsia" w:ascii="宋体" w:hAnsi="宋体" w:eastAsia="宋体" w:cs="宋体"/>
                <w:color w:val="auto"/>
                <w:sz w:val="21"/>
                <w:szCs w:val="21"/>
                <w:highlight w:val="none"/>
                <w:lang w:eastAsia="zh-CN"/>
              </w:rPr>
              <w:t>采购</w:t>
            </w:r>
            <w:r>
              <w:rPr>
                <w:rFonts w:hint="eastAsia" w:ascii="宋体" w:hAnsi="宋体" w:eastAsia="宋体" w:cs="宋体"/>
                <w:color w:val="auto"/>
                <w:sz w:val="21"/>
                <w:szCs w:val="21"/>
                <w:highlight w:val="none"/>
              </w:rPr>
              <w:t>代理服务费。</w:t>
            </w:r>
          </w:p>
        </w:tc>
      </w:tr>
      <w:tr w14:paraId="3EB6B3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84" w:hRule="atLeast"/>
          <w:jc w:val="center"/>
        </w:trPr>
        <w:tc>
          <w:tcPr>
            <w:tcW w:w="675" w:type="dxa"/>
            <w:vMerge w:val="continue"/>
            <w:noWrap w:val="0"/>
            <w:vAlign w:val="center"/>
          </w:tcPr>
          <w:p w14:paraId="52DDC716">
            <w:pPr>
              <w:keepNext w:val="0"/>
              <w:keepLines w:val="0"/>
              <w:pageBreakBefore w:val="0"/>
              <w:widowControl/>
              <w:shd w:val="clear"/>
              <w:kinsoku/>
              <w:wordWrap/>
              <w:overflowPunct/>
              <w:topLinePunct w:val="0"/>
              <w:bidi w:val="0"/>
              <w:adjustRightInd/>
              <w:spacing w:line="432" w:lineRule="exact"/>
              <w:jc w:val="left"/>
              <w:textAlignment w:val="auto"/>
              <w:rPr>
                <w:rFonts w:hint="eastAsia" w:ascii="宋体" w:hAnsi="宋体" w:eastAsia="宋体" w:cs="宋体"/>
                <w:color w:val="auto"/>
                <w:sz w:val="21"/>
                <w:szCs w:val="21"/>
                <w:highlight w:val="none"/>
              </w:rPr>
            </w:pPr>
          </w:p>
        </w:tc>
        <w:tc>
          <w:tcPr>
            <w:tcW w:w="1907" w:type="dxa"/>
            <w:noWrap w:val="0"/>
            <w:vAlign w:val="center"/>
          </w:tcPr>
          <w:p w14:paraId="5217F6D2">
            <w:pPr>
              <w:keepNext w:val="0"/>
              <w:keepLines w:val="0"/>
              <w:pageBreakBefore w:val="0"/>
              <w:shd w:val="clear"/>
              <w:kinsoku/>
              <w:wordWrap/>
              <w:overflowPunct/>
              <w:topLinePunct w:val="0"/>
              <w:bidi w:val="0"/>
              <w:adjustRightInd/>
              <w:spacing w:line="432"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采购代理费收取标准</w:t>
            </w:r>
          </w:p>
        </w:tc>
        <w:tc>
          <w:tcPr>
            <w:tcW w:w="7658" w:type="dxa"/>
            <w:noWrap w:val="0"/>
            <w:vAlign w:val="center"/>
          </w:tcPr>
          <w:p w14:paraId="7207B396">
            <w:pPr>
              <w:keepNext w:val="0"/>
              <w:keepLines w:val="0"/>
              <w:pageBreakBefore w:val="0"/>
              <w:shd w:val="clear"/>
              <w:kinsoku/>
              <w:wordWrap/>
              <w:overflowPunct/>
              <w:topLinePunct w:val="0"/>
              <w:bidi w:val="0"/>
              <w:adjustRightInd/>
              <w:snapToGrid w:val="0"/>
              <w:spacing w:line="432" w:lineRule="exact"/>
              <w:textAlignment w:val="auto"/>
              <w:rPr>
                <w:rFonts w:hint="eastAsia" w:ascii="宋体" w:hAnsi="宋体" w:eastAsia="宋体" w:cs="宋体"/>
                <w:color w:val="auto"/>
                <w:szCs w:val="20"/>
                <w:highlight w:val="none"/>
              </w:rPr>
            </w:pPr>
            <w:r>
              <w:rPr>
                <w:rFonts w:hint="eastAsia" w:ascii="宋体" w:hAnsi="宋体" w:eastAsia="宋体" w:cs="宋体"/>
                <w:color w:val="auto"/>
                <w:szCs w:val="20"/>
                <w:highlight w:val="none"/>
                <w:lang w:eastAsia="zh-CN"/>
              </w:rPr>
              <w:t>☑</w:t>
            </w:r>
            <w:r>
              <w:rPr>
                <w:rFonts w:hint="eastAsia" w:ascii="宋体" w:hAnsi="宋体" w:eastAsia="宋体" w:cs="宋体"/>
                <w:color w:val="auto"/>
                <w:szCs w:val="20"/>
                <w:highlight w:val="none"/>
              </w:rPr>
              <w:t>以</w:t>
            </w:r>
            <w:r>
              <w:rPr>
                <w:rFonts w:hint="eastAsia" w:ascii="宋体" w:hAnsi="宋体" w:cs="宋体"/>
                <w:color w:val="auto"/>
                <w:kern w:val="0"/>
                <w:szCs w:val="21"/>
                <w:highlight w:val="none"/>
                <w:lang w:val="en-US" w:eastAsia="zh-CN"/>
              </w:rPr>
              <w:t>分标</w:t>
            </w:r>
            <w:r>
              <w:rPr>
                <w:rFonts w:hint="eastAsia" w:ascii="宋体" w:hAnsi="宋体" w:eastAsia="宋体" w:cs="宋体"/>
                <w:color w:val="auto"/>
                <w:szCs w:val="20"/>
                <w:highlight w:val="none"/>
              </w:rPr>
              <w:t>（</w:t>
            </w:r>
            <w:r>
              <w:rPr>
                <w:rFonts w:hint="eastAsia" w:ascii="宋体" w:hAnsi="宋体" w:cs="宋体"/>
                <w:color w:val="auto"/>
                <w:szCs w:val="20"/>
                <w:highlight w:val="none"/>
                <w:lang w:eastAsia="zh-CN"/>
              </w:rPr>
              <w:t>☑</w:t>
            </w:r>
            <w:r>
              <w:rPr>
                <w:rFonts w:hint="eastAsia" w:ascii="宋体" w:hAnsi="宋体" w:eastAsia="宋体" w:cs="宋体"/>
                <w:color w:val="auto"/>
                <w:szCs w:val="20"/>
                <w:highlight w:val="none"/>
              </w:rPr>
              <w:t>中标金额/</w:t>
            </w:r>
            <w:r>
              <w:rPr>
                <w:rFonts w:hint="eastAsia" w:ascii="宋体" w:hAnsi="宋体" w:cs="宋体"/>
                <w:color w:val="auto"/>
                <w:szCs w:val="20"/>
                <w:highlight w:val="none"/>
                <w:lang w:eastAsia="zh-CN"/>
              </w:rPr>
              <w:t>□</w:t>
            </w:r>
            <w:r>
              <w:rPr>
                <w:rFonts w:hint="eastAsia" w:ascii="宋体" w:hAnsi="宋体" w:eastAsia="宋体" w:cs="宋体"/>
                <w:color w:val="auto"/>
                <w:szCs w:val="20"/>
                <w:highlight w:val="none"/>
              </w:rPr>
              <w:t>采购预算/□暂定中标金额/□其他</w:t>
            </w:r>
            <w:r>
              <w:rPr>
                <w:rFonts w:hint="eastAsia" w:ascii="宋体" w:hAnsi="宋体" w:eastAsia="宋体" w:cs="宋体"/>
                <w:color w:val="auto"/>
                <w:szCs w:val="20"/>
                <w:highlight w:val="none"/>
                <w:u w:val="single"/>
              </w:rPr>
              <w:t xml:space="preserve">   </w:t>
            </w:r>
            <w:r>
              <w:rPr>
                <w:rFonts w:hint="eastAsia" w:ascii="宋体" w:hAnsi="宋体" w:eastAsia="宋体" w:cs="宋体"/>
                <w:color w:val="auto"/>
                <w:szCs w:val="20"/>
                <w:highlight w:val="none"/>
              </w:rPr>
              <w:t>）为计费额，按本须知正文第40.2条规定的收费计算标准（</w:t>
            </w:r>
            <w:r>
              <w:rPr>
                <w:rFonts w:hint="eastAsia" w:ascii="宋体" w:hAnsi="宋体" w:eastAsia="宋体" w:cs="宋体"/>
                <w:color w:val="auto"/>
                <w:szCs w:val="20"/>
                <w:highlight w:val="none"/>
                <w:lang w:eastAsia="zh-CN"/>
              </w:rPr>
              <w:t>服务</w:t>
            </w:r>
            <w:r>
              <w:rPr>
                <w:rFonts w:hint="eastAsia" w:ascii="宋体" w:hAnsi="宋体" w:eastAsia="宋体" w:cs="宋体"/>
                <w:color w:val="auto"/>
                <w:szCs w:val="20"/>
                <w:highlight w:val="none"/>
              </w:rPr>
              <w:t>类）采用差额定率累进法计算出收费基准价格，采购代理收费以（</w:t>
            </w:r>
            <w:r>
              <w:rPr>
                <w:rFonts w:hint="eastAsia" w:ascii="宋体" w:hAnsi="宋体" w:cs="宋体"/>
                <w:color w:val="auto"/>
                <w:szCs w:val="20"/>
                <w:highlight w:val="none"/>
                <w:lang w:eastAsia="zh-CN"/>
              </w:rPr>
              <w:t>☑</w:t>
            </w:r>
            <w:r>
              <w:rPr>
                <w:rFonts w:hint="eastAsia" w:ascii="宋体" w:hAnsi="宋体" w:eastAsia="宋体" w:cs="宋体"/>
                <w:color w:val="auto"/>
                <w:szCs w:val="20"/>
                <w:highlight w:val="none"/>
              </w:rPr>
              <w:t>收费基准价格/</w:t>
            </w:r>
            <w:r>
              <w:rPr>
                <w:rFonts w:hint="eastAsia" w:ascii="宋体" w:hAnsi="宋体" w:cs="宋体"/>
                <w:color w:val="auto"/>
                <w:szCs w:val="20"/>
                <w:highlight w:val="none"/>
                <w:lang w:eastAsia="zh-CN"/>
              </w:rPr>
              <w:t>□</w:t>
            </w:r>
            <w:r>
              <w:rPr>
                <w:rFonts w:hint="eastAsia" w:ascii="宋体" w:hAnsi="宋体" w:eastAsia="宋体" w:cs="宋体"/>
                <w:color w:val="auto"/>
                <w:szCs w:val="20"/>
                <w:highlight w:val="none"/>
              </w:rPr>
              <w:t>收费基准价格下浮</w:t>
            </w:r>
            <w:r>
              <w:rPr>
                <w:rFonts w:hint="eastAsia" w:ascii="宋体" w:hAnsi="宋体" w:cs="宋体"/>
                <w:color w:val="auto"/>
                <w:szCs w:val="20"/>
                <w:highlight w:val="none"/>
                <w:u w:val="single"/>
                <w:lang w:val="en-US" w:eastAsia="zh-CN"/>
              </w:rPr>
              <w:t xml:space="preserve">    </w:t>
            </w:r>
            <w:r>
              <w:rPr>
                <w:rFonts w:hint="eastAsia" w:ascii="宋体" w:hAnsi="宋体" w:eastAsia="宋体" w:cs="宋体"/>
                <w:color w:val="auto"/>
                <w:szCs w:val="20"/>
                <w:highlight w:val="none"/>
              </w:rPr>
              <w:t>/□收费基准价格上浮</w:t>
            </w:r>
            <w:r>
              <w:rPr>
                <w:rFonts w:hint="eastAsia" w:ascii="宋体" w:hAnsi="宋体" w:eastAsia="宋体" w:cs="宋体"/>
                <w:color w:val="auto"/>
                <w:szCs w:val="20"/>
                <w:highlight w:val="none"/>
                <w:u w:val="single"/>
              </w:rPr>
              <w:t xml:space="preserve">   %</w:t>
            </w:r>
            <w:r>
              <w:rPr>
                <w:rFonts w:hint="eastAsia" w:ascii="宋体" w:hAnsi="宋体" w:eastAsia="宋体" w:cs="宋体"/>
                <w:color w:val="auto"/>
                <w:szCs w:val="20"/>
                <w:highlight w:val="none"/>
              </w:rPr>
              <w:t>）收取。</w:t>
            </w:r>
          </w:p>
          <w:p w14:paraId="01DFBC3F">
            <w:pPr>
              <w:pStyle w:val="12"/>
              <w:keepNext w:val="0"/>
              <w:keepLines w:val="0"/>
              <w:pageBreakBefore w:val="0"/>
              <w:shd w:val="clear"/>
              <w:kinsoku/>
              <w:wordWrap/>
              <w:overflowPunct/>
              <w:topLinePunct w:val="0"/>
              <w:bidi w:val="0"/>
              <w:adjustRightInd/>
              <w:snapToGrid w:val="0"/>
              <w:spacing w:line="432" w:lineRule="exact"/>
              <w:textAlignment w:val="auto"/>
              <w:rPr>
                <w:rFonts w:hint="eastAsia" w:ascii="宋体" w:hAnsi="宋体" w:eastAsia="宋体" w:cs="宋体"/>
                <w:color w:val="auto"/>
                <w:sz w:val="21"/>
                <w:szCs w:val="21"/>
                <w:highlight w:val="none"/>
                <w:u w:val="single"/>
                <w:lang w:val="en-US" w:eastAsia="zh-CN"/>
              </w:rPr>
            </w:pPr>
            <w:r>
              <w:rPr>
                <w:rFonts w:hint="eastAsia" w:ascii="宋体" w:hAnsi="宋体" w:eastAsia="宋体" w:cs="宋体"/>
                <w:color w:val="auto"/>
                <w:szCs w:val="20"/>
                <w:highlight w:val="none"/>
                <w:lang w:eastAsia="zh-CN"/>
              </w:rPr>
              <w:t>□</w:t>
            </w:r>
            <w:r>
              <w:rPr>
                <w:rFonts w:hint="eastAsia" w:ascii="宋体" w:hAnsi="宋体" w:eastAsia="宋体" w:cs="宋体"/>
                <w:color w:val="auto"/>
                <w:szCs w:val="20"/>
                <w:highlight w:val="none"/>
              </w:rPr>
              <w:t>固定采购代理收费：</w:t>
            </w:r>
            <w:r>
              <w:rPr>
                <w:rFonts w:hint="eastAsia" w:ascii="宋体" w:hAnsi="宋体" w:eastAsia="宋体" w:cs="宋体"/>
                <w:color w:val="auto"/>
                <w:szCs w:val="20"/>
                <w:highlight w:val="none"/>
                <w:u w:val="single"/>
                <w:lang w:eastAsia="zh-CN"/>
              </w:rPr>
              <w:t xml:space="preserve"> </w:t>
            </w:r>
            <w:r>
              <w:rPr>
                <w:rFonts w:hint="eastAsia" w:ascii="宋体" w:hAnsi="宋体" w:eastAsia="宋体" w:cs="宋体"/>
                <w:color w:val="auto"/>
                <w:szCs w:val="20"/>
                <w:highlight w:val="none"/>
                <w:u w:val="single"/>
                <w:lang w:val="en-US" w:eastAsia="zh-CN"/>
              </w:rPr>
              <w:t xml:space="preserve">          。</w:t>
            </w:r>
          </w:p>
        </w:tc>
      </w:tr>
      <w:tr w14:paraId="55FA53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49" w:hRule="atLeast"/>
          <w:jc w:val="center"/>
        </w:trPr>
        <w:tc>
          <w:tcPr>
            <w:tcW w:w="675" w:type="dxa"/>
            <w:vMerge w:val="continue"/>
            <w:noWrap w:val="0"/>
            <w:vAlign w:val="center"/>
          </w:tcPr>
          <w:p w14:paraId="12C47D58">
            <w:pPr>
              <w:keepNext w:val="0"/>
              <w:keepLines w:val="0"/>
              <w:pageBreakBefore w:val="0"/>
              <w:widowControl/>
              <w:shd w:val="clear"/>
              <w:kinsoku/>
              <w:wordWrap/>
              <w:overflowPunct/>
              <w:topLinePunct w:val="0"/>
              <w:bidi w:val="0"/>
              <w:adjustRightInd/>
              <w:spacing w:line="432" w:lineRule="exact"/>
              <w:jc w:val="left"/>
              <w:textAlignment w:val="auto"/>
              <w:rPr>
                <w:rFonts w:hint="eastAsia" w:ascii="宋体" w:hAnsi="宋体" w:eastAsia="宋体" w:cs="宋体"/>
                <w:color w:val="auto"/>
                <w:sz w:val="21"/>
                <w:szCs w:val="21"/>
                <w:highlight w:val="none"/>
              </w:rPr>
            </w:pPr>
          </w:p>
        </w:tc>
        <w:tc>
          <w:tcPr>
            <w:tcW w:w="1907" w:type="dxa"/>
            <w:noWrap w:val="0"/>
            <w:vAlign w:val="center"/>
          </w:tcPr>
          <w:p w14:paraId="01425B4C">
            <w:pPr>
              <w:keepNext w:val="0"/>
              <w:keepLines w:val="0"/>
              <w:pageBreakBefore w:val="0"/>
              <w:shd w:val="clear"/>
              <w:kinsoku/>
              <w:wordWrap/>
              <w:overflowPunct/>
              <w:topLinePunct w:val="0"/>
              <w:bidi w:val="0"/>
              <w:adjustRightInd/>
              <w:spacing w:line="432"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采购</w:t>
            </w:r>
            <w:r>
              <w:rPr>
                <w:rFonts w:hint="eastAsia" w:ascii="宋体" w:hAnsi="宋体" w:eastAsia="宋体" w:cs="宋体"/>
                <w:color w:val="auto"/>
                <w:sz w:val="21"/>
                <w:szCs w:val="21"/>
                <w:highlight w:val="none"/>
              </w:rPr>
              <w:t>代理服务费收款账户信息</w:t>
            </w:r>
          </w:p>
        </w:tc>
        <w:tc>
          <w:tcPr>
            <w:tcW w:w="7658" w:type="dxa"/>
            <w:noWrap w:val="0"/>
            <w:vAlign w:val="center"/>
          </w:tcPr>
          <w:p w14:paraId="2537ED37">
            <w:pPr>
              <w:pStyle w:val="12"/>
              <w:keepNext w:val="0"/>
              <w:keepLines w:val="0"/>
              <w:pageBreakBefore w:val="0"/>
              <w:shd w:val="clear"/>
              <w:kinsoku/>
              <w:wordWrap/>
              <w:overflowPunct/>
              <w:topLinePunct w:val="0"/>
              <w:bidi w:val="0"/>
              <w:adjustRightInd/>
              <w:snapToGrid w:val="0"/>
              <w:spacing w:line="432"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开户名称：广西至胜招标有限公司</w:t>
            </w:r>
          </w:p>
          <w:p w14:paraId="20AE2DE4">
            <w:pPr>
              <w:pStyle w:val="12"/>
              <w:keepNext w:val="0"/>
              <w:keepLines w:val="0"/>
              <w:pageBreakBefore w:val="0"/>
              <w:shd w:val="clear"/>
              <w:kinsoku/>
              <w:wordWrap/>
              <w:overflowPunct/>
              <w:topLinePunct w:val="0"/>
              <w:bidi w:val="0"/>
              <w:adjustRightInd/>
              <w:snapToGrid w:val="0"/>
              <w:spacing w:line="432"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开户银行：广西浦北农村商业银行股份公司东风分理处</w:t>
            </w:r>
          </w:p>
          <w:p w14:paraId="38889CC7">
            <w:pPr>
              <w:pStyle w:val="12"/>
              <w:keepNext w:val="0"/>
              <w:keepLines w:val="0"/>
              <w:pageBreakBefore w:val="0"/>
              <w:shd w:val="clear"/>
              <w:kinsoku/>
              <w:wordWrap/>
              <w:overflowPunct/>
              <w:topLinePunct w:val="0"/>
              <w:bidi w:val="0"/>
              <w:adjustRightInd/>
              <w:snapToGrid w:val="0"/>
              <w:spacing w:line="432"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银行账号：827712010114639167096</w:t>
            </w:r>
          </w:p>
        </w:tc>
      </w:tr>
      <w:tr w14:paraId="184877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5" w:type="dxa"/>
            <w:noWrap w:val="0"/>
            <w:vAlign w:val="center"/>
          </w:tcPr>
          <w:p w14:paraId="691586ED">
            <w:pPr>
              <w:keepNext w:val="0"/>
              <w:keepLines w:val="0"/>
              <w:pageBreakBefore w:val="0"/>
              <w:shd w:val="clear"/>
              <w:kinsoku/>
              <w:wordWrap/>
              <w:overflowPunct/>
              <w:topLinePunct w:val="0"/>
              <w:bidi w:val="0"/>
              <w:adjustRightInd/>
              <w:snapToGrid w:val="0"/>
              <w:spacing w:line="432"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41.1</w:t>
            </w:r>
          </w:p>
        </w:tc>
        <w:tc>
          <w:tcPr>
            <w:tcW w:w="1907" w:type="dxa"/>
            <w:noWrap w:val="0"/>
            <w:vAlign w:val="center"/>
          </w:tcPr>
          <w:p w14:paraId="244ABD7A">
            <w:pPr>
              <w:keepNext w:val="0"/>
              <w:keepLines w:val="0"/>
              <w:pageBreakBefore w:val="0"/>
              <w:shd w:val="clear"/>
              <w:kinsoku/>
              <w:wordWrap/>
              <w:overflowPunct/>
              <w:topLinePunct w:val="0"/>
              <w:bidi w:val="0"/>
              <w:adjustRightInd/>
              <w:snapToGrid w:val="0"/>
              <w:spacing w:line="432"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解释</w:t>
            </w:r>
          </w:p>
        </w:tc>
        <w:tc>
          <w:tcPr>
            <w:tcW w:w="7658" w:type="dxa"/>
            <w:noWrap w:val="0"/>
            <w:vAlign w:val="center"/>
          </w:tcPr>
          <w:p w14:paraId="07851948">
            <w:pPr>
              <w:keepNext w:val="0"/>
              <w:keepLines w:val="0"/>
              <w:pageBreakBefore w:val="0"/>
              <w:shd w:val="clear"/>
              <w:kinsoku/>
              <w:wordWrap/>
              <w:overflowPunct/>
              <w:topLinePunct w:val="0"/>
              <w:bidi w:val="0"/>
              <w:adjustRightInd/>
              <w:snapToGrid w:val="0"/>
              <w:spacing w:line="432" w:lineRule="exact"/>
              <w:textAlignment w:val="auto"/>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解释：</w:t>
            </w:r>
            <w:r>
              <w:rPr>
                <w:rFonts w:hint="eastAsia" w:ascii="宋体" w:hAnsi="宋体" w:eastAsia="宋体" w:cs="宋体"/>
                <w:color w:val="auto"/>
                <w:sz w:val="21"/>
                <w:szCs w:val="21"/>
                <w:highlight w:val="none"/>
              </w:rPr>
              <w:t>构成本招标文件的各个组成文件应互为解释，互为说明；除招标文件中有特别规定外，仅适用于招标投标阶段的规定，按更正公告（澄清公告）、招标公告、采购需求、投标人须知、评标方法</w:t>
            </w:r>
            <w:r>
              <w:rPr>
                <w:rFonts w:hint="eastAsia" w:ascii="宋体" w:hAnsi="宋体" w:eastAsia="宋体" w:cs="宋体"/>
                <w:color w:val="auto"/>
                <w:sz w:val="21"/>
                <w:szCs w:val="21"/>
                <w:highlight w:val="none"/>
                <w:lang w:eastAsia="zh-CN"/>
              </w:rPr>
              <w:t>和</w:t>
            </w:r>
            <w:r>
              <w:rPr>
                <w:rFonts w:hint="eastAsia" w:ascii="宋体" w:hAnsi="宋体" w:eastAsia="宋体" w:cs="宋体"/>
                <w:color w:val="auto"/>
                <w:sz w:val="21"/>
                <w:szCs w:val="21"/>
                <w:highlight w:val="none"/>
              </w:rPr>
              <w:t>评标标准、拟签订的合同文本、投标文件格式的先后顺序解释；同一组成文件中就同一事项的规定或者约定不一致的，以编排顺序在后者为准；同一组成文件不同版本之间有不一致的，以形成时间在后者为准；更正公告（澄清公告）与同步更新的招标文件不一致时以更正公告（澄清公告）为准。按本款前述规定仍不能形成结论的</w:t>
            </w:r>
            <w:r>
              <w:rPr>
                <w:rFonts w:hint="eastAsia" w:ascii="宋体" w:hAnsi="宋体" w:eastAsia="宋体" w:cs="宋体"/>
                <w:b/>
                <w:color w:val="auto"/>
                <w:sz w:val="21"/>
                <w:szCs w:val="21"/>
                <w:highlight w:val="none"/>
              </w:rPr>
              <w:t>，由采购人或者采购代理机构负责解释。</w:t>
            </w:r>
          </w:p>
          <w:p w14:paraId="63A6E8C3">
            <w:pPr>
              <w:keepNext w:val="0"/>
              <w:keepLines w:val="0"/>
              <w:pageBreakBefore w:val="0"/>
              <w:shd w:val="clear"/>
              <w:kinsoku/>
              <w:wordWrap/>
              <w:overflowPunct/>
              <w:topLinePunct w:val="0"/>
              <w:bidi w:val="0"/>
              <w:adjustRightInd/>
              <w:snapToGrid w:val="0"/>
              <w:spacing w:line="432" w:lineRule="exact"/>
              <w:textAlignment w:val="auto"/>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法律责任：</w:t>
            </w:r>
          </w:p>
          <w:p w14:paraId="3D6B82E2">
            <w:pPr>
              <w:keepNext w:val="0"/>
              <w:keepLines w:val="0"/>
              <w:pageBreakBefore w:val="0"/>
              <w:shd w:val="clear"/>
              <w:kinsoku/>
              <w:wordWrap/>
              <w:overflowPunct/>
              <w:topLinePunct w:val="0"/>
              <w:bidi w:val="0"/>
              <w:adjustRightInd/>
              <w:spacing w:line="432"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本采购文件根据《中华人民共和国政府采购法》《中华人民共和国民法典》《中华人民共和国政府采购法实施条例》《</w:t>
            </w:r>
            <w:r>
              <w:rPr>
                <w:rFonts w:hint="eastAsia" w:ascii="宋体" w:hAnsi="宋体" w:eastAsia="宋体" w:cs="宋体"/>
                <w:color w:val="auto"/>
                <w:szCs w:val="21"/>
                <w:highlight w:val="none"/>
              </w:rPr>
              <w:t>政府采购货物和服务招标投标管理办法</w:t>
            </w:r>
            <w:r>
              <w:rPr>
                <w:rFonts w:hint="eastAsia" w:ascii="宋体" w:hAnsi="宋体" w:eastAsia="宋体" w:cs="宋体"/>
                <w:color w:val="auto"/>
                <w:sz w:val="21"/>
                <w:szCs w:val="21"/>
                <w:highlight w:val="none"/>
              </w:rPr>
              <w:t>》等有关法律、法规编制，参与本项目的各政府采购当事人依法享有上述法律法规所赋予的权利与义务。</w:t>
            </w:r>
          </w:p>
        </w:tc>
      </w:tr>
      <w:tr w14:paraId="426282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5" w:type="dxa"/>
            <w:noWrap w:val="0"/>
            <w:vAlign w:val="center"/>
          </w:tcPr>
          <w:p w14:paraId="07DDA578">
            <w:pPr>
              <w:keepNext w:val="0"/>
              <w:keepLines w:val="0"/>
              <w:pageBreakBefore w:val="0"/>
              <w:shd w:val="clear"/>
              <w:kinsoku/>
              <w:wordWrap/>
              <w:overflowPunct/>
              <w:topLinePunct w:val="0"/>
              <w:bidi w:val="0"/>
              <w:adjustRightInd/>
              <w:snapToGrid w:val="0"/>
              <w:spacing w:line="432"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41.2</w:t>
            </w:r>
          </w:p>
        </w:tc>
        <w:tc>
          <w:tcPr>
            <w:tcW w:w="1907" w:type="dxa"/>
            <w:noWrap w:val="0"/>
            <w:vAlign w:val="center"/>
          </w:tcPr>
          <w:p w14:paraId="1E982763">
            <w:pPr>
              <w:keepNext w:val="0"/>
              <w:keepLines w:val="0"/>
              <w:pageBreakBefore w:val="0"/>
              <w:shd w:val="clear"/>
              <w:kinsoku/>
              <w:wordWrap/>
              <w:overflowPunct/>
              <w:topLinePunct w:val="0"/>
              <w:bidi w:val="0"/>
              <w:adjustRightInd/>
              <w:snapToGrid w:val="0"/>
              <w:spacing w:line="432"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其他释义</w:t>
            </w:r>
          </w:p>
        </w:tc>
        <w:tc>
          <w:tcPr>
            <w:tcW w:w="7658" w:type="dxa"/>
            <w:noWrap w:val="0"/>
            <w:vAlign w:val="center"/>
          </w:tcPr>
          <w:p w14:paraId="4B40D461">
            <w:pPr>
              <w:pStyle w:val="12"/>
              <w:keepNext w:val="0"/>
              <w:keepLines w:val="0"/>
              <w:pageBreakBefore w:val="0"/>
              <w:widowControl w:val="0"/>
              <w:shd w:val="clear"/>
              <w:kinsoku/>
              <w:wordWrap/>
              <w:overflowPunct/>
              <w:topLinePunct w:val="0"/>
              <w:autoSpaceDE/>
              <w:autoSpaceDN/>
              <w:bidi w:val="0"/>
              <w:adjustRightInd/>
              <w:snapToGrid w:val="0"/>
              <w:spacing w:line="432" w:lineRule="exact"/>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本招标文件中描述投标人的“公章”是指根据我国对公章的管理规定，用投标人法定主体行为名称制作的实物印章或投标人通过指定电子化政府采购平台办理数字证书（CA认证）获得的以法定主体行为名称制作的电子印章。除本招标文件有特殊规定外，投标人的财务章、部门章、分公司章、工会章、合同章、投标专用章、业务专用章及银行的转账章、现金收讫章、现金付讫章等其他形式印章均不能代替公章。</w:t>
            </w:r>
          </w:p>
          <w:p w14:paraId="4DB5112F">
            <w:pPr>
              <w:pStyle w:val="12"/>
              <w:keepNext w:val="0"/>
              <w:keepLines w:val="0"/>
              <w:pageBreakBefore w:val="0"/>
              <w:widowControl w:val="0"/>
              <w:shd w:val="clear"/>
              <w:kinsoku/>
              <w:wordWrap/>
              <w:overflowPunct/>
              <w:topLinePunct w:val="0"/>
              <w:autoSpaceDE/>
              <w:autoSpaceDN/>
              <w:bidi w:val="0"/>
              <w:adjustRightInd/>
              <w:snapToGrid w:val="0"/>
              <w:spacing w:line="432" w:lineRule="exact"/>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2.本招标文件中描述投标人的“签字”是指投标人通过指定电子化政府采购平台办理数字证书（CA认证）获得的以投标人法定代表人或者委托代理人姓名制作的电子印章或手写签字。</w:t>
            </w:r>
          </w:p>
          <w:p w14:paraId="69D1AAC2">
            <w:pPr>
              <w:pStyle w:val="12"/>
              <w:keepNext w:val="0"/>
              <w:keepLines w:val="0"/>
              <w:pageBreakBefore w:val="0"/>
              <w:widowControl w:val="0"/>
              <w:shd w:val="clear"/>
              <w:kinsoku/>
              <w:wordWrap/>
              <w:overflowPunct/>
              <w:topLinePunct w:val="0"/>
              <w:autoSpaceDE/>
              <w:autoSpaceDN/>
              <w:bidi w:val="0"/>
              <w:adjustRightInd/>
              <w:snapToGrid w:val="0"/>
              <w:spacing w:line="432" w:lineRule="exact"/>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3.本招标文件所称的“电子签章”“电子签名”，是指经广西政府采购云平台认可的CA认证的电子签名数据为表现形式的印章，可用于签署电子投标文件，电子印章与实物印章具有同等法律效力，不因其采用电子化表现形式而否定其法律效力。</w:t>
            </w:r>
          </w:p>
          <w:p w14:paraId="5C4F3F16">
            <w:pPr>
              <w:pStyle w:val="12"/>
              <w:keepNext w:val="0"/>
              <w:keepLines w:val="0"/>
              <w:pageBreakBefore w:val="0"/>
              <w:widowControl w:val="0"/>
              <w:shd w:val="clear"/>
              <w:kinsoku/>
              <w:wordWrap/>
              <w:overflowPunct/>
              <w:topLinePunct w:val="0"/>
              <w:autoSpaceDE/>
              <w:autoSpaceDN/>
              <w:bidi w:val="0"/>
              <w:adjustRightInd/>
              <w:snapToGrid w:val="0"/>
              <w:spacing w:line="432" w:lineRule="exact"/>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4.投标人为其他组织或者自然人时，本招标文件规定的法定代表人指负责人或者自然人。本招标文件所称负责人是指参加投标的其他组织营业执照上的负责人，本招标文件所称自然人指参与投标的自然人本人。</w:t>
            </w:r>
          </w:p>
          <w:p w14:paraId="31DDF083">
            <w:pPr>
              <w:pStyle w:val="12"/>
              <w:keepNext w:val="0"/>
              <w:keepLines w:val="0"/>
              <w:pageBreakBefore w:val="0"/>
              <w:widowControl w:val="0"/>
              <w:shd w:val="clear"/>
              <w:kinsoku/>
              <w:wordWrap/>
              <w:overflowPunct/>
              <w:topLinePunct w:val="0"/>
              <w:autoSpaceDE/>
              <w:autoSpaceDN/>
              <w:bidi w:val="0"/>
              <w:adjustRightInd/>
              <w:snapToGrid w:val="0"/>
              <w:spacing w:line="432" w:lineRule="exact"/>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5.自然人投标的，招标文件规定盖公章处由自然人摁手指指印。</w:t>
            </w:r>
          </w:p>
          <w:p w14:paraId="112D7539">
            <w:pPr>
              <w:pStyle w:val="12"/>
              <w:keepNext w:val="0"/>
              <w:keepLines w:val="0"/>
              <w:pageBreakBefore w:val="0"/>
              <w:widowControl w:val="0"/>
              <w:shd w:val="clear"/>
              <w:kinsoku/>
              <w:wordWrap/>
              <w:overflowPunct/>
              <w:topLinePunct w:val="0"/>
              <w:autoSpaceDE/>
              <w:autoSpaceDN/>
              <w:bidi w:val="0"/>
              <w:adjustRightInd/>
              <w:snapToGrid w:val="0"/>
              <w:spacing w:line="432"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6.本招标文件所称的“以上”“以下”“以内”“届满”，包括本数；所称的“不满”“超过”“以外”，不包括本数。</w:t>
            </w:r>
          </w:p>
        </w:tc>
      </w:tr>
      <w:tr w14:paraId="2E11E9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5" w:type="dxa"/>
            <w:noWrap w:val="0"/>
            <w:vAlign w:val="center"/>
          </w:tcPr>
          <w:p w14:paraId="1451D495">
            <w:pPr>
              <w:keepNext w:val="0"/>
              <w:keepLines w:val="0"/>
              <w:pageBreakBefore w:val="0"/>
              <w:shd w:val="clear"/>
              <w:kinsoku/>
              <w:wordWrap/>
              <w:overflowPunct/>
              <w:topLinePunct w:val="0"/>
              <w:bidi w:val="0"/>
              <w:adjustRightInd/>
              <w:snapToGrid w:val="0"/>
              <w:spacing w:line="432" w:lineRule="exact"/>
              <w:jc w:val="center"/>
              <w:textAlignment w:val="auto"/>
              <w:rPr>
                <w:rFonts w:hint="eastAsia" w:ascii="宋体" w:hAnsi="宋体" w:eastAsia="宋体" w:cs="宋体"/>
                <w:color w:val="auto"/>
                <w:sz w:val="21"/>
                <w:szCs w:val="21"/>
                <w:highlight w:val="none"/>
              </w:rPr>
            </w:pPr>
          </w:p>
        </w:tc>
        <w:tc>
          <w:tcPr>
            <w:tcW w:w="1907" w:type="dxa"/>
            <w:noWrap w:val="0"/>
            <w:vAlign w:val="center"/>
          </w:tcPr>
          <w:p w14:paraId="144AA49D">
            <w:pPr>
              <w:keepNext w:val="0"/>
              <w:keepLines w:val="0"/>
              <w:pageBreakBefore w:val="0"/>
              <w:widowControl w:val="0"/>
              <w:kinsoku/>
              <w:wordWrap/>
              <w:overflowPunct/>
              <w:topLinePunct w:val="0"/>
              <w:autoSpaceDE/>
              <w:autoSpaceDN/>
              <w:bidi w:val="0"/>
              <w:adjustRightInd/>
              <w:snapToGrid/>
              <w:spacing w:line="432" w:lineRule="exact"/>
              <w:ind w:left="0" w:leftChars="0"/>
              <w:jc w:val="left"/>
              <w:textAlignment w:val="auto"/>
              <w:rPr>
                <w:rFonts w:hint="eastAsia" w:ascii="宋体" w:hAnsi="宋体" w:eastAsia="宋体" w:cs="宋体"/>
                <w:color w:val="auto"/>
                <w:sz w:val="21"/>
                <w:szCs w:val="21"/>
                <w:highlight w:val="none"/>
              </w:rPr>
            </w:pPr>
            <w:r>
              <w:rPr>
                <w:rFonts w:hint="eastAsia" w:ascii="宋体" w:hAnsi="宋体" w:eastAsia="宋体" w:cs="宋体"/>
                <w:b w:val="0"/>
                <w:bCs/>
                <w:color w:val="auto"/>
                <w:spacing w:val="0"/>
                <w:position w:val="0"/>
                <w:szCs w:val="21"/>
                <w:highlight w:val="none"/>
              </w:rPr>
              <w:t>政府采购电子保函</w:t>
            </w:r>
          </w:p>
        </w:tc>
        <w:tc>
          <w:tcPr>
            <w:tcW w:w="7658" w:type="dxa"/>
            <w:noWrap w:val="0"/>
            <w:vAlign w:val="center"/>
          </w:tcPr>
          <w:p w14:paraId="2CD23EFD">
            <w:pPr>
              <w:pStyle w:val="35"/>
              <w:keepNext w:val="0"/>
              <w:keepLines w:val="0"/>
              <w:pageBreakBefore w:val="0"/>
              <w:widowControl w:val="0"/>
              <w:kinsoku/>
              <w:wordWrap/>
              <w:overflowPunct/>
              <w:topLinePunct w:val="0"/>
              <w:autoSpaceDE/>
              <w:autoSpaceDN/>
              <w:bidi w:val="0"/>
              <w:adjustRightInd/>
              <w:snapToGrid/>
              <w:spacing w:before="0" w:after="0" w:line="432" w:lineRule="exact"/>
              <w:ind w:left="0" w:leftChars="0" w:firstLine="0" w:firstLineChars="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bCs w:val="0"/>
                <w:color w:val="auto"/>
                <w:spacing w:val="0"/>
                <w:kern w:val="2"/>
                <w:position w:val="0"/>
                <w:sz w:val="21"/>
                <w:szCs w:val="24"/>
                <w:highlight w:val="none"/>
                <w:lang w:val="en-US" w:eastAsia="zh-CN" w:bidi="ar-SA"/>
              </w:rPr>
              <w:t>供应商可通过“广西政府采购金融服务平台”（https://jinrong.zcygov.cn/finance/gx）在线方式完成投标保证金、履约保证金和预付款保函申请、递交、验收和索赔等全流程电子化操作，电子保函有关业务操作流程和手册可从“广西政府采购金融服务平台”查阅下载，供应商在电子保函的申请、使用、查看应用过程中遇到问题可咨询技术支撑方：400-903-9583。</w:t>
            </w:r>
          </w:p>
        </w:tc>
      </w:tr>
    </w:tbl>
    <w:p w14:paraId="4FEDDCD7">
      <w:pPr>
        <w:widowControl/>
        <w:shd w:val="clear"/>
        <w:spacing w:line="412" w:lineRule="auto"/>
        <w:jc w:val="left"/>
        <w:rPr>
          <w:rFonts w:hint="eastAsia" w:ascii="宋体" w:hAnsi="宋体" w:eastAsia="宋体" w:cs="宋体"/>
          <w:b/>
          <w:bCs/>
          <w:color w:val="auto"/>
          <w:sz w:val="32"/>
          <w:szCs w:val="32"/>
          <w:highlight w:val="none"/>
        </w:rPr>
        <w:sectPr>
          <w:pgSz w:w="11905" w:h="16838"/>
          <w:pgMar w:top="1134" w:right="891" w:bottom="1134" w:left="1134" w:header="850" w:footer="850" w:gutter="0"/>
          <w:pgNumType w:fmt="decimal"/>
          <w:cols w:space="0" w:num="1"/>
          <w:titlePg/>
          <w:rtlGutter w:val="0"/>
          <w:docGrid w:linePitch="331" w:charSpace="0"/>
        </w:sectPr>
      </w:pPr>
    </w:p>
    <w:p w14:paraId="5112B0E3">
      <w:pPr>
        <w:shd w:val="clear"/>
        <w:rPr>
          <w:rFonts w:hint="eastAsia" w:ascii="宋体" w:hAnsi="宋体" w:eastAsia="宋体" w:cs="宋体"/>
          <w:color w:val="auto"/>
          <w:highlight w:val="none"/>
        </w:rPr>
      </w:pPr>
    </w:p>
    <w:p w14:paraId="6ED3A432">
      <w:pPr>
        <w:pStyle w:val="2"/>
        <w:shd w:val="clear"/>
        <w:jc w:val="center"/>
        <w:rPr>
          <w:rFonts w:hint="eastAsia" w:ascii="宋体" w:hAnsi="宋体" w:eastAsia="宋体" w:cs="宋体"/>
          <w:color w:val="auto"/>
          <w:highlight w:val="none"/>
        </w:rPr>
      </w:pPr>
      <w:bookmarkStart w:id="103" w:name="_Toc11336"/>
      <w:bookmarkStart w:id="104" w:name="_Toc30841"/>
      <w:bookmarkStart w:id="105" w:name="_Toc13813"/>
      <w:bookmarkStart w:id="106" w:name="_Toc7784"/>
      <w:bookmarkStart w:id="107" w:name="_Toc8807"/>
      <w:bookmarkStart w:id="108" w:name="_Toc25117"/>
      <w:bookmarkStart w:id="109" w:name="_Toc29311"/>
      <w:bookmarkStart w:id="110" w:name="_Toc453"/>
      <w:bookmarkStart w:id="111" w:name="_Toc1030"/>
      <w:bookmarkStart w:id="112" w:name="_Toc24313"/>
      <w:r>
        <w:rPr>
          <w:rFonts w:hint="eastAsia" w:ascii="宋体" w:hAnsi="宋体" w:eastAsia="宋体" w:cs="宋体"/>
          <w:color w:val="auto"/>
          <w:highlight w:val="none"/>
        </w:rPr>
        <w:t>第二节 投标人须知正文</w:t>
      </w:r>
      <w:bookmarkEnd w:id="103"/>
      <w:bookmarkEnd w:id="104"/>
      <w:bookmarkEnd w:id="105"/>
      <w:bookmarkEnd w:id="106"/>
      <w:bookmarkEnd w:id="107"/>
      <w:bookmarkEnd w:id="108"/>
      <w:bookmarkEnd w:id="109"/>
      <w:bookmarkEnd w:id="110"/>
      <w:bookmarkEnd w:id="111"/>
      <w:bookmarkEnd w:id="112"/>
    </w:p>
    <w:p w14:paraId="60315289">
      <w:pPr>
        <w:pStyle w:val="3"/>
        <w:keepNext w:val="0"/>
        <w:keepLines w:val="0"/>
        <w:pageBreakBefore w:val="0"/>
        <w:shd w:val="clear"/>
        <w:kinsoku/>
        <w:wordWrap/>
        <w:overflowPunct/>
        <w:topLinePunct w:val="0"/>
        <w:bidi w:val="0"/>
        <w:spacing w:line="430" w:lineRule="exact"/>
        <w:jc w:val="center"/>
        <w:rPr>
          <w:rFonts w:hint="eastAsia" w:ascii="宋体" w:hAnsi="宋体" w:eastAsia="宋体" w:cs="宋体"/>
          <w:color w:val="auto"/>
          <w:highlight w:val="none"/>
        </w:rPr>
      </w:pPr>
      <w:bookmarkStart w:id="113" w:name="_Toc30794"/>
      <w:bookmarkStart w:id="114" w:name="_Toc19454"/>
      <w:bookmarkStart w:id="115" w:name="_Toc22266"/>
      <w:bookmarkStart w:id="116" w:name="_Toc21176"/>
      <w:bookmarkStart w:id="117" w:name="_Toc3522"/>
      <w:bookmarkStart w:id="118" w:name="_Toc3607"/>
      <w:bookmarkStart w:id="119" w:name="_Toc6594"/>
      <w:bookmarkStart w:id="120" w:name="_Toc28360"/>
      <w:bookmarkStart w:id="121" w:name="_Toc15523"/>
      <w:bookmarkStart w:id="122" w:name="_Toc18594"/>
      <w:r>
        <w:rPr>
          <w:rFonts w:hint="eastAsia" w:ascii="宋体" w:hAnsi="宋体" w:eastAsia="宋体" w:cs="宋体"/>
          <w:color w:val="auto"/>
          <w:highlight w:val="none"/>
        </w:rPr>
        <w:t>一、总  则</w:t>
      </w:r>
      <w:bookmarkEnd w:id="113"/>
      <w:bookmarkEnd w:id="114"/>
      <w:bookmarkEnd w:id="115"/>
      <w:bookmarkEnd w:id="116"/>
      <w:bookmarkEnd w:id="117"/>
      <w:bookmarkEnd w:id="118"/>
      <w:bookmarkEnd w:id="119"/>
      <w:bookmarkEnd w:id="120"/>
      <w:bookmarkEnd w:id="121"/>
      <w:bookmarkEnd w:id="122"/>
    </w:p>
    <w:p w14:paraId="2F92570B">
      <w:pPr>
        <w:keepNext w:val="0"/>
        <w:keepLines w:val="0"/>
        <w:pageBreakBefore w:val="0"/>
        <w:shd w:val="clear"/>
        <w:kinsoku/>
        <w:wordWrap/>
        <w:overflowPunct/>
        <w:topLinePunct w:val="0"/>
        <w:bidi w:val="0"/>
        <w:spacing w:line="430" w:lineRule="exact"/>
        <w:ind w:firstLine="480" w:firstLineChars="200"/>
        <w:rPr>
          <w:rFonts w:hint="eastAsia" w:ascii="宋体" w:hAnsi="宋体" w:eastAsia="宋体" w:cs="宋体"/>
          <w:color w:val="auto"/>
          <w:sz w:val="24"/>
          <w:highlight w:val="none"/>
        </w:rPr>
      </w:pPr>
      <w:bookmarkStart w:id="123" w:name="_Toc254970668"/>
      <w:bookmarkStart w:id="124" w:name="_Toc254970527"/>
      <w:r>
        <w:rPr>
          <w:rFonts w:hint="eastAsia" w:ascii="宋体" w:hAnsi="宋体" w:eastAsia="宋体" w:cs="宋体"/>
          <w:color w:val="auto"/>
          <w:sz w:val="24"/>
          <w:highlight w:val="none"/>
        </w:rPr>
        <w:t>1.适用范围</w:t>
      </w:r>
      <w:bookmarkEnd w:id="123"/>
      <w:bookmarkEnd w:id="124"/>
    </w:p>
    <w:p w14:paraId="08DB7BCE">
      <w:pPr>
        <w:keepNext w:val="0"/>
        <w:keepLines w:val="0"/>
        <w:pageBreakBefore w:val="0"/>
        <w:shd w:val="clear"/>
        <w:kinsoku/>
        <w:wordWrap/>
        <w:overflowPunct/>
        <w:topLinePunct w:val="0"/>
        <w:bidi w:val="0"/>
        <w:spacing w:line="43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1.1适用法律：本项目采购人、采购代理机构、投标人、评标委员会的相关行为均受《中华人民共和国政府采购法》、《中华人民共和国政府采购法实施条例》、《政府采购货物和服务招标投标管理办法》及本项目本级和上级财政部门政府采购有关规定的约束和保护。</w:t>
      </w:r>
    </w:p>
    <w:p w14:paraId="7C81F6D9">
      <w:pPr>
        <w:keepNext w:val="0"/>
        <w:keepLines w:val="0"/>
        <w:pageBreakBefore w:val="0"/>
        <w:shd w:val="clear"/>
        <w:kinsoku/>
        <w:wordWrap/>
        <w:overflowPunct/>
        <w:topLinePunct w:val="0"/>
        <w:bidi w:val="0"/>
        <w:spacing w:line="43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1.2本招标文件</w:t>
      </w:r>
      <w:r>
        <w:rPr>
          <w:rFonts w:hint="eastAsia" w:ascii="宋体" w:hAnsi="宋体" w:eastAsia="宋体" w:cs="宋体"/>
          <w:color w:val="auto"/>
          <w:spacing w:val="-6"/>
          <w:szCs w:val="21"/>
          <w:highlight w:val="none"/>
        </w:rPr>
        <w:t>适用于本项目的所有采购程序和环节（法律、法规另有规定的，从其规定）。</w:t>
      </w:r>
    </w:p>
    <w:p w14:paraId="1A87A258">
      <w:pPr>
        <w:keepNext w:val="0"/>
        <w:keepLines w:val="0"/>
        <w:pageBreakBefore w:val="0"/>
        <w:shd w:val="clear"/>
        <w:kinsoku/>
        <w:wordWrap/>
        <w:overflowPunct/>
        <w:topLinePunct w:val="0"/>
        <w:bidi w:val="0"/>
        <w:spacing w:line="430" w:lineRule="exact"/>
        <w:ind w:firstLine="480" w:firstLineChars="200"/>
        <w:rPr>
          <w:rFonts w:hint="eastAsia" w:ascii="宋体" w:hAnsi="宋体" w:eastAsia="宋体" w:cs="宋体"/>
          <w:color w:val="auto"/>
          <w:sz w:val="24"/>
          <w:highlight w:val="none"/>
        </w:rPr>
      </w:pPr>
      <w:bookmarkStart w:id="125" w:name="_Toc254970528"/>
      <w:bookmarkStart w:id="126" w:name="_Toc254970669"/>
      <w:r>
        <w:rPr>
          <w:rFonts w:hint="eastAsia" w:ascii="宋体" w:hAnsi="宋体" w:eastAsia="宋体" w:cs="宋体"/>
          <w:color w:val="auto"/>
          <w:sz w:val="24"/>
          <w:highlight w:val="none"/>
        </w:rPr>
        <w:t>2.定义</w:t>
      </w:r>
      <w:bookmarkEnd w:id="125"/>
      <w:bookmarkEnd w:id="126"/>
    </w:p>
    <w:p w14:paraId="22D31044">
      <w:pPr>
        <w:keepNext w:val="0"/>
        <w:keepLines w:val="0"/>
        <w:pageBreakBefore w:val="0"/>
        <w:shd w:val="clear"/>
        <w:kinsoku/>
        <w:wordWrap/>
        <w:overflowPunct/>
        <w:topLinePunct w:val="0"/>
        <w:bidi w:val="0"/>
        <w:spacing w:line="430" w:lineRule="exact"/>
        <w:ind w:firstLine="422" w:firstLineChars="200"/>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2.1“采购人”是指依法进行政府采购的国家机关、事业单位、团体组织。</w:t>
      </w:r>
    </w:p>
    <w:p w14:paraId="12B09852">
      <w:pPr>
        <w:keepNext w:val="0"/>
        <w:keepLines w:val="0"/>
        <w:pageBreakBefore w:val="0"/>
        <w:shd w:val="clear"/>
        <w:kinsoku/>
        <w:wordWrap/>
        <w:overflowPunct/>
        <w:topLinePunct w:val="0"/>
        <w:bidi w:val="0"/>
        <w:spacing w:line="430" w:lineRule="exact"/>
        <w:ind w:firstLine="422" w:firstLineChars="200"/>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2.2“采购代理机构” 指政府采购集中采购机构和集中采购机构以外的采购代理机构。</w:t>
      </w:r>
    </w:p>
    <w:p w14:paraId="2D360042">
      <w:pPr>
        <w:keepNext w:val="0"/>
        <w:keepLines w:val="0"/>
        <w:pageBreakBefore w:val="0"/>
        <w:shd w:val="clear"/>
        <w:kinsoku/>
        <w:wordWrap/>
        <w:overflowPunct/>
        <w:topLinePunct w:val="0"/>
        <w:bidi w:val="0"/>
        <w:spacing w:line="430" w:lineRule="exact"/>
        <w:ind w:firstLine="422" w:firstLineChars="200"/>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2.3“供应商”是指向采购人提供货物、工程或者服务的法人、其他组织或者自然人。</w:t>
      </w:r>
    </w:p>
    <w:p w14:paraId="572D821B">
      <w:pPr>
        <w:keepNext w:val="0"/>
        <w:keepLines w:val="0"/>
        <w:pageBreakBefore w:val="0"/>
        <w:shd w:val="clear"/>
        <w:kinsoku/>
        <w:wordWrap/>
        <w:overflowPunct/>
        <w:topLinePunct w:val="0"/>
        <w:bidi w:val="0"/>
        <w:spacing w:line="430" w:lineRule="exact"/>
        <w:ind w:firstLine="422" w:firstLineChars="200"/>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2.4“投标人”是指响应招标、参加投标竞争的法人、非法人组织或者自然人。</w:t>
      </w:r>
    </w:p>
    <w:p w14:paraId="0370216B">
      <w:pPr>
        <w:keepNext w:val="0"/>
        <w:keepLines w:val="0"/>
        <w:pageBreakBefore w:val="0"/>
        <w:shd w:val="clear"/>
        <w:kinsoku/>
        <w:wordWrap/>
        <w:overflowPunct/>
        <w:topLinePunct w:val="0"/>
        <w:bidi w:val="0"/>
        <w:spacing w:line="430" w:lineRule="exact"/>
        <w:ind w:firstLine="422" w:firstLineChars="200"/>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2.5“服务”是指除货物和工程以外的其他政府采购对象。</w:t>
      </w:r>
    </w:p>
    <w:p w14:paraId="456AD581">
      <w:pPr>
        <w:keepNext w:val="0"/>
        <w:keepLines w:val="0"/>
        <w:pageBreakBefore w:val="0"/>
        <w:shd w:val="clear"/>
        <w:kinsoku/>
        <w:wordWrap/>
        <w:overflowPunct/>
        <w:topLinePunct w:val="0"/>
        <w:bidi w:val="0"/>
        <w:spacing w:line="430" w:lineRule="exact"/>
        <w:ind w:firstLine="422" w:firstLineChars="200"/>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2.6“书面形式”是指合同书、信件和数据电文（包括电报、电传、传真、短信、电子数据交换和电子邮件）等可以有形地表现所载内容的形式。</w:t>
      </w:r>
    </w:p>
    <w:p w14:paraId="59256254">
      <w:pPr>
        <w:keepNext w:val="0"/>
        <w:keepLines w:val="0"/>
        <w:pageBreakBefore w:val="0"/>
        <w:shd w:val="clear"/>
        <w:kinsoku/>
        <w:wordWrap/>
        <w:overflowPunct/>
        <w:topLinePunct w:val="0"/>
        <w:bidi w:val="0"/>
        <w:spacing w:line="430" w:lineRule="exact"/>
        <w:ind w:firstLine="422" w:firstLineChars="200"/>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2.7“实质性要求”是指招标文件中已经指明不满足则投标无效的条款，或者不能负偏离的条款，或者采购需求中带“</w:t>
      </w:r>
      <w:r>
        <w:rPr>
          <w:rFonts w:hint="eastAsia" w:ascii="宋体" w:hAnsi="宋体" w:eastAsia="宋体" w:cs="宋体"/>
          <w:b/>
          <w:bCs/>
          <w:color w:val="auto"/>
          <w:szCs w:val="21"/>
          <w:highlight w:val="none"/>
        </w:rPr>
        <w:t>▲</w:t>
      </w:r>
      <w:r>
        <w:rPr>
          <w:rFonts w:hint="eastAsia" w:ascii="宋体" w:hAnsi="宋体" w:eastAsia="宋体" w:cs="宋体"/>
          <w:b/>
          <w:color w:val="auto"/>
          <w:szCs w:val="21"/>
          <w:highlight w:val="none"/>
        </w:rPr>
        <w:t>”的条款。</w:t>
      </w:r>
    </w:p>
    <w:p w14:paraId="3710D622">
      <w:pPr>
        <w:keepNext w:val="0"/>
        <w:keepLines w:val="0"/>
        <w:pageBreakBefore w:val="0"/>
        <w:shd w:val="clear"/>
        <w:kinsoku/>
        <w:wordWrap/>
        <w:overflowPunct/>
        <w:topLinePunct w:val="0"/>
        <w:bidi w:val="0"/>
        <w:spacing w:line="43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2.8“正偏离”，是指投标文件对招标文件“采购需求”中有关条款作出的响应优于条款要求并有利于采购人的情形。</w:t>
      </w:r>
    </w:p>
    <w:p w14:paraId="4A950A37">
      <w:pPr>
        <w:keepNext w:val="0"/>
        <w:keepLines w:val="0"/>
        <w:pageBreakBefore w:val="0"/>
        <w:shd w:val="clear"/>
        <w:kinsoku/>
        <w:wordWrap/>
        <w:overflowPunct/>
        <w:topLinePunct w:val="0"/>
        <w:bidi w:val="0"/>
        <w:spacing w:line="43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2.9“负偏离”，是指投标文件对招标文件“采购需求”中有关条款作出的响应不满足条款要求，导致采购人要求不能得到满足的情形。</w:t>
      </w:r>
    </w:p>
    <w:p w14:paraId="1E460BBE">
      <w:pPr>
        <w:keepNext w:val="0"/>
        <w:keepLines w:val="0"/>
        <w:pageBreakBefore w:val="0"/>
        <w:shd w:val="clear"/>
        <w:kinsoku/>
        <w:wordWrap/>
        <w:overflowPunct/>
        <w:topLinePunct w:val="0"/>
        <w:bidi w:val="0"/>
        <w:spacing w:line="43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2.10“允许负偏离的条款”是指采购需求中的不属于“实质性要求”的条款。</w:t>
      </w:r>
      <w:bookmarkStart w:id="127" w:name="_Toc254970670"/>
      <w:bookmarkStart w:id="128" w:name="_Toc254970529"/>
    </w:p>
    <w:p w14:paraId="77DD5631">
      <w:pPr>
        <w:keepNext w:val="0"/>
        <w:keepLines w:val="0"/>
        <w:pageBreakBefore w:val="0"/>
        <w:shd w:val="clear"/>
        <w:kinsoku/>
        <w:wordWrap/>
        <w:overflowPunct/>
        <w:topLinePunct w:val="0"/>
        <w:bidi w:val="0"/>
        <w:spacing w:line="43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3.</w:t>
      </w:r>
      <w:bookmarkEnd w:id="127"/>
      <w:bookmarkEnd w:id="128"/>
      <w:r>
        <w:rPr>
          <w:rFonts w:hint="eastAsia" w:ascii="宋体" w:hAnsi="宋体" w:eastAsia="宋体" w:cs="宋体"/>
          <w:color w:val="auto"/>
          <w:sz w:val="24"/>
          <w:highlight w:val="none"/>
        </w:rPr>
        <w:t>投标人的资格要求</w:t>
      </w:r>
    </w:p>
    <w:p w14:paraId="1947D298">
      <w:pPr>
        <w:keepNext w:val="0"/>
        <w:keepLines w:val="0"/>
        <w:pageBreakBefore w:val="0"/>
        <w:shd w:val="clear"/>
        <w:kinsoku/>
        <w:wordWrap/>
        <w:overflowPunct/>
        <w:topLinePunct w:val="0"/>
        <w:bidi w:val="0"/>
        <w:spacing w:line="43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投标人的资格要求详见“招标公告”。</w:t>
      </w:r>
    </w:p>
    <w:p w14:paraId="10C62CD1">
      <w:pPr>
        <w:keepNext w:val="0"/>
        <w:keepLines w:val="0"/>
        <w:pageBreakBefore w:val="0"/>
        <w:shd w:val="clear"/>
        <w:kinsoku/>
        <w:wordWrap/>
        <w:overflowPunct/>
        <w:topLinePunct w:val="0"/>
        <w:bidi w:val="0"/>
        <w:spacing w:line="430" w:lineRule="exact"/>
        <w:ind w:firstLine="480" w:firstLineChars="200"/>
        <w:rPr>
          <w:rFonts w:hint="eastAsia" w:ascii="宋体" w:hAnsi="宋体" w:eastAsia="宋体" w:cs="宋体"/>
          <w:color w:val="auto"/>
          <w:sz w:val="24"/>
          <w:highlight w:val="none"/>
        </w:rPr>
      </w:pPr>
      <w:bookmarkStart w:id="129" w:name="_Toc254970671"/>
      <w:bookmarkStart w:id="130" w:name="_Toc254970530"/>
      <w:r>
        <w:rPr>
          <w:rFonts w:hint="eastAsia" w:ascii="宋体" w:hAnsi="宋体" w:eastAsia="宋体" w:cs="宋体"/>
          <w:color w:val="auto"/>
          <w:sz w:val="24"/>
          <w:highlight w:val="none"/>
        </w:rPr>
        <w:t>4.投标委托</w:t>
      </w:r>
      <w:bookmarkEnd w:id="129"/>
      <w:bookmarkEnd w:id="130"/>
    </w:p>
    <w:p w14:paraId="43728B7A">
      <w:pPr>
        <w:keepNext w:val="0"/>
        <w:keepLines w:val="0"/>
        <w:pageBreakBefore w:val="0"/>
        <w:shd w:val="clear"/>
        <w:kinsoku/>
        <w:wordWrap/>
        <w:overflowPunct/>
        <w:topLinePunct w:val="0"/>
        <w:bidi w:val="0"/>
        <w:spacing w:line="43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投标人代表参加投标活动过程中必须携带个人有效身份证件。如投标人代表不是法定代表人，须持有法定代表人授权委托书（按第六章要求格式填写）。</w:t>
      </w:r>
    </w:p>
    <w:p w14:paraId="1B6BC184">
      <w:pPr>
        <w:keepNext w:val="0"/>
        <w:keepLines w:val="0"/>
        <w:pageBreakBefore w:val="0"/>
        <w:shd w:val="clear"/>
        <w:kinsoku/>
        <w:wordWrap/>
        <w:overflowPunct/>
        <w:topLinePunct w:val="0"/>
        <w:bidi w:val="0"/>
        <w:spacing w:line="430" w:lineRule="exact"/>
        <w:ind w:firstLine="480" w:firstLineChars="200"/>
        <w:rPr>
          <w:rFonts w:hint="eastAsia" w:ascii="宋体" w:hAnsi="宋体" w:eastAsia="宋体" w:cs="宋体"/>
          <w:color w:val="auto"/>
          <w:sz w:val="24"/>
          <w:highlight w:val="none"/>
        </w:rPr>
      </w:pPr>
      <w:bookmarkStart w:id="131" w:name="_5.投标费用"/>
      <w:bookmarkEnd w:id="131"/>
      <w:bookmarkStart w:id="132" w:name="_Toc254970672"/>
      <w:bookmarkStart w:id="133" w:name="_Toc254970531"/>
      <w:r>
        <w:rPr>
          <w:rFonts w:hint="eastAsia" w:ascii="宋体" w:hAnsi="宋体" w:eastAsia="宋体" w:cs="宋体"/>
          <w:color w:val="auto"/>
          <w:sz w:val="24"/>
          <w:highlight w:val="none"/>
        </w:rPr>
        <w:t>5.投标费用</w:t>
      </w:r>
      <w:bookmarkEnd w:id="132"/>
      <w:bookmarkEnd w:id="133"/>
    </w:p>
    <w:p w14:paraId="0FCFC5BC">
      <w:pPr>
        <w:keepNext w:val="0"/>
        <w:keepLines w:val="0"/>
        <w:pageBreakBefore w:val="0"/>
        <w:shd w:val="clear"/>
        <w:kinsoku/>
        <w:wordWrap/>
        <w:overflowPunct/>
        <w:topLinePunct w:val="0"/>
        <w:bidi w:val="0"/>
        <w:spacing w:line="43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投标费用：投标人应承担参与本次采购活动有关的所有费用，包括但不限于勘查现场、编制投标文件、参加澄清说明、签订合同等，不论投标结果如何，均应自行承担。</w:t>
      </w:r>
    </w:p>
    <w:p w14:paraId="2CDF44A0">
      <w:pPr>
        <w:keepNext w:val="0"/>
        <w:keepLines w:val="0"/>
        <w:pageBreakBefore w:val="0"/>
        <w:shd w:val="clear"/>
        <w:kinsoku/>
        <w:wordWrap/>
        <w:overflowPunct/>
        <w:topLinePunct w:val="0"/>
        <w:bidi w:val="0"/>
        <w:spacing w:line="43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6.联合体投标</w:t>
      </w:r>
    </w:p>
    <w:p w14:paraId="0626064B">
      <w:pPr>
        <w:keepNext w:val="0"/>
        <w:keepLines w:val="0"/>
        <w:pageBreakBefore w:val="0"/>
        <w:shd w:val="clear"/>
        <w:kinsoku/>
        <w:wordWrap/>
        <w:overflowPunct/>
        <w:topLinePunct w:val="0"/>
        <w:bidi w:val="0"/>
        <w:spacing w:line="43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6.1本项目是否接受联合体投标，详见“投标人须知前附表”。</w:t>
      </w:r>
    </w:p>
    <w:p w14:paraId="54CEF4CF">
      <w:pPr>
        <w:keepNext w:val="0"/>
        <w:keepLines w:val="0"/>
        <w:pageBreakBefore w:val="0"/>
        <w:shd w:val="clear"/>
        <w:kinsoku/>
        <w:wordWrap/>
        <w:overflowPunct/>
        <w:topLinePunct w:val="0"/>
        <w:bidi w:val="0"/>
        <w:spacing w:line="430" w:lineRule="exact"/>
        <w:ind w:firstLine="420" w:firstLineChars="200"/>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6.2如接受联合体投标，联合体投标要求详见“投标人须知前附表”。</w:t>
      </w:r>
    </w:p>
    <w:p w14:paraId="5E6647E6">
      <w:pPr>
        <w:keepNext w:val="0"/>
        <w:keepLines w:val="0"/>
        <w:pageBreakBefore w:val="0"/>
        <w:shd w:val="clear"/>
        <w:kinsoku/>
        <w:wordWrap/>
        <w:overflowPunct/>
        <w:topLinePunct w:val="0"/>
        <w:bidi w:val="0"/>
        <w:spacing w:line="430" w:lineRule="exact"/>
        <w:ind w:firstLine="420" w:firstLineChars="200"/>
        <w:rPr>
          <w:rFonts w:hint="eastAsia" w:ascii="宋体" w:hAnsi="宋体" w:eastAsia="宋体" w:cs="宋体"/>
          <w:bCs/>
          <w:color w:val="auto"/>
          <w:sz w:val="24"/>
          <w:szCs w:val="21"/>
          <w:highlight w:val="none"/>
          <w:shd w:val="clear" w:color="auto" w:fill="FFFFFF"/>
        </w:rPr>
      </w:pPr>
      <w:r>
        <w:rPr>
          <w:rFonts w:hint="eastAsia" w:ascii="宋体" w:hAnsi="宋体" w:eastAsia="宋体" w:cs="宋体"/>
          <w:bCs/>
          <w:color w:val="auto"/>
          <w:szCs w:val="21"/>
          <w:highlight w:val="none"/>
        </w:rPr>
        <w:t>6.3根据《政府采购促进中小企业发展管理办法》（财库[2020]46号）第九条、</w:t>
      </w:r>
      <w:r>
        <w:rPr>
          <w:rFonts w:hint="eastAsia" w:ascii="宋体" w:hAnsi="宋体" w:eastAsia="宋体" w:cs="宋体"/>
          <w:color w:val="auto"/>
          <w:highlight w:val="none"/>
        </w:rPr>
        <w:t>《广西壮族自治区财政厅关于贯彻落实政府采购支持中小企业发展政策的通知》（桂财采〔2022〕31号）</w:t>
      </w:r>
      <w:r>
        <w:rPr>
          <w:rFonts w:hint="eastAsia" w:ascii="宋体" w:hAnsi="宋体" w:eastAsia="宋体" w:cs="宋体"/>
          <w:bCs/>
          <w:color w:val="auto"/>
          <w:szCs w:val="21"/>
          <w:highlight w:val="none"/>
        </w:rPr>
        <w:t>规定，接受大中型企业与小微企业组成联合体的采购项目，对于联合协议约定小微企业的合同份额占到合同总金额30%以上的，采购人、采购代理机构应当对联合体的报价给予4%-6%的扣除，用扣除后的价格参加评审。组成联合体的小微企业与联合体内其他企业、分包企业之间存在直接控股、管理关系的，不享受价格扣除优惠政策。</w:t>
      </w:r>
    </w:p>
    <w:p w14:paraId="241B66BA">
      <w:pPr>
        <w:keepNext w:val="0"/>
        <w:keepLines w:val="0"/>
        <w:pageBreakBefore w:val="0"/>
        <w:shd w:val="clear"/>
        <w:kinsoku/>
        <w:wordWrap/>
        <w:overflowPunct/>
        <w:topLinePunct w:val="0"/>
        <w:bidi w:val="0"/>
        <w:spacing w:line="43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7.转包与分包             </w:t>
      </w:r>
    </w:p>
    <w:p w14:paraId="625C19D6">
      <w:pPr>
        <w:keepNext w:val="0"/>
        <w:keepLines w:val="0"/>
        <w:pageBreakBefore w:val="0"/>
        <w:shd w:val="clear"/>
        <w:kinsoku/>
        <w:wordWrap/>
        <w:overflowPunct/>
        <w:topLinePunct w:val="0"/>
        <w:bidi w:val="0"/>
        <w:spacing w:line="430" w:lineRule="exact"/>
        <w:ind w:firstLine="422" w:firstLineChars="200"/>
        <w:rPr>
          <w:rFonts w:hint="eastAsia" w:ascii="宋体" w:hAnsi="宋体" w:eastAsia="宋体" w:cs="宋体"/>
          <w:b/>
          <w:color w:val="auto"/>
          <w:szCs w:val="21"/>
          <w:highlight w:val="none"/>
          <w:lang w:val="en-US" w:eastAsia="zh-CN"/>
        </w:rPr>
      </w:pPr>
      <w:r>
        <w:rPr>
          <w:rFonts w:hint="eastAsia" w:ascii="宋体" w:hAnsi="宋体" w:eastAsia="宋体" w:cs="宋体"/>
          <w:b/>
          <w:color w:val="auto"/>
          <w:szCs w:val="21"/>
          <w:highlight w:val="none"/>
          <w:lang w:val="en-US" w:eastAsia="zh-CN"/>
        </w:rPr>
        <w:t>7.1 本项目不允许转包。</w:t>
      </w:r>
    </w:p>
    <w:p w14:paraId="69B6055E">
      <w:pPr>
        <w:keepNext w:val="0"/>
        <w:keepLines w:val="0"/>
        <w:pageBreakBefore w:val="0"/>
        <w:shd w:val="clear"/>
        <w:kinsoku/>
        <w:wordWrap/>
        <w:overflowPunct/>
        <w:topLinePunct w:val="0"/>
        <w:bidi w:val="0"/>
        <w:spacing w:line="430" w:lineRule="exact"/>
        <w:ind w:firstLine="422" w:firstLineChars="200"/>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7.</w:t>
      </w:r>
      <w:r>
        <w:rPr>
          <w:rFonts w:hint="eastAsia" w:ascii="宋体" w:hAnsi="宋体" w:eastAsia="宋体" w:cs="宋体"/>
          <w:b/>
          <w:color w:val="auto"/>
          <w:szCs w:val="21"/>
          <w:highlight w:val="none"/>
          <w:lang w:val="en-US" w:eastAsia="zh-CN"/>
        </w:rPr>
        <w:t>2</w:t>
      </w:r>
      <w:r>
        <w:rPr>
          <w:rFonts w:hint="eastAsia" w:ascii="宋体" w:hAnsi="宋体" w:eastAsia="宋体" w:cs="宋体"/>
          <w:b/>
          <w:color w:val="auto"/>
          <w:szCs w:val="21"/>
          <w:highlight w:val="none"/>
        </w:rPr>
        <w:t>本项目是否允许分包详见“投标人须知前附表”，本项目不允许违法分包。投标人根据招标文件的规定和采购项目的实际情况，拟在中标后将中标项目的非主体、非关键性工作分包的，应当在投标文件中载明分包承担主体，分包承担主体应当具备相应资质条件且不得再次分包。</w:t>
      </w:r>
    </w:p>
    <w:p w14:paraId="3903F76B">
      <w:pPr>
        <w:keepNext w:val="0"/>
        <w:keepLines w:val="0"/>
        <w:pageBreakBefore w:val="0"/>
        <w:shd w:val="clear"/>
        <w:kinsoku/>
        <w:wordWrap/>
        <w:overflowPunct/>
        <w:topLinePunct w:val="0"/>
        <w:bidi w:val="0"/>
        <w:spacing w:line="430" w:lineRule="exact"/>
        <w:ind w:firstLine="420" w:firstLineChars="200"/>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7.</w:t>
      </w:r>
      <w:r>
        <w:rPr>
          <w:rFonts w:hint="eastAsia" w:ascii="宋体" w:hAnsi="宋体" w:eastAsia="宋体" w:cs="宋体"/>
          <w:bCs/>
          <w:color w:val="auto"/>
          <w:szCs w:val="21"/>
          <w:highlight w:val="none"/>
          <w:lang w:val="en-US" w:eastAsia="zh-CN"/>
        </w:rPr>
        <w:t>3</w:t>
      </w:r>
      <w:r>
        <w:rPr>
          <w:rFonts w:hint="eastAsia" w:ascii="宋体" w:hAnsi="宋体" w:eastAsia="宋体" w:cs="宋体"/>
          <w:bCs/>
          <w:color w:val="auto"/>
          <w:szCs w:val="21"/>
          <w:highlight w:val="none"/>
        </w:rPr>
        <w:t>根据《政府采购促进中小企业发展管理办法》（财库[2020]46号）第九条及</w:t>
      </w:r>
      <w:r>
        <w:rPr>
          <w:rFonts w:hint="eastAsia" w:ascii="宋体" w:hAnsi="宋体" w:eastAsia="宋体" w:cs="宋体"/>
          <w:color w:val="auto"/>
          <w:highlight w:val="none"/>
        </w:rPr>
        <w:t>《广西壮族自治区财政厅关于贯彻落实政府采购支持中小企业发展政策的通知》（桂财采〔2022〕31号）</w:t>
      </w:r>
      <w:r>
        <w:rPr>
          <w:rFonts w:hint="eastAsia" w:ascii="宋体" w:hAnsi="宋体" w:eastAsia="宋体" w:cs="宋体"/>
          <w:bCs/>
          <w:color w:val="auto"/>
          <w:szCs w:val="21"/>
          <w:highlight w:val="none"/>
        </w:rPr>
        <w:t>规定，允许大中型企业向一家或者多家小微企业分包的采购项目，对于分包意向协议约定小微企业的合同份额占到合同总金额30%以上的，采购人、采购代理机构应当对大中型企业的报价给予4%-6%的扣除，用扣除后的价格参加评审。接受分包的小微企业与分包企业之间存在直接控股、管理关系的，不享受价格扣除优惠政策。</w:t>
      </w:r>
    </w:p>
    <w:p w14:paraId="628FF8FB">
      <w:pPr>
        <w:keepNext w:val="0"/>
        <w:keepLines w:val="0"/>
        <w:pageBreakBefore w:val="0"/>
        <w:shd w:val="clear"/>
        <w:kinsoku/>
        <w:wordWrap/>
        <w:overflowPunct/>
        <w:topLinePunct w:val="0"/>
        <w:bidi w:val="0"/>
        <w:spacing w:line="430" w:lineRule="exact"/>
        <w:ind w:firstLine="480" w:firstLineChars="200"/>
        <w:rPr>
          <w:rFonts w:hint="eastAsia" w:ascii="宋体" w:hAnsi="宋体" w:eastAsia="宋体" w:cs="宋体"/>
          <w:color w:val="auto"/>
          <w:sz w:val="24"/>
          <w:highlight w:val="none"/>
        </w:rPr>
      </w:pPr>
      <w:bookmarkStart w:id="134" w:name="_Toc254970532"/>
      <w:bookmarkStart w:id="135" w:name="_Toc254970673"/>
      <w:r>
        <w:rPr>
          <w:rFonts w:hint="eastAsia" w:ascii="宋体" w:hAnsi="宋体" w:eastAsia="宋体" w:cs="宋体"/>
          <w:color w:val="auto"/>
          <w:sz w:val="24"/>
          <w:highlight w:val="none"/>
        </w:rPr>
        <w:t>8.特别说明：</w:t>
      </w:r>
      <w:bookmarkEnd w:id="134"/>
      <w:bookmarkEnd w:id="135"/>
      <w:bookmarkStart w:id="136" w:name="_8.1提供相同品牌产品且通过资格审查、符合性审查的不同投标人参加同一合"/>
      <w:bookmarkEnd w:id="136"/>
    </w:p>
    <w:p w14:paraId="6AC3E90C">
      <w:pPr>
        <w:keepNext w:val="0"/>
        <w:keepLines w:val="0"/>
        <w:pageBreakBefore w:val="0"/>
        <w:shd w:val="clear"/>
        <w:kinsoku/>
        <w:wordWrap/>
        <w:overflowPunct/>
        <w:topLinePunct w:val="0"/>
        <w:bidi w:val="0"/>
        <w:spacing w:line="430" w:lineRule="exact"/>
        <w:ind w:firstLine="422" w:firstLineChars="200"/>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8.1如果本招标文件要求投标人提供资格、信誉、荣誉、业绩与企业认证等材料的，则投标人所提供的以上材料必须为</w:t>
      </w:r>
      <w:r>
        <w:rPr>
          <w:rFonts w:hint="eastAsia" w:ascii="宋体" w:hAnsi="宋体" w:eastAsia="宋体" w:cs="宋体"/>
          <w:b/>
          <w:color w:val="auto"/>
          <w:szCs w:val="21"/>
          <w:highlight w:val="none"/>
          <w:lang w:eastAsia="zh-CN"/>
        </w:rPr>
        <w:t>该</w:t>
      </w:r>
      <w:r>
        <w:rPr>
          <w:rFonts w:hint="eastAsia" w:ascii="宋体" w:hAnsi="宋体" w:eastAsia="宋体" w:cs="宋体"/>
          <w:b/>
          <w:color w:val="auto"/>
          <w:szCs w:val="21"/>
          <w:highlight w:val="none"/>
        </w:rPr>
        <w:t>投标人所拥有。</w:t>
      </w:r>
    </w:p>
    <w:p w14:paraId="22F6B105">
      <w:pPr>
        <w:keepNext w:val="0"/>
        <w:keepLines w:val="0"/>
        <w:pageBreakBefore w:val="0"/>
        <w:shd w:val="clear"/>
        <w:kinsoku/>
        <w:wordWrap/>
        <w:overflowPunct/>
        <w:topLinePunct w:val="0"/>
        <w:bidi w:val="0"/>
        <w:spacing w:line="430" w:lineRule="exact"/>
        <w:ind w:firstLine="422" w:firstLineChars="200"/>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8.2投标人应仔细阅读招标文件的所有内容，按照招标文件的要求提交投标文件，并对所提供的全部资料的真实性承担法律责任。</w:t>
      </w:r>
    </w:p>
    <w:p w14:paraId="5A438E09">
      <w:pPr>
        <w:keepNext w:val="0"/>
        <w:keepLines w:val="0"/>
        <w:pageBreakBefore w:val="0"/>
        <w:shd w:val="clear"/>
        <w:kinsoku/>
        <w:wordWrap/>
        <w:overflowPunct/>
        <w:topLinePunct w:val="0"/>
        <w:bidi w:val="0"/>
        <w:spacing w:line="430" w:lineRule="exact"/>
        <w:ind w:firstLine="422" w:firstLineChars="200"/>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8.3投标人在投标活动中提供任何虚假材料，将报监管部门查处；中标后发现的，中标人须依照《中华人民共和国消费者权益保护法》规定赔偿采购人，且民事赔偿并不免除违法投标人的行政与刑事责任。</w:t>
      </w:r>
    </w:p>
    <w:p w14:paraId="3AFEE768">
      <w:pPr>
        <w:keepNext w:val="0"/>
        <w:keepLines w:val="0"/>
        <w:pageBreakBefore w:val="0"/>
        <w:shd w:val="clear"/>
        <w:kinsoku/>
        <w:wordWrap/>
        <w:overflowPunct/>
        <w:topLinePunct w:val="0"/>
        <w:bidi w:val="0"/>
        <w:spacing w:line="43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9.回避与串通投标</w:t>
      </w:r>
    </w:p>
    <w:p w14:paraId="1E1027E2">
      <w:pPr>
        <w:keepNext w:val="0"/>
        <w:keepLines w:val="0"/>
        <w:pageBreakBefore w:val="0"/>
        <w:shd w:val="clear"/>
        <w:kinsoku/>
        <w:wordWrap/>
        <w:overflowPunct/>
        <w:topLinePunct w:val="0"/>
        <w:bidi w:val="0"/>
        <w:spacing w:line="430" w:lineRule="exact"/>
        <w:ind w:firstLine="422" w:firstLineChars="200"/>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9.1在政府采购活动中，采购人员及相关人员与供应商有下列利害关系之一的，应当回避：</w:t>
      </w:r>
    </w:p>
    <w:p w14:paraId="21C8EFAC">
      <w:pPr>
        <w:keepNext w:val="0"/>
        <w:keepLines w:val="0"/>
        <w:pageBreakBefore w:val="0"/>
        <w:shd w:val="clear"/>
        <w:kinsoku/>
        <w:wordWrap/>
        <w:overflowPunct/>
        <w:topLinePunct w:val="0"/>
        <w:bidi w:val="0"/>
        <w:spacing w:line="430" w:lineRule="exact"/>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（1）参加采购活动前3年内与供应商存在劳动关系；</w:t>
      </w:r>
    </w:p>
    <w:p w14:paraId="7D6A1154">
      <w:pPr>
        <w:keepNext w:val="0"/>
        <w:keepLines w:val="0"/>
        <w:pageBreakBefore w:val="0"/>
        <w:shd w:val="clear"/>
        <w:kinsoku/>
        <w:wordWrap/>
        <w:overflowPunct/>
        <w:topLinePunct w:val="0"/>
        <w:bidi w:val="0"/>
        <w:spacing w:line="430" w:lineRule="exact"/>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（2）参加采购活动前3年内担任供应商的董事、监事；</w:t>
      </w:r>
    </w:p>
    <w:p w14:paraId="5B880104">
      <w:pPr>
        <w:keepNext w:val="0"/>
        <w:keepLines w:val="0"/>
        <w:pageBreakBefore w:val="0"/>
        <w:shd w:val="clear"/>
        <w:kinsoku/>
        <w:wordWrap/>
        <w:overflowPunct/>
        <w:topLinePunct w:val="0"/>
        <w:bidi w:val="0"/>
        <w:spacing w:line="430" w:lineRule="exact"/>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（3）参加采购活动前3年内是供应商的控股股东或者实际控制人；</w:t>
      </w:r>
    </w:p>
    <w:p w14:paraId="28035434">
      <w:pPr>
        <w:keepNext w:val="0"/>
        <w:keepLines w:val="0"/>
        <w:pageBreakBefore w:val="0"/>
        <w:shd w:val="clear"/>
        <w:kinsoku/>
        <w:wordWrap/>
        <w:overflowPunct/>
        <w:topLinePunct w:val="0"/>
        <w:bidi w:val="0"/>
        <w:spacing w:line="430" w:lineRule="exact"/>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（4）与供应商的法定代表人或者负责人有夫妻、直系血亲、三代以内旁系血亲或者近姻亲关系；</w:t>
      </w:r>
    </w:p>
    <w:p w14:paraId="16D73720">
      <w:pPr>
        <w:keepNext w:val="0"/>
        <w:keepLines w:val="0"/>
        <w:pageBreakBefore w:val="0"/>
        <w:shd w:val="clear"/>
        <w:kinsoku/>
        <w:wordWrap/>
        <w:overflowPunct/>
        <w:topLinePunct w:val="0"/>
        <w:bidi w:val="0"/>
        <w:spacing w:line="430" w:lineRule="exact"/>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（5）与供应商有其他可能影响政府采购活动公平、公正进行的关系。</w:t>
      </w:r>
    </w:p>
    <w:p w14:paraId="15E9106B">
      <w:pPr>
        <w:keepNext w:val="0"/>
        <w:keepLines w:val="0"/>
        <w:pageBreakBefore w:val="0"/>
        <w:shd w:val="clear"/>
        <w:kinsoku/>
        <w:wordWrap/>
        <w:overflowPunct/>
        <w:topLinePunct w:val="0"/>
        <w:bidi w:val="0"/>
        <w:spacing w:line="430" w:lineRule="exact"/>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供应商认为采购人员及相关人员与其他供应商有利害关系的，可以向采购人或者采购代理机构书面提出回避申请，并说明理由。采购人或者采购代理机构应当及时询问被申请回避人员，有利害关系的被申请回避人员应当回避。</w:t>
      </w:r>
    </w:p>
    <w:p w14:paraId="75CB23E9">
      <w:pPr>
        <w:keepNext w:val="0"/>
        <w:keepLines w:val="0"/>
        <w:pageBreakBefore w:val="0"/>
        <w:shd w:val="clear"/>
        <w:kinsoku/>
        <w:wordWrap/>
        <w:overflowPunct/>
        <w:topLinePunct w:val="0"/>
        <w:bidi w:val="0"/>
        <w:spacing w:line="43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9.2有下列情形之一的视为投标人相互串通投标，投标文件将被视为无效：</w:t>
      </w:r>
    </w:p>
    <w:p w14:paraId="399F67F7">
      <w:pPr>
        <w:keepNext w:val="0"/>
        <w:keepLines w:val="0"/>
        <w:pageBreakBefore w:val="0"/>
        <w:shd w:val="clear"/>
        <w:kinsoku/>
        <w:wordWrap/>
        <w:overflowPunct/>
        <w:topLinePunct w:val="0"/>
        <w:bidi w:val="0"/>
        <w:spacing w:line="430" w:lineRule="exact"/>
        <w:ind w:firstLine="422" w:firstLineChars="200"/>
        <w:rPr>
          <w:rFonts w:hint="eastAsia" w:ascii="宋体" w:hAnsi="宋体" w:eastAsia="宋体" w:cs="宋体"/>
          <w:b/>
          <w:color w:val="auto"/>
          <w:highlight w:val="none"/>
          <w:lang w:eastAsia="zh-CN"/>
        </w:rPr>
      </w:pPr>
      <w:r>
        <w:rPr>
          <w:rFonts w:hint="eastAsia" w:ascii="宋体" w:hAnsi="宋体" w:eastAsia="宋体" w:cs="宋体"/>
          <w:b/>
          <w:color w:val="auto"/>
          <w:highlight w:val="none"/>
        </w:rPr>
        <w:t>（1）不同投标人的投标文件由同一单位或者个人编制；</w:t>
      </w:r>
      <w:r>
        <w:rPr>
          <w:rFonts w:hint="eastAsia" w:ascii="宋体" w:hAnsi="宋体" w:eastAsia="宋体" w:cs="宋体"/>
          <w:b/>
          <w:color w:val="auto"/>
          <w:szCs w:val="21"/>
          <w:highlight w:val="none"/>
        </w:rPr>
        <w:t>或者不同投标人报名的IP地址一致的；</w:t>
      </w:r>
    </w:p>
    <w:p w14:paraId="024A49B2">
      <w:pPr>
        <w:keepNext w:val="0"/>
        <w:keepLines w:val="0"/>
        <w:pageBreakBefore w:val="0"/>
        <w:shd w:val="clear"/>
        <w:kinsoku/>
        <w:wordWrap/>
        <w:overflowPunct/>
        <w:topLinePunct w:val="0"/>
        <w:bidi w:val="0"/>
        <w:spacing w:line="430" w:lineRule="exact"/>
        <w:ind w:firstLine="422" w:firstLineChars="200"/>
        <w:rPr>
          <w:rFonts w:hint="eastAsia" w:ascii="宋体" w:hAnsi="宋体" w:eastAsia="宋体" w:cs="宋体"/>
          <w:b/>
          <w:color w:val="auto"/>
          <w:highlight w:val="none"/>
        </w:rPr>
      </w:pPr>
      <w:r>
        <w:rPr>
          <w:rFonts w:hint="eastAsia" w:ascii="宋体" w:hAnsi="宋体" w:eastAsia="宋体" w:cs="宋体"/>
          <w:b/>
          <w:color w:val="auto"/>
          <w:highlight w:val="none"/>
        </w:rPr>
        <w:t>（2）不同投标人委托同一单位或者个人办理投标事宜；</w:t>
      </w:r>
    </w:p>
    <w:p w14:paraId="0103D791">
      <w:pPr>
        <w:keepNext w:val="0"/>
        <w:keepLines w:val="0"/>
        <w:pageBreakBefore w:val="0"/>
        <w:shd w:val="clear"/>
        <w:kinsoku/>
        <w:wordWrap/>
        <w:overflowPunct/>
        <w:topLinePunct w:val="0"/>
        <w:bidi w:val="0"/>
        <w:spacing w:line="430" w:lineRule="exact"/>
        <w:ind w:firstLine="422" w:firstLineChars="200"/>
        <w:rPr>
          <w:rFonts w:hint="eastAsia" w:ascii="宋体" w:hAnsi="宋体" w:eastAsia="宋体" w:cs="宋体"/>
          <w:b/>
          <w:color w:val="auto"/>
          <w:highlight w:val="none"/>
        </w:rPr>
      </w:pPr>
      <w:r>
        <w:rPr>
          <w:rFonts w:hint="eastAsia" w:ascii="宋体" w:hAnsi="宋体" w:eastAsia="宋体" w:cs="宋体"/>
          <w:b/>
          <w:color w:val="auto"/>
          <w:highlight w:val="none"/>
        </w:rPr>
        <w:t>（3）不同的投标人的投标文件载明的项目管理员为同一个人；</w:t>
      </w:r>
    </w:p>
    <w:p w14:paraId="36564CC2">
      <w:pPr>
        <w:keepNext w:val="0"/>
        <w:keepLines w:val="0"/>
        <w:pageBreakBefore w:val="0"/>
        <w:shd w:val="clear"/>
        <w:kinsoku/>
        <w:wordWrap/>
        <w:overflowPunct/>
        <w:topLinePunct w:val="0"/>
        <w:bidi w:val="0"/>
        <w:spacing w:line="430" w:lineRule="exact"/>
        <w:ind w:firstLine="422" w:firstLineChars="200"/>
        <w:rPr>
          <w:rFonts w:hint="eastAsia" w:ascii="宋体" w:hAnsi="宋体" w:eastAsia="宋体" w:cs="宋体"/>
          <w:b/>
          <w:color w:val="auto"/>
          <w:highlight w:val="none"/>
        </w:rPr>
      </w:pPr>
      <w:r>
        <w:rPr>
          <w:rFonts w:hint="eastAsia" w:ascii="宋体" w:hAnsi="宋体" w:eastAsia="宋体" w:cs="宋体"/>
          <w:b/>
          <w:color w:val="auto"/>
          <w:highlight w:val="none"/>
        </w:rPr>
        <w:t>（4）不同投标人的电子投标文件异常一致或者投标报价呈规律性差异；</w:t>
      </w:r>
    </w:p>
    <w:p w14:paraId="6A77FAE8">
      <w:pPr>
        <w:keepNext w:val="0"/>
        <w:keepLines w:val="0"/>
        <w:pageBreakBefore w:val="0"/>
        <w:shd w:val="clear"/>
        <w:kinsoku/>
        <w:wordWrap/>
        <w:overflowPunct/>
        <w:topLinePunct w:val="0"/>
        <w:bidi w:val="0"/>
        <w:spacing w:line="430" w:lineRule="exact"/>
        <w:ind w:firstLine="422" w:firstLineChars="200"/>
        <w:rPr>
          <w:rFonts w:hint="eastAsia" w:ascii="宋体" w:hAnsi="宋体" w:eastAsia="宋体" w:cs="宋体"/>
          <w:b/>
          <w:color w:val="auto"/>
          <w:highlight w:val="none"/>
        </w:rPr>
      </w:pPr>
      <w:r>
        <w:rPr>
          <w:rFonts w:hint="eastAsia" w:ascii="宋体" w:hAnsi="宋体" w:eastAsia="宋体" w:cs="宋体"/>
          <w:b/>
          <w:color w:val="auto"/>
          <w:highlight w:val="none"/>
        </w:rPr>
        <w:t>（5）不同投标人的投标文件相互混装；</w:t>
      </w:r>
    </w:p>
    <w:p w14:paraId="614CEDF7">
      <w:pPr>
        <w:keepNext w:val="0"/>
        <w:keepLines w:val="0"/>
        <w:pageBreakBefore w:val="0"/>
        <w:shd w:val="clear"/>
        <w:kinsoku/>
        <w:wordWrap/>
        <w:overflowPunct/>
        <w:topLinePunct w:val="0"/>
        <w:bidi w:val="0"/>
        <w:spacing w:line="430" w:lineRule="exact"/>
        <w:ind w:firstLine="422" w:firstLineChars="200"/>
        <w:rPr>
          <w:rFonts w:hint="eastAsia" w:ascii="宋体" w:hAnsi="宋体" w:eastAsia="宋体" w:cs="宋体"/>
          <w:b/>
          <w:color w:val="auto"/>
          <w:highlight w:val="none"/>
        </w:rPr>
      </w:pPr>
      <w:r>
        <w:rPr>
          <w:rFonts w:hint="eastAsia" w:ascii="宋体" w:hAnsi="宋体" w:eastAsia="宋体" w:cs="宋体"/>
          <w:b/>
          <w:color w:val="auto"/>
          <w:highlight w:val="none"/>
        </w:rPr>
        <w:t>（</w:t>
      </w:r>
      <w:r>
        <w:rPr>
          <w:rFonts w:hint="eastAsia" w:ascii="宋体" w:hAnsi="宋体" w:eastAsia="宋体" w:cs="宋体"/>
          <w:b/>
          <w:color w:val="auto"/>
          <w:highlight w:val="none"/>
          <w:lang w:eastAsia="zh-CN"/>
        </w:rPr>
        <w:t>6</w:t>
      </w:r>
      <w:r>
        <w:rPr>
          <w:rFonts w:hint="eastAsia" w:ascii="宋体" w:hAnsi="宋体" w:eastAsia="宋体" w:cs="宋体"/>
          <w:b/>
          <w:color w:val="auto"/>
          <w:highlight w:val="none"/>
        </w:rPr>
        <w:t>）不同投标人的</w:t>
      </w:r>
      <w:r>
        <w:rPr>
          <w:rFonts w:hint="eastAsia" w:ascii="宋体" w:hAnsi="宋体" w:eastAsia="宋体" w:cs="宋体"/>
          <w:b/>
          <w:color w:val="auto"/>
          <w:highlight w:val="none"/>
          <w:lang w:eastAsia="zh-CN"/>
        </w:rPr>
        <w:t>投标</w:t>
      </w:r>
      <w:r>
        <w:rPr>
          <w:rFonts w:hint="eastAsia" w:ascii="宋体" w:hAnsi="宋体" w:eastAsia="宋体" w:cs="宋体"/>
          <w:b/>
          <w:color w:val="auto"/>
          <w:highlight w:val="none"/>
        </w:rPr>
        <w:t>保证金从同一单位或者个人账户转出。</w:t>
      </w:r>
    </w:p>
    <w:p w14:paraId="4F3C15A7">
      <w:pPr>
        <w:keepNext w:val="0"/>
        <w:keepLines w:val="0"/>
        <w:pageBreakBefore w:val="0"/>
        <w:shd w:val="clear"/>
        <w:kinsoku/>
        <w:wordWrap/>
        <w:overflowPunct/>
        <w:topLinePunct w:val="0"/>
        <w:bidi w:val="0"/>
        <w:spacing w:line="43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9.3供应商有下列情形之一的，属于恶意串通行为，将报同级监督管理部门：</w:t>
      </w:r>
    </w:p>
    <w:p w14:paraId="020848A8">
      <w:pPr>
        <w:keepNext w:val="0"/>
        <w:keepLines w:val="0"/>
        <w:pageBreakBefore w:val="0"/>
        <w:shd w:val="clear"/>
        <w:kinsoku/>
        <w:wordWrap/>
        <w:overflowPunct/>
        <w:topLinePunct w:val="0"/>
        <w:bidi w:val="0"/>
        <w:spacing w:line="430" w:lineRule="exact"/>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（1）供应商直接或者间接从采购人或者采购代理机构处获得其他供应商的相关信息并修改其投标文件；</w:t>
      </w:r>
    </w:p>
    <w:p w14:paraId="31F97860">
      <w:pPr>
        <w:keepNext w:val="0"/>
        <w:keepLines w:val="0"/>
        <w:pageBreakBefore w:val="0"/>
        <w:shd w:val="clear"/>
        <w:kinsoku/>
        <w:wordWrap/>
        <w:overflowPunct/>
        <w:topLinePunct w:val="0"/>
        <w:bidi w:val="0"/>
        <w:spacing w:line="430" w:lineRule="exact"/>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（2）供应商按照采购人或者采购代理机构的授意撤换、修改投标文件；</w:t>
      </w:r>
    </w:p>
    <w:p w14:paraId="12E12A50">
      <w:pPr>
        <w:keepNext w:val="0"/>
        <w:keepLines w:val="0"/>
        <w:pageBreakBefore w:val="0"/>
        <w:shd w:val="clear"/>
        <w:kinsoku/>
        <w:wordWrap/>
        <w:overflowPunct/>
        <w:topLinePunct w:val="0"/>
        <w:bidi w:val="0"/>
        <w:spacing w:line="430" w:lineRule="exact"/>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（3）供应商之间协商报价、技术方案等投标文件的实质性内容；</w:t>
      </w:r>
    </w:p>
    <w:p w14:paraId="138737F1">
      <w:pPr>
        <w:keepNext w:val="0"/>
        <w:keepLines w:val="0"/>
        <w:pageBreakBefore w:val="0"/>
        <w:shd w:val="clear"/>
        <w:kinsoku/>
        <w:wordWrap/>
        <w:overflowPunct/>
        <w:topLinePunct w:val="0"/>
        <w:bidi w:val="0"/>
        <w:spacing w:line="430" w:lineRule="exact"/>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（4）属于同一集团、协会、商会等组织成员的供应商按照该组织要求协同参加政府采购活动；</w:t>
      </w:r>
    </w:p>
    <w:p w14:paraId="7C34A3E9">
      <w:pPr>
        <w:keepNext w:val="0"/>
        <w:keepLines w:val="0"/>
        <w:pageBreakBefore w:val="0"/>
        <w:shd w:val="clear"/>
        <w:kinsoku/>
        <w:wordWrap/>
        <w:overflowPunct/>
        <w:topLinePunct w:val="0"/>
        <w:bidi w:val="0"/>
        <w:spacing w:line="430" w:lineRule="exact"/>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（5）供应商之间事先约定一致抬高或者压低投标报价，或者在招标项目中事先约定轮流以高价位或者低价位中标，或者事先约定由某一特定供应商中标，然后再参加投标；</w:t>
      </w:r>
    </w:p>
    <w:p w14:paraId="5AD35B9D">
      <w:pPr>
        <w:keepNext w:val="0"/>
        <w:keepLines w:val="0"/>
        <w:pageBreakBefore w:val="0"/>
        <w:shd w:val="clear"/>
        <w:kinsoku/>
        <w:wordWrap/>
        <w:overflowPunct/>
        <w:topLinePunct w:val="0"/>
        <w:bidi w:val="0"/>
        <w:spacing w:line="430" w:lineRule="exact"/>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（6）供应商之间商定部分供应商放弃参加政府采购活动或者放弃中标；</w:t>
      </w:r>
    </w:p>
    <w:p w14:paraId="28988E5B">
      <w:pPr>
        <w:keepNext w:val="0"/>
        <w:keepLines w:val="0"/>
        <w:pageBreakBefore w:val="0"/>
        <w:shd w:val="clear"/>
        <w:kinsoku/>
        <w:wordWrap/>
        <w:overflowPunct/>
        <w:topLinePunct w:val="0"/>
        <w:bidi w:val="0"/>
        <w:spacing w:line="430" w:lineRule="exact"/>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（7）供应商与采购人或者采购代理机构之间、供应商相互之间，为谋求特定供应商中标或者排斥其他供应商的其他串通行为。</w:t>
      </w:r>
    </w:p>
    <w:p w14:paraId="7938B45A">
      <w:pPr>
        <w:pStyle w:val="12"/>
        <w:keepNext w:val="0"/>
        <w:keepLines w:val="0"/>
        <w:pageBreakBefore w:val="0"/>
        <w:shd w:val="clear"/>
        <w:kinsoku/>
        <w:wordWrap/>
        <w:overflowPunct/>
        <w:topLinePunct w:val="0"/>
        <w:bidi w:val="0"/>
        <w:snapToGrid w:val="0"/>
        <w:spacing w:line="430" w:lineRule="exact"/>
        <w:ind w:left="2" w:leftChars="1" w:firstLine="422" w:firstLineChars="200"/>
        <w:rPr>
          <w:rFonts w:hint="eastAsia" w:ascii="宋体" w:hAnsi="宋体" w:eastAsia="宋体" w:cs="宋体"/>
          <w:b/>
          <w:color w:val="auto"/>
          <w:highlight w:val="none"/>
        </w:rPr>
      </w:pPr>
    </w:p>
    <w:p w14:paraId="0D2A920E">
      <w:pPr>
        <w:pStyle w:val="3"/>
        <w:keepNext w:val="0"/>
        <w:keepLines w:val="0"/>
        <w:pageBreakBefore w:val="0"/>
        <w:shd w:val="clear"/>
        <w:kinsoku/>
        <w:wordWrap/>
        <w:overflowPunct/>
        <w:topLinePunct w:val="0"/>
        <w:bidi w:val="0"/>
        <w:spacing w:line="430" w:lineRule="exact"/>
        <w:jc w:val="center"/>
        <w:rPr>
          <w:rFonts w:hint="eastAsia" w:ascii="宋体" w:hAnsi="宋体" w:eastAsia="宋体" w:cs="宋体"/>
          <w:color w:val="auto"/>
          <w:highlight w:val="none"/>
        </w:rPr>
      </w:pPr>
      <w:bookmarkStart w:id="137" w:name="_Toc25104"/>
      <w:bookmarkStart w:id="138" w:name="_Toc11054"/>
      <w:bookmarkStart w:id="139" w:name="_Toc17855"/>
      <w:bookmarkStart w:id="140" w:name="_Toc254970534"/>
      <w:bookmarkStart w:id="141" w:name="_Toc22911"/>
      <w:bookmarkStart w:id="142" w:name="_Toc6920"/>
      <w:bookmarkStart w:id="143" w:name="_Toc254970675"/>
      <w:bookmarkStart w:id="144" w:name="_Toc128"/>
      <w:bookmarkStart w:id="145" w:name="_Toc18580"/>
      <w:bookmarkStart w:id="146" w:name="_Toc9988"/>
      <w:bookmarkStart w:id="147" w:name="_Toc10320"/>
      <w:bookmarkStart w:id="148" w:name="_Toc19016"/>
      <w:r>
        <w:rPr>
          <w:rFonts w:hint="eastAsia" w:ascii="宋体" w:hAnsi="宋体" w:eastAsia="宋体" w:cs="宋体"/>
          <w:color w:val="auto"/>
          <w:highlight w:val="none"/>
        </w:rPr>
        <w:t>二、招标文件</w:t>
      </w:r>
      <w:bookmarkEnd w:id="137"/>
      <w:bookmarkEnd w:id="138"/>
      <w:bookmarkEnd w:id="139"/>
      <w:bookmarkEnd w:id="140"/>
      <w:bookmarkEnd w:id="141"/>
      <w:bookmarkEnd w:id="142"/>
      <w:bookmarkEnd w:id="143"/>
      <w:bookmarkEnd w:id="144"/>
      <w:bookmarkEnd w:id="145"/>
      <w:bookmarkEnd w:id="146"/>
      <w:bookmarkEnd w:id="147"/>
      <w:bookmarkEnd w:id="148"/>
    </w:p>
    <w:p w14:paraId="13EFA65A">
      <w:pPr>
        <w:keepNext w:val="0"/>
        <w:keepLines w:val="0"/>
        <w:pageBreakBefore w:val="0"/>
        <w:shd w:val="clear"/>
        <w:kinsoku/>
        <w:wordWrap/>
        <w:overflowPunct/>
        <w:topLinePunct w:val="0"/>
        <w:bidi w:val="0"/>
        <w:spacing w:line="43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10.招标文件的组成</w:t>
      </w:r>
    </w:p>
    <w:p w14:paraId="0D90E61A">
      <w:pPr>
        <w:keepNext w:val="0"/>
        <w:keepLines w:val="0"/>
        <w:pageBreakBefore w:val="0"/>
        <w:shd w:val="clear"/>
        <w:kinsoku/>
        <w:wordWrap/>
        <w:overflowPunct/>
        <w:topLinePunct w:val="0"/>
        <w:bidi w:val="0"/>
        <w:spacing w:line="43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第一章 招标公告；</w:t>
      </w:r>
    </w:p>
    <w:p w14:paraId="509D0FA4">
      <w:pPr>
        <w:keepNext w:val="0"/>
        <w:keepLines w:val="0"/>
        <w:pageBreakBefore w:val="0"/>
        <w:shd w:val="clear"/>
        <w:kinsoku/>
        <w:wordWrap/>
        <w:overflowPunct/>
        <w:topLinePunct w:val="0"/>
        <w:bidi w:val="0"/>
        <w:spacing w:line="43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第二章 采购需求； </w:t>
      </w:r>
    </w:p>
    <w:p w14:paraId="07448E35">
      <w:pPr>
        <w:keepNext w:val="0"/>
        <w:keepLines w:val="0"/>
        <w:pageBreakBefore w:val="0"/>
        <w:shd w:val="clear"/>
        <w:kinsoku/>
        <w:wordWrap/>
        <w:overflowPunct/>
        <w:topLinePunct w:val="0"/>
        <w:bidi w:val="0"/>
        <w:spacing w:line="43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第三章 投标人须知；</w:t>
      </w:r>
    </w:p>
    <w:p w14:paraId="48F0A4B4">
      <w:pPr>
        <w:keepNext w:val="0"/>
        <w:keepLines w:val="0"/>
        <w:pageBreakBefore w:val="0"/>
        <w:shd w:val="clear"/>
        <w:kinsoku/>
        <w:wordWrap/>
        <w:overflowPunct/>
        <w:topLinePunct w:val="0"/>
        <w:bidi w:val="0"/>
        <w:spacing w:line="43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第四章 评标方法</w:t>
      </w:r>
      <w:r>
        <w:rPr>
          <w:rFonts w:hint="eastAsia" w:ascii="宋体" w:hAnsi="宋体" w:eastAsia="宋体" w:cs="宋体"/>
          <w:color w:val="auto"/>
          <w:szCs w:val="21"/>
          <w:highlight w:val="none"/>
          <w:lang w:eastAsia="zh-CN"/>
        </w:rPr>
        <w:t>和</w:t>
      </w:r>
      <w:r>
        <w:rPr>
          <w:rFonts w:hint="eastAsia" w:ascii="宋体" w:hAnsi="宋体" w:eastAsia="宋体" w:cs="宋体"/>
          <w:color w:val="auto"/>
          <w:szCs w:val="21"/>
          <w:highlight w:val="none"/>
        </w:rPr>
        <w:t>评标标准；</w:t>
      </w:r>
    </w:p>
    <w:p w14:paraId="2F06C337">
      <w:pPr>
        <w:keepNext w:val="0"/>
        <w:keepLines w:val="0"/>
        <w:pageBreakBefore w:val="0"/>
        <w:shd w:val="clear"/>
        <w:kinsoku/>
        <w:wordWrap/>
        <w:overflowPunct/>
        <w:topLinePunct w:val="0"/>
        <w:bidi w:val="0"/>
        <w:spacing w:line="43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第五章 拟签订的合同文本；</w:t>
      </w:r>
    </w:p>
    <w:p w14:paraId="114D12FC">
      <w:pPr>
        <w:keepNext w:val="0"/>
        <w:keepLines w:val="0"/>
        <w:pageBreakBefore w:val="0"/>
        <w:shd w:val="clear"/>
        <w:kinsoku/>
        <w:wordWrap/>
        <w:overflowPunct/>
        <w:topLinePunct w:val="0"/>
        <w:bidi w:val="0"/>
        <w:spacing w:line="43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第六章 投标文件格式；</w:t>
      </w:r>
    </w:p>
    <w:p w14:paraId="18382C13">
      <w:pPr>
        <w:keepNext w:val="0"/>
        <w:keepLines w:val="0"/>
        <w:pageBreakBefore w:val="0"/>
        <w:shd w:val="clear"/>
        <w:kinsoku/>
        <w:wordWrap/>
        <w:overflowPunct/>
        <w:topLinePunct w:val="0"/>
        <w:bidi w:val="0"/>
        <w:spacing w:line="43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第七章 质疑、投诉材料格式</w:t>
      </w:r>
    </w:p>
    <w:p w14:paraId="567DB46E">
      <w:pPr>
        <w:keepNext w:val="0"/>
        <w:keepLines w:val="0"/>
        <w:pageBreakBefore w:val="0"/>
        <w:shd w:val="clear"/>
        <w:kinsoku/>
        <w:wordWrap/>
        <w:overflowPunct/>
        <w:topLinePunct w:val="0"/>
        <w:bidi w:val="0"/>
        <w:spacing w:line="430" w:lineRule="exact"/>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根据本章第11.1项的规定对招标文件所做的澄清、修改，构成招标文件的组成部分。当招标文件与招标文件的澄清和修改就同一内容的表述不一致时，以最后澄清或修改公告为准。</w:t>
      </w:r>
    </w:p>
    <w:p w14:paraId="1EDAF378">
      <w:pPr>
        <w:keepNext w:val="0"/>
        <w:keepLines w:val="0"/>
        <w:pageBreakBefore w:val="0"/>
        <w:shd w:val="clear"/>
        <w:kinsoku/>
        <w:wordWrap/>
        <w:overflowPunct/>
        <w:topLinePunct w:val="0"/>
        <w:bidi w:val="0"/>
        <w:spacing w:line="43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11.招标文件的澄清、修改 、现场考察和答疑会</w:t>
      </w:r>
    </w:p>
    <w:p w14:paraId="7C4B50B6">
      <w:pPr>
        <w:keepNext w:val="0"/>
        <w:keepLines w:val="0"/>
        <w:pageBreakBefore w:val="0"/>
        <w:shd w:val="clear"/>
        <w:kinsoku/>
        <w:wordWrap/>
        <w:overflowPunct/>
        <w:topLinePunct w:val="0"/>
        <w:bidi w:val="0"/>
        <w:spacing w:line="430" w:lineRule="exact"/>
        <w:ind w:firstLine="422" w:firstLineChars="200"/>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 xml:space="preserve"> 11.1采购人或者采购代理机构可以对已发出的招标文件进行必要的澄清或者修改，但不得改变采购标的和资格条件。澄清或者修改应当在原</w:t>
      </w:r>
      <w:r>
        <w:rPr>
          <w:rFonts w:hint="eastAsia" w:ascii="宋体" w:hAnsi="宋体" w:eastAsia="宋体" w:cs="宋体"/>
          <w:b/>
          <w:color w:val="auto"/>
          <w:szCs w:val="21"/>
          <w:highlight w:val="none"/>
          <w:lang w:eastAsia="zh-CN"/>
        </w:rPr>
        <w:t>招标</w:t>
      </w:r>
      <w:r>
        <w:rPr>
          <w:rFonts w:hint="eastAsia" w:ascii="宋体" w:hAnsi="宋体" w:eastAsia="宋体" w:cs="宋体"/>
          <w:b/>
          <w:color w:val="auto"/>
          <w:szCs w:val="21"/>
          <w:highlight w:val="none"/>
        </w:rPr>
        <w:t>公告发布媒体上发布澄清公告。澄清或者修改的内容为招标文件的组成部分。</w:t>
      </w:r>
    </w:p>
    <w:p w14:paraId="25F6DBB4">
      <w:pPr>
        <w:keepNext w:val="0"/>
        <w:keepLines w:val="0"/>
        <w:pageBreakBefore w:val="0"/>
        <w:shd w:val="clear"/>
        <w:kinsoku/>
        <w:wordWrap/>
        <w:overflowPunct/>
        <w:topLinePunct w:val="0"/>
        <w:bidi w:val="0"/>
        <w:spacing w:line="430" w:lineRule="exact"/>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11.2 投标人应认真审阅本招标文件，如有疑问，或发现其中有误或有要求不合理的，应在投标人须知前附表规定的</w:t>
      </w:r>
      <w:r>
        <w:rPr>
          <w:rFonts w:hint="eastAsia" w:ascii="宋体" w:hAnsi="宋体" w:eastAsia="宋体" w:cs="宋体"/>
          <w:color w:val="auto"/>
          <w:kern w:val="0"/>
          <w:szCs w:val="21"/>
          <w:highlight w:val="none"/>
        </w:rPr>
        <w:t>投标截止时间</w:t>
      </w:r>
      <w:r>
        <w:rPr>
          <w:rFonts w:hint="eastAsia" w:ascii="宋体" w:hAnsi="宋体" w:eastAsia="宋体" w:cs="宋体"/>
          <w:color w:val="auto"/>
          <w:highlight w:val="none"/>
        </w:rPr>
        <w:t>前以书面形式要求采购人或采购代理机构对招标文件予以澄清；否则，由此产生的后果由投标人自行负责。</w:t>
      </w:r>
    </w:p>
    <w:p w14:paraId="2A88682A">
      <w:pPr>
        <w:keepNext w:val="0"/>
        <w:keepLines w:val="0"/>
        <w:pageBreakBefore w:val="0"/>
        <w:shd w:val="clear"/>
        <w:kinsoku/>
        <w:wordWrap/>
        <w:overflowPunct/>
        <w:topLinePunct w:val="0"/>
        <w:bidi w:val="0"/>
        <w:spacing w:line="430" w:lineRule="exact"/>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11.3 采购人或者采购代理机构可以对已发出的招标文件进行必要的澄清或者修改。澄清或者修改的内容可能影响投标文件编制的，采购人或者采购代理机构应当在投标截止时间至少15日前，以书面形式通知(在“</w:t>
      </w:r>
      <w:r>
        <w:rPr>
          <w:rFonts w:hint="eastAsia" w:ascii="宋体" w:hAnsi="宋体" w:eastAsia="宋体" w:cs="宋体"/>
          <w:color w:val="auto"/>
          <w:szCs w:val="21"/>
          <w:highlight w:val="none"/>
        </w:rPr>
        <w:t>投标人须知前附表”</w:t>
      </w:r>
      <w:r>
        <w:rPr>
          <w:rFonts w:hint="eastAsia" w:ascii="宋体" w:hAnsi="宋体" w:eastAsia="宋体" w:cs="宋体"/>
          <w:color w:val="auto"/>
          <w:highlight w:val="none"/>
        </w:rPr>
        <w:t>规定的政府采购信息发布媒体上发布更正公告及平台短信通知)所有获取招标文件的潜在投标人；不足15日的，采购人或者采购代理机构应当顺延提交投标文件的截止时间。</w:t>
      </w:r>
    </w:p>
    <w:p w14:paraId="02E5531D">
      <w:pPr>
        <w:keepNext w:val="0"/>
        <w:keepLines w:val="0"/>
        <w:pageBreakBefore w:val="0"/>
        <w:shd w:val="clear"/>
        <w:kinsoku/>
        <w:wordWrap/>
        <w:overflowPunct/>
        <w:topLinePunct w:val="0"/>
        <w:bidi w:val="0"/>
        <w:spacing w:line="430" w:lineRule="exact"/>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澄清或者更正公告在招标公告发布媒体上发布，一经发布，视作已以书面形式通知所有获取招标文件的潜在投标人，不再另行通知，所有潜在投标人应密切关注招标公告发布媒体，因未能及时获知，由此产生的后果均应自行承担。</w:t>
      </w:r>
    </w:p>
    <w:p w14:paraId="0E9AD920">
      <w:pPr>
        <w:keepNext w:val="0"/>
        <w:keepLines w:val="0"/>
        <w:pageBreakBefore w:val="0"/>
        <w:shd w:val="clear"/>
        <w:kinsoku/>
        <w:wordWrap/>
        <w:overflowPunct/>
        <w:topLinePunct w:val="0"/>
        <w:bidi w:val="0"/>
        <w:spacing w:line="430" w:lineRule="exact"/>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11.4 采购人和采购代理机构可以视采购具体情况，变更投标截止时间和开标时间，将变更时间将在“</w:t>
      </w:r>
      <w:r>
        <w:rPr>
          <w:rFonts w:hint="eastAsia" w:ascii="宋体" w:hAnsi="宋体" w:eastAsia="宋体" w:cs="宋体"/>
          <w:color w:val="auto"/>
          <w:szCs w:val="21"/>
          <w:highlight w:val="none"/>
        </w:rPr>
        <w:t>投标人须知前附表”</w:t>
      </w:r>
      <w:r>
        <w:rPr>
          <w:rFonts w:hint="eastAsia" w:ascii="宋体" w:hAnsi="宋体" w:eastAsia="宋体" w:cs="宋体"/>
          <w:color w:val="auto"/>
          <w:kern w:val="0"/>
          <w:szCs w:val="21"/>
          <w:highlight w:val="none"/>
        </w:rPr>
        <w:t>规定的政府采购信息发布媒体上</w:t>
      </w:r>
      <w:r>
        <w:rPr>
          <w:rFonts w:hint="eastAsia" w:ascii="宋体" w:hAnsi="宋体" w:eastAsia="宋体" w:cs="宋体"/>
          <w:color w:val="auto"/>
          <w:highlight w:val="none"/>
        </w:rPr>
        <w:t>发布更正公告。</w:t>
      </w:r>
    </w:p>
    <w:p w14:paraId="6E96DFEE">
      <w:pPr>
        <w:keepNext w:val="0"/>
        <w:keepLines w:val="0"/>
        <w:pageBreakBefore w:val="0"/>
        <w:shd w:val="clear"/>
        <w:kinsoku/>
        <w:wordWrap/>
        <w:overflowPunct/>
        <w:topLinePunct w:val="0"/>
        <w:bidi w:val="0"/>
        <w:spacing w:line="430" w:lineRule="exact"/>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11.</w:t>
      </w:r>
      <w:bookmarkStart w:id="149" w:name="_Hlk53134511"/>
      <w:r>
        <w:rPr>
          <w:rFonts w:hint="eastAsia" w:ascii="宋体" w:hAnsi="宋体" w:eastAsia="宋体" w:cs="宋体"/>
          <w:color w:val="auto"/>
          <w:highlight w:val="none"/>
        </w:rPr>
        <w:t>5采购人或者采购代理机构可以在招标文件提供期限截止后，组织已获取招标文件的潜在投标人现场考察或者召开开标前答疑会，具体详见“投标人须知前附表”。</w:t>
      </w:r>
    </w:p>
    <w:bookmarkEnd w:id="149"/>
    <w:p w14:paraId="331B40E6">
      <w:pPr>
        <w:pStyle w:val="3"/>
        <w:keepNext w:val="0"/>
        <w:keepLines w:val="0"/>
        <w:pageBreakBefore w:val="0"/>
        <w:shd w:val="clear"/>
        <w:kinsoku/>
        <w:wordWrap/>
        <w:overflowPunct/>
        <w:topLinePunct w:val="0"/>
        <w:bidi w:val="0"/>
        <w:spacing w:line="430" w:lineRule="exact"/>
        <w:jc w:val="center"/>
        <w:rPr>
          <w:rFonts w:hint="eastAsia" w:ascii="宋体" w:hAnsi="宋体" w:eastAsia="宋体" w:cs="宋体"/>
          <w:color w:val="auto"/>
          <w:highlight w:val="none"/>
        </w:rPr>
      </w:pPr>
      <w:bookmarkStart w:id="150" w:name="_Toc16623"/>
      <w:bookmarkStart w:id="151" w:name="_Toc32154"/>
      <w:bookmarkStart w:id="152" w:name="_Toc20"/>
      <w:bookmarkStart w:id="153" w:name="_Toc28419"/>
      <w:bookmarkStart w:id="154" w:name="_Toc27367"/>
      <w:bookmarkStart w:id="155" w:name="_Toc24872"/>
      <w:bookmarkStart w:id="156" w:name="_Toc254970535"/>
      <w:bookmarkStart w:id="157" w:name="_Toc254970676"/>
      <w:bookmarkStart w:id="158" w:name="_Toc12080"/>
      <w:bookmarkStart w:id="159" w:name="_Toc32499"/>
      <w:bookmarkStart w:id="160" w:name="_Toc7841"/>
      <w:bookmarkStart w:id="161" w:name="_Toc2635"/>
      <w:r>
        <w:rPr>
          <w:rFonts w:hint="eastAsia" w:ascii="宋体" w:hAnsi="宋体" w:eastAsia="宋体" w:cs="宋体"/>
          <w:color w:val="auto"/>
          <w:highlight w:val="none"/>
        </w:rPr>
        <w:t>三、投标文件的编制</w:t>
      </w:r>
      <w:bookmarkEnd w:id="150"/>
      <w:bookmarkEnd w:id="151"/>
      <w:bookmarkEnd w:id="152"/>
      <w:bookmarkEnd w:id="153"/>
      <w:bookmarkEnd w:id="154"/>
      <w:bookmarkEnd w:id="155"/>
      <w:bookmarkEnd w:id="156"/>
      <w:bookmarkEnd w:id="157"/>
      <w:bookmarkEnd w:id="158"/>
      <w:bookmarkEnd w:id="159"/>
      <w:bookmarkEnd w:id="160"/>
      <w:bookmarkEnd w:id="161"/>
    </w:p>
    <w:p w14:paraId="096979A0">
      <w:pPr>
        <w:keepNext w:val="0"/>
        <w:keepLines w:val="0"/>
        <w:pageBreakBefore w:val="0"/>
        <w:shd w:val="clear"/>
        <w:kinsoku/>
        <w:wordWrap/>
        <w:overflowPunct/>
        <w:topLinePunct w:val="0"/>
        <w:bidi w:val="0"/>
        <w:spacing w:line="430" w:lineRule="exact"/>
        <w:ind w:firstLine="480" w:firstLineChars="200"/>
        <w:rPr>
          <w:rFonts w:hint="eastAsia" w:ascii="宋体" w:hAnsi="宋体" w:eastAsia="宋体" w:cs="宋体"/>
          <w:color w:val="auto"/>
          <w:sz w:val="24"/>
          <w:highlight w:val="none"/>
        </w:rPr>
      </w:pPr>
      <w:bookmarkStart w:id="162" w:name="_Toc254970677"/>
      <w:bookmarkStart w:id="163" w:name="_Toc254970536"/>
      <w:r>
        <w:rPr>
          <w:rFonts w:hint="eastAsia" w:ascii="宋体" w:hAnsi="宋体" w:eastAsia="宋体" w:cs="宋体"/>
          <w:color w:val="auto"/>
          <w:sz w:val="24"/>
          <w:highlight w:val="none"/>
        </w:rPr>
        <w:t>12.投标文件的编制原则</w:t>
      </w:r>
    </w:p>
    <w:p w14:paraId="0B464E63">
      <w:pPr>
        <w:keepNext w:val="0"/>
        <w:keepLines w:val="0"/>
        <w:pageBreakBefore w:val="0"/>
        <w:shd w:val="clear"/>
        <w:kinsoku/>
        <w:wordWrap/>
        <w:overflowPunct/>
        <w:topLinePunct w:val="0"/>
        <w:bidi w:val="0"/>
        <w:spacing w:line="43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投标人必须按照招标文件的要求编制投标文件。投标文件必须对招标文件提出的要求和条件作出明确响应。</w:t>
      </w:r>
    </w:p>
    <w:p w14:paraId="53D4F4E1">
      <w:pPr>
        <w:keepNext w:val="0"/>
        <w:keepLines w:val="0"/>
        <w:pageBreakBefore w:val="0"/>
        <w:shd w:val="clear"/>
        <w:kinsoku/>
        <w:wordWrap/>
        <w:overflowPunct/>
        <w:topLinePunct w:val="0"/>
        <w:bidi w:val="0"/>
        <w:spacing w:line="43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13.投标文件的组成</w:t>
      </w:r>
      <w:bookmarkEnd w:id="162"/>
      <w:bookmarkEnd w:id="163"/>
    </w:p>
    <w:p w14:paraId="0C51BE13">
      <w:pPr>
        <w:keepNext w:val="0"/>
        <w:keepLines w:val="0"/>
        <w:pageBreakBefore w:val="0"/>
        <w:shd w:val="clear"/>
        <w:kinsoku/>
        <w:wordWrap/>
        <w:overflowPunct/>
        <w:topLinePunct w:val="0"/>
        <w:bidi w:val="0"/>
        <w:spacing w:line="43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13.1投标文件由报价文件、资格证明文件、商务文件、技术文件四部分组成。</w:t>
      </w:r>
    </w:p>
    <w:p w14:paraId="6D1423E4">
      <w:pPr>
        <w:keepNext w:val="0"/>
        <w:keepLines w:val="0"/>
        <w:pageBreakBefore w:val="0"/>
        <w:shd w:val="clear"/>
        <w:kinsoku/>
        <w:wordWrap/>
        <w:overflowPunct/>
        <w:topLinePunct w:val="0"/>
        <w:bidi w:val="0"/>
        <w:spacing w:line="430" w:lineRule="exact"/>
        <w:ind w:firstLine="420" w:firstLineChars="200"/>
        <w:rPr>
          <w:rFonts w:hint="eastAsia" w:ascii="宋体" w:hAnsi="宋体" w:eastAsia="宋体" w:cs="宋体"/>
          <w:bCs/>
          <w:color w:val="auto"/>
          <w:szCs w:val="21"/>
          <w:highlight w:val="none"/>
        </w:rPr>
      </w:pPr>
      <w:bookmarkStart w:id="164" w:name="_13.2资格证明文件：具体材料见“投标人须知前附表”。"/>
      <w:bookmarkEnd w:id="164"/>
      <w:bookmarkStart w:id="165" w:name="_13.1报价文件:_具体材料见“投标人须知前附表”。"/>
      <w:bookmarkEnd w:id="165"/>
      <w:r>
        <w:rPr>
          <w:rFonts w:hint="eastAsia" w:ascii="宋体" w:hAnsi="宋体" w:eastAsia="宋体" w:cs="宋体"/>
          <w:bCs/>
          <w:color w:val="auto"/>
          <w:szCs w:val="21"/>
          <w:highlight w:val="none"/>
        </w:rPr>
        <w:t>（1）资格证明文件：具体材料见“投标人须知前附表”。</w:t>
      </w:r>
    </w:p>
    <w:p w14:paraId="1D5116F4">
      <w:pPr>
        <w:keepNext w:val="0"/>
        <w:keepLines w:val="0"/>
        <w:pageBreakBefore w:val="0"/>
        <w:shd w:val="clear"/>
        <w:kinsoku/>
        <w:wordWrap/>
        <w:overflowPunct/>
        <w:topLinePunct w:val="0"/>
        <w:bidi w:val="0"/>
        <w:spacing w:line="430" w:lineRule="exact"/>
        <w:ind w:firstLine="420" w:firstLineChars="200"/>
        <w:rPr>
          <w:rFonts w:hint="eastAsia" w:ascii="宋体" w:hAnsi="宋体" w:eastAsia="宋体" w:cs="宋体"/>
          <w:bCs/>
          <w:color w:val="auto"/>
          <w:szCs w:val="21"/>
          <w:highlight w:val="none"/>
        </w:rPr>
      </w:pPr>
      <w:bookmarkStart w:id="166" w:name="_13.3商务文件:_具体材料见“投标人须知前附表”。"/>
      <w:bookmarkEnd w:id="166"/>
      <w:r>
        <w:rPr>
          <w:rFonts w:hint="eastAsia" w:ascii="宋体" w:hAnsi="宋体" w:eastAsia="宋体" w:cs="宋体"/>
          <w:bCs/>
          <w:color w:val="auto"/>
          <w:szCs w:val="21"/>
          <w:highlight w:val="none"/>
        </w:rPr>
        <w:t>（2）商务文件：具体材料见“投标人须知前附表”。</w:t>
      </w:r>
    </w:p>
    <w:p w14:paraId="083793DA">
      <w:pPr>
        <w:keepNext w:val="0"/>
        <w:keepLines w:val="0"/>
        <w:pageBreakBefore w:val="0"/>
        <w:shd w:val="clear"/>
        <w:kinsoku/>
        <w:wordWrap/>
        <w:overflowPunct/>
        <w:topLinePunct w:val="0"/>
        <w:bidi w:val="0"/>
        <w:spacing w:line="430" w:lineRule="exact"/>
        <w:ind w:firstLine="420" w:firstLineChars="200"/>
        <w:rPr>
          <w:rFonts w:hint="eastAsia" w:ascii="宋体" w:hAnsi="宋体" w:eastAsia="宋体" w:cs="宋体"/>
          <w:bCs/>
          <w:color w:val="auto"/>
          <w:szCs w:val="21"/>
          <w:highlight w:val="none"/>
        </w:rPr>
      </w:pPr>
      <w:bookmarkStart w:id="167" w:name="_13.4技术文件：具体材料见“投标人须知前附表”。"/>
      <w:bookmarkEnd w:id="167"/>
      <w:r>
        <w:rPr>
          <w:rFonts w:hint="eastAsia" w:ascii="宋体" w:hAnsi="宋体" w:eastAsia="宋体" w:cs="宋体"/>
          <w:bCs/>
          <w:color w:val="auto"/>
          <w:szCs w:val="21"/>
          <w:highlight w:val="none"/>
        </w:rPr>
        <w:t xml:space="preserve">（3）技术文件：具体材料见“投标人须知前附表”。 </w:t>
      </w:r>
    </w:p>
    <w:p w14:paraId="5B838BB8">
      <w:pPr>
        <w:keepNext w:val="0"/>
        <w:keepLines w:val="0"/>
        <w:pageBreakBefore w:val="0"/>
        <w:shd w:val="clear"/>
        <w:kinsoku/>
        <w:wordWrap/>
        <w:overflowPunct/>
        <w:topLinePunct w:val="0"/>
        <w:bidi w:val="0"/>
        <w:spacing w:line="430" w:lineRule="exact"/>
        <w:ind w:firstLine="420" w:firstLineChars="200"/>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（4）报价文件： 具体材料见“投标人须知前附表”。</w:t>
      </w:r>
    </w:p>
    <w:p w14:paraId="73F18689">
      <w:pPr>
        <w:keepNext w:val="0"/>
        <w:keepLines w:val="0"/>
        <w:pageBreakBefore w:val="0"/>
        <w:shd w:val="clear"/>
        <w:kinsoku/>
        <w:wordWrap/>
        <w:overflowPunct/>
        <w:topLinePunct w:val="0"/>
        <w:bidi w:val="0"/>
        <w:spacing w:line="430" w:lineRule="exact"/>
        <w:ind w:firstLine="420" w:firstLineChars="200"/>
        <w:rPr>
          <w:rFonts w:hint="eastAsia" w:ascii="宋体" w:hAnsi="宋体" w:eastAsia="宋体" w:cs="宋体"/>
          <w:bCs/>
          <w:color w:val="auto"/>
          <w:szCs w:val="21"/>
          <w:highlight w:val="none"/>
        </w:rPr>
      </w:pPr>
      <w:bookmarkStart w:id="168" w:name="_13.5投标文件电子版：具体材料见“投标人须知前附表”。"/>
      <w:bookmarkEnd w:id="168"/>
      <w:r>
        <w:rPr>
          <w:rFonts w:hint="eastAsia" w:ascii="宋体" w:hAnsi="宋体" w:eastAsia="宋体" w:cs="宋体"/>
          <w:bCs/>
          <w:color w:val="auto"/>
          <w:szCs w:val="21"/>
          <w:highlight w:val="none"/>
        </w:rPr>
        <w:t>13.2投标文件电子版：具体要求见本节19.投标文件编制。</w:t>
      </w:r>
    </w:p>
    <w:p w14:paraId="2A495D40">
      <w:pPr>
        <w:keepNext w:val="0"/>
        <w:keepLines w:val="0"/>
        <w:pageBreakBefore w:val="0"/>
        <w:shd w:val="clear"/>
        <w:kinsoku/>
        <w:wordWrap/>
        <w:overflowPunct/>
        <w:topLinePunct w:val="0"/>
        <w:bidi w:val="0"/>
        <w:spacing w:line="430" w:lineRule="exact"/>
        <w:ind w:firstLine="480" w:firstLineChars="200"/>
        <w:rPr>
          <w:rFonts w:hint="eastAsia" w:ascii="宋体" w:hAnsi="宋体" w:eastAsia="宋体" w:cs="宋体"/>
          <w:color w:val="auto"/>
          <w:sz w:val="24"/>
          <w:highlight w:val="none"/>
        </w:rPr>
      </w:pPr>
      <w:bookmarkStart w:id="169" w:name="_Toc254970537"/>
      <w:bookmarkStart w:id="170" w:name="_Toc254970678"/>
      <w:r>
        <w:rPr>
          <w:rFonts w:hint="eastAsia" w:ascii="宋体" w:hAnsi="宋体" w:eastAsia="宋体" w:cs="宋体"/>
          <w:color w:val="auto"/>
          <w:sz w:val="24"/>
          <w:highlight w:val="none"/>
        </w:rPr>
        <w:t>14.投标文件的语言及计量</w:t>
      </w:r>
      <w:bookmarkEnd w:id="169"/>
      <w:bookmarkEnd w:id="170"/>
    </w:p>
    <w:p w14:paraId="7495425B">
      <w:pPr>
        <w:keepNext w:val="0"/>
        <w:keepLines w:val="0"/>
        <w:pageBreakBefore w:val="0"/>
        <w:shd w:val="clear"/>
        <w:kinsoku/>
        <w:wordWrap/>
        <w:overflowPunct/>
        <w:topLinePunct w:val="0"/>
        <w:bidi w:val="0"/>
        <w:spacing w:line="430" w:lineRule="exact"/>
        <w:ind w:firstLine="420" w:firstLineChars="200"/>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14.1语言文字</w:t>
      </w:r>
    </w:p>
    <w:p w14:paraId="55BBCBC9">
      <w:pPr>
        <w:keepNext w:val="0"/>
        <w:keepLines w:val="0"/>
        <w:pageBreakBefore w:val="0"/>
        <w:shd w:val="clear"/>
        <w:kinsoku/>
        <w:wordWrap/>
        <w:overflowPunct/>
        <w:topLinePunct w:val="0"/>
        <w:bidi w:val="0"/>
        <w:spacing w:line="430" w:lineRule="exact"/>
        <w:ind w:firstLine="420" w:firstLineChars="200"/>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投标文件以及投标人与采购人就有关投标事宜的所有来往函电，均应以中文书写（除专用术语外，与招标投标有关的语言均使用中文。必要时专用术语应附有中文注释）。投标人提交的支持文件和印刷的文献可以使用别的语言，但其相应内容应同时附中文翻译文本，在解释投标文件时以中文翻译文本为主。对不同文字文本投标文件的解释发生异议的，以中文文本为准。</w:t>
      </w:r>
    </w:p>
    <w:p w14:paraId="2C66BD08">
      <w:pPr>
        <w:keepNext w:val="0"/>
        <w:keepLines w:val="0"/>
        <w:pageBreakBefore w:val="0"/>
        <w:shd w:val="clear"/>
        <w:kinsoku/>
        <w:wordWrap/>
        <w:overflowPunct/>
        <w:topLinePunct w:val="0"/>
        <w:bidi w:val="0"/>
        <w:spacing w:line="430" w:lineRule="exact"/>
        <w:ind w:firstLine="420" w:firstLineChars="200"/>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14.2投标计量单位</w:t>
      </w:r>
    </w:p>
    <w:p w14:paraId="146D9FCF">
      <w:pPr>
        <w:keepNext w:val="0"/>
        <w:keepLines w:val="0"/>
        <w:pageBreakBefore w:val="0"/>
        <w:shd w:val="clear"/>
        <w:kinsoku/>
        <w:wordWrap/>
        <w:overflowPunct/>
        <w:topLinePunct w:val="0"/>
        <w:bidi w:val="0"/>
        <w:spacing w:line="430" w:lineRule="exact"/>
        <w:ind w:firstLine="420" w:firstLineChars="200"/>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招标文件已有明确规定的，使用招标文件规定的计量单位；招标文件没有规定的，应采用中华人民共和国法定计量单位，货币种类为人民币，否则视同未响应。</w:t>
      </w:r>
    </w:p>
    <w:p w14:paraId="341700B8">
      <w:pPr>
        <w:keepNext w:val="0"/>
        <w:keepLines w:val="0"/>
        <w:pageBreakBefore w:val="0"/>
        <w:shd w:val="clear"/>
        <w:kinsoku/>
        <w:wordWrap/>
        <w:overflowPunct/>
        <w:topLinePunct w:val="0"/>
        <w:bidi w:val="0"/>
        <w:spacing w:line="43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15.投标</w:t>
      </w:r>
      <w:r>
        <w:rPr>
          <w:rFonts w:hint="eastAsia" w:ascii="宋体" w:hAnsi="宋体" w:eastAsia="宋体" w:cs="宋体"/>
          <w:color w:val="auto"/>
          <w:sz w:val="24"/>
          <w:highlight w:val="none"/>
          <w:lang w:val="en-US" w:eastAsia="zh-CN"/>
        </w:rPr>
        <w:t>文件提交</w:t>
      </w:r>
      <w:r>
        <w:rPr>
          <w:rFonts w:hint="eastAsia" w:ascii="宋体" w:hAnsi="宋体" w:eastAsia="宋体" w:cs="宋体"/>
          <w:color w:val="auto"/>
          <w:sz w:val="24"/>
          <w:highlight w:val="none"/>
        </w:rPr>
        <w:t>的风险</w:t>
      </w:r>
    </w:p>
    <w:p w14:paraId="2BAD4105">
      <w:pPr>
        <w:keepNext w:val="0"/>
        <w:keepLines w:val="0"/>
        <w:pageBreakBefore w:val="0"/>
        <w:shd w:val="clear"/>
        <w:kinsoku/>
        <w:wordWrap/>
        <w:overflowPunct/>
        <w:topLinePunct w:val="0"/>
        <w:bidi w:val="0"/>
        <w:spacing w:line="430" w:lineRule="exact"/>
        <w:ind w:firstLine="420" w:firstLineChars="200"/>
        <w:rPr>
          <w:rFonts w:hint="eastAsia" w:ascii="宋体" w:hAnsi="宋体" w:eastAsia="宋体" w:cs="宋体"/>
          <w:b/>
          <w:bCs/>
          <w:color w:val="auto"/>
          <w:highlight w:val="none"/>
        </w:rPr>
      </w:pPr>
      <w:r>
        <w:rPr>
          <w:rFonts w:hint="eastAsia" w:ascii="宋体" w:hAnsi="宋体" w:eastAsia="宋体" w:cs="宋体"/>
          <w:color w:val="auto"/>
          <w:highlight w:val="none"/>
        </w:rPr>
        <w:t>投标文件分为资格文件、商务文件、技术文件、报价文件四部分（其中：商务文件与技术文件合并编辑成一个电子文档）。各投标人在编制投标文件时请按照招标文件规定的格式进行，混乱的编排导致投标文件被误读或评标委员会查找不到有效文件是投标人的风险。投标人没有按照招标文件要求提供全部资料，或者投标人没有对招标文件作出实质性响应是投标人的风险，可能导致其投标被拒绝。</w:t>
      </w:r>
    </w:p>
    <w:p w14:paraId="6FD70319">
      <w:pPr>
        <w:keepNext w:val="0"/>
        <w:keepLines w:val="0"/>
        <w:pageBreakBefore w:val="0"/>
        <w:shd w:val="clear"/>
        <w:kinsoku/>
        <w:wordWrap/>
        <w:overflowPunct/>
        <w:topLinePunct w:val="0"/>
        <w:bidi w:val="0"/>
        <w:spacing w:line="430" w:lineRule="exact"/>
        <w:ind w:firstLine="480" w:firstLineChars="200"/>
        <w:rPr>
          <w:rFonts w:hint="eastAsia" w:ascii="宋体" w:hAnsi="宋体" w:eastAsia="宋体" w:cs="宋体"/>
          <w:color w:val="auto"/>
          <w:sz w:val="24"/>
          <w:highlight w:val="none"/>
        </w:rPr>
      </w:pPr>
      <w:bookmarkStart w:id="171" w:name="_Toc254970538"/>
      <w:bookmarkStart w:id="172" w:name="_Toc254970679"/>
      <w:r>
        <w:rPr>
          <w:rFonts w:hint="eastAsia" w:ascii="宋体" w:hAnsi="宋体" w:eastAsia="宋体" w:cs="宋体"/>
          <w:color w:val="auto"/>
          <w:sz w:val="24"/>
          <w:highlight w:val="none"/>
        </w:rPr>
        <w:t>16.投标报价</w:t>
      </w:r>
      <w:bookmarkEnd w:id="171"/>
      <w:bookmarkEnd w:id="172"/>
    </w:p>
    <w:p w14:paraId="301EF994">
      <w:pPr>
        <w:keepNext w:val="0"/>
        <w:keepLines w:val="0"/>
        <w:pageBreakBefore w:val="0"/>
        <w:shd w:val="clear"/>
        <w:kinsoku/>
        <w:wordWrap/>
        <w:overflowPunct/>
        <w:topLinePunct w:val="0"/>
        <w:bidi w:val="0"/>
        <w:spacing w:line="430" w:lineRule="exact"/>
        <w:ind w:firstLine="420" w:firstLineChars="200"/>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16.1投标报价应</w:t>
      </w:r>
      <w:r>
        <w:rPr>
          <w:rFonts w:hint="eastAsia" w:ascii="宋体" w:hAnsi="宋体" w:eastAsia="宋体" w:cs="宋体"/>
          <w:bCs/>
          <w:color w:val="auto"/>
          <w:szCs w:val="20"/>
          <w:highlight w:val="none"/>
        </w:rPr>
        <w:t>按“第六章　投标文件格式”中“开标一览表”格式填写。</w:t>
      </w:r>
    </w:p>
    <w:p w14:paraId="0148A247">
      <w:pPr>
        <w:keepNext w:val="0"/>
        <w:keepLines w:val="0"/>
        <w:pageBreakBefore w:val="0"/>
        <w:shd w:val="clear"/>
        <w:kinsoku/>
        <w:wordWrap/>
        <w:overflowPunct/>
        <w:topLinePunct w:val="0"/>
        <w:bidi w:val="0"/>
        <w:spacing w:line="430" w:lineRule="exact"/>
        <w:ind w:firstLine="420" w:firstLineChars="200"/>
        <w:rPr>
          <w:rFonts w:hint="eastAsia" w:ascii="宋体" w:hAnsi="宋体" w:eastAsia="宋体" w:cs="宋体"/>
          <w:bCs/>
          <w:color w:val="auto"/>
          <w:szCs w:val="21"/>
          <w:highlight w:val="none"/>
        </w:rPr>
      </w:pPr>
      <w:bookmarkStart w:id="173" w:name="_16.2投标报价具体定义见投标人须知前附表。"/>
      <w:bookmarkEnd w:id="173"/>
      <w:r>
        <w:rPr>
          <w:rFonts w:hint="eastAsia" w:ascii="宋体" w:hAnsi="宋体" w:eastAsia="宋体" w:cs="宋体"/>
          <w:bCs/>
          <w:color w:val="auto"/>
          <w:szCs w:val="21"/>
          <w:highlight w:val="none"/>
        </w:rPr>
        <w:t>16.2投标报价具体包括内容详见“投标人须知前附表”。</w:t>
      </w:r>
    </w:p>
    <w:p w14:paraId="0D1D71B0">
      <w:pPr>
        <w:keepNext w:val="0"/>
        <w:keepLines w:val="0"/>
        <w:pageBreakBefore w:val="0"/>
        <w:shd w:val="clear"/>
        <w:kinsoku/>
        <w:wordWrap/>
        <w:overflowPunct/>
        <w:topLinePunct w:val="0"/>
        <w:bidi w:val="0"/>
        <w:spacing w:line="430" w:lineRule="exact"/>
        <w:ind w:firstLine="420" w:firstLineChars="200"/>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16.3投标人必须就所投项目的全部内容分别作完整唯一总价报价，不得存在漏项报价；投标人必须就所投项目的单项内容作唯一报价。</w:t>
      </w:r>
    </w:p>
    <w:p w14:paraId="6C8BD957">
      <w:pPr>
        <w:keepNext w:val="0"/>
        <w:keepLines w:val="0"/>
        <w:pageBreakBefore w:val="0"/>
        <w:shd w:val="clear"/>
        <w:kinsoku/>
        <w:wordWrap/>
        <w:overflowPunct/>
        <w:topLinePunct w:val="0"/>
        <w:bidi w:val="0"/>
        <w:spacing w:line="43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17.投标有效期</w:t>
      </w:r>
    </w:p>
    <w:p w14:paraId="5E8521E1">
      <w:pPr>
        <w:keepNext w:val="0"/>
        <w:keepLines w:val="0"/>
        <w:pageBreakBefore w:val="0"/>
        <w:shd w:val="clear"/>
        <w:kinsoku/>
        <w:wordWrap/>
        <w:overflowPunct/>
        <w:topLinePunct w:val="0"/>
        <w:bidi w:val="0"/>
        <w:spacing w:line="430" w:lineRule="exact"/>
        <w:ind w:firstLine="420" w:firstLineChars="200"/>
        <w:rPr>
          <w:rFonts w:hint="eastAsia" w:ascii="宋体" w:hAnsi="宋体" w:eastAsia="宋体" w:cs="宋体"/>
          <w:bCs/>
          <w:color w:val="auto"/>
          <w:szCs w:val="21"/>
          <w:highlight w:val="none"/>
        </w:rPr>
      </w:pPr>
      <w:bookmarkStart w:id="174" w:name="_17.1投标有效期应按“投标人须知中的前附表”规定的期限。"/>
      <w:bookmarkEnd w:id="174"/>
      <w:r>
        <w:rPr>
          <w:rFonts w:hint="eastAsia" w:ascii="宋体" w:hAnsi="宋体" w:eastAsia="宋体" w:cs="宋体"/>
          <w:bCs/>
          <w:color w:val="auto"/>
          <w:szCs w:val="21"/>
          <w:highlight w:val="none"/>
        </w:rPr>
        <w:t>17.1投标有效期是指为保证采购人有足够的时间在开标后完成评标、定标、合同签订等工作而要求投标人提交的投标文件在一定时间内保持有效的期限。</w:t>
      </w:r>
    </w:p>
    <w:p w14:paraId="0B1EC535">
      <w:pPr>
        <w:keepNext w:val="0"/>
        <w:keepLines w:val="0"/>
        <w:pageBreakBefore w:val="0"/>
        <w:shd w:val="clear"/>
        <w:kinsoku/>
        <w:wordWrap/>
        <w:overflowPunct/>
        <w:topLinePunct w:val="0"/>
        <w:bidi w:val="0"/>
        <w:spacing w:line="430" w:lineRule="exact"/>
        <w:ind w:firstLine="420" w:firstLineChars="200"/>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17.2</w:t>
      </w:r>
      <w:bookmarkStart w:id="175" w:name="_Toc254970681"/>
      <w:bookmarkStart w:id="176" w:name="_Toc254970540"/>
      <w:r>
        <w:rPr>
          <w:rFonts w:hint="eastAsia" w:ascii="宋体" w:hAnsi="宋体" w:eastAsia="宋体" w:cs="宋体"/>
          <w:bCs/>
          <w:color w:val="auto"/>
          <w:szCs w:val="21"/>
          <w:highlight w:val="none"/>
        </w:rPr>
        <w:t xml:space="preserve"> 投标有效期应按规定的期限作出承诺，具体详见“投标人须知前附表”。</w:t>
      </w:r>
    </w:p>
    <w:p w14:paraId="08F458ED">
      <w:pPr>
        <w:keepNext w:val="0"/>
        <w:keepLines w:val="0"/>
        <w:pageBreakBefore w:val="0"/>
        <w:shd w:val="clear"/>
        <w:kinsoku/>
        <w:wordWrap/>
        <w:overflowPunct/>
        <w:topLinePunct w:val="0"/>
        <w:bidi w:val="0"/>
        <w:spacing w:line="430" w:lineRule="exact"/>
        <w:ind w:firstLine="420" w:firstLineChars="200"/>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17.3投标人的投标文件在投标有效期内均保持有效。</w:t>
      </w:r>
      <w:bookmarkEnd w:id="175"/>
      <w:bookmarkEnd w:id="176"/>
    </w:p>
    <w:p w14:paraId="0781A31C">
      <w:pPr>
        <w:keepNext w:val="0"/>
        <w:keepLines w:val="0"/>
        <w:pageBreakBefore w:val="0"/>
        <w:shd w:val="clear"/>
        <w:kinsoku/>
        <w:wordWrap/>
        <w:overflowPunct/>
        <w:topLinePunct w:val="0"/>
        <w:bidi w:val="0"/>
        <w:spacing w:line="430" w:lineRule="exact"/>
        <w:ind w:firstLine="480" w:firstLineChars="200"/>
        <w:rPr>
          <w:rFonts w:hint="eastAsia" w:ascii="宋体" w:hAnsi="宋体" w:eastAsia="宋体" w:cs="宋体"/>
          <w:color w:val="auto"/>
          <w:sz w:val="24"/>
          <w:highlight w:val="none"/>
        </w:rPr>
      </w:pPr>
      <w:bookmarkStart w:id="177" w:name="_18.投标保证金"/>
      <w:bookmarkEnd w:id="177"/>
      <w:bookmarkStart w:id="178" w:name="_Toc254970541"/>
      <w:bookmarkStart w:id="179" w:name="_Toc254970682"/>
      <w:r>
        <w:rPr>
          <w:rFonts w:hint="eastAsia" w:ascii="宋体" w:hAnsi="宋体" w:eastAsia="宋体" w:cs="宋体"/>
          <w:color w:val="auto"/>
          <w:sz w:val="24"/>
          <w:highlight w:val="none"/>
        </w:rPr>
        <w:t>18.投标保证金</w:t>
      </w:r>
      <w:bookmarkEnd w:id="178"/>
      <w:bookmarkEnd w:id="179"/>
    </w:p>
    <w:p w14:paraId="60E1ECA6">
      <w:pPr>
        <w:pStyle w:val="5"/>
        <w:keepNext w:val="0"/>
        <w:keepLines w:val="0"/>
        <w:pageBreakBefore w:val="0"/>
        <w:shd w:val="clear"/>
        <w:kinsoku/>
        <w:wordWrap/>
        <w:overflowPunct/>
        <w:topLinePunct w:val="0"/>
        <w:bidi w:val="0"/>
        <w:spacing w:before="0" w:after="0" w:line="430" w:lineRule="exact"/>
        <w:ind w:left="420" w:leftChars="200"/>
        <w:rPr>
          <w:rFonts w:hint="eastAsia" w:ascii="宋体" w:hAnsi="宋体" w:eastAsia="宋体" w:cs="宋体"/>
          <w:b w:val="0"/>
          <w:color w:val="auto"/>
          <w:sz w:val="21"/>
          <w:szCs w:val="21"/>
          <w:highlight w:val="none"/>
        </w:rPr>
      </w:pPr>
      <w:bookmarkStart w:id="180" w:name="_Toc254970542"/>
      <w:bookmarkStart w:id="181" w:name="_Toc254970683"/>
      <w:r>
        <w:rPr>
          <w:rFonts w:hint="eastAsia" w:ascii="宋体" w:hAnsi="宋体" w:eastAsia="宋体" w:cs="宋体"/>
          <w:b w:val="0"/>
          <w:color w:val="auto"/>
          <w:sz w:val="21"/>
          <w:szCs w:val="21"/>
          <w:highlight w:val="none"/>
        </w:rPr>
        <w:t>18.1投标人须按“投标人须知前附表” 的规定提交投标保证金。</w:t>
      </w:r>
    </w:p>
    <w:p w14:paraId="4B2FE97C">
      <w:pPr>
        <w:pStyle w:val="5"/>
        <w:keepNext w:val="0"/>
        <w:keepLines w:val="0"/>
        <w:pageBreakBefore w:val="0"/>
        <w:shd w:val="clear"/>
        <w:kinsoku/>
        <w:wordWrap/>
        <w:overflowPunct/>
        <w:topLinePunct w:val="0"/>
        <w:bidi w:val="0"/>
        <w:spacing w:before="0" w:after="0" w:line="430" w:lineRule="exact"/>
        <w:ind w:left="420" w:leftChars="200"/>
        <w:rPr>
          <w:rFonts w:hint="eastAsia" w:ascii="宋体" w:hAnsi="宋体" w:eastAsia="宋体" w:cs="宋体"/>
          <w:b w:val="0"/>
          <w:color w:val="auto"/>
          <w:sz w:val="21"/>
          <w:szCs w:val="21"/>
          <w:highlight w:val="none"/>
        </w:rPr>
      </w:pPr>
      <w:r>
        <w:rPr>
          <w:rFonts w:hint="eastAsia" w:ascii="宋体" w:hAnsi="宋体" w:eastAsia="宋体" w:cs="宋体"/>
          <w:b w:val="0"/>
          <w:color w:val="auto"/>
          <w:sz w:val="21"/>
          <w:szCs w:val="21"/>
          <w:highlight w:val="none"/>
        </w:rPr>
        <w:t>18.2投标保证金的退还</w:t>
      </w:r>
    </w:p>
    <w:p w14:paraId="67978736">
      <w:pPr>
        <w:pStyle w:val="5"/>
        <w:keepNext w:val="0"/>
        <w:keepLines w:val="0"/>
        <w:pageBreakBefore w:val="0"/>
        <w:shd w:val="clear"/>
        <w:kinsoku/>
        <w:wordWrap/>
        <w:overflowPunct/>
        <w:topLinePunct w:val="0"/>
        <w:bidi w:val="0"/>
        <w:spacing w:before="0" w:after="0" w:line="430" w:lineRule="exact"/>
        <w:ind w:left="420" w:leftChars="200"/>
        <w:rPr>
          <w:rFonts w:hint="eastAsia" w:ascii="宋体" w:hAnsi="宋体" w:eastAsia="宋体" w:cs="宋体"/>
          <w:b w:val="0"/>
          <w:color w:val="auto"/>
          <w:sz w:val="21"/>
          <w:szCs w:val="21"/>
          <w:highlight w:val="none"/>
        </w:rPr>
      </w:pPr>
      <w:r>
        <w:rPr>
          <w:rFonts w:hint="eastAsia" w:ascii="宋体" w:hAnsi="宋体" w:eastAsia="宋体" w:cs="宋体"/>
          <w:b w:val="0"/>
          <w:color w:val="auto"/>
          <w:sz w:val="21"/>
          <w:szCs w:val="21"/>
          <w:highlight w:val="none"/>
        </w:rPr>
        <w:t>18.2.1未中标人的投标保证金自中标通知书发出之日起</w:t>
      </w:r>
      <w:r>
        <w:rPr>
          <w:rFonts w:hint="eastAsia" w:ascii="宋体" w:hAnsi="宋体" w:eastAsia="宋体" w:cs="宋体"/>
          <w:b w:val="0"/>
          <w:color w:val="auto"/>
          <w:sz w:val="21"/>
          <w:szCs w:val="21"/>
          <w:highlight w:val="none"/>
          <w:lang w:val="en-US" w:eastAsia="zh-CN"/>
        </w:rPr>
        <w:t>5</w:t>
      </w:r>
      <w:r>
        <w:rPr>
          <w:rFonts w:hint="eastAsia" w:ascii="宋体" w:hAnsi="宋体" w:eastAsia="宋体" w:cs="宋体"/>
          <w:b w:val="0"/>
          <w:color w:val="auto"/>
          <w:sz w:val="21"/>
          <w:szCs w:val="21"/>
          <w:highlight w:val="none"/>
        </w:rPr>
        <w:t>个工作日内退还，退还方式如下：</w:t>
      </w:r>
    </w:p>
    <w:p w14:paraId="3F03D713">
      <w:pPr>
        <w:pStyle w:val="5"/>
        <w:keepNext w:val="0"/>
        <w:keepLines w:val="0"/>
        <w:pageBreakBefore w:val="0"/>
        <w:shd w:val="clear"/>
        <w:kinsoku/>
        <w:wordWrap/>
        <w:overflowPunct/>
        <w:topLinePunct w:val="0"/>
        <w:bidi w:val="0"/>
        <w:spacing w:before="0" w:after="0" w:line="430" w:lineRule="exact"/>
        <w:ind w:firstLine="315" w:firstLineChars="150"/>
        <w:rPr>
          <w:rFonts w:hint="eastAsia" w:ascii="宋体" w:hAnsi="宋体" w:eastAsia="宋体" w:cs="宋体"/>
          <w:b w:val="0"/>
          <w:color w:val="auto"/>
          <w:sz w:val="21"/>
          <w:szCs w:val="21"/>
          <w:highlight w:val="none"/>
        </w:rPr>
      </w:pPr>
      <w:r>
        <w:rPr>
          <w:rFonts w:hint="eastAsia" w:ascii="宋体" w:hAnsi="宋体" w:eastAsia="宋体" w:cs="宋体"/>
          <w:b w:val="0"/>
          <w:color w:val="auto"/>
          <w:sz w:val="21"/>
          <w:szCs w:val="21"/>
          <w:highlight w:val="none"/>
        </w:rPr>
        <w:t>（1）采用银行转账方式的，以转账方式退回到投标人银行账户。</w:t>
      </w:r>
    </w:p>
    <w:p w14:paraId="4361A2A8">
      <w:pPr>
        <w:pStyle w:val="6"/>
        <w:keepNext w:val="0"/>
        <w:keepLines w:val="0"/>
        <w:pageBreakBefore w:val="0"/>
        <w:shd w:val="clear"/>
        <w:kinsoku/>
        <w:wordWrap/>
        <w:overflowPunct/>
        <w:topLinePunct w:val="0"/>
        <w:bidi w:val="0"/>
        <w:spacing w:line="430" w:lineRule="exact"/>
        <w:ind w:firstLine="315" w:firstLineChars="150"/>
        <w:rPr>
          <w:rFonts w:hint="eastAsia" w:ascii="宋体" w:hAnsi="宋体" w:eastAsia="宋体" w:cs="宋体"/>
          <w:color w:val="auto"/>
          <w:szCs w:val="21"/>
          <w:highlight w:val="none"/>
        </w:rPr>
      </w:pPr>
      <w:r>
        <w:rPr>
          <w:rFonts w:hint="eastAsia" w:ascii="宋体" w:hAnsi="宋体" w:eastAsia="宋体" w:cs="宋体"/>
          <w:color w:val="auto"/>
          <w:szCs w:val="21"/>
          <w:highlight w:val="none"/>
        </w:rPr>
        <w:t>（2）采用支票、汇票、本票或者金融机构、担保机构出具的保函</w:t>
      </w:r>
      <w:r>
        <w:rPr>
          <w:rFonts w:hint="eastAsia" w:ascii="宋体" w:hAnsi="宋体" w:eastAsia="宋体" w:cs="宋体"/>
          <w:color w:val="auto"/>
          <w:szCs w:val="21"/>
          <w:highlight w:val="none"/>
          <w:lang w:eastAsia="zh-CN"/>
        </w:rPr>
        <w:t>等</w:t>
      </w:r>
      <w:r>
        <w:rPr>
          <w:rFonts w:hint="eastAsia" w:ascii="宋体" w:hAnsi="宋体" w:eastAsia="宋体" w:cs="宋体"/>
          <w:color w:val="auto"/>
          <w:szCs w:val="21"/>
          <w:highlight w:val="none"/>
        </w:rPr>
        <w:t>方式的，由投标人代表持相关授权证明材料至采购代理机构办理支票、汇票、本票或者金融机构、担保机构出具的保函</w:t>
      </w:r>
      <w:r>
        <w:rPr>
          <w:rFonts w:hint="eastAsia" w:ascii="宋体" w:hAnsi="宋体" w:eastAsia="宋体" w:cs="宋体"/>
          <w:color w:val="auto"/>
          <w:szCs w:val="21"/>
          <w:highlight w:val="none"/>
          <w:lang w:eastAsia="zh-CN"/>
        </w:rPr>
        <w:t>等</w:t>
      </w:r>
      <w:r>
        <w:rPr>
          <w:rFonts w:hint="eastAsia" w:ascii="宋体" w:hAnsi="宋体" w:eastAsia="宋体" w:cs="宋体"/>
          <w:color w:val="auto"/>
          <w:szCs w:val="21"/>
          <w:highlight w:val="none"/>
        </w:rPr>
        <w:t xml:space="preserve">原件退还手续。 </w:t>
      </w:r>
    </w:p>
    <w:p w14:paraId="66EF941F">
      <w:pPr>
        <w:pStyle w:val="5"/>
        <w:keepNext w:val="0"/>
        <w:keepLines w:val="0"/>
        <w:pageBreakBefore w:val="0"/>
        <w:numPr>
          <w:ilvl w:val="0"/>
          <w:numId w:val="0"/>
        </w:numPr>
        <w:shd w:val="clear"/>
        <w:kinsoku/>
        <w:wordWrap/>
        <w:overflowPunct/>
        <w:topLinePunct w:val="0"/>
        <w:bidi w:val="0"/>
        <w:spacing w:before="0" w:after="0" w:line="430" w:lineRule="exact"/>
        <w:ind w:firstLine="420" w:firstLineChars="200"/>
        <w:rPr>
          <w:rFonts w:hint="eastAsia" w:ascii="宋体" w:hAnsi="宋体" w:eastAsia="宋体" w:cs="宋体"/>
          <w:b w:val="0"/>
          <w:color w:val="auto"/>
          <w:sz w:val="21"/>
          <w:szCs w:val="21"/>
          <w:highlight w:val="none"/>
        </w:rPr>
      </w:pPr>
      <w:r>
        <w:rPr>
          <w:rFonts w:hint="eastAsia" w:ascii="宋体" w:hAnsi="宋体" w:eastAsia="宋体" w:cs="宋体"/>
          <w:b w:val="0"/>
          <w:color w:val="auto"/>
          <w:sz w:val="21"/>
          <w:szCs w:val="21"/>
          <w:highlight w:val="none"/>
        </w:rPr>
        <w:t>18.2.2中标人的投标保证金自采购合同签订之日起</w:t>
      </w:r>
      <w:r>
        <w:rPr>
          <w:rFonts w:hint="eastAsia" w:ascii="宋体" w:hAnsi="宋体" w:eastAsia="宋体" w:cs="宋体"/>
          <w:b w:val="0"/>
          <w:color w:val="auto"/>
          <w:sz w:val="21"/>
          <w:szCs w:val="21"/>
          <w:highlight w:val="none"/>
          <w:lang w:val="en-US" w:eastAsia="zh-CN"/>
        </w:rPr>
        <w:t>5</w:t>
      </w:r>
      <w:r>
        <w:rPr>
          <w:rFonts w:hint="eastAsia" w:ascii="宋体" w:hAnsi="宋体" w:eastAsia="宋体" w:cs="宋体"/>
          <w:b w:val="0"/>
          <w:color w:val="auto"/>
          <w:sz w:val="21"/>
          <w:szCs w:val="21"/>
          <w:highlight w:val="none"/>
        </w:rPr>
        <w:t xml:space="preserve">个工作日内退还，退还方式同本须知正文第18.2.1。 </w:t>
      </w:r>
    </w:p>
    <w:p w14:paraId="72D5BCD4">
      <w:pPr>
        <w:pStyle w:val="5"/>
        <w:keepNext w:val="0"/>
        <w:keepLines w:val="0"/>
        <w:pageBreakBefore w:val="0"/>
        <w:shd w:val="clear"/>
        <w:kinsoku/>
        <w:wordWrap/>
        <w:overflowPunct/>
        <w:topLinePunct w:val="0"/>
        <w:bidi w:val="0"/>
        <w:spacing w:before="0" w:after="0" w:line="430" w:lineRule="exact"/>
        <w:ind w:left="420" w:leftChars="200"/>
        <w:rPr>
          <w:rFonts w:hint="eastAsia" w:ascii="宋体" w:hAnsi="宋体" w:eastAsia="宋体" w:cs="宋体"/>
          <w:b w:val="0"/>
          <w:color w:val="auto"/>
          <w:sz w:val="21"/>
          <w:szCs w:val="21"/>
          <w:highlight w:val="none"/>
        </w:rPr>
      </w:pPr>
      <w:r>
        <w:rPr>
          <w:rFonts w:hint="eastAsia" w:ascii="宋体" w:hAnsi="宋体" w:eastAsia="宋体" w:cs="宋体"/>
          <w:b w:val="0"/>
          <w:color w:val="auto"/>
          <w:sz w:val="21"/>
          <w:szCs w:val="21"/>
          <w:highlight w:val="none"/>
        </w:rPr>
        <w:t>18.3除逾期退还投标保证金和终止招标的情形以外，投标保证金不计息。</w:t>
      </w:r>
    </w:p>
    <w:p w14:paraId="3EC459CC">
      <w:pPr>
        <w:pStyle w:val="5"/>
        <w:keepNext w:val="0"/>
        <w:keepLines w:val="0"/>
        <w:pageBreakBefore w:val="0"/>
        <w:shd w:val="clear"/>
        <w:kinsoku/>
        <w:wordWrap/>
        <w:overflowPunct/>
        <w:topLinePunct w:val="0"/>
        <w:bidi w:val="0"/>
        <w:spacing w:before="0" w:after="0" w:line="430" w:lineRule="exact"/>
        <w:ind w:left="420" w:leftChars="200"/>
        <w:rPr>
          <w:rFonts w:hint="eastAsia" w:ascii="宋体" w:hAnsi="宋体" w:eastAsia="宋体" w:cs="宋体"/>
          <w:b w:val="0"/>
          <w:color w:val="auto"/>
          <w:sz w:val="21"/>
          <w:szCs w:val="21"/>
          <w:highlight w:val="none"/>
        </w:rPr>
      </w:pPr>
      <w:r>
        <w:rPr>
          <w:rFonts w:hint="eastAsia" w:ascii="宋体" w:hAnsi="宋体" w:eastAsia="宋体" w:cs="宋体"/>
          <w:b w:val="0"/>
          <w:color w:val="auto"/>
          <w:sz w:val="21"/>
          <w:szCs w:val="21"/>
          <w:highlight w:val="none"/>
        </w:rPr>
        <w:t xml:space="preserve">18.4投标人有下列情形之一的，投标保证金将不予退还： </w:t>
      </w:r>
    </w:p>
    <w:p w14:paraId="2558FE31">
      <w:pPr>
        <w:keepNext w:val="0"/>
        <w:keepLines w:val="0"/>
        <w:pageBreakBefore w:val="0"/>
        <w:shd w:val="clear"/>
        <w:kinsoku/>
        <w:wordWrap/>
        <w:overflowPunct/>
        <w:topLinePunct w:val="0"/>
        <w:bidi w:val="0"/>
        <w:snapToGrid w:val="0"/>
        <w:spacing w:line="430" w:lineRule="exact"/>
        <w:ind w:firstLine="411" w:firstLineChars="196"/>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（1）投标人在投标有效期内撤销投标文件的；</w:t>
      </w:r>
    </w:p>
    <w:p w14:paraId="2C2DFDDA">
      <w:pPr>
        <w:keepNext w:val="0"/>
        <w:keepLines w:val="0"/>
        <w:pageBreakBefore w:val="0"/>
        <w:shd w:val="clear"/>
        <w:kinsoku/>
        <w:wordWrap/>
        <w:overflowPunct/>
        <w:topLinePunct w:val="0"/>
        <w:bidi w:val="0"/>
        <w:snapToGrid w:val="0"/>
        <w:spacing w:line="430" w:lineRule="exact"/>
        <w:ind w:firstLine="411" w:firstLineChars="196"/>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（2）未按规定提交履约保证金的；</w:t>
      </w:r>
    </w:p>
    <w:p w14:paraId="6616C36C">
      <w:pPr>
        <w:keepNext w:val="0"/>
        <w:keepLines w:val="0"/>
        <w:pageBreakBefore w:val="0"/>
        <w:shd w:val="clear"/>
        <w:kinsoku/>
        <w:wordWrap/>
        <w:overflowPunct/>
        <w:topLinePunct w:val="0"/>
        <w:bidi w:val="0"/>
        <w:snapToGrid w:val="0"/>
        <w:spacing w:line="430" w:lineRule="exact"/>
        <w:ind w:firstLine="411" w:firstLineChars="196"/>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（3）投标人在投标过程中弄虚作假，提供虚假材料的；</w:t>
      </w:r>
    </w:p>
    <w:p w14:paraId="34F41344">
      <w:pPr>
        <w:keepNext w:val="0"/>
        <w:keepLines w:val="0"/>
        <w:pageBreakBefore w:val="0"/>
        <w:shd w:val="clear"/>
        <w:kinsoku/>
        <w:wordWrap/>
        <w:overflowPunct/>
        <w:topLinePunct w:val="0"/>
        <w:bidi w:val="0"/>
        <w:snapToGrid w:val="0"/>
        <w:spacing w:line="430" w:lineRule="exact"/>
        <w:ind w:firstLine="411" w:firstLineChars="196"/>
        <w:rPr>
          <w:rFonts w:hint="eastAsia" w:ascii="宋体" w:hAnsi="宋体" w:eastAsia="宋体" w:cs="宋体"/>
          <w:color w:val="auto"/>
          <w:szCs w:val="21"/>
          <w:highlight w:val="none"/>
        </w:rPr>
      </w:pPr>
      <w:r>
        <w:rPr>
          <w:rFonts w:hint="eastAsia" w:ascii="宋体" w:hAnsi="宋体" w:eastAsia="宋体" w:cs="宋体"/>
          <w:color w:val="auto"/>
          <w:szCs w:val="21"/>
          <w:highlight w:val="none"/>
        </w:rPr>
        <w:t>（4）中标人无正当理由不与采购人签订合同的；</w:t>
      </w:r>
    </w:p>
    <w:p w14:paraId="55AF6897">
      <w:pPr>
        <w:keepNext w:val="0"/>
        <w:keepLines w:val="0"/>
        <w:pageBreakBefore w:val="0"/>
        <w:shd w:val="clear"/>
        <w:kinsoku/>
        <w:wordWrap/>
        <w:overflowPunct/>
        <w:topLinePunct w:val="0"/>
        <w:bidi w:val="0"/>
        <w:snapToGrid w:val="0"/>
        <w:spacing w:line="43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（5）投标人出现本章第9.2、9.3情形的；</w:t>
      </w:r>
    </w:p>
    <w:p w14:paraId="685C1A23">
      <w:pPr>
        <w:keepNext w:val="0"/>
        <w:keepLines w:val="0"/>
        <w:pageBreakBefore w:val="0"/>
        <w:shd w:val="clear"/>
        <w:kinsoku/>
        <w:wordWrap/>
        <w:overflowPunct/>
        <w:topLinePunct w:val="0"/>
        <w:bidi w:val="0"/>
        <w:snapToGrid w:val="0"/>
        <w:spacing w:line="43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（6）</w:t>
      </w:r>
      <w:r>
        <w:rPr>
          <w:rFonts w:hint="eastAsia" w:ascii="宋体" w:hAnsi="宋体" w:eastAsia="宋体" w:cs="宋体"/>
          <w:color w:val="auto"/>
          <w:szCs w:val="21"/>
          <w:highlight w:val="none"/>
          <w:lang w:eastAsia="zh-CN"/>
        </w:rPr>
        <w:t>其他</w:t>
      </w:r>
      <w:r>
        <w:rPr>
          <w:rFonts w:hint="eastAsia" w:ascii="宋体" w:hAnsi="宋体" w:eastAsia="宋体" w:cs="宋体"/>
          <w:color w:val="auto"/>
          <w:szCs w:val="21"/>
          <w:highlight w:val="none"/>
        </w:rPr>
        <w:t>严重扰乱招投标程序的。</w:t>
      </w:r>
    </w:p>
    <w:p w14:paraId="43A8DAAC">
      <w:pPr>
        <w:keepNext w:val="0"/>
        <w:keepLines w:val="0"/>
        <w:pageBreakBefore w:val="0"/>
        <w:shd w:val="clear"/>
        <w:kinsoku/>
        <w:wordWrap/>
        <w:overflowPunct/>
        <w:topLinePunct w:val="0"/>
        <w:bidi w:val="0"/>
        <w:spacing w:line="43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19.投标文件的</w:t>
      </w:r>
      <w:bookmarkEnd w:id="180"/>
      <w:bookmarkEnd w:id="181"/>
      <w:r>
        <w:rPr>
          <w:rFonts w:hint="eastAsia" w:ascii="宋体" w:hAnsi="宋体" w:eastAsia="宋体" w:cs="宋体"/>
          <w:color w:val="auto"/>
          <w:sz w:val="24"/>
          <w:highlight w:val="none"/>
        </w:rPr>
        <w:t>编制</w:t>
      </w:r>
    </w:p>
    <w:p w14:paraId="535747B4">
      <w:pPr>
        <w:keepNext w:val="0"/>
        <w:keepLines w:val="0"/>
        <w:pageBreakBefore w:val="0"/>
        <w:shd w:val="clear"/>
        <w:kinsoku/>
        <w:wordWrap/>
        <w:overflowPunct/>
        <w:topLinePunct w:val="0"/>
        <w:bidi w:val="0"/>
        <w:spacing w:line="430" w:lineRule="exact"/>
        <w:ind w:firstLine="422" w:firstLineChars="200"/>
        <w:rPr>
          <w:rFonts w:hint="eastAsia" w:ascii="宋体" w:hAnsi="宋体" w:eastAsia="宋体" w:cs="宋体"/>
          <w:color w:val="auto"/>
          <w:szCs w:val="21"/>
          <w:highlight w:val="none"/>
        </w:rPr>
      </w:pPr>
      <w:r>
        <w:rPr>
          <w:rFonts w:hint="eastAsia" w:ascii="宋体" w:hAnsi="宋体" w:eastAsia="宋体" w:cs="宋体"/>
          <w:b/>
          <w:color w:val="auto"/>
          <w:szCs w:val="21"/>
          <w:highlight w:val="none"/>
        </w:rPr>
        <w:t xml:space="preserve"> </w:t>
      </w:r>
      <w:r>
        <w:rPr>
          <w:rFonts w:hint="eastAsia" w:ascii="宋体" w:hAnsi="宋体" w:eastAsia="宋体" w:cs="宋体"/>
          <w:color w:val="auto"/>
          <w:szCs w:val="21"/>
          <w:highlight w:val="none"/>
        </w:rPr>
        <w:t>19.1投标文件编制要求详见“投标人须知前附表”。投标人应按本招标文件规定的格式和顺序编制投标文件并标注页码，投标文件内容不完整、编排混乱导致投标文件被误读、漏读或者查找不到相关内容的，由此引发的后果由投标人承担。</w:t>
      </w:r>
      <w:bookmarkStart w:id="182" w:name="_19.2投标文件应按报价文件、资格证明文件、商务文件、技术文件分别编制"/>
      <w:bookmarkEnd w:id="182"/>
      <w:r>
        <w:rPr>
          <w:rFonts w:hint="eastAsia" w:ascii="宋体" w:hAnsi="宋体" w:eastAsia="宋体" w:cs="宋体"/>
          <w:color w:val="auto"/>
          <w:szCs w:val="21"/>
          <w:highlight w:val="none"/>
        </w:rPr>
        <w:t xml:space="preserve"> </w:t>
      </w:r>
    </w:p>
    <w:p w14:paraId="49C563E3">
      <w:pPr>
        <w:pStyle w:val="36"/>
        <w:keepNext w:val="0"/>
        <w:keepLines w:val="0"/>
        <w:pageBreakBefore w:val="0"/>
        <w:shd w:val="clear"/>
        <w:kinsoku/>
        <w:wordWrap/>
        <w:overflowPunct/>
        <w:topLinePunct w:val="0"/>
        <w:bidi w:val="0"/>
        <w:snapToGrid w:val="0"/>
        <w:spacing w:before="0" w:line="430" w:lineRule="exact"/>
        <w:ind w:firstLine="42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19.2投标文件按照招标文件第六章格式要求进行签署、盖章。投标人的投标文件未按照招标文件要求签署、盖章的，</w:t>
      </w:r>
      <w:r>
        <w:rPr>
          <w:rFonts w:hint="eastAsia" w:ascii="宋体" w:hAnsi="宋体" w:eastAsia="宋体" w:cs="宋体"/>
          <w:b/>
          <w:color w:val="auto"/>
          <w:sz w:val="21"/>
          <w:szCs w:val="21"/>
          <w:highlight w:val="none"/>
        </w:rPr>
        <w:t>其投标无效。</w:t>
      </w:r>
    </w:p>
    <w:p w14:paraId="4189ED7B">
      <w:pPr>
        <w:pStyle w:val="36"/>
        <w:keepNext w:val="0"/>
        <w:keepLines w:val="0"/>
        <w:pageBreakBefore w:val="0"/>
        <w:shd w:val="clear"/>
        <w:kinsoku/>
        <w:wordWrap/>
        <w:overflowPunct/>
        <w:topLinePunct w:val="0"/>
        <w:bidi w:val="0"/>
        <w:snapToGrid w:val="0"/>
        <w:spacing w:before="0" w:line="430" w:lineRule="exact"/>
        <w:ind w:firstLine="42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19.3为确保网上操作合法、有效和安全，投标人应当在投标截止时间前完成在</w:t>
      </w:r>
      <w:r>
        <w:rPr>
          <w:rFonts w:hint="eastAsia" w:ascii="宋体" w:hAnsi="宋体" w:eastAsia="宋体" w:cs="宋体"/>
          <w:b w:val="0"/>
          <w:bCs w:val="0"/>
          <w:color w:val="auto"/>
          <w:sz w:val="21"/>
          <w:szCs w:val="21"/>
          <w:highlight w:val="none"/>
          <w:lang w:val="en-US" w:eastAsia="zh-CN"/>
        </w:rPr>
        <w:t>广西政府采购云平台</w:t>
      </w:r>
      <w:r>
        <w:rPr>
          <w:rFonts w:hint="eastAsia" w:ascii="宋体" w:hAnsi="宋体" w:eastAsia="宋体" w:cs="宋体"/>
          <w:color w:val="auto"/>
          <w:sz w:val="21"/>
          <w:szCs w:val="21"/>
          <w:highlight w:val="none"/>
        </w:rPr>
        <w:t>的身份认证，确保在电子投标过程中能够对相关数据电文进行加密和使用电子签名。</w:t>
      </w:r>
    </w:p>
    <w:p w14:paraId="7F7DA495">
      <w:pPr>
        <w:keepNext w:val="0"/>
        <w:keepLines w:val="0"/>
        <w:pageBreakBefore w:val="0"/>
        <w:shd w:val="clear"/>
        <w:kinsoku/>
        <w:wordWrap/>
        <w:overflowPunct/>
        <w:topLinePunct w:val="0"/>
        <w:bidi w:val="0"/>
        <w:spacing w:line="430" w:lineRule="exact"/>
        <w:ind w:firstLine="422" w:firstLineChars="200"/>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19.4投标文件中标注的投标人名称应与主体资格证明（如营业执照、事业单位法人证书、执业许可证、自然人身份证等）及公章一致，</w:t>
      </w:r>
      <w:r>
        <w:rPr>
          <w:rFonts w:hint="eastAsia" w:ascii="宋体" w:hAnsi="宋体" w:eastAsia="宋体" w:cs="宋体"/>
          <w:color w:val="auto"/>
          <w:szCs w:val="21"/>
          <w:highlight w:val="none"/>
        </w:rPr>
        <w:t>否则作无效投标处理</w:t>
      </w:r>
      <w:r>
        <w:rPr>
          <w:rFonts w:hint="eastAsia" w:ascii="宋体" w:hAnsi="宋体" w:eastAsia="宋体" w:cs="宋体"/>
          <w:b/>
          <w:color w:val="auto"/>
          <w:szCs w:val="21"/>
          <w:highlight w:val="none"/>
        </w:rPr>
        <w:t>。</w:t>
      </w:r>
    </w:p>
    <w:p w14:paraId="509FFBBA">
      <w:pPr>
        <w:keepNext w:val="0"/>
        <w:keepLines w:val="0"/>
        <w:pageBreakBefore w:val="0"/>
        <w:shd w:val="clear"/>
        <w:kinsoku/>
        <w:wordWrap/>
        <w:overflowPunct/>
        <w:topLinePunct w:val="0"/>
        <w:bidi w:val="0"/>
        <w:spacing w:line="430" w:lineRule="exact"/>
        <w:ind w:firstLine="420" w:firstLineChars="200"/>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rPr>
        <w:t xml:space="preserve"> 19.5投标文件应避免涂改、行间插字或者删除</w:t>
      </w:r>
      <w:r>
        <w:rPr>
          <w:rFonts w:hint="eastAsia" w:ascii="宋体" w:hAnsi="宋体" w:eastAsia="宋体" w:cs="宋体"/>
          <w:color w:val="auto"/>
          <w:szCs w:val="21"/>
          <w:highlight w:val="none"/>
          <w:lang w:eastAsia="zh-CN"/>
        </w:rPr>
        <w:t>。</w:t>
      </w:r>
    </w:p>
    <w:p w14:paraId="4E1C3451">
      <w:pPr>
        <w:keepNext w:val="0"/>
        <w:keepLines w:val="0"/>
        <w:pageBreakBefore w:val="0"/>
        <w:shd w:val="clear"/>
        <w:kinsoku/>
        <w:wordWrap/>
        <w:overflowPunct/>
        <w:topLinePunct w:val="0"/>
        <w:bidi w:val="0"/>
        <w:spacing w:line="430" w:lineRule="exact"/>
        <w:ind w:firstLine="525" w:firstLineChars="250"/>
        <w:rPr>
          <w:rFonts w:hint="eastAsia" w:ascii="宋体" w:hAnsi="宋体" w:eastAsia="宋体" w:cs="宋体"/>
          <w:color w:val="auto"/>
          <w:highlight w:val="none"/>
        </w:rPr>
      </w:pPr>
      <w:r>
        <w:rPr>
          <w:rFonts w:hint="eastAsia" w:ascii="宋体" w:hAnsi="宋体" w:eastAsia="宋体" w:cs="宋体"/>
          <w:color w:val="auto"/>
          <w:highlight w:val="none"/>
        </w:rPr>
        <w:t>19.6 对招标文件的实质性要求和条件作出响应是指投标人必须对招标文件中标注为实质性要求和条件的</w:t>
      </w:r>
      <w:r>
        <w:rPr>
          <w:rFonts w:hint="eastAsia" w:ascii="宋体" w:hAnsi="宋体" w:eastAsia="宋体" w:cs="宋体"/>
          <w:color w:val="auto"/>
          <w:szCs w:val="21"/>
          <w:highlight w:val="none"/>
        </w:rPr>
        <w:t>服务内容及要求</w:t>
      </w:r>
      <w:r>
        <w:rPr>
          <w:rFonts w:hint="eastAsia" w:ascii="宋体" w:hAnsi="宋体" w:eastAsia="宋体" w:cs="宋体"/>
          <w:color w:val="auto"/>
          <w:highlight w:val="none"/>
        </w:rPr>
        <w:t>、商务条款及其它内容</w:t>
      </w:r>
      <w:r>
        <w:rPr>
          <w:rFonts w:hint="eastAsia" w:ascii="宋体" w:hAnsi="宋体" w:eastAsia="宋体" w:cs="宋体"/>
          <w:b/>
          <w:color w:val="auto"/>
          <w:highlight w:val="none"/>
        </w:rPr>
        <w:t>作出满足或者优于原要求和条件的承诺</w:t>
      </w:r>
      <w:r>
        <w:rPr>
          <w:rFonts w:hint="eastAsia" w:ascii="宋体" w:hAnsi="宋体" w:eastAsia="宋体" w:cs="宋体"/>
          <w:color w:val="auto"/>
          <w:highlight w:val="none"/>
        </w:rPr>
        <w:t>。</w:t>
      </w:r>
    </w:p>
    <w:p w14:paraId="50C0363B">
      <w:pPr>
        <w:keepNext w:val="0"/>
        <w:keepLines w:val="0"/>
        <w:pageBreakBefore w:val="0"/>
        <w:shd w:val="clear"/>
        <w:kinsoku/>
        <w:wordWrap/>
        <w:overflowPunct/>
        <w:topLinePunct w:val="0"/>
        <w:bidi w:val="0"/>
        <w:spacing w:line="430" w:lineRule="exact"/>
        <w:ind w:firstLine="422" w:firstLineChars="200"/>
        <w:rPr>
          <w:rFonts w:hint="eastAsia" w:ascii="宋体" w:hAnsi="宋体" w:eastAsia="宋体" w:cs="宋体"/>
          <w:b/>
          <w:color w:val="auto"/>
          <w:szCs w:val="21"/>
          <w:highlight w:val="none"/>
          <w:u w:val="single"/>
        </w:rPr>
      </w:pPr>
      <w:r>
        <w:rPr>
          <w:rFonts w:hint="eastAsia" w:ascii="宋体" w:hAnsi="宋体" w:eastAsia="宋体" w:cs="宋体"/>
          <w:b/>
          <w:color w:val="auto"/>
          <w:szCs w:val="21"/>
          <w:highlight w:val="none"/>
          <w:u w:val="single"/>
        </w:rPr>
        <w:t>19.7本项目为全流程电子化项目，异常情况见“第二节 投标人须知正文”中“四、24.2开标程序。</w:t>
      </w:r>
    </w:p>
    <w:p w14:paraId="1B9143E5">
      <w:pPr>
        <w:keepNext w:val="0"/>
        <w:keepLines w:val="0"/>
        <w:pageBreakBefore w:val="0"/>
        <w:shd w:val="clear"/>
        <w:kinsoku/>
        <w:wordWrap/>
        <w:overflowPunct/>
        <w:topLinePunct w:val="0"/>
        <w:bidi w:val="0"/>
        <w:spacing w:line="43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20.备份投标文件</w:t>
      </w:r>
    </w:p>
    <w:p w14:paraId="4B0EE155">
      <w:pPr>
        <w:keepNext w:val="0"/>
        <w:keepLines w:val="0"/>
        <w:pageBreakBefore w:val="0"/>
        <w:shd w:val="clear"/>
        <w:kinsoku/>
        <w:wordWrap/>
        <w:overflowPunct/>
        <w:topLinePunct w:val="0"/>
        <w:bidi w:val="0"/>
        <w:spacing w:line="430" w:lineRule="exact"/>
        <w:ind w:firstLine="420" w:firstLineChars="200"/>
        <w:rPr>
          <w:rFonts w:hint="eastAsia" w:ascii="宋体" w:hAnsi="宋体" w:eastAsia="宋体" w:cs="宋体"/>
          <w:color w:val="auto"/>
          <w:sz w:val="24"/>
          <w:highlight w:val="none"/>
        </w:rPr>
      </w:pPr>
      <w:r>
        <w:rPr>
          <w:rFonts w:hint="eastAsia" w:ascii="宋体" w:hAnsi="宋体" w:eastAsia="宋体" w:cs="宋体"/>
          <w:bCs/>
          <w:color w:val="auto"/>
          <w:szCs w:val="21"/>
          <w:highlight w:val="none"/>
        </w:rPr>
        <w:t>详见在“投标人须知前附表”。</w:t>
      </w:r>
    </w:p>
    <w:p w14:paraId="1B4E1FAC">
      <w:pPr>
        <w:keepNext w:val="0"/>
        <w:keepLines w:val="0"/>
        <w:pageBreakBefore w:val="0"/>
        <w:shd w:val="clear"/>
        <w:kinsoku/>
        <w:wordWrap/>
        <w:overflowPunct/>
        <w:topLinePunct w:val="0"/>
        <w:bidi w:val="0"/>
        <w:spacing w:line="43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21.投标文件的提交</w:t>
      </w:r>
    </w:p>
    <w:p w14:paraId="1402BC12">
      <w:pPr>
        <w:keepNext w:val="0"/>
        <w:keepLines w:val="0"/>
        <w:pageBreakBefore w:val="0"/>
        <w:shd w:val="clear"/>
        <w:kinsoku/>
        <w:wordWrap/>
        <w:overflowPunct/>
        <w:topLinePunct w:val="0"/>
        <w:bidi w:val="0"/>
        <w:spacing w:line="430" w:lineRule="exact"/>
        <w:ind w:firstLine="420" w:firstLineChars="200"/>
        <w:rPr>
          <w:rFonts w:hint="eastAsia" w:ascii="宋体" w:hAnsi="宋体" w:eastAsia="宋体" w:cs="宋体"/>
          <w:b/>
          <w:color w:val="auto"/>
          <w:highlight w:val="none"/>
        </w:rPr>
      </w:pPr>
      <w:bookmarkStart w:id="183" w:name="_21.1投标人必须在“投标人须知中的前附表”规定的投标文件接收时间和投"/>
      <w:bookmarkEnd w:id="183"/>
      <w:r>
        <w:rPr>
          <w:rFonts w:hint="eastAsia" w:ascii="宋体" w:hAnsi="宋体" w:eastAsia="宋体" w:cs="宋体"/>
          <w:bCs/>
          <w:color w:val="auto"/>
          <w:szCs w:val="21"/>
          <w:highlight w:val="none"/>
        </w:rPr>
        <w:t>21.1投标人必须在“投标人须知前附表”规定的投标文件接收时间和投标地点提交电子版投标文件。电子投标文件应在制作完成后，在投标截止时间前通过有效数字证书（CA认证锁）进行电子签章、加密，然后通过网络将加密的电子投标文件递交至</w:t>
      </w:r>
      <w:r>
        <w:rPr>
          <w:rFonts w:hint="eastAsia" w:ascii="宋体" w:hAnsi="宋体" w:eastAsia="宋体" w:cs="宋体"/>
          <w:b w:val="0"/>
          <w:bCs w:val="0"/>
          <w:color w:val="auto"/>
          <w:sz w:val="21"/>
          <w:szCs w:val="21"/>
          <w:highlight w:val="none"/>
          <w:lang w:val="en-US" w:eastAsia="zh-CN"/>
        </w:rPr>
        <w:t>广西政府采购云平台</w:t>
      </w:r>
      <w:r>
        <w:rPr>
          <w:rFonts w:hint="eastAsia" w:ascii="宋体" w:hAnsi="宋体" w:eastAsia="宋体" w:cs="宋体"/>
          <w:bCs/>
          <w:color w:val="auto"/>
          <w:szCs w:val="21"/>
          <w:highlight w:val="none"/>
        </w:rPr>
        <w:t xml:space="preserve">。 </w:t>
      </w:r>
      <w:r>
        <w:rPr>
          <w:rFonts w:hint="eastAsia" w:ascii="宋体" w:hAnsi="宋体" w:eastAsia="宋体" w:cs="宋体"/>
          <w:b/>
          <w:color w:val="auto"/>
          <w:highlight w:val="none"/>
        </w:rPr>
        <w:t xml:space="preserve"> </w:t>
      </w:r>
    </w:p>
    <w:p w14:paraId="68F3036F">
      <w:pPr>
        <w:keepNext w:val="0"/>
        <w:keepLines w:val="0"/>
        <w:pageBreakBefore w:val="0"/>
        <w:shd w:val="clear"/>
        <w:kinsoku/>
        <w:wordWrap/>
        <w:overflowPunct/>
        <w:topLinePunct w:val="0"/>
        <w:bidi w:val="0"/>
        <w:spacing w:line="430" w:lineRule="exact"/>
        <w:ind w:firstLine="422" w:firstLineChars="200"/>
        <w:rPr>
          <w:rFonts w:hint="eastAsia" w:ascii="宋体" w:hAnsi="宋体" w:eastAsia="宋体" w:cs="宋体"/>
          <w:b/>
          <w:color w:val="auto"/>
          <w:szCs w:val="20"/>
          <w:highlight w:val="none"/>
        </w:rPr>
      </w:pPr>
      <w:r>
        <w:rPr>
          <w:rFonts w:hint="eastAsia" w:ascii="宋体" w:hAnsi="宋体" w:eastAsia="宋体" w:cs="宋体"/>
          <w:b/>
          <w:color w:val="auto"/>
          <w:szCs w:val="21"/>
          <w:highlight w:val="none"/>
        </w:rPr>
        <w:t>21.2未在规定时间内提交或者未按照招标文件要求密封或者标记的电子投标文件，</w:t>
      </w:r>
      <w:r>
        <w:rPr>
          <w:rFonts w:hint="eastAsia" w:ascii="宋体" w:hAnsi="宋体" w:eastAsia="宋体" w:cs="宋体"/>
          <w:b/>
          <w:bCs w:val="0"/>
          <w:color w:val="auto"/>
          <w:sz w:val="21"/>
          <w:szCs w:val="21"/>
          <w:highlight w:val="none"/>
          <w:lang w:val="en-US" w:eastAsia="zh-CN"/>
        </w:rPr>
        <w:t>广西政府采购云平台</w:t>
      </w:r>
      <w:r>
        <w:rPr>
          <w:rFonts w:hint="eastAsia" w:ascii="宋体" w:hAnsi="宋体" w:eastAsia="宋体" w:cs="宋体"/>
          <w:b/>
          <w:color w:val="auto"/>
          <w:szCs w:val="21"/>
          <w:highlight w:val="none"/>
        </w:rPr>
        <w:t>将拒收。</w:t>
      </w:r>
    </w:p>
    <w:p w14:paraId="725DAC68">
      <w:pPr>
        <w:keepNext w:val="0"/>
        <w:keepLines w:val="0"/>
        <w:pageBreakBefore w:val="0"/>
        <w:shd w:val="clear"/>
        <w:kinsoku/>
        <w:wordWrap/>
        <w:overflowPunct/>
        <w:topLinePunct w:val="0"/>
        <w:bidi w:val="0"/>
        <w:spacing w:line="430" w:lineRule="exact"/>
        <w:ind w:firstLine="420" w:firstLineChars="200"/>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rPr>
        <w:t>21.3电子版投标文件提交方式见“招标公告”</w:t>
      </w:r>
      <w:r>
        <w:rPr>
          <w:rFonts w:hint="eastAsia" w:ascii="宋体" w:hAnsi="宋体" w:eastAsia="宋体" w:cs="宋体"/>
          <w:color w:val="auto"/>
          <w:szCs w:val="21"/>
          <w:highlight w:val="none"/>
          <w:lang w:eastAsia="zh-CN"/>
        </w:rPr>
        <w:t>。</w:t>
      </w:r>
    </w:p>
    <w:p w14:paraId="199AC86D">
      <w:pPr>
        <w:keepNext w:val="0"/>
        <w:keepLines w:val="0"/>
        <w:pageBreakBefore w:val="0"/>
        <w:shd w:val="clear"/>
        <w:kinsoku/>
        <w:wordWrap/>
        <w:overflowPunct/>
        <w:topLinePunct w:val="0"/>
        <w:bidi w:val="0"/>
        <w:spacing w:line="43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22. 投标文件的补充、修改、撤回</w:t>
      </w:r>
      <w:bookmarkStart w:id="184" w:name="_Toc254970543"/>
      <w:bookmarkStart w:id="185" w:name="_Toc254970684"/>
    </w:p>
    <w:p w14:paraId="0583B9B1">
      <w:pPr>
        <w:keepNext w:val="0"/>
        <w:keepLines w:val="0"/>
        <w:pageBreakBefore w:val="0"/>
        <w:shd w:val="clear"/>
        <w:kinsoku/>
        <w:wordWrap/>
        <w:overflowPunct/>
        <w:topLinePunct w:val="0"/>
        <w:bidi w:val="0"/>
        <w:spacing w:line="430" w:lineRule="exact"/>
        <w:ind w:firstLine="420" w:firstLineChars="200"/>
        <w:rPr>
          <w:rFonts w:hint="eastAsia" w:ascii="宋体" w:hAnsi="宋体" w:eastAsia="宋体" w:cs="宋体"/>
          <w:color w:val="auto"/>
          <w:sz w:val="24"/>
          <w:highlight w:val="none"/>
        </w:rPr>
      </w:pPr>
      <w:r>
        <w:rPr>
          <w:rFonts w:hint="eastAsia" w:ascii="宋体" w:hAnsi="宋体" w:eastAsia="宋体" w:cs="宋体"/>
          <w:color w:val="auto"/>
          <w:szCs w:val="21"/>
          <w:highlight w:val="none"/>
        </w:rPr>
        <w:t xml:space="preserve">22.1 </w:t>
      </w:r>
      <w:r>
        <w:rPr>
          <w:rFonts w:hint="eastAsia" w:ascii="宋体" w:hAnsi="宋体" w:eastAsia="宋体" w:cs="宋体"/>
          <w:color w:val="auto"/>
          <w:szCs w:val="21"/>
          <w:highlight w:val="none"/>
          <w:lang w:eastAsia="zh-CN"/>
        </w:rPr>
        <w:t>投标人</w:t>
      </w:r>
      <w:r>
        <w:rPr>
          <w:rFonts w:hint="eastAsia" w:ascii="宋体" w:hAnsi="宋体" w:eastAsia="宋体" w:cs="宋体"/>
          <w:color w:val="auto"/>
          <w:szCs w:val="21"/>
          <w:highlight w:val="none"/>
        </w:rPr>
        <w:t>应当在投标截止时间前完成投标文件的传输递交，并可以补充、修改或者撤回投标文件。补充或者修改投标文件的，应当先行撤回原文件，补充、修改后重新传输递交。投标截止时间前未完成传输的，视为撤回投标文件。投标截止时间后</w:t>
      </w:r>
      <w:r>
        <w:rPr>
          <w:rFonts w:hint="eastAsia" w:ascii="宋体" w:hAnsi="宋体" w:eastAsia="宋体" w:cs="宋体"/>
          <w:color w:val="auto"/>
          <w:szCs w:val="21"/>
          <w:highlight w:val="none"/>
          <w:lang w:eastAsia="zh-CN"/>
        </w:rPr>
        <w:t>提</w:t>
      </w:r>
      <w:r>
        <w:rPr>
          <w:rFonts w:hint="eastAsia" w:ascii="宋体" w:hAnsi="宋体" w:eastAsia="宋体" w:cs="宋体"/>
          <w:color w:val="auto"/>
          <w:szCs w:val="21"/>
          <w:highlight w:val="none"/>
        </w:rPr>
        <w:t>交的投标文件，</w:t>
      </w:r>
      <w:r>
        <w:rPr>
          <w:rFonts w:hint="eastAsia" w:ascii="宋体" w:hAnsi="宋体" w:eastAsia="宋体" w:cs="宋体"/>
          <w:b w:val="0"/>
          <w:bCs w:val="0"/>
          <w:color w:val="auto"/>
          <w:sz w:val="21"/>
          <w:szCs w:val="21"/>
          <w:highlight w:val="none"/>
          <w:lang w:val="en-US" w:eastAsia="zh-CN"/>
        </w:rPr>
        <w:t>广西政府采购云平台</w:t>
      </w:r>
      <w:r>
        <w:rPr>
          <w:rFonts w:hint="eastAsia" w:ascii="宋体" w:hAnsi="宋体" w:eastAsia="宋体" w:cs="宋体"/>
          <w:color w:val="auto"/>
          <w:szCs w:val="21"/>
          <w:highlight w:val="none"/>
        </w:rPr>
        <w:t>将拒收。</w:t>
      </w:r>
    </w:p>
    <w:p w14:paraId="2B110B78">
      <w:pPr>
        <w:pStyle w:val="36"/>
        <w:keepNext w:val="0"/>
        <w:keepLines w:val="0"/>
        <w:pageBreakBefore w:val="0"/>
        <w:shd w:val="clear"/>
        <w:kinsoku/>
        <w:wordWrap/>
        <w:overflowPunct/>
        <w:topLinePunct w:val="0"/>
        <w:bidi w:val="0"/>
        <w:spacing w:before="0" w:line="430" w:lineRule="exact"/>
        <w:ind w:firstLine="42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22.2</w:t>
      </w:r>
      <w:r>
        <w:rPr>
          <w:rFonts w:hint="eastAsia" w:ascii="宋体" w:hAnsi="宋体" w:eastAsia="宋体" w:cs="宋体"/>
          <w:b w:val="0"/>
          <w:bCs w:val="0"/>
          <w:color w:val="auto"/>
          <w:sz w:val="21"/>
          <w:szCs w:val="21"/>
          <w:highlight w:val="none"/>
          <w:lang w:val="en-US" w:eastAsia="zh-CN"/>
        </w:rPr>
        <w:t>广西政府采购云平台</w:t>
      </w:r>
      <w:r>
        <w:rPr>
          <w:rFonts w:hint="eastAsia" w:ascii="宋体" w:hAnsi="宋体" w:eastAsia="宋体" w:cs="宋体"/>
          <w:color w:val="auto"/>
          <w:sz w:val="21"/>
          <w:szCs w:val="21"/>
          <w:highlight w:val="none"/>
        </w:rPr>
        <w:t>收到投标文件，将妥善保存并即时向</w:t>
      </w:r>
      <w:r>
        <w:rPr>
          <w:rFonts w:hint="eastAsia" w:ascii="宋体" w:hAnsi="宋体" w:eastAsia="宋体" w:cs="宋体"/>
          <w:color w:val="auto"/>
          <w:sz w:val="21"/>
          <w:szCs w:val="21"/>
          <w:highlight w:val="none"/>
          <w:lang w:eastAsia="zh-CN"/>
        </w:rPr>
        <w:t>投标人</w:t>
      </w:r>
      <w:r>
        <w:rPr>
          <w:rFonts w:hint="eastAsia" w:ascii="宋体" w:hAnsi="宋体" w:eastAsia="宋体" w:cs="宋体"/>
          <w:color w:val="auto"/>
          <w:sz w:val="21"/>
          <w:szCs w:val="21"/>
          <w:highlight w:val="none"/>
        </w:rPr>
        <w:t>发出确认回执通知。在投标截止时间前，除</w:t>
      </w:r>
      <w:r>
        <w:rPr>
          <w:rFonts w:hint="eastAsia" w:ascii="宋体" w:hAnsi="宋体" w:eastAsia="宋体" w:cs="宋体"/>
          <w:color w:val="auto"/>
          <w:sz w:val="21"/>
          <w:szCs w:val="21"/>
          <w:highlight w:val="none"/>
          <w:lang w:eastAsia="zh-CN"/>
        </w:rPr>
        <w:t>投标人</w:t>
      </w:r>
      <w:r>
        <w:rPr>
          <w:rFonts w:hint="eastAsia" w:ascii="宋体" w:hAnsi="宋体" w:eastAsia="宋体" w:cs="宋体"/>
          <w:color w:val="auto"/>
          <w:sz w:val="21"/>
          <w:szCs w:val="21"/>
          <w:highlight w:val="none"/>
        </w:rPr>
        <w:t>补充、修改或者撤回投标文件外，任何单位和个人不得解密或提取投标文件。</w:t>
      </w:r>
    </w:p>
    <w:bookmarkEnd w:id="184"/>
    <w:bookmarkEnd w:id="185"/>
    <w:p w14:paraId="5B259EDC">
      <w:pPr>
        <w:pStyle w:val="10"/>
        <w:keepNext w:val="0"/>
        <w:keepLines w:val="0"/>
        <w:pageBreakBefore w:val="0"/>
        <w:shd w:val="clear"/>
        <w:kinsoku/>
        <w:wordWrap/>
        <w:overflowPunct/>
        <w:topLinePunct w:val="0"/>
        <w:bidi w:val="0"/>
        <w:snapToGrid w:val="0"/>
        <w:spacing w:line="430" w:lineRule="exact"/>
        <w:ind w:firstLine="739"/>
        <w:rPr>
          <w:rFonts w:hint="eastAsia" w:ascii="宋体" w:hAnsi="宋体" w:eastAsia="宋体" w:cs="宋体"/>
          <w:snapToGrid w:val="0"/>
          <w:color w:val="auto"/>
          <w:sz w:val="21"/>
          <w:szCs w:val="21"/>
          <w:highlight w:val="none"/>
        </w:rPr>
      </w:pPr>
    </w:p>
    <w:p w14:paraId="6ECB188E">
      <w:pPr>
        <w:pStyle w:val="3"/>
        <w:keepNext w:val="0"/>
        <w:keepLines w:val="0"/>
        <w:pageBreakBefore w:val="0"/>
        <w:shd w:val="clear"/>
        <w:kinsoku/>
        <w:wordWrap/>
        <w:overflowPunct/>
        <w:topLinePunct w:val="0"/>
        <w:bidi w:val="0"/>
        <w:spacing w:line="430" w:lineRule="exact"/>
        <w:jc w:val="center"/>
        <w:rPr>
          <w:rFonts w:hint="eastAsia" w:ascii="宋体" w:hAnsi="宋体" w:eastAsia="宋体" w:cs="宋体"/>
          <w:color w:val="auto"/>
          <w:highlight w:val="none"/>
        </w:rPr>
      </w:pPr>
      <w:bookmarkStart w:id="186" w:name="_Toc810"/>
      <w:bookmarkStart w:id="187" w:name="_Toc27037"/>
      <w:bookmarkStart w:id="188" w:name="_Toc2573"/>
      <w:bookmarkStart w:id="189" w:name="_Toc13250"/>
      <w:bookmarkStart w:id="190" w:name="_Toc22661"/>
      <w:bookmarkStart w:id="191" w:name="_Toc32494"/>
      <w:bookmarkStart w:id="192" w:name="_Toc254970544"/>
      <w:bookmarkStart w:id="193" w:name="_Toc1356"/>
      <w:bookmarkStart w:id="194" w:name="_Toc14091"/>
      <w:bookmarkStart w:id="195" w:name="_Toc1586"/>
      <w:bookmarkStart w:id="196" w:name="_Toc12790"/>
      <w:bookmarkStart w:id="197" w:name="_Toc254970685"/>
      <w:r>
        <w:rPr>
          <w:rFonts w:hint="eastAsia" w:ascii="宋体" w:hAnsi="宋体" w:eastAsia="宋体" w:cs="宋体"/>
          <w:color w:val="auto"/>
          <w:highlight w:val="none"/>
        </w:rPr>
        <w:t>四、开    标</w:t>
      </w:r>
      <w:bookmarkEnd w:id="186"/>
      <w:bookmarkEnd w:id="187"/>
      <w:bookmarkEnd w:id="188"/>
      <w:bookmarkEnd w:id="189"/>
      <w:bookmarkEnd w:id="190"/>
      <w:bookmarkEnd w:id="191"/>
      <w:bookmarkEnd w:id="192"/>
      <w:bookmarkEnd w:id="193"/>
      <w:bookmarkEnd w:id="194"/>
      <w:bookmarkEnd w:id="195"/>
      <w:bookmarkEnd w:id="196"/>
      <w:bookmarkEnd w:id="197"/>
    </w:p>
    <w:p w14:paraId="2B4CE9A2">
      <w:pPr>
        <w:keepNext w:val="0"/>
        <w:keepLines w:val="0"/>
        <w:pageBreakBefore w:val="0"/>
        <w:shd w:val="clear"/>
        <w:kinsoku/>
        <w:wordWrap/>
        <w:overflowPunct/>
        <w:topLinePunct w:val="0"/>
        <w:bidi w:val="0"/>
        <w:spacing w:line="430" w:lineRule="exact"/>
        <w:ind w:firstLine="480" w:firstLineChars="200"/>
        <w:rPr>
          <w:rFonts w:hint="eastAsia" w:ascii="宋体" w:hAnsi="宋体" w:eastAsia="宋体" w:cs="宋体"/>
          <w:color w:val="auto"/>
          <w:sz w:val="24"/>
          <w:highlight w:val="none"/>
        </w:rPr>
      </w:pPr>
      <w:bookmarkStart w:id="198" w:name="_23.开标时间和地点"/>
      <w:bookmarkEnd w:id="198"/>
      <w:r>
        <w:rPr>
          <w:rFonts w:hint="eastAsia" w:ascii="宋体" w:hAnsi="宋体" w:eastAsia="宋体" w:cs="宋体"/>
          <w:color w:val="auto"/>
          <w:sz w:val="24"/>
          <w:highlight w:val="none"/>
        </w:rPr>
        <w:t>23.开标时间和地点</w:t>
      </w:r>
    </w:p>
    <w:p w14:paraId="78564C39">
      <w:pPr>
        <w:keepNext w:val="0"/>
        <w:keepLines w:val="0"/>
        <w:pageBreakBefore w:val="0"/>
        <w:shd w:val="clear"/>
        <w:kinsoku/>
        <w:wordWrap/>
        <w:overflowPunct/>
        <w:topLinePunct w:val="0"/>
        <w:bidi w:val="0"/>
        <w:spacing w:line="430" w:lineRule="exact"/>
        <w:ind w:firstLine="420" w:firstLineChars="200"/>
        <w:rPr>
          <w:rFonts w:hint="eastAsia" w:ascii="宋体" w:hAnsi="宋体" w:eastAsia="宋体" w:cs="宋体"/>
          <w:bCs/>
          <w:color w:val="auto"/>
          <w:highlight w:val="none"/>
        </w:rPr>
      </w:pPr>
      <w:r>
        <w:rPr>
          <w:rFonts w:hint="eastAsia" w:ascii="宋体" w:hAnsi="宋体" w:eastAsia="宋体" w:cs="宋体"/>
          <w:bCs/>
          <w:color w:val="auto"/>
          <w:highlight w:val="none"/>
        </w:rPr>
        <w:t>23.1开标时间及地点详见“投标人须知前附表”</w:t>
      </w:r>
    </w:p>
    <w:p w14:paraId="7EF5D5D7">
      <w:pPr>
        <w:keepNext w:val="0"/>
        <w:keepLines w:val="0"/>
        <w:pageBreakBefore w:val="0"/>
        <w:shd w:val="clear"/>
        <w:kinsoku/>
        <w:wordWrap/>
        <w:overflowPunct/>
        <w:topLinePunct w:val="0"/>
        <w:bidi w:val="0"/>
        <w:spacing w:line="430" w:lineRule="exact"/>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23.2如</w:t>
      </w:r>
      <w:r>
        <w:rPr>
          <w:rFonts w:hint="eastAsia" w:ascii="宋体" w:hAnsi="宋体" w:eastAsia="宋体" w:cs="宋体"/>
          <w:bCs/>
          <w:color w:val="auto"/>
          <w:highlight w:val="none"/>
        </w:rPr>
        <w:t>投标人成功解密投标文件，但未在</w:t>
      </w:r>
      <w:r>
        <w:rPr>
          <w:rFonts w:hint="eastAsia" w:ascii="宋体" w:hAnsi="宋体" w:eastAsia="宋体" w:cs="宋体"/>
          <w:b w:val="0"/>
          <w:bCs w:val="0"/>
          <w:color w:val="auto"/>
          <w:sz w:val="21"/>
          <w:szCs w:val="21"/>
          <w:highlight w:val="none"/>
          <w:lang w:val="en-US" w:eastAsia="zh-CN"/>
        </w:rPr>
        <w:t>广西政府采购云平台</w:t>
      </w:r>
      <w:r>
        <w:rPr>
          <w:rFonts w:hint="eastAsia" w:ascii="宋体" w:hAnsi="宋体" w:eastAsia="宋体" w:cs="宋体"/>
          <w:bCs/>
          <w:color w:val="auto"/>
          <w:highlight w:val="none"/>
        </w:rPr>
        <w:t>电子开标大厅参加开标的，视同认可开标过程和结果，</w:t>
      </w:r>
      <w:r>
        <w:rPr>
          <w:rFonts w:hint="eastAsia" w:ascii="宋体" w:hAnsi="宋体" w:eastAsia="宋体" w:cs="宋体"/>
          <w:color w:val="auto"/>
          <w:highlight w:val="none"/>
        </w:rPr>
        <w:t>由此产生的后果由投标人自行负责。 投标人不足3家的，不得开标。</w:t>
      </w:r>
    </w:p>
    <w:p w14:paraId="37192AAF">
      <w:pPr>
        <w:keepNext w:val="0"/>
        <w:keepLines w:val="0"/>
        <w:pageBreakBefore w:val="0"/>
        <w:shd w:val="clear"/>
        <w:kinsoku/>
        <w:wordWrap/>
        <w:overflowPunct/>
        <w:topLinePunct w:val="0"/>
        <w:bidi w:val="0"/>
        <w:spacing w:line="43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24.开标程序</w:t>
      </w:r>
    </w:p>
    <w:p w14:paraId="0564BEF1">
      <w:pPr>
        <w:keepNext w:val="0"/>
        <w:keepLines w:val="0"/>
        <w:pageBreakBefore w:val="0"/>
        <w:shd w:val="clear"/>
        <w:kinsoku/>
        <w:wordWrap/>
        <w:overflowPunct/>
        <w:topLinePunct w:val="0"/>
        <w:autoSpaceDE w:val="0"/>
        <w:autoSpaceDN w:val="0"/>
        <w:bidi w:val="0"/>
        <w:adjustRightInd w:val="0"/>
        <w:spacing w:line="430" w:lineRule="exact"/>
        <w:ind w:firstLine="420" w:firstLineChars="200"/>
        <w:rPr>
          <w:rFonts w:hint="eastAsia" w:ascii="宋体" w:hAnsi="宋体" w:eastAsia="宋体" w:cs="宋体"/>
          <w:color w:val="auto"/>
          <w:kern w:val="0"/>
          <w:szCs w:val="21"/>
          <w:highlight w:val="none"/>
        </w:rPr>
      </w:pPr>
      <w:r>
        <w:rPr>
          <w:rFonts w:hint="eastAsia" w:ascii="宋体" w:hAnsi="宋体" w:eastAsia="宋体" w:cs="宋体"/>
          <w:bCs/>
          <w:color w:val="auto"/>
          <w:szCs w:val="21"/>
          <w:highlight w:val="none"/>
        </w:rPr>
        <w:t>24.1</w:t>
      </w:r>
      <w:r>
        <w:rPr>
          <w:rFonts w:hint="eastAsia" w:ascii="宋体" w:hAnsi="宋体" w:eastAsia="宋体" w:cs="宋体"/>
          <w:color w:val="auto"/>
          <w:kern w:val="0"/>
          <w:szCs w:val="21"/>
          <w:highlight w:val="none"/>
        </w:rPr>
        <w:t>开标形式：</w:t>
      </w:r>
    </w:p>
    <w:p w14:paraId="4A5CB31C">
      <w:pPr>
        <w:keepNext w:val="0"/>
        <w:keepLines w:val="0"/>
        <w:pageBreakBefore w:val="0"/>
        <w:shd w:val="clear"/>
        <w:kinsoku/>
        <w:wordWrap/>
        <w:overflowPunct/>
        <w:topLinePunct w:val="0"/>
        <w:autoSpaceDE w:val="0"/>
        <w:autoSpaceDN w:val="0"/>
        <w:bidi w:val="0"/>
        <w:adjustRightInd w:val="0"/>
        <w:spacing w:line="430" w:lineRule="exact"/>
        <w:ind w:firstLine="420" w:firstLineChars="200"/>
        <w:rPr>
          <w:rFonts w:hint="eastAsia" w:ascii="宋体" w:hAnsi="宋体" w:eastAsia="宋体" w:cs="宋体"/>
          <w:bCs/>
          <w:color w:val="auto"/>
          <w:szCs w:val="21"/>
          <w:highlight w:val="none"/>
        </w:rPr>
      </w:pPr>
      <w:r>
        <w:rPr>
          <w:rFonts w:hint="eastAsia" w:ascii="宋体" w:hAnsi="宋体" w:eastAsia="宋体" w:cs="宋体"/>
          <w:color w:val="auto"/>
          <w:szCs w:val="21"/>
          <w:highlight w:val="none"/>
        </w:rPr>
        <w:t>（1）</w:t>
      </w:r>
      <w:r>
        <w:rPr>
          <w:rFonts w:hint="eastAsia" w:ascii="宋体" w:hAnsi="宋体" w:eastAsia="宋体" w:cs="宋体"/>
          <w:bCs/>
          <w:color w:val="auto"/>
          <w:szCs w:val="21"/>
          <w:highlight w:val="none"/>
        </w:rPr>
        <w:t>开标的准备工作由采购代理机构负责落实，采购代理机构必须基于</w:t>
      </w:r>
      <w:r>
        <w:rPr>
          <w:rFonts w:hint="eastAsia" w:ascii="宋体" w:hAnsi="宋体" w:eastAsia="宋体" w:cs="宋体"/>
          <w:b w:val="0"/>
          <w:bCs w:val="0"/>
          <w:color w:val="auto"/>
          <w:sz w:val="21"/>
          <w:szCs w:val="21"/>
          <w:highlight w:val="none"/>
          <w:lang w:val="en-US" w:eastAsia="zh-CN"/>
        </w:rPr>
        <w:t>广西政府采购云平台</w:t>
      </w:r>
      <w:r>
        <w:rPr>
          <w:rFonts w:hint="eastAsia" w:ascii="宋体" w:hAnsi="宋体" w:eastAsia="宋体" w:cs="宋体"/>
          <w:bCs/>
          <w:color w:val="auto"/>
          <w:szCs w:val="21"/>
          <w:highlight w:val="none"/>
          <w:lang w:eastAsia="zh-CN"/>
        </w:rPr>
        <w:t>依法抽取</w:t>
      </w:r>
      <w:r>
        <w:rPr>
          <w:rFonts w:hint="eastAsia" w:ascii="宋体" w:hAnsi="宋体" w:eastAsia="宋体" w:cs="宋体"/>
          <w:bCs/>
          <w:color w:val="auto"/>
          <w:szCs w:val="21"/>
          <w:highlight w:val="none"/>
        </w:rPr>
        <w:t>评审专家，如采购代理机构未按规定</w:t>
      </w:r>
      <w:r>
        <w:rPr>
          <w:rFonts w:hint="eastAsia" w:ascii="宋体" w:hAnsi="宋体" w:eastAsia="宋体" w:cs="宋体"/>
          <w:bCs/>
          <w:color w:val="auto"/>
          <w:szCs w:val="21"/>
          <w:highlight w:val="none"/>
          <w:lang w:eastAsia="zh-CN"/>
        </w:rPr>
        <w:t>抽</w:t>
      </w:r>
      <w:r>
        <w:rPr>
          <w:rFonts w:hint="eastAsia" w:ascii="宋体" w:hAnsi="宋体" w:eastAsia="宋体" w:cs="宋体"/>
          <w:bCs/>
          <w:color w:val="auto"/>
          <w:szCs w:val="21"/>
          <w:highlight w:val="none"/>
        </w:rPr>
        <w:t>取专家的，视为本次开评标无效，应当重新采购；</w:t>
      </w:r>
    </w:p>
    <w:p w14:paraId="68635916">
      <w:pPr>
        <w:keepNext w:val="0"/>
        <w:keepLines w:val="0"/>
        <w:pageBreakBefore w:val="0"/>
        <w:shd w:val="clear"/>
        <w:kinsoku/>
        <w:wordWrap/>
        <w:overflowPunct/>
        <w:topLinePunct w:val="0"/>
        <w:autoSpaceDE w:val="0"/>
        <w:autoSpaceDN w:val="0"/>
        <w:bidi w:val="0"/>
        <w:adjustRightInd w:val="0"/>
        <w:spacing w:line="430" w:lineRule="exact"/>
        <w:ind w:firstLine="420" w:firstLineChars="200"/>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（2）采购代理机构将按照招标文件规定的时间通过</w:t>
      </w:r>
      <w:r>
        <w:rPr>
          <w:rFonts w:hint="eastAsia" w:ascii="宋体" w:hAnsi="宋体" w:eastAsia="宋体" w:cs="宋体"/>
          <w:b w:val="0"/>
          <w:bCs w:val="0"/>
          <w:color w:val="auto"/>
          <w:sz w:val="21"/>
          <w:szCs w:val="21"/>
          <w:highlight w:val="none"/>
          <w:lang w:val="en-US" w:eastAsia="zh-CN"/>
        </w:rPr>
        <w:t>广西政府采购云平台</w:t>
      </w:r>
      <w:r>
        <w:rPr>
          <w:rFonts w:hint="eastAsia" w:ascii="宋体" w:hAnsi="宋体" w:eastAsia="宋体" w:cs="宋体"/>
          <w:bCs/>
          <w:color w:val="auto"/>
          <w:szCs w:val="21"/>
          <w:highlight w:val="none"/>
        </w:rPr>
        <w:t>组织线上开标活动、开启投标文件，所有</w:t>
      </w:r>
      <w:r>
        <w:rPr>
          <w:rFonts w:hint="eastAsia" w:ascii="宋体" w:hAnsi="宋体" w:eastAsia="宋体" w:cs="宋体"/>
          <w:bCs/>
          <w:color w:val="auto"/>
          <w:szCs w:val="21"/>
          <w:highlight w:val="none"/>
          <w:lang w:eastAsia="zh-CN"/>
        </w:rPr>
        <w:t>投标人</w:t>
      </w:r>
      <w:r>
        <w:rPr>
          <w:rFonts w:hint="eastAsia" w:ascii="宋体" w:hAnsi="宋体" w:eastAsia="宋体" w:cs="宋体"/>
          <w:bCs/>
          <w:color w:val="auto"/>
          <w:szCs w:val="21"/>
          <w:highlight w:val="none"/>
        </w:rPr>
        <w:t>均应当准时在线参加。投标人如不参加开标大会的，视同认可开标结果，事后不得对采购相关人员、开标过程和开标结果提出异议，同时投标人因未在线参加开标而导致投标文件无法按时解密等一切后果由投标人自己承担。</w:t>
      </w:r>
    </w:p>
    <w:p w14:paraId="388208C3">
      <w:pPr>
        <w:keepNext w:val="0"/>
        <w:keepLines w:val="0"/>
        <w:pageBreakBefore w:val="0"/>
        <w:shd w:val="clear"/>
        <w:kinsoku/>
        <w:wordWrap/>
        <w:overflowPunct/>
        <w:topLinePunct w:val="0"/>
        <w:autoSpaceDE w:val="0"/>
        <w:autoSpaceDN w:val="0"/>
        <w:bidi w:val="0"/>
        <w:adjustRightInd w:val="0"/>
        <w:spacing w:line="430" w:lineRule="exact"/>
        <w:ind w:firstLine="420" w:firstLineChars="200"/>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24.2开标程序：</w:t>
      </w:r>
    </w:p>
    <w:p w14:paraId="00BC5971">
      <w:pPr>
        <w:pStyle w:val="12"/>
        <w:keepNext w:val="0"/>
        <w:keepLines w:val="0"/>
        <w:pageBreakBefore w:val="0"/>
        <w:shd w:val="clear"/>
        <w:kinsoku/>
        <w:wordWrap/>
        <w:overflowPunct/>
        <w:topLinePunct w:val="0"/>
        <w:bidi w:val="0"/>
        <w:snapToGrid w:val="0"/>
        <w:spacing w:line="430" w:lineRule="exact"/>
        <w:ind w:firstLine="422" w:firstLineChars="200"/>
        <w:rPr>
          <w:rFonts w:hint="eastAsia" w:ascii="宋体" w:hAnsi="宋体" w:eastAsia="宋体" w:cs="宋体"/>
          <w:color w:val="auto"/>
          <w:szCs w:val="21"/>
          <w:highlight w:val="none"/>
        </w:rPr>
      </w:pPr>
      <w:r>
        <w:rPr>
          <w:rFonts w:hint="eastAsia" w:ascii="宋体" w:hAnsi="宋体" w:eastAsia="宋体" w:cs="宋体"/>
          <w:b/>
          <w:color w:val="auto"/>
          <w:szCs w:val="21"/>
          <w:highlight w:val="none"/>
        </w:rPr>
        <w:t>（1）解密电子投标文件。</w:t>
      </w:r>
      <w:r>
        <w:rPr>
          <w:rFonts w:hint="eastAsia" w:ascii="宋体" w:hAnsi="宋体" w:eastAsia="宋体" w:cs="宋体"/>
          <w:b w:val="0"/>
          <w:bCs w:val="0"/>
          <w:color w:val="auto"/>
          <w:sz w:val="21"/>
          <w:szCs w:val="21"/>
          <w:highlight w:val="none"/>
          <w:lang w:val="en-US" w:eastAsia="zh-CN"/>
        </w:rPr>
        <w:t>广西政府采购云平台</w:t>
      </w:r>
      <w:r>
        <w:rPr>
          <w:rFonts w:hint="eastAsia" w:ascii="宋体" w:hAnsi="宋体" w:eastAsia="宋体" w:cs="宋体"/>
          <w:color w:val="auto"/>
          <w:szCs w:val="21"/>
          <w:highlight w:val="none"/>
        </w:rPr>
        <w:t>按开标时间自动提取所有投标文件。采购代理机构依托</w:t>
      </w:r>
      <w:r>
        <w:rPr>
          <w:rFonts w:hint="eastAsia" w:ascii="宋体" w:hAnsi="宋体" w:eastAsia="宋体" w:cs="宋体"/>
          <w:b w:val="0"/>
          <w:bCs w:val="0"/>
          <w:color w:val="auto"/>
          <w:sz w:val="21"/>
          <w:szCs w:val="21"/>
          <w:highlight w:val="none"/>
          <w:lang w:val="en-US" w:eastAsia="zh-CN"/>
        </w:rPr>
        <w:t>广西政府采购云平台</w:t>
      </w:r>
      <w:r>
        <w:rPr>
          <w:rFonts w:hint="eastAsia" w:ascii="宋体" w:hAnsi="宋体" w:eastAsia="宋体" w:cs="宋体"/>
          <w:color w:val="auto"/>
          <w:szCs w:val="21"/>
          <w:highlight w:val="none"/>
        </w:rPr>
        <w:t>向各投标人发出电子加密投标文件【开始解密】通知，由投标人在规定的时间内自行将投标文件在线解密。投标人的法定代表人或其委托代理人</w:t>
      </w:r>
      <w:r>
        <w:rPr>
          <w:rFonts w:hint="eastAsia" w:ascii="宋体" w:hAnsi="宋体" w:eastAsia="宋体" w:cs="宋体"/>
          <w:b/>
          <w:color w:val="auto"/>
          <w:szCs w:val="21"/>
          <w:highlight w:val="none"/>
        </w:rPr>
        <w:t>须携带加密时所用的CA锁准时登录到</w:t>
      </w:r>
      <w:r>
        <w:rPr>
          <w:rFonts w:hint="eastAsia" w:ascii="宋体" w:hAnsi="宋体" w:eastAsia="宋体" w:cs="宋体"/>
          <w:b/>
          <w:bCs w:val="0"/>
          <w:color w:val="auto"/>
          <w:sz w:val="21"/>
          <w:szCs w:val="21"/>
          <w:highlight w:val="none"/>
          <w:lang w:val="en-US" w:eastAsia="zh-CN"/>
        </w:rPr>
        <w:t>广西政府采购云平台</w:t>
      </w:r>
      <w:r>
        <w:rPr>
          <w:rFonts w:hint="eastAsia" w:ascii="宋体" w:hAnsi="宋体" w:eastAsia="宋体" w:cs="宋体"/>
          <w:b/>
          <w:color w:val="auto"/>
          <w:szCs w:val="21"/>
          <w:highlight w:val="none"/>
        </w:rPr>
        <w:t>电子开标大厅签到并对电子投标文件</w:t>
      </w:r>
      <w:r>
        <w:rPr>
          <w:rFonts w:hint="eastAsia" w:ascii="宋体" w:hAnsi="宋体" w:eastAsia="宋体" w:cs="宋体"/>
          <w:b/>
          <w:color w:val="auto"/>
          <w:szCs w:val="21"/>
          <w:highlight w:val="none"/>
          <w:lang w:eastAsia="zh-CN"/>
        </w:rPr>
        <w:t>在线</w:t>
      </w:r>
      <w:r>
        <w:rPr>
          <w:rFonts w:hint="eastAsia" w:ascii="宋体" w:hAnsi="宋体" w:eastAsia="宋体" w:cs="宋体"/>
          <w:b/>
          <w:color w:val="auto"/>
          <w:szCs w:val="21"/>
          <w:highlight w:val="none"/>
        </w:rPr>
        <w:t>解密</w:t>
      </w:r>
      <w:r>
        <w:rPr>
          <w:rFonts w:hint="eastAsia" w:ascii="宋体" w:hAnsi="宋体" w:eastAsia="宋体" w:cs="宋体"/>
          <w:color w:val="auto"/>
          <w:szCs w:val="21"/>
          <w:highlight w:val="none"/>
        </w:rPr>
        <w:t>。</w:t>
      </w:r>
      <w:r>
        <w:rPr>
          <w:rFonts w:hint="eastAsia" w:ascii="宋体" w:hAnsi="宋体" w:eastAsia="宋体" w:cs="宋体"/>
          <w:b/>
          <w:bCs/>
          <w:color w:val="auto"/>
          <w:szCs w:val="21"/>
          <w:highlight w:val="none"/>
        </w:rPr>
        <w:t>投标文件未按时解密的，</w:t>
      </w:r>
      <w:r>
        <w:rPr>
          <w:rFonts w:hint="eastAsia" w:ascii="宋体" w:hAnsi="宋体" w:eastAsia="宋体" w:cs="宋体"/>
          <w:b/>
          <w:color w:val="auto"/>
          <w:szCs w:val="21"/>
          <w:highlight w:val="none"/>
        </w:rPr>
        <w:t>均视为无效投标。</w:t>
      </w:r>
    </w:p>
    <w:p w14:paraId="073F6592">
      <w:pPr>
        <w:pStyle w:val="12"/>
        <w:keepNext w:val="0"/>
        <w:keepLines w:val="0"/>
        <w:pageBreakBefore w:val="0"/>
        <w:shd w:val="clear"/>
        <w:kinsoku/>
        <w:wordWrap/>
        <w:overflowPunct/>
        <w:topLinePunct w:val="0"/>
        <w:bidi w:val="0"/>
        <w:snapToGrid w:val="0"/>
        <w:spacing w:line="43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（解密</w:t>
      </w:r>
      <w:r>
        <w:rPr>
          <w:rFonts w:hint="eastAsia" w:ascii="宋体" w:hAnsi="宋体" w:eastAsia="宋体" w:cs="宋体"/>
          <w:bCs/>
          <w:color w:val="auto"/>
          <w:szCs w:val="21"/>
          <w:highlight w:val="none"/>
        </w:rPr>
        <w:t>异常情况处理：详见本章</w:t>
      </w:r>
      <w:r>
        <w:rPr>
          <w:rFonts w:hint="eastAsia" w:ascii="宋体" w:hAnsi="宋体" w:eastAsia="宋体" w:cs="宋体"/>
          <w:color w:val="auto"/>
          <w:highlight w:val="none"/>
        </w:rPr>
        <w:t>29.3 电子交易活动的中止。</w:t>
      </w:r>
      <w:r>
        <w:rPr>
          <w:rFonts w:hint="eastAsia" w:ascii="宋体" w:hAnsi="宋体" w:eastAsia="宋体" w:cs="宋体"/>
          <w:color w:val="auto"/>
          <w:szCs w:val="21"/>
          <w:highlight w:val="none"/>
        </w:rPr>
        <w:t>）</w:t>
      </w:r>
    </w:p>
    <w:p w14:paraId="69EA79CC">
      <w:pPr>
        <w:keepNext w:val="0"/>
        <w:keepLines w:val="0"/>
        <w:pageBreakBefore w:val="0"/>
        <w:shd w:val="clear"/>
        <w:kinsoku/>
        <w:wordWrap/>
        <w:overflowPunct/>
        <w:topLinePunct w:val="0"/>
        <w:bidi w:val="0"/>
        <w:spacing w:line="43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w:t>
      </w:r>
      <w:r>
        <w:rPr>
          <w:rFonts w:hint="eastAsia" w:ascii="宋体" w:hAnsi="宋体" w:eastAsia="宋体" w:cs="宋体"/>
          <w:b/>
          <w:color w:val="auto"/>
          <w:szCs w:val="21"/>
          <w:highlight w:val="none"/>
        </w:rPr>
        <w:t>电子唱标。</w:t>
      </w:r>
      <w:r>
        <w:rPr>
          <w:rFonts w:hint="eastAsia" w:ascii="宋体" w:hAnsi="宋体" w:eastAsia="宋体" w:cs="宋体"/>
          <w:color w:val="auto"/>
          <w:szCs w:val="21"/>
          <w:highlight w:val="none"/>
        </w:rPr>
        <w:t>投标文件解密结束，各投标</w:t>
      </w:r>
      <w:r>
        <w:rPr>
          <w:rFonts w:hint="eastAsia" w:ascii="宋体" w:hAnsi="宋体" w:eastAsia="宋体" w:cs="宋体"/>
          <w:color w:val="auto"/>
          <w:szCs w:val="21"/>
          <w:highlight w:val="none"/>
          <w:lang w:eastAsia="zh-CN"/>
        </w:rPr>
        <w:t>人</w:t>
      </w:r>
      <w:r>
        <w:rPr>
          <w:rFonts w:hint="eastAsia" w:ascii="宋体" w:hAnsi="宋体" w:eastAsia="宋体" w:cs="宋体"/>
          <w:color w:val="auto"/>
          <w:szCs w:val="21"/>
          <w:highlight w:val="none"/>
        </w:rPr>
        <w:t>报价均在</w:t>
      </w:r>
      <w:r>
        <w:rPr>
          <w:rFonts w:hint="eastAsia" w:ascii="宋体" w:hAnsi="宋体" w:eastAsia="宋体" w:cs="宋体"/>
          <w:b w:val="0"/>
          <w:bCs w:val="0"/>
          <w:color w:val="auto"/>
          <w:sz w:val="21"/>
          <w:szCs w:val="21"/>
          <w:highlight w:val="none"/>
          <w:lang w:val="en-US" w:eastAsia="zh-CN"/>
        </w:rPr>
        <w:t>广西政府采购云平台</w:t>
      </w:r>
      <w:r>
        <w:rPr>
          <w:rFonts w:hint="eastAsia" w:ascii="宋体" w:hAnsi="宋体" w:eastAsia="宋体" w:cs="宋体"/>
          <w:color w:val="auto"/>
          <w:szCs w:val="21"/>
          <w:highlight w:val="none"/>
        </w:rPr>
        <w:t>远程不见面开标大厅展示；</w:t>
      </w:r>
    </w:p>
    <w:p w14:paraId="3FE2F027">
      <w:pPr>
        <w:keepNext w:val="0"/>
        <w:keepLines w:val="0"/>
        <w:pageBreakBefore w:val="0"/>
        <w:shd w:val="clear"/>
        <w:kinsoku/>
        <w:wordWrap/>
        <w:overflowPunct/>
        <w:topLinePunct w:val="0"/>
        <w:bidi w:val="0"/>
        <w:spacing w:line="430" w:lineRule="exact"/>
        <w:ind w:firstLine="420" w:firstLineChars="200"/>
        <w:rPr>
          <w:rFonts w:hint="eastAsia" w:ascii="宋体" w:hAnsi="宋体" w:eastAsia="宋体" w:cs="宋体"/>
          <w:bCs/>
          <w:color w:val="auto"/>
          <w:szCs w:val="21"/>
          <w:highlight w:val="none"/>
        </w:rPr>
      </w:pPr>
      <w:r>
        <w:rPr>
          <w:rFonts w:hint="eastAsia" w:ascii="宋体" w:hAnsi="宋体" w:eastAsia="宋体" w:cs="宋体"/>
          <w:color w:val="auto"/>
          <w:szCs w:val="21"/>
          <w:highlight w:val="none"/>
        </w:rPr>
        <w:t>（3）</w:t>
      </w:r>
      <w:r>
        <w:rPr>
          <w:rFonts w:hint="eastAsia" w:ascii="宋体" w:hAnsi="宋体" w:eastAsia="宋体" w:cs="宋体"/>
          <w:bCs/>
          <w:color w:val="auto"/>
          <w:szCs w:val="21"/>
          <w:highlight w:val="none"/>
        </w:rPr>
        <w:t>开标过程由采购代理机构如实记录，并电子留痕，由参加电子开标的各投标人代表对电子开标记录在开标记录公布后15分钟内进行当场校核及勘误，并线上确认，未确认的视同认可开标结果。</w:t>
      </w:r>
    </w:p>
    <w:p w14:paraId="24D6B829">
      <w:pPr>
        <w:keepNext w:val="0"/>
        <w:keepLines w:val="0"/>
        <w:pageBreakBefore w:val="0"/>
        <w:shd w:val="clear"/>
        <w:kinsoku/>
        <w:wordWrap/>
        <w:overflowPunct/>
        <w:topLinePunct w:val="0"/>
        <w:bidi w:val="0"/>
        <w:spacing w:line="430" w:lineRule="exact"/>
        <w:ind w:firstLine="420" w:firstLineChars="200"/>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w:t>
      </w:r>
      <w:r>
        <w:rPr>
          <w:rFonts w:hint="eastAsia" w:ascii="宋体" w:hAnsi="宋体" w:eastAsia="宋体" w:cs="宋体"/>
          <w:bCs/>
          <w:color w:val="auto"/>
          <w:szCs w:val="21"/>
          <w:highlight w:val="none"/>
          <w:lang w:val="en-US" w:eastAsia="zh-CN"/>
        </w:rPr>
        <w:t>4</w:t>
      </w:r>
      <w:r>
        <w:rPr>
          <w:rFonts w:hint="eastAsia" w:ascii="宋体" w:hAnsi="宋体" w:eastAsia="宋体" w:cs="宋体"/>
          <w:bCs/>
          <w:color w:val="auto"/>
          <w:szCs w:val="21"/>
          <w:highlight w:val="none"/>
        </w:rPr>
        <w:t>）投标人代表对开标过程和开标记录有疑义，以及认为采购人、采购代理机构相关工作人员有需要回避的情形的，应当场提出在线询问或者回避申请。采购人、采购代理机构对投标人代表提出的询问或者回避申请应当及时处理。</w:t>
      </w:r>
    </w:p>
    <w:p w14:paraId="50E1C74F">
      <w:pPr>
        <w:keepNext w:val="0"/>
        <w:keepLines w:val="0"/>
        <w:pageBreakBefore w:val="0"/>
        <w:shd w:val="clear"/>
        <w:kinsoku/>
        <w:wordWrap/>
        <w:overflowPunct/>
        <w:topLinePunct w:val="0"/>
        <w:bidi w:val="0"/>
        <w:spacing w:line="430" w:lineRule="exact"/>
        <w:ind w:firstLine="420" w:firstLineChars="200"/>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w:t>
      </w:r>
      <w:r>
        <w:rPr>
          <w:rFonts w:hint="eastAsia" w:ascii="宋体" w:hAnsi="宋体" w:eastAsia="宋体" w:cs="宋体"/>
          <w:bCs/>
          <w:color w:val="auto"/>
          <w:szCs w:val="21"/>
          <w:highlight w:val="none"/>
          <w:lang w:val="en-US" w:eastAsia="zh-CN"/>
        </w:rPr>
        <w:t>5</w:t>
      </w:r>
      <w:r>
        <w:rPr>
          <w:rFonts w:hint="eastAsia" w:ascii="宋体" w:hAnsi="宋体" w:eastAsia="宋体" w:cs="宋体"/>
          <w:bCs/>
          <w:color w:val="auto"/>
          <w:szCs w:val="21"/>
          <w:highlight w:val="none"/>
        </w:rPr>
        <w:t>）开标结束。</w:t>
      </w:r>
    </w:p>
    <w:p w14:paraId="5FF5D9BF">
      <w:pPr>
        <w:pStyle w:val="12"/>
        <w:keepNext w:val="0"/>
        <w:keepLines w:val="0"/>
        <w:pageBreakBefore w:val="0"/>
        <w:shd w:val="clear"/>
        <w:kinsoku/>
        <w:wordWrap/>
        <w:overflowPunct/>
        <w:topLinePunct w:val="0"/>
        <w:bidi w:val="0"/>
        <w:snapToGrid w:val="0"/>
        <w:spacing w:line="430" w:lineRule="exact"/>
        <w:ind w:firstLine="422" w:firstLineChars="200"/>
        <w:rPr>
          <w:rFonts w:hint="eastAsia" w:ascii="宋体" w:hAnsi="宋体" w:eastAsia="宋体" w:cs="宋体"/>
          <w:color w:val="auto"/>
          <w:szCs w:val="21"/>
          <w:highlight w:val="none"/>
        </w:rPr>
      </w:pPr>
      <w:r>
        <w:rPr>
          <w:rFonts w:hint="eastAsia" w:ascii="宋体" w:hAnsi="宋体" w:eastAsia="宋体" w:cs="宋体"/>
          <w:b/>
          <w:bCs/>
          <w:color w:val="auto"/>
          <w:szCs w:val="21"/>
          <w:highlight w:val="none"/>
        </w:rPr>
        <w:t>特别说明：</w:t>
      </w:r>
      <w:r>
        <w:rPr>
          <w:rFonts w:hint="eastAsia" w:ascii="宋体" w:hAnsi="宋体" w:eastAsia="宋体" w:cs="宋体"/>
          <w:color w:val="auto"/>
          <w:szCs w:val="21"/>
          <w:highlight w:val="none"/>
        </w:rPr>
        <w:t>如遇</w:t>
      </w:r>
      <w:r>
        <w:rPr>
          <w:rFonts w:hint="eastAsia" w:ascii="宋体" w:hAnsi="宋体" w:eastAsia="宋体" w:cs="宋体"/>
          <w:b w:val="0"/>
          <w:bCs w:val="0"/>
          <w:color w:val="auto"/>
          <w:sz w:val="21"/>
          <w:szCs w:val="21"/>
          <w:highlight w:val="none"/>
          <w:lang w:val="en-US" w:eastAsia="zh-CN"/>
        </w:rPr>
        <w:t>广西政府采购云平台</w:t>
      </w:r>
      <w:r>
        <w:rPr>
          <w:rFonts w:hint="eastAsia" w:ascii="宋体" w:hAnsi="宋体" w:eastAsia="宋体" w:cs="宋体"/>
          <w:color w:val="auto"/>
          <w:szCs w:val="21"/>
          <w:highlight w:val="none"/>
        </w:rPr>
        <w:t>电子化开标或评审程序调整的，按调整后执行。</w:t>
      </w:r>
    </w:p>
    <w:p w14:paraId="7E27294D">
      <w:pPr>
        <w:pStyle w:val="12"/>
        <w:keepNext w:val="0"/>
        <w:keepLines w:val="0"/>
        <w:pageBreakBefore w:val="0"/>
        <w:shd w:val="clear"/>
        <w:kinsoku/>
        <w:wordWrap/>
        <w:overflowPunct/>
        <w:topLinePunct w:val="0"/>
        <w:bidi w:val="0"/>
        <w:snapToGrid w:val="0"/>
        <w:spacing w:line="430" w:lineRule="exact"/>
        <w:ind w:left="689" w:leftChars="228" w:hanging="210" w:hangingChars="100"/>
        <w:rPr>
          <w:rFonts w:hint="eastAsia" w:ascii="宋体" w:hAnsi="宋体" w:eastAsia="宋体" w:cs="宋体"/>
          <w:color w:val="auto"/>
          <w:highlight w:val="none"/>
        </w:rPr>
      </w:pPr>
    </w:p>
    <w:p w14:paraId="655B20A4">
      <w:pPr>
        <w:pStyle w:val="3"/>
        <w:keepNext w:val="0"/>
        <w:keepLines w:val="0"/>
        <w:pageBreakBefore w:val="0"/>
        <w:shd w:val="clear"/>
        <w:kinsoku/>
        <w:wordWrap/>
        <w:overflowPunct/>
        <w:topLinePunct w:val="0"/>
        <w:bidi w:val="0"/>
        <w:spacing w:line="430" w:lineRule="exact"/>
        <w:jc w:val="center"/>
        <w:rPr>
          <w:rFonts w:hint="eastAsia" w:ascii="宋体" w:hAnsi="宋体" w:eastAsia="宋体" w:cs="宋体"/>
          <w:color w:val="auto"/>
          <w:highlight w:val="none"/>
        </w:rPr>
      </w:pPr>
      <w:bookmarkStart w:id="199" w:name="_Toc8919"/>
      <w:bookmarkStart w:id="200" w:name="_Toc19053"/>
      <w:bookmarkStart w:id="201" w:name="_Toc25053"/>
      <w:bookmarkStart w:id="202" w:name="_Toc2575"/>
      <w:bookmarkStart w:id="203" w:name="_Toc6866"/>
      <w:bookmarkStart w:id="204" w:name="_Toc31994"/>
      <w:bookmarkStart w:id="205" w:name="_Toc29189"/>
      <w:bookmarkStart w:id="206" w:name="_Toc23512"/>
      <w:bookmarkStart w:id="207" w:name="_Toc1489"/>
      <w:bookmarkStart w:id="208" w:name="_Toc22509"/>
      <w:r>
        <w:rPr>
          <w:rFonts w:hint="eastAsia" w:ascii="宋体" w:hAnsi="宋体" w:eastAsia="宋体" w:cs="宋体"/>
          <w:color w:val="auto"/>
          <w:highlight w:val="none"/>
        </w:rPr>
        <w:t>五、资格审查</w:t>
      </w:r>
      <w:bookmarkEnd w:id="199"/>
      <w:bookmarkEnd w:id="200"/>
      <w:bookmarkEnd w:id="201"/>
      <w:bookmarkEnd w:id="202"/>
      <w:bookmarkEnd w:id="203"/>
      <w:bookmarkEnd w:id="204"/>
      <w:bookmarkEnd w:id="205"/>
      <w:bookmarkEnd w:id="206"/>
      <w:bookmarkEnd w:id="207"/>
      <w:bookmarkEnd w:id="208"/>
    </w:p>
    <w:p w14:paraId="09985D23">
      <w:pPr>
        <w:pStyle w:val="5"/>
        <w:keepNext w:val="0"/>
        <w:keepLines w:val="0"/>
        <w:pageBreakBefore w:val="0"/>
        <w:shd w:val="clear"/>
        <w:kinsoku/>
        <w:wordWrap/>
        <w:overflowPunct/>
        <w:topLinePunct w:val="0"/>
        <w:bidi w:val="0"/>
        <w:spacing w:before="0" w:after="0" w:line="430" w:lineRule="exact"/>
        <w:ind w:firstLine="482"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25.资格审查</w:t>
      </w:r>
    </w:p>
    <w:p w14:paraId="422A08A9">
      <w:pPr>
        <w:keepNext w:val="0"/>
        <w:keepLines w:val="0"/>
        <w:pageBreakBefore w:val="0"/>
        <w:shd w:val="clear"/>
        <w:kinsoku/>
        <w:wordWrap/>
        <w:overflowPunct/>
        <w:topLinePunct w:val="0"/>
        <w:bidi w:val="0"/>
        <w:spacing w:line="430" w:lineRule="exact"/>
        <w:ind w:firstLine="422" w:firstLineChars="200"/>
        <w:rPr>
          <w:rFonts w:hint="eastAsia" w:ascii="宋体" w:hAnsi="宋体" w:eastAsia="宋体" w:cs="宋体"/>
          <w:b/>
          <w:bCs/>
          <w:color w:val="auto"/>
          <w:szCs w:val="20"/>
          <w:highlight w:val="none"/>
        </w:rPr>
      </w:pPr>
      <w:r>
        <w:rPr>
          <w:rFonts w:hint="eastAsia" w:ascii="宋体" w:hAnsi="宋体" w:eastAsia="宋体" w:cs="宋体"/>
          <w:b/>
          <w:bCs/>
          <w:color w:val="auto"/>
          <w:szCs w:val="20"/>
          <w:highlight w:val="none"/>
        </w:rPr>
        <w:t xml:space="preserve"> 25.1开标结束后，采购人或采购</w:t>
      </w:r>
      <w:r>
        <w:rPr>
          <w:rFonts w:hint="eastAsia" w:ascii="宋体" w:hAnsi="宋体" w:eastAsia="宋体" w:cs="宋体"/>
          <w:b/>
          <w:bCs/>
          <w:color w:val="auto"/>
          <w:szCs w:val="20"/>
          <w:highlight w:val="none"/>
          <w:lang w:eastAsia="zh-CN"/>
        </w:rPr>
        <w:t>代理</w:t>
      </w:r>
      <w:r>
        <w:rPr>
          <w:rFonts w:hint="eastAsia" w:ascii="宋体" w:hAnsi="宋体" w:eastAsia="宋体" w:cs="宋体"/>
          <w:b/>
          <w:bCs/>
          <w:color w:val="auto"/>
          <w:szCs w:val="20"/>
          <w:highlight w:val="none"/>
        </w:rPr>
        <w:t>机构依法通过电子投标文件对投标人的资格进行线上审查。</w:t>
      </w:r>
    </w:p>
    <w:p w14:paraId="5FBF04FF">
      <w:pPr>
        <w:keepNext w:val="0"/>
        <w:keepLines w:val="0"/>
        <w:pageBreakBefore w:val="0"/>
        <w:shd w:val="clear"/>
        <w:kinsoku/>
        <w:wordWrap/>
        <w:overflowPunct/>
        <w:topLinePunct w:val="0"/>
        <w:bidi w:val="0"/>
        <w:spacing w:line="430" w:lineRule="exact"/>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25.</w:t>
      </w:r>
      <w:r>
        <w:rPr>
          <w:rFonts w:hint="eastAsia" w:ascii="宋体" w:hAnsi="宋体" w:eastAsia="宋体" w:cs="宋体"/>
          <w:color w:val="auto"/>
          <w:highlight w:val="none"/>
          <w:lang w:val="en-US" w:eastAsia="zh-CN"/>
        </w:rPr>
        <w:t>2</w:t>
      </w:r>
      <w:r>
        <w:rPr>
          <w:rFonts w:hint="eastAsia" w:ascii="宋体" w:hAnsi="宋体" w:eastAsia="宋体" w:cs="宋体"/>
          <w:color w:val="auto"/>
          <w:highlight w:val="none"/>
        </w:rPr>
        <w:t>资格审查标准为本“招标文件”中“投标人须知前附表”13.1点载明对投标人资格要求的条件。本项目资格审查采用合格制，凡符合招标文件规定的投标人资格要求的投标人均通过资格审查。</w:t>
      </w:r>
    </w:p>
    <w:p w14:paraId="1258C986">
      <w:pPr>
        <w:keepNext w:val="0"/>
        <w:keepLines w:val="0"/>
        <w:pageBreakBefore w:val="0"/>
        <w:shd w:val="clear"/>
        <w:kinsoku/>
        <w:wordWrap/>
        <w:overflowPunct/>
        <w:topLinePunct w:val="0"/>
        <w:bidi w:val="0"/>
        <w:spacing w:line="430" w:lineRule="exact"/>
        <w:ind w:firstLine="422" w:firstLineChars="200"/>
        <w:rPr>
          <w:rFonts w:hint="eastAsia" w:ascii="宋体" w:hAnsi="宋体" w:eastAsia="宋体" w:cs="宋体"/>
          <w:b/>
          <w:bCs/>
          <w:color w:val="auto"/>
          <w:szCs w:val="20"/>
          <w:highlight w:val="none"/>
        </w:rPr>
      </w:pPr>
      <w:bookmarkStart w:id="209" w:name="_25.3_投标人有下列情形之一的，资格审查不通过而导致其投标无效："/>
      <w:bookmarkEnd w:id="209"/>
      <w:r>
        <w:rPr>
          <w:rFonts w:hint="eastAsia" w:ascii="宋体" w:hAnsi="宋体" w:eastAsia="宋体" w:cs="宋体"/>
          <w:b/>
          <w:bCs/>
          <w:color w:val="auto"/>
          <w:szCs w:val="20"/>
          <w:highlight w:val="none"/>
        </w:rPr>
        <w:t>25.</w:t>
      </w:r>
      <w:r>
        <w:rPr>
          <w:rFonts w:hint="eastAsia" w:ascii="宋体" w:hAnsi="宋体" w:eastAsia="宋体" w:cs="宋体"/>
          <w:b/>
          <w:bCs/>
          <w:color w:val="auto"/>
          <w:szCs w:val="20"/>
          <w:highlight w:val="none"/>
          <w:lang w:val="en-US" w:eastAsia="zh-CN"/>
        </w:rPr>
        <w:t>3</w:t>
      </w:r>
      <w:r>
        <w:rPr>
          <w:rFonts w:hint="eastAsia" w:ascii="宋体" w:hAnsi="宋体" w:eastAsia="宋体" w:cs="宋体"/>
          <w:b/>
          <w:bCs/>
          <w:color w:val="auto"/>
          <w:szCs w:val="20"/>
          <w:highlight w:val="none"/>
        </w:rPr>
        <w:t>投标人有下列情形之一的，资格审查不通过，作无效投标处理：</w:t>
      </w:r>
    </w:p>
    <w:p w14:paraId="1E5DB7BD">
      <w:pPr>
        <w:keepNext w:val="0"/>
        <w:keepLines w:val="0"/>
        <w:pageBreakBefore w:val="0"/>
        <w:shd w:val="clear"/>
        <w:kinsoku/>
        <w:wordWrap/>
        <w:overflowPunct/>
        <w:topLinePunct w:val="0"/>
        <w:bidi w:val="0"/>
        <w:spacing w:line="430" w:lineRule="exact"/>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（1）不具备招标文件中规定的资格要求的；（注：其中信用查询规则见“投标人须知前附表”，</w:t>
      </w:r>
      <w:r>
        <w:rPr>
          <w:rFonts w:hint="eastAsia" w:ascii="宋体" w:hAnsi="宋体" w:eastAsia="宋体" w:cs="宋体"/>
          <w:b w:val="0"/>
          <w:bCs w:val="0"/>
          <w:color w:val="auto"/>
          <w:sz w:val="21"/>
          <w:szCs w:val="21"/>
          <w:highlight w:val="none"/>
          <w:lang w:val="en-US" w:eastAsia="zh-CN"/>
        </w:rPr>
        <w:t>广西政府采购云平台</w:t>
      </w:r>
      <w:r>
        <w:rPr>
          <w:rFonts w:hint="eastAsia" w:ascii="宋体" w:hAnsi="宋体" w:eastAsia="宋体" w:cs="宋体"/>
          <w:color w:val="auto"/>
          <w:highlight w:val="none"/>
        </w:rPr>
        <w:t>已与“信用中国”平台做接口，采购人或者采购代理机构可直接在线查询）</w:t>
      </w:r>
    </w:p>
    <w:p w14:paraId="66E7219B">
      <w:pPr>
        <w:keepNext w:val="0"/>
        <w:keepLines w:val="0"/>
        <w:pageBreakBefore w:val="0"/>
        <w:shd w:val="clear"/>
        <w:kinsoku/>
        <w:wordWrap/>
        <w:overflowPunct/>
        <w:topLinePunct w:val="0"/>
        <w:bidi w:val="0"/>
        <w:spacing w:line="430" w:lineRule="exact"/>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（2）投标文件未提供任一项“投标人须知前附表”资格证明文件规定的“必须提供”的文件资料的；</w:t>
      </w:r>
    </w:p>
    <w:p w14:paraId="7A8DD170">
      <w:pPr>
        <w:keepNext w:val="0"/>
        <w:keepLines w:val="0"/>
        <w:pageBreakBefore w:val="0"/>
        <w:shd w:val="clear"/>
        <w:kinsoku/>
        <w:wordWrap/>
        <w:overflowPunct/>
        <w:topLinePunct w:val="0"/>
        <w:bidi w:val="0"/>
        <w:spacing w:line="430" w:lineRule="exact"/>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（3）投标文件提供的资格证明文件出现任一项不符合“投标人须知前附表”资格证明文件规定的“必须提供”的文件资料要求或者无效的。</w:t>
      </w:r>
    </w:p>
    <w:p w14:paraId="0CA1258A">
      <w:pPr>
        <w:keepNext w:val="0"/>
        <w:keepLines w:val="0"/>
        <w:pageBreakBefore w:val="0"/>
        <w:shd w:val="clear"/>
        <w:kinsoku/>
        <w:wordWrap/>
        <w:overflowPunct/>
        <w:topLinePunct w:val="0"/>
        <w:bidi w:val="0"/>
        <w:spacing w:line="430" w:lineRule="exact"/>
        <w:ind w:firstLine="420" w:firstLineChars="200"/>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（4）同一合同项下的不同供应商，单位负责人为同一人或者存在直接控股、管理关系的；为本项目提供过整体设计、规范编制或者项目管理、监理、检测等服务的。</w:t>
      </w:r>
    </w:p>
    <w:p w14:paraId="3FB9D9B3">
      <w:pPr>
        <w:pStyle w:val="5"/>
        <w:keepNext w:val="0"/>
        <w:keepLines w:val="0"/>
        <w:pageBreakBefore w:val="0"/>
        <w:shd w:val="clear"/>
        <w:kinsoku/>
        <w:wordWrap/>
        <w:overflowPunct/>
        <w:topLinePunct w:val="0"/>
        <w:bidi w:val="0"/>
        <w:spacing w:before="0" w:after="0" w:line="430" w:lineRule="exact"/>
        <w:ind w:firstLine="420" w:firstLineChars="200"/>
        <w:rPr>
          <w:rFonts w:hint="eastAsia" w:ascii="宋体" w:hAnsi="宋体" w:eastAsia="宋体" w:cs="宋体"/>
          <w:b w:val="0"/>
          <w:bCs w:val="0"/>
          <w:color w:val="auto"/>
          <w:sz w:val="21"/>
          <w:szCs w:val="20"/>
          <w:highlight w:val="none"/>
        </w:rPr>
      </w:pPr>
      <w:r>
        <w:rPr>
          <w:rFonts w:hint="eastAsia" w:ascii="宋体" w:hAnsi="宋体" w:eastAsia="宋体" w:cs="宋体"/>
          <w:b w:val="0"/>
          <w:bCs w:val="0"/>
          <w:color w:val="auto"/>
          <w:sz w:val="21"/>
          <w:szCs w:val="20"/>
          <w:highlight w:val="none"/>
        </w:rPr>
        <w:t>25.</w:t>
      </w:r>
      <w:r>
        <w:rPr>
          <w:rFonts w:hint="eastAsia" w:ascii="宋体" w:hAnsi="宋体" w:eastAsia="宋体" w:cs="宋体"/>
          <w:b w:val="0"/>
          <w:bCs w:val="0"/>
          <w:color w:val="auto"/>
          <w:sz w:val="21"/>
          <w:szCs w:val="20"/>
          <w:highlight w:val="none"/>
          <w:lang w:val="en-US" w:eastAsia="zh-CN"/>
        </w:rPr>
        <w:t>4</w:t>
      </w:r>
      <w:r>
        <w:rPr>
          <w:rFonts w:hint="eastAsia" w:ascii="宋体" w:hAnsi="宋体" w:eastAsia="宋体" w:cs="宋体"/>
          <w:b w:val="0"/>
          <w:bCs w:val="0"/>
          <w:color w:val="auto"/>
          <w:sz w:val="21"/>
          <w:szCs w:val="20"/>
          <w:highlight w:val="none"/>
        </w:rPr>
        <w:t>资格审查的合格投标人不足3家的，不得评标。</w:t>
      </w:r>
    </w:p>
    <w:p w14:paraId="1EB23AD5">
      <w:pPr>
        <w:pStyle w:val="3"/>
        <w:keepNext w:val="0"/>
        <w:keepLines w:val="0"/>
        <w:pageBreakBefore w:val="0"/>
        <w:shd w:val="clear"/>
        <w:kinsoku/>
        <w:wordWrap/>
        <w:overflowPunct/>
        <w:topLinePunct w:val="0"/>
        <w:bidi w:val="0"/>
        <w:spacing w:line="430" w:lineRule="exact"/>
        <w:jc w:val="center"/>
        <w:rPr>
          <w:rFonts w:hint="eastAsia" w:ascii="宋体" w:hAnsi="宋体" w:eastAsia="宋体" w:cs="宋体"/>
          <w:color w:val="auto"/>
          <w:highlight w:val="none"/>
        </w:rPr>
      </w:pPr>
      <w:bookmarkStart w:id="210" w:name="_Toc21152"/>
      <w:bookmarkStart w:id="211" w:name="_Toc20446"/>
      <w:bookmarkStart w:id="212" w:name="_Toc3548"/>
      <w:bookmarkStart w:id="213" w:name="_Toc20983"/>
      <w:bookmarkStart w:id="214" w:name="_Toc15749"/>
      <w:bookmarkStart w:id="215" w:name="_Toc19035"/>
      <w:bookmarkStart w:id="216" w:name="_Toc11169"/>
      <w:bookmarkStart w:id="217" w:name="_Toc2770"/>
      <w:bookmarkStart w:id="218" w:name="_Toc1454"/>
      <w:bookmarkStart w:id="219" w:name="_Toc29412"/>
      <w:r>
        <w:rPr>
          <w:rFonts w:hint="eastAsia" w:ascii="宋体" w:hAnsi="宋体" w:eastAsia="宋体" w:cs="宋体"/>
          <w:color w:val="auto"/>
          <w:highlight w:val="none"/>
        </w:rPr>
        <w:t>六、评   标</w:t>
      </w:r>
      <w:bookmarkEnd w:id="210"/>
      <w:bookmarkEnd w:id="211"/>
      <w:bookmarkEnd w:id="212"/>
      <w:bookmarkEnd w:id="213"/>
      <w:bookmarkEnd w:id="214"/>
      <w:bookmarkEnd w:id="215"/>
      <w:bookmarkEnd w:id="216"/>
      <w:bookmarkEnd w:id="217"/>
      <w:bookmarkEnd w:id="218"/>
      <w:bookmarkEnd w:id="219"/>
    </w:p>
    <w:p w14:paraId="6407259F">
      <w:pPr>
        <w:keepNext w:val="0"/>
        <w:keepLines w:val="0"/>
        <w:pageBreakBefore w:val="0"/>
        <w:shd w:val="clear"/>
        <w:kinsoku/>
        <w:wordWrap/>
        <w:overflowPunct/>
        <w:topLinePunct w:val="0"/>
        <w:bidi w:val="0"/>
        <w:spacing w:line="430" w:lineRule="exact"/>
        <w:ind w:firstLine="480" w:firstLineChars="200"/>
        <w:rPr>
          <w:rFonts w:hint="eastAsia" w:ascii="宋体" w:hAnsi="宋体" w:eastAsia="宋体" w:cs="宋体"/>
          <w:color w:val="auto"/>
          <w:sz w:val="24"/>
          <w:highlight w:val="none"/>
        </w:rPr>
      </w:pPr>
      <w:bookmarkStart w:id="220" w:name="_26.组建评标委员会"/>
      <w:bookmarkEnd w:id="220"/>
      <w:r>
        <w:rPr>
          <w:rFonts w:hint="eastAsia" w:ascii="宋体" w:hAnsi="宋体" w:eastAsia="宋体" w:cs="宋体"/>
          <w:color w:val="auto"/>
          <w:sz w:val="24"/>
          <w:highlight w:val="none"/>
        </w:rPr>
        <w:t>26.组建评标委员会</w:t>
      </w:r>
    </w:p>
    <w:p w14:paraId="15FDCBFC">
      <w:pPr>
        <w:keepNext w:val="0"/>
        <w:keepLines w:val="0"/>
        <w:pageBreakBefore w:val="0"/>
        <w:shd w:val="clear"/>
        <w:kinsoku/>
        <w:wordWrap/>
        <w:overflowPunct/>
        <w:topLinePunct w:val="0"/>
        <w:bidi w:val="0"/>
        <w:spacing w:line="430" w:lineRule="exact"/>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评标委员会由采购人代表和评审专家组成，人数为</w:t>
      </w:r>
      <w:r>
        <w:rPr>
          <w:rFonts w:hint="eastAsia" w:ascii="宋体" w:hAnsi="宋体" w:cs="宋体"/>
          <w:color w:val="auto"/>
          <w:highlight w:val="none"/>
          <w:lang w:val="en-US" w:eastAsia="zh-CN"/>
        </w:rPr>
        <w:t>5</w:t>
      </w:r>
      <w:r>
        <w:rPr>
          <w:rFonts w:hint="eastAsia" w:ascii="宋体" w:hAnsi="宋体" w:eastAsia="宋体" w:cs="宋体"/>
          <w:color w:val="auto"/>
          <w:highlight w:val="none"/>
        </w:rPr>
        <w:t>人以上单数，其中评审专家不得少于成员总数的三分之二。</w:t>
      </w:r>
    </w:p>
    <w:p w14:paraId="37589422">
      <w:pPr>
        <w:keepNext w:val="0"/>
        <w:keepLines w:val="0"/>
        <w:pageBreakBefore w:val="0"/>
        <w:shd w:val="clear"/>
        <w:kinsoku/>
        <w:wordWrap/>
        <w:overflowPunct/>
        <w:topLinePunct w:val="0"/>
        <w:bidi w:val="0"/>
        <w:spacing w:line="430" w:lineRule="exact"/>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参加过采购项目前期咨询论证的专家，不得参加该采购项目的评审活动。</w:t>
      </w:r>
    </w:p>
    <w:p w14:paraId="043C0C7A">
      <w:pPr>
        <w:keepNext w:val="0"/>
        <w:keepLines w:val="0"/>
        <w:pageBreakBefore w:val="0"/>
        <w:shd w:val="clear"/>
        <w:kinsoku/>
        <w:wordWrap/>
        <w:overflowPunct/>
        <w:topLinePunct w:val="0"/>
        <w:bidi w:val="0"/>
        <w:spacing w:line="43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27.评标的依据</w:t>
      </w:r>
    </w:p>
    <w:p w14:paraId="2174F3C2">
      <w:pPr>
        <w:keepNext w:val="0"/>
        <w:keepLines w:val="0"/>
        <w:pageBreakBefore w:val="0"/>
        <w:shd w:val="clear"/>
        <w:kinsoku/>
        <w:wordWrap/>
        <w:overflowPunct/>
        <w:topLinePunct w:val="0"/>
        <w:bidi w:val="0"/>
        <w:spacing w:line="430" w:lineRule="exact"/>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评标委员会以招标文件为依据对投标文件进行评审，“第四章 评标方法和评标标准”没有规定的方法、评审因素和标准，不作为评标依据。</w:t>
      </w:r>
    </w:p>
    <w:p w14:paraId="6F3DFCC8">
      <w:pPr>
        <w:keepNext w:val="0"/>
        <w:keepLines w:val="0"/>
        <w:pageBreakBefore w:val="0"/>
        <w:shd w:val="clear"/>
        <w:kinsoku/>
        <w:wordWrap/>
        <w:overflowPunct/>
        <w:topLinePunct w:val="0"/>
        <w:bidi w:val="0"/>
        <w:spacing w:line="43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28.评标原则</w:t>
      </w:r>
    </w:p>
    <w:p w14:paraId="3AECB4AE">
      <w:pPr>
        <w:keepNext w:val="0"/>
        <w:keepLines w:val="0"/>
        <w:pageBreakBefore w:val="0"/>
        <w:shd w:val="clear"/>
        <w:kinsoku/>
        <w:wordWrap/>
        <w:overflowPunct/>
        <w:topLinePunct w:val="0"/>
        <w:bidi w:val="0"/>
        <w:spacing w:line="430" w:lineRule="exact"/>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28.1评标原则。评标委员会评标时必须公平、公正、客观，不带任何倾向性和启发性；不得向外界透露任何与评标有关的内容；任何单位和个人不得干扰、影响评标的正常进行；评标委员会及有关工作人员不得私下与投标人接触，不得收受利害关系人的财物或者其他好处。</w:t>
      </w:r>
    </w:p>
    <w:p w14:paraId="50EFC763">
      <w:pPr>
        <w:keepNext w:val="0"/>
        <w:keepLines w:val="0"/>
        <w:pageBreakBefore w:val="0"/>
        <w:shd w:val="clear"/>
        <w:kinsoku/>
        <w:wordWrap/>
        <w:overflowPunct/>
        <w:topLinePunct w:val="0"/>
        <w:bidi w:val="0"/>
        <w:spacing w:line="430" w:lineRule="exact"/>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28.</w:t>
      </w:r>
      <w:r>
        <w:rPr>
          <w:rFonts w:hint="eastAsia" w:ascii="宋体" w:hAnsi="宋体" w:eastAsia="宋体" w:cs="宋体"/>
          <w:color w:val="auto"/>
          <w:highlight w:val="none"/>
          <w:lang w:val="en-US" w:eastAsia="zh-CN"/>
        </w:rPr>
        <w:t>2</w:t>
      </w:r>
      <w:r>
        <w:rPr>
          <w:rFonts w:hint="eastAsia" w:ascii="宋体" w:hAnsi="宋体" w:eastAsia="宋体" w:cs="宋体"/>
          <w:color w:val="auto"/>
          <w:highlight w:val="none"/>
        </w:rPr>
        <w:t>评标的保密。采购人、采购代理机构应当采取必要措施，保证评标在严格保密（封闭式评标）的情况下进行。除采购人代表、评标现场组织人员外，采购人的其他工作人员以及与评标工作无关的人员不得进入评标现场。有关人员对评标情况以及在评标过程中获悉的国家秘密、商业秘密负有保密责任。</w:t>
      </w:r>
    </w:p>
    <w:p w14:paraId="37D673B7">
      <w:pPr>
        <w:keepNext w:val="0"/>
        <w:keepLines w:val="0"/>
        <w:pageBreakBefore w:val="0"/>
        <w:shd w:val="clear"/>
        <w:kinsoku/>
        <w:wordWrap/>
        <w:overflowPunct/>
        <w:topLinePunct w:val="0"/>
        <w:bidi w:val="0"/>
        <w:spacing w:line="430" w:lineRule="exact"/>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28.</w:t>
      </w:r>
      <w:r>
        <w:rPr>
          <w:rFonts w:hint="eastAsia" w:ascii="宋体" w:hAnsi="宋体" w:eastAsia="宋体" w:cs="宋体"/>
          <w:color w:val="auto"/>
          <w:highlight w:val="none"/>
          <w:lang w:val="en-US" w:eastAsia="zh-CN"/>
        </w:rPr>
        <w:t>3</w:t>
      </w:r>
      <w:r>
        <w:rPr>
          <w:rFonts w:hint="eastAsia" w:ascii="宋体" w:hAnsi="宋体" w:eastAsia="宋体" w:cs="宋体"/>
          <w:color w:val="auto"/>
          <w:highlight w:val="none"/>
        </w:rPr>
        <w:t>评标过程的监控。本项目电子评标过程实行网上留痕、全程录音、录像监控，投标人在评标过程中所进行的试图影响评标结果的不公正活动，可能导致其投标</w:t>
      </w:r>
      <w:r>
        <w:rPr>
          <w:rFonts w:hint="eastAsia" w:ascii="宋体" w:hAnsi="宋体" w:eastAsia="宋体" w:cs="宋体"/>
          <w:color w:val="auto"/>
          <w:highlight w:val="none"/>
          <w:lang w:eastAsia="zh-CN"/>
        </w:rPr>
        <w:t>作</w:t>
      </w:r>
      <w:r>
        <w:rPr>
          <w:rFonts w:hint="eastAsia" w:ascii="宋体" w:hAnsi="宋体" w:eastAsia="宋体" w:cs="宋体"/>
          <w:color w:val="auto"/>
          <w:highlight w:val="none"/>
        </w:rPr>
        <w:t>无效处理。</w:t>
      </w:r>
    </w:p>
    <w:p w14:paraId="798A1A72">
      <w:pPr>
        <w:keepNext w:val="0"/>
        <w:keepLines w:val="0"/>
        <w:pageBreakBefore w:val="0"/>
        <w:widowControl/>
        <w:shd w:val="clear"/>
        <w:kinsoku/>
        <w:wordWrap/>
        <w:overflowPunct/>
        <w:topLinePunct w:val="0"/>
        <w:bidi w:val="0"/>
        <w:spacing w:line="430" w:lineRule="exact"/>
        <w:ind w:firstLine="420" w:firstLineChars="200"/>
        <w:jc w:val="left"/>
        <w:textAlignment w:val="baseline"/>
        <w:rPr>
          <w:rFonts w:hint="eastAsia" w:ascii="宋体" w:hAnsi="宋体" w:eastAsia="宋体" w:cs="宋体"/>
          <w:color w:val="auto"/>
          <w:highlight w:val="none"/>
        </w:rPr>
      </w:pPr>
      <w:r>
        <w:rPr>
          <w:rFonts w:hint="eastAsia" w:ascii="宋体" w:hAnsi="宋体" w:eastAsia="宋体" w:cs="宋体"/>
          <w:color w:val="auto"/>
          <w:highlight w:val="none"/>
        </w:rPr>
        <w:t>28.</w:t>
      </w:r>
      <w:r>
        <w:rPr>
          <w:rFonts w:hint="eastAsia" w:ascii="宋体" w:hAnsi="宋体" w:eastAsia="宋体" w:cs="宋体"/>
          <w:color w:val="auto"/>
          <w:highlight w:val="none"/>
          <w:lang w:val="en-US" w:eastAsia="zh-CN"/>
        </w:rPr>
        <w:t>4</w:t>
      </w:r>
      <w:r>
        <w:rPr>
          <w:rFonts w:hint="eastAsia" w:ascii="宋体" w:hAnsi="宋体" w:eastAsia="宋体" w:cs="宋体"/>
          <w:color w:val="auto"/>
          <w:highlight w:val="none"/>
        </w:rPr>
        <w:t>评标委员会发现招标文件存在歧义、重大缺陷导致评标工作无法进行，或者招标文件内容违反国家有关强制性规定的，应当停止评标工作，与采购人或者采购代理机构沟通并作书面记录。采购人或者采购代理机构确认后，应当修改招标文件，重新组织采购活动。</w:t>
      </w:r>
    </w:p>
    <w:p w14:paraId="5E6772C5">
      <w:pPr>
        <w:keepNext w:val="0"/>
        <w:keepLines w:val="0"/>
        <w:pageBreakBefore w:val="0"/>
        <w:shd w:val="clear"/>
        <w:kinsoku/>
        <w:wordWrap/>
        <w:overflowPunct/>
        <w:topLinePunct w:val="0"/>
        <w:bidi w:val="0"/>
        <w:spacing w:line="43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29.评标方法</w:t>
      </w:r>
      <w:r>
        <w:rPr>
          <w:rFonts w:hint="eastAsia" w:ascii="宋体" w:hAnsi="宋体" w:eastAsia="宋体" w:cs="宋体"/>
          <w:color w:val="auto"/>
          <w:sz w:val="24"/>
          <w:highlight w:val="none"/>
          <w:lang w:eastAsia="zh-CN"/>
        </w:rPr>
        <w:t>和</w:t>
      </w:r>
      <w:r>
        <w:rPr>
          <w:rFonts w:hint="eastAsia" w:ascii="宋体" w:hAnsi="宋体" w:eastAsia="宋体" w:cs="宋体"/>
          <w:color w:val="auto"/>
          <w:sz w:val="24"/>
          <w:highlight w:val="none"/>
        </w:rPr>
        <w:t>评标标准</w:t>
      </w:r>
    </w:p>
    <w:p w14:paraId="2630EF7D">
      <w:pPr>
        <w:keepNext w:val="0"/>
        <w:keepLines w:val="0"/>
        <w:pageBreakBefore w:val="0"/>
        <w:shd w:val="clear"/>
        <w:kinsoku/>
        <w:wordWrap/>
        <w:overflowPunct/>
        <w:topLinePunct w:val="0"/>
        <w:bidi w:val="0"/>
        <w:spacing w:line="430" w:lineRule="exact"/>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29.1本项目的评标方法详见“投标人须知前附表”。</w:t>
      </w:r>
    </w:p>
    <w:p w14:paraId="5A7EC0E7">
      <w:pPr>
        <w:keepNext w:val="0"/>
        <w:keepLines w:val="0"/>
        <w:pageBreakBefore w:val="0"/>
        <w:shd w:val="clear"/>
        <w:kinsoku/>
        <w:wordWrap/>
        <w:overflowPunct/>
        <w:topLinePunct w:val="0"/>
        <w:bidi w:val="0"/>
        <w:spacing w:line="430" w:lineRule="exact"/>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29.2 评标委员会按照</w:t>
      </w:r>
      <w:r>
        <w:rPr>
          <w:rFonts w:hint="eastAsia" w:ascii="宋体" w:hAnsi="宋体" w:eastAsia="宋体" w:cs="宋体"/>
          <w:b/>
          <w:color w:val="auto"/>
          <w:highlight w:val="none"/>
        </w:rPr>
        <w:t>“第四章 评标方法和评标标准”</w:t>
      </w:r>
      <w:r>
        <w:rPr>
          <w:rFonts w:hint="eastAsia" w:ascii="宋体" w:hAnsi="宋体" w:eastAsia="宋体" w:cs="宋体"/>
          <w:color w:val="auto"/>
          <w:highlight w:val="none"/>
        </w:rPr>
        <w:t>规定的方法、评审因素、标准和程序对投标文件进行评审。</w:t>
      </w:r>
    </w:p>
    <w:p w14:paraId="0DBCEED8">
      <w:pPr>
        <w:keepNext w:val="0"/>
        <w:keepLines w:val="0"/>
        <w:pageBreakBefore w:val="0"/>
        <w:shd w:val="clear"/>
        <w:kinsoku/>
        <w:wordWrap/>
        <w:overflowPunct/>
        <w:topLinePunct w:val="0"/>
        <w:bidi w:val="0"/>
        <w:spacing w:line="430" w:lineRule="exact"/>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29.3 电子交易活动的中止。采购过程中出现以下情形，导致电子交易平台无法正常运行，或者无法保证电子交易的公平、公正和安全时，采购机构可中止电子交易活动：</w:t>
      </w:r>
    </w:p>
    <w:p w14:paraId="4CE8EAB5">
      <w:pPr>
        <w:keepNext w:val="0"/>
        <w:keepLines w:val="0"/>
        <w:pageBreakBefore w:val="0"/>
        <w:shd w:val="clear"/>
        <w:kinsoku/>
        <w:wordWrap/>
        <w:overflowPunct/>
        <w:topLinePunct w:val="0"/>
        <w:bidi w:val="0"/>
        <w:spacing w:line="430" w:lineRule="exact"/>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 xml:space="preserve">（1）电子交易平台发生故障而无法登录访问的； </w:t>
      </w:r>
    </w:p>
    <w:p w14:paraId="7E902D47">
      <w:pPr>
        <w:keepNext w:val="0"/>
        <w:keepLines w:val="0"/>
        <w:pageBreakBefore w:val="0"/>
        <w:shd w:val="clear"/>
        <w:kinsoku/>
        <w:wordWrap/>
        <w:overflowPunct/>
        <w:topLinePunct w:val="0"/>
        <w:bidi w:val="0"/>
        <w:spacing w:line="430" w:lineRule="exact"/>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（2）电子交易平台应用或数据库出现错误，不能进行正常操作的；</w:t>
      </w:r>
    </w:p>
    <w:p w14:paraId="014FE04E">
      <w:pPr>
        <w:keepNext w:val="0"/>
        <w:keepLines w:val="0"/>
        <w:pageBreakBefore w:val="0"/>
        <w:shd w:val="clear"/>
        <w:kinsoku/>
        <w:wordWrap/>
        <w:overflowPunct/>
        <w:topLinePunct w:val="0"/>
        <w:bidi w:val="0"/>
        <w:spacing w:line="430" w:lineRule="exact"/>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（3）电子交易平台发现严重安全漏洞，有潜在泄密危险的；</w:t>
      </w:r>
    </w:p>
    <w:p w14:paraId="01ED3490">
      <w:pPr>
        <w:keepNext w:val="0"/>
        <w:keepLines w:val="0"/>
        <w:pageBreakBefore w:val="0"/>
        <w:shd w:val="clear"/>
        <w:kinsoku/>
        <w:wordWrap/>
        <w:overflowPunct/>
        <w:topLinePunct w:val="0"/>
        <w:bidi w:val="0"/>
        <w:spacing w:line="430" w:lineRule="exact"/>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 xml:space="preserve">（4）病毒发作导致不能进行正常操作的； </w:t>
      </w:r>
    </w:p>
    <w:p w14:paraId="7DB2C42A">
      <w:pPr>
        <w:keepNext w:val="0"/>
        <w:keepLines w:val="0"/>
        <w:pageBreakBefore w:val="0"/>
        <w:shd w:val="clear"/>
        <w:kinsoku/>
        <w:wordWrap/>
        <w:overflowPunct/>
        <w:topLinePunct w:val="0"/>
        <w:bidi w:val="0"/>
        <w:spacing w:line="430" w:lineRule="exact"/>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w:t>
      </w:r>
      <w:r>
        <w:rPr>
          <w:rFonts w:hint="eastAsia" w:ascii="宋体" w:hAnsi="宋体" w:eastAsia="宋体" w:cs="宋体"/>
          <w:color w:val="auto"/>
          <w:highlight w:val="none"/>
          <w:lang w:val="en-US" w:eastAsia="zh-CN"/>
        </w:rPr>
        <w:t>5</w:t>
      </w:r>
      <w:r>
        <w:rPr>
          <w:rFonts w:hint="eastAsia" w:ascii="宋体" w:hAnsi="宋体" w:eastAsia="宋体" w:cs="宋体"/>
          <w:color w:val="auto"/>
          <w:highlight w:val="none"/>
        </w:rPr>
        <w:t>）其他无法保证电子交易的公平、公正和安全的情况。</w:t>
      </w:r>
    </w:p>
    <w:p w14:paraId="669DFDDD">
      <w:pPr>
        <w:keepNext w:val="0"/>
        <w:keepLines w:val="0"/>
        <w:pageBreakBefore w:val="0"/>
        <w:shd w:val="clear"/>
        <w:kinsoku/>
        <w:wordWrap/>
        <w:overflowPunct/>
        <w:topLinePunct w:val="0"/>
        <w:bidi w:val="0"/>
        <w:spacing w:line="430" w:lineRule="exact"/>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29.4出现以上情形，不影响采购公平、公正性的，采购组织机构可以待上述情形消除后继续组织电子交易活动；影响或可能影响采购公平、公正性的，经采购代理机构确认后，应当重新采购。采购代理机构必须对原有的资料及信息作出妥善保密处理，并报财政部门备案。</w:t>
      </w:r>
    </w:p>
    <w:p w14:paraId="6E660699">
      <w:pPr>
        <w:pStyle w:val="12"/>
        <w:keepNext w:val="0"/>
        <w:keepLines w:val="0"/>
        <w:pageBreakBefore w:val="0"/>
        <w:shd w:val="clear"/>
        <w:kinsoku/>
        <w:wordWrap/>
        <w:overflowPunct/>
        <w:topLinePunct w:val="0"/>
        <w:bidi w:val="0"/>
        <w:snapToGrid w:val="0"/>
        <w:spacing w:line="430" w:lineRule="exact"/>
        <w:ind w:firstLine="420" w:firstLineChars="200"/>
        <w:rPr>
          <w:rFonts w:hint="eastAsia" w:ascii="宋体" w:hAnsi="宋体" w:eastAsia="宋体" w:cs="宋体"/>
          <w:color w:val="auto"/>
          <w:highlight w:val="none"/>
        </w:rPr>
      </w:pPr>
    </w:p>
    <w:p w14:paraId="7A0C12CD">
      <w:pPr>
        <w:pStyle w:val="3"/>
        <w:keepNext w:val="0"/>
        <w:keepLines w:val="0"/>
        <w:pageBreakBefore w:val="0"/>
        <w:shd w:val="clear"/>
        <w:kinsoku/>
        <w:wordWrap/>
        <w:overflowPunct/>
        <w:topLinePunct w:val="0"/>
        <w:bidi w:val="0"/>
        <w:spacing w:line="430" w:lineRule="exact"/>
        <w:jc w:val="center"/>
        <w:rPr>
          <w:rFonts w:hint="eastAsia" w:ascii="宋体" w:hAnsi="宋体" w:eastAsia="宋体" w:cs="宋体"/>
          <w:color w:val="auto"/>
          <w:highlight w:val="none"/>
        </w:rPr>
      </w:pPr>
      <w:bookmarkStart w:id="221" w:name="_Toc254970687"/>
      <w:bookmarkStart w:id="222" w:name="_Toc254970546"/>
      <w:bookmarkStart w:id="223" w:name="_Toc4688"/>
      <w:bookmarkStart w:id="224" w:name="_Toc10518"/>
      <w:bookmarkStart w:id="225" w:name="_Toc31226"/>
      <w:bookmarkStart w:id="226" w:name="_Toc32339"/>
      <w:bookmarkStart w:id="227" w:name="_Toc14661"/>
      <w:bookmarkStart w:id="228" w:name="_Toc10427"/>
      <w:bookmarkStart w:id="229" w:name="_Toc24771"/>
      <w:bookmarkStart w:id="230" w:name="_Toc31698"/>
      <w:bookmarkStart w:id="231" w:name="_Toc2302"/>
      <w:bookmarkStart w:id="232" w:name="_Toc15452"/>
      <w:r>
        <w:rPr>
          <w:rFonts w:hint="eastAsia" w:ascii="宋体" w:hAnsi="宋体" w:eastAsia="宋体" w:cs="宋体"/>
          <w:color w:val="auto"/>
          <w:highlight w:val="none"/>
        </w:rPr>
        <w:t>七、</w:t>
      </w:r>
      <w:bookmarkEnd w:id="221"/>
      <w:bookmarkEnd w:id="222"/>
      <w:r>
        <w:rPr>
          <w:rFonts w:hint="eastAsia" w:ascii="宋体" w:hAnsi="宋体" w:eastAsia="宋体" w:cs="宋体"/>
          <w:color w:val="auto"/>
          <w:highlight w:val="none"/>
        </w:rPr>
        <w:t>中标和合同</w:t>
      </w:r>
      <w:bookmarkEnd w:id="223"/>
      <w:bookmarkEnd w:id="224"/>
      <w:bookmarkEnd w:id="225"/>
      <w:bookmarkEnd w:id="226"/>
      <w:bookmarkEnd w:id="227"/>
      <w:bookmarkEnd w:id="228"/>
      <w:bookmarkEnd w:id="229"/>
      <w:bookmarkEnd w:id="230"/>
      <w:bookmarkEnd w:id="231"/>
      <w:bookmarkEnd w:id="232"/>
    </w:p>
    <w:p w14:paraId="73C5FF73">
      <w:pPr>
        <w:keepNext w:val="0"/>
        <w:keepLines w:val="0"/>
        <w:pageBreakBefore w:val="0"/>
        <w:shd w:val="clear"/>
        <w:kinsoku/>
        <w:wordWrap/>
        <w:overflowPunct/>
        <w:topLinePunct w:val="0"/>
        <w:bidi w:val="0"/>
        <w:spacing w:line="43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30.确定中标人</w:t>
      </w:r>
    </w:p>
    <w:p w14:paraId="0A06DE6F">
      <w:pPr>
        <w:keepNext w:val="0"/>
        <w:keepLines w:val="0"/>
        <w:pageBreakBefore w:val="0"/>
        <w:shd w:val="clear"/>
        <w:kinsoku/>
        <w:wordWrap/>
        <w:overflowPunct/>
        <w:topLinePunct w:val="0"/>
        <w:bidi w:val="0"/>
        <w:spacing w:line="430" w:lineRule="exact"/>
        <w:ind w:firstLine="420" w:firstLineChars="200"/>
        <w:rPr>
          <w:rFonts w:hint="eastAsia" w:ascii="宋体" w:hAnsi="宋体" w:eastAsia="宋体" w:cs="宋体"/>
          <w:b/>
          <w:bCs/>
          <w:color w:val="auto"/>
          <w:szCs w:val="21"/>
          <w:highlight w:val="none"/>
        </w:rPr>
      </w:pPr>
      <w:r>
        <w:rPr>
          <w:rFonts w:hint="eastAsia" w:ascii="宋体" w:hAnsi="宋体" w:eastAsia="宋体" w:cs="宋体"/>
          <w:b w:val="0"/>
          <w:bCs w:val="0"/>
          <w:color w:val="auto"/>
          <w:szCs w:val="21"/>
          <w:highlight w:val="none"/>
        </w:rPr>
        <w:t>30.1</w:t>
      </w:r>
      <w:r>
        <w:rPr>
          <w:rFonts w:hint="eastAsia" w:ascii="宋体" w:hAnsi="宋体" w:eastAsia="宋体" w:cs="宋体"/>
          <w:color w:val="auto"/>
          <w:sz w:val="21"/>
          <w:highlight w:val="none"/>
        </w:rPr>
        <w:t>采购人在收到</w:t>
      </w:r>
      <w:r>
        <w:rPr>
          <w:rFonts w:hint="eastAsia" w:ascii="宋体" w:hAnsi="宋体" w:eastAsia="宋体" w:cs="宋体"/>
          <w:color w:val="auto"/>
          <w:sz w:val="21"/>
          <w:highlight w:val="none"/>
          <w:lang w:eastAsia="zh-CN"/>
        </w:rPr>
        <w:t>评标委员会出具的</w:t>
      </w:r>
      <w:r>
        <w:rPr>
          <w:rFonts w:hint="eastAsia" w:ascii="宋体" w:hAnsi="宋体" w:eastAsia="宋体" w:cs="宋体"/>
          <w:color w:val="auto"/>
          <w:sz w:val="21"/>
          <w:highlight w:val="none"/>
        </w:rPr>
        <w:t>评标报告之日起5个工作日内在评标报告推荐的中标候选人名单中按顺序确定中标人。采购人也可以事先授权评标委员会直接确定中标人。中标候选人并列的，由采购人或者采购人委托评标委员会按照</w:t>
      </w:r>
      <w:r>
        <w:rPr>
          <w:rFonts w:hint="eastAsia" w:ascii="宋体" w:hAnsi="宋体" w:eastAsia="宋体" w:cs="宋体"/>
          <w:color w:val="auto"/>
          <w:highlight w:val="none"/>
          <w:lang w:eastAsia="zh-CN"/>
        </w:rPr>
        <w:t>“投标人须知前附表”</w:t>
      </w:r>
      <w:r>
        <w:rPr>
          <w:rFonts w:hint="eastAsia" w:ascii="宋体" w:hAnsi="宋体" w:eastAsia="宋体" w:cs="宋体"/>
          <w:color w:val="auto"/>
          <w:sz w:val="21"/>
          <w:highlight w:val="none"/>
        </w:rPr>
        <w:t>规定的方式确定中标人；招标文件未规定的，采取随机抽取的方式确定。</w:t>
      </w:r>
      <w:r>
        <w:rPr>
          <w:rFonts w:hint="eastAsia" w:ascii="宋体" w:hAnsi="宋体" w:eastAsia="宋体" w:cs="宋体"/>
          <w:b/>
          <w:bCs/>
          <w:color w:val="auto"/>
          <w:szCs w:val="21"/>
          <w:highlight w:val="none"/>
          <w:lang w:val="en-US" w:eastAsia="zh-CN"/>
        </w:rPr>
        <w:t xml:space="preserve">   </w:t>
      </w:r>
    </w:p>
    <w:p w14:paraId="4568073D">
      <w:pPr>
        <w:keepNext w:val="0"/>
        <w:keepLines w:val="0"/>
        <w:pageBreakBefore w:val="0"/>
        <w:shd w:val="clear"/>
        <w:kinsoku/>
        <w:wordWrap/>
        <w:overflowPunct/>
        <w:topLinePunct w:val="0"/>
        <w:bidi w:val="0"/>
        <w:spacing w:line="43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30.2采购人、采购代理机构认为供应商对采购过程、中标结果提出的质疑成立且影响或者可能影响中标结果的，合格供应商符合法定数量时，可以从合格的中标候选人中另行确定中标人的，应当依法另行确定中标人；否则应当重新开展采购活动。</w:t>
      </w:r>
    </w:p>
    <w:p w14:paraId="64878F0D">
      <w:pPr>
        <w:keepNext w:val="0"/>
        <w:keepLines w:val="0"/>
        <w:pageBreakBefore w:val="0"/>
        <w:shd w:val="clear"/>
        <w:kinsoku/>
        <w:wordWrap/>
        <w:overflowPunct/>
        <w:topLinePunct w:val="0"/>
        <w:bidi w:val="0"/>
        <w:spacing w:line="43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30.3中标</w:t>
      </w:r>
      <w:r>
        <w:rPr>
          <w:rFonts w:hint="eastAsia" w:ascii="宋体" w:hAnsi="宋体" w:eastAsia="宋体" w:cs="宋体"/>
          <w:color w:val="auto"/>
          <w:szCs w:val="21"/>
          <w:highlight w:val="none"/>
          <w:lang w:eastAsia="zh-CN"/>
        </w:rPr>
        <w:t>人</w:t>
      </w:r>
      <w:r>
        <w:rPr>
          <w:rFonts w:hint="eastAsia" w:ascii="宋体" w:hAnsi="宋体" w:eastAsia="宋体" w:cs="宋体"/>
          <w:color w:val="auto"/>
          <w:szCs w:val="21"/>
          <w:highlight w:val="none"/>
        </w:rPr>
        <w:t>无正当理由拒签合同的，根据《中华人民共和国政府采购法》第七十七条第一款规定处理。</w:t>
      </w:r>
    </w:p>
    <w:p w14:paraId="1CEA40E9">
      <w:pPr>
        <w:keepNext w:val="0"/>
        <w:keepLines w:val="0"/>
        <w:pageBreakBefore w:val="0"/>
        <w:shd w:val="clear"/>
        <w:kinsoku/>
        <w:wordWrap/>
        <w:overflowPunct/>
        <w:topLinePunct w:val="0"/>
        <w:bidi w:val="0"/>
        <w:spacing w:line="43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30.4根据《中华人民共和国民法典》</w:t>
      </w:r>
      <w:r>
        <w:rPr>
          <w:rFonts w:hint="eastAsia" w:ascii="宋体" w:hAnsi="宋体" w:eastAsia="宋体" w:cs="宋体"/>
          <w:color w:val="auto"/>
          <w:sz w:val="19"/>
          <w:szCs w:val="19"/>
          <w:highlight w:val="none"/>
        </w:rPr>
        <w:t>第五百六十三条</w:t>
      </w:r>
      <w:r>
        <w:rPr>
          <w:rFonts w:hint="eastAsia" w:ascii="宋体" w:hAnsi="宋体" w:eastAsia="宋体" w:cs="宋体"/>
          <w:color w:val="auto"/>
          <w:szCs w:val="21"/>
          <w:highlight w:val="none"/>
        </w:rPr>
        <w:t>，因不可抗力致使不能实现合同目的的，当事人可以解除合同。</w:t>
      </w:r>
    </w:p>
    <w:p w14:paraId="35D3598E">
      <w:pPr>
        <w:keepNext w:val="0"/>
        <w:keepLines w:val="0"/>
        <w:pageBreakBefore w:val="0"/>
        <w:shd w:val="clear"/>
        <w:kinsoku/>
        <w:wordWrap/>
        <w:overflowPunct/>
        <w:topLinePunct w:val="0"/>
        <w:bidi w:val="0"/>
        <w:spacing w:line="43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31. 结果公告</w:t>
      </w:r>
    </w:p>
    <w:p w14:paraId="73061EB1">
      <w:pPr>
        <w:keepNext w:val="0"/>
        <w:keepLines w:val="0"/>
        <w:pageBreakBefore w:val="0"/>
        <w:shd w:val="clear"/>
        <w:kinsoku/>
        <w:wordWrap/>
        <w:overflowPunct/>
        <w:topLinePunct w:val="0"/>
        <w:bidi w:val="0"/>
        <w:spacing w:line="430" w:lineRule="exact"/>
        <w:ind w:firstLine="420" w:firstLineChars="200"/>
        <w:rPr>
          <w:rFonts w:hint="eastAsia" w:ascii="宋体" w:hAnsi="宋体" w:eastAsia="宋体" w:cs="宋体"/>
          <w:color w:val="auto"/>
          <w:highlight w:val="none"/>
        </w:rPr>
      </w:pPr>
      <w:r>
        <w:rPr>
          <w:rFonts w:hint="eastAsia" w:ascii="宋体" w:hAnsi="宋体" w:eastAsia="宋体" w:cs="宋体"/>
          <w:color w:val="auto"/>
          <w:szCs w:val="21"/>
          <w:highlight w:val="none"/>
        </w:rPr>
        <w:t>31.1</w:t>
      </w:r>
      <w:r>
        <w:rPr>
          <w:rFonts w:hint="eastAsia" w:ascii="宋体" w:hAnsi="宋体" w:eastAsia="宋体" w:cs="宋体"/>
          <w:color w:val="auto"/>
          <w:highlight w:val="none"/>
        </w:rPr>
        <w:t>在中标</w:t>
      </w:r>
      <w:r>
        <w:rPr>
          <w:rFonts w:hint="eastAsia" w:ascii="宋体" w:hAnsi="宋体" w:eastAsia="宋体" w:cs="宋体"/>
          <w:color w:val="auto"/>
          <w:highlight w:val="none"/>
          <w:lang w:eastAsia="zh-CN"/>
        </w:rPr>
        <w:t>人</w:t>
      </w:r>
      <w:r>
        <w:rPr>
          <w:rFonts w:hint="eastAsia" w:ascii="宋体" w:hAnsi="宋体" w:eastAsia="宋体" w:cs="宋体"/>
          <w:color w:val="auto"/>
          <w:highlight w:val="none"/>
        </w:rPr>
        <w:t>确定之日起2个工作日内，由采购代理机构</w:t>
      </w:r>
      <w:r>
        <w:rPr>
          <w:rFonts w:hint="eastAsia" w:ascii="宋体" w:hAnsi="宋体" w:eastAsia="宋体" w:cs="宋体"/>
          <w:b/>
          <w:color w:val="auto"/>
          <w:szCs w:val="21"/>
          <w:highlight w:val="none"/>
        </w:rPr>
        <w:t>在招标公告发布媒体上</w:t>
      </w:r>
      <w:r>
        <w:rPr>
          <w:rFonts w:hint="eastAsia" w:ascii="宋体" w:hAnsi="宋体" w:eastAsia="宋体" w:cs="宋体"/>
          <w:color w:val="auto"/>
          <w:highlight w:val="none"/>
        </w:rPr>
        <w:t>发布中标结果公告，中标结果公告期限为1个工作日，发布中标结果公告的同时向中标</w:t>
      </w:r>
      <w:r>
        <w:rPr>
          <w:rFonts w:hint="eastAsia" w:ascii="宋体" w:hAnsi="宋体" w:eastAsia="宋体" w:cs="宋体"/>
          <w:color w:val="auto"/>
          <w:highlight w:val="none"/>
          <w:lang w:eastAsia="zh-CN"/>
        </w:rPr>
        <w:t>人</w:t>
      </w:r>
      <w:r>
        <w:rPr>
          <w:rFonts w:hint="eastAsia" w:ascii="宋体" w:hAnsi="宋体" w:eastAsia="宋体" w:cs="宋体"/>
          <w:color w:val="auto"/>
          <w:highlight w:val="none"/>
        </w:rPr>
        <w:t>发出中标通知书。</w:t>
      </w:r>
      <w:r>
        <w:rPr>
          <w:rFonts w:hint="eastAsia" w:ascii="宋体" w:hAnsi="宋体" w:eastAsia="宋体" w:cs="宋体"/>
          <w:b/>
          <w:color w:val="auto"/>
          <w:szCs w:val="21"/>
          <w:highlight w:val="none"/>
        </w:rPr>
        <w:t>采购代理机构发出中标通知书前，应当对中标人信用进行核实，对列入失信被执行人、</w:t>
      </w:r>
      <w:r>
        <w:rPr>
          <w:rFonts w:hint="eastAsia" w:ascii="宋体" w:hAnsi="宋体" w:eastAsia="宋体" w:cs="宋体"/>
          <w:b/>
          <w:color w:val="auto"/>
          <w:szCs w:val="21"/>
          <w:highlight w:val="none"/>
          <w:lang w:eastAsia="zh-CN"/>
        </w:rPr>
        <w:t>重大税收违法失信主体</w:t>
      </w:r>
      <w:r>
        <w:rPr>
          <w:rFonts w:hint="eastAsia" w:ascii="宋体" w:hAnsi="宋体" w:eastAsia="宋体" w:cs="宋体"/>
          <w:b/>
          <w:color w:val="auto"/>
          <w:szCs w:val="21"/>
          <w:highlight w:val="none"/>
        </w:rPr>
        <w:t>、政府采购严重违法失信行为记录名单及其他不符合《中华人民共和国政府采购法》第二十二条规定条件的投标人，取消其中标资格，并</w:t>
      </w:r>
      <w:r>
        <w:rPr>
          <w:rFonts w:hint="eastAsia" w:ascii="宋体" w:hAnsi="宋体" w:eastAsia="宋体" w:cs="宋体"/>
          <w:b/>
          <w:color w:val="auto"/>
          <w:szCs w:val="21"/>
          <w:highlight w:val="none"/>
          <w:lang w:eastAsia="zh-CN"/>
        </w:rPr>
        <w:t>依法</w:t>
      </w:r>
      <w:r>
        <w:rPr>
          <w:rFonts w:hint="eastAsia" w:ascii="宋体" w:hAnsi="宋体" w:eastAsia="宋体" w:cs="宋体"/>
          <w:b/>
          <w:color w:val="auto"/>
          <w:szCs w:val="21"/>
          <w:highlight w:val="none"/>
        </w:rPr>
        <w:t>确定排名第二的中标候选人为中标人。</w:t>
      </w:r>
      <w:r>
        <w:rPr>
          <w:rFonts w:hint="eastAsia" w:ascii="宋体" w:hAnsi="宋体" w:eastAsia="宋体" w:cs="宋体"/>
          <w:color w:val="auto"/>
          <w:szCs w:val="21"/>
          <w:highlight w:val="none"/>
        </w:rPr>
        <w:t>排名第二的中标候选人因前款规定的同样原因被取消中标资格的，</w:t>
      </w:r>
      <w:r>
        <w:rPr>
          <w:rFonts w:hint="eastAsia" w:ascii="宋体" w:hAnsi="宋体" w:eastAsia="宋体" w:cs="宋体"/>
          <w:color w:val="auto"/>
          <w:szCs w:val="21"/>
          <w:highlight w:val="none"/>
          <w:lang w:eastAsia="zh-CN"/>
        </w:rPr>
        <w:t>采购人</w:t>
      </w:r>
      <w:r>
        <w:rPr>
          <w:rFonts w:hint="eastAsia" w:ascii="宋体" w:hAnsi="宋体" w:eastAsia="宋体" w:cs="宋体"/>
          <w:color w:val="auto"/>
          <w:szCs w:val="21"/>
          <w:highlight w:val="none"/>
        </w:rPr>
        <w:t>可以</w:t>
      </w:r>
      <w:r>
        <w:rPr>
          <w:rFonts w:hint="eastAsia" w:ascii="宋体" w:hAnsi="宋体" w:eastAsia="宋体" w:cs="宋体"/>
          <w:color w:val="auto"/>
          <w:szCs w:val="21"/>
          <w:highlight w:val="none"/>
          <w:lang w:eastAsia="zh-CN"/>
        </w:rPr>
        <w:t>依法</w:t>
      </w:r>
      <w:r>
        <w:rPr>
          <w:rFonts w:hint="eastAsia" w:ascii="宋体" w:hAnsi="宋体" w:eastAsia="宋体" w:cs="宋体"/>
          <w:color w:val="auto"/>
          <w:szCs w:val="21"/>
          <w:highlight w:val="none"/>
        </w:rPr>
        <w:t>确定排名第三的中标候选人为中标人，以此类推。</w:t>
      </w:r>
    </w:p>
    <w:p w14:paraId="6736EA4E">
      <w:pPr>
        <w:keepNext w:val="0"/>
        <w:keepLines w:val="0"/>
        <w:pageBreakBefore w:val="0"/>
        <w:shd w:val="clear"/>
        <w:kinsoku/>
        <w:wordWrap/>
        <w:overflowPunct/>
        <w:topLinePunct w:val="0"/>
        <w:bidi w:val="0"/>
        <w:spacing w:line="43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以上信息查询记录及相关证据与采购文件一并保存。</w:t>
      </w:r>
    </w:p>
    <w:p w14:paraId="2EA9E576">
      <w:pPr>
        <w:keepNext w:val="0"/>
        <w:keepLines w:val="0"/>
        <w:pageBreakBefore w:val="0"/>
        <w:shd w:val="clear"/>
        <w:kinsoku/>
        <w:wordWrap/>
        <w:overflowPunct/>
        <w:topLinePunct w:val="0"/>
        <w:bidi w:val="0"/>
        <w:spacing w:line="43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31.2中小企业在政府采购活动过程中，请根据企业的真实情况出具《中小企业声明函》。依法享受中小企业</w:t>
      </w:r>
      <w:r>
        <w:rPr>
          <w:rFonts w:hint="eastAsia" w:ascii="宋体" w:hAnsi="宋体" w:eastAsia="宋体" w:cs="宋体"/>
          <w:color w:val="auto"/>
          <w:szCs w:val="21"/>
          <w:highlight w:val="none"/>
          <w:lang w:eastAsia="zh-CN"/>
        </w:rPr>
        <w:t>扶持</w:t>
      </w:r>
      <w:r>
        <w:rPr>
          <w:rFonts w:hint="eastAsia" w:ascii="宋体" w:hAnsi="宋体" w:eastAsia="宋体" w:cs="宋体"/>
          <w:color w:val="auto"/>
          <w:szCs w:val="21"/>
          <w:highlight w:val="none"/>
        </w:rPr>
        <w:t>政策的，采购人或者采购代理机构在公告中标结果时，同时公告其《中小企业声明函》，接受社会监督。</w:t>
      </w:r>
    </w:p>
    <w:p w14:paraId="3E72750F">
      <w:pPr>
        <w:keepNext w:val="0"/>
        <w:keepLines w:val="0"/>
        <w:pageBreakBefore w:val="0"/>
        <w:shd w:val="clear"/>
        <w:kinsoku/>
        <w:wordWrap/>
        <w:overflowPunct/>
        <w:topLinePunct w:val="0"/>
        <w:bidi w:val="0"/>
        <w:spacing w:line="43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32.发出中标通知书</w:t>
      </w:r>
    </w:p>
    <w:p w14:paraId="0A90905B">
      <w:pPr>
        <w:keepNext w:val="0"/>
        <w:keepLines w:val="0"/>
        <w:pageBreakBefore w:val="0"/>
        <w:shd w:val="clear"/>
        <w:kinsoku/>
        <w:wordWrap/>
        <w:overflowPunct/>
        <w:topLinePunct w:val="0"/>
        <w:bidi w:val="0"/>
        <w:spacing w:line="430" w:lineRule="exact"/>
        <w:ind w:firstLine="422" w:firstLineChars="200"/>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32.1在发布中标公告的同时，采购代理机构向中标人发出中标通知书。</w:t>
      </w:r>
    </w:p>
    <w:p w14:paraId="7253D971">
      <w:pPr>
        <w:keepNext w:val="0"/>
        <w:keepLines w:val="0"/>
        <w:pageBreakBefore w:val="0"/>
        <w:shd w:val="clear"/>
        <w:kinsoku/>
        <w:wordWrap/>
        <w:overflowPunct/>
        <w:topLinePunct w:val="0"/>
        <w:bidi w:val="0"/>
        <w:spacing w:line="430" w:lineRule="exact"/>
        <w:ind w:firstLine="422" w:firstLineChars="200"/>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32.2对未通过资格审查的投标人，采购人或采购</w:t>
      </w:r>
      <w:r>
        <w:rPr>
          <w:rFonts w:hint="eastAsia" w:ascii="宋体" w:hAnsi="宋体" w:eastAsia="宋体" w:cs="宋体"/>
          <w:b/>
          <w:color w:val="auto"/>
          <w:szCs w:val="21"/>
          <w:highlight w:val="none"/>
          <w:lang w:eastAsia="zh-CN"/>
        </w:rPr>
        <w:t>代理</w:t>
      </w:r>
      <w:r>
        <w:rPr>
          <w:rFonts w:hint="eastAsia" w:ascii="宋体" w:hAnsi="宋体" w:eastAsia="宋体" w:cs="宋体"/>
          <w:b/>
          <w:color w:val="auto"/>
          <w:szCs w:val="21"/>
          <w:highlight w:val="none"/>
        </w:rPr>
        <w:t>机构应当告知其未通过的原因；采用综合评分办法评审的，采购人或采购机构还应当告知未中标人本人的评审得分与排序。</w:t>
      </w:r>
    </w:p>
    <w:p w14:paraId="67FF22A0">
      <w:pPr>
        <w:keepNext w:val="0"/>
        <w:keepLines w:val="0"/>
        <w:pageBreakBefore w:val="0"/>
        <w:shd w:val="clear"/>
        <w:kinsoku/>
        <w:wordWrap/>
        <w:overflowPunct/>
        <w:topLinePunct w:val="0"/>
        <w:bidi w:val="0"/>
        <w:spacing w:line="43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33. 无义务解释未中标原因</w:t>
      </w:r>
    </w:p>
    <w:p w14:paraId="4EA0C029">
      <w:pPr>
        <w:keepNext w:val="0"/>
        <w:keepLines w:val="0"/>
        <w:pageBreakBefore w:val="0"/>
        <w:shd w:val="clear"/>
        <w:kinsoku/>
        <w:wordWrap/>
        <w:overflowPunct/>
        <w:topLinePunct w:val="0"/>
        <w:bidi w:val="0"/>
        <w:spacing w:line="430" w:lineRule="exact"/>
        <w:ind w:firstLine="422" w:firstLineChars="200"/>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采购代理机构无义务向未中标的投标人解释未中标原因和退还投标文件。</w:t>
      </w:r>
    </w:p>
    <w:p w14:paraId="3EB6C4BC">
      <w:pPr>
        <w:keepNext w:val="0"/>
        <w:keepLines w:val="0"/>
        <w:pageBreakBefore w:val="0"/>
        <w:shd w:val="clear"/>
        <w:kinsoku/>
        <w:wordWrap/>
        <w:overflowPunct/>
        <w:topLinePunct w:val="0"/>
        <w:bidi w:val="0"/>
        <w:spacing w:line="43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34.合同授予标准</w:t>
      </w:r>
    </w:p>
    <w:p w14:paraId="19580E99">
      <w:pPr>
        <w:keepNext w:val="0"/>
        <w:keepLines w:val="0"/>
        <w:pageBreakBefore w:val="0"/>
        <w:shd w:val="clear"/>
        <w:kinsoku/>
        <w:wordWrap/>
        <w:overflowPunct/>
        <w:topLinePunct w:val="0"/>
        <w:bidi w:val="0"/>
        <w:spacing w:line="43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合同将授予被确定实质上响应招标文件要求，具备履行合同能力的中标人（招标文件另有约定多名中标人的除外）。</w:t>
      </w:r>
    </w:p>
    <w:p w14:paraId="38DC60C3">
      <w:pPr>
        <w:keepNext w:val="0"/>
        <w:keepLines w:val="0"/>
        <w:pageBreakBefore w:val="0"/>
        <w:shd w:val="clear"/>
        <w:kinsoku/>
        <w:wordWrap/>
        <w:overflowPunct/>
        <w:topLinePunct w:val="0"/>
        <w:bidi w:val="0"/>
        <w:spacing w:line="43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35.履约保证金</w:t>
      </w:r>
    </w:p>
    <w:p w14:paraId="6D2B4233">
      <w:pPr>
        <w:pStyle w:val="5"/>
        <w:keepNext w:val="0"/>
        <w:keepLines w:val="0"/>
        <w:pageBreakBefore w:val="0"/>
        <w:shd w:val="clear"/>
        <w:kinsoku/>
        <w:wordWrap/>
        <w:overflowPunct/>
        <w:topLinePunct w:val="0"/>
        <w:bidi w:val="0"/>
        <w:spacing w:before="0" w:after="0" w:line="430" w:lineRule="exact"/>
        <w:ind w:firstLine="315" w:firstLineChars="150"/>
        <w:rPr>
          <w:rFonts w:hint="eastAsia" w:ascii="宋体" w:hAnsi="宋体" w:eastAsia="宋体" w:cs="宋体"/>
          <w:b w:val="0"/>
          <w:color w:val="auto"/>
          <w:sz w:val="21"/>
          <w:szCs w:val="21"/>
          <w:highlight w:val="none"/>
        </w:rPr>
      </w:pPr>
      <w:bookmarkStart w:id="233" w:name="_39.1中标人须于签订合同前按本须知前附表规定的金额转账或电汇到指定账"/>
      <w:bookmarkEnd w:id="233"/>
      <w:r>
        <w:rPr>
          <w:rFonts w:hint="eastAsia" w:ascii="宋体" w:hAnsi="宋体" w:eastAsia="宋体" w:cs="宋体"/>
          <w:b w:val="0"/>
          <w:color w:val="auto"/>
          <w:sz w:val="21"/>
          <w:szCs w:val="21"/>
          <w:highlight w:val="none"/>
        </w:rPr>
        <w:t>35.1 履约保证金的金额、提交方式、退付的时间和条件详见 “投标人须知前附表”。中标人未按规定提交履约保证金的，视为拒绝与采购人签订合同，采购人可以按照评标报告推荐的中标候选人名单排序，</w:t>
      </w:r>
      <w:r>
        <w:rPr>
          <w:rFonts w:hint="eastAsia" w:ascii="宋体" w:hAnsi="宋体" w:eastAsia="宋体" w:cs="宋体"/>
          <w:b w:val="0"/>
          <w:color w:val="auto"/>
          <w:sz w:val="21"/>
          <w:szCs w:val="21"/>
          <w:highlight w:val="none"/>
          <w:lang w:eastAsia="zh-CN"/>
        </w:rPr>
        <w:t>依法</w:t>
      </w:r>
      <w:r>
        <w:rPr>
          <w:rFonts w:hint="eastAsia" w:ascii="宋体" w:hAnsi="宋体" w:eastAsia="宋体" w:cs="宋体"/>
          <w:b w:val="0"/>
          <w:color w:val="auto"/>
          <w:sz w:val="21"/>
          <w:szCs w:val="21"/>
          <w:highlight w:val="none"/>
        </w:rPr>
        <w:t>确定下一候选人为中标人，也可以重新开展政府采购活动。</w:t>
      </w:r>
    </w:p>
    <w:p w14:paraId="670668B2">
      <w:pPr>
        <w:pStyle w:val="5"/>
        <w:keepNext w:val="0"/>
        <w:keepLines w:val="0"/>
        <w:pageBreakBefore w:val="0"/>
        <w:shd w:val="clear"/>
        <w:kinsoku/>
        <w:wordWrap/>
        <w:overflowPunct/>
        <w:topLinePunct w:val="0"/>
        <w:bidi w:val="0"/>
        <w:spacing w:before="0" w:after="0" w:line="430" w:lineRule="exact"/>
        <w:ind w:firstLine="315" w:firstLineChars="150"/>
        <w:rPr>
          <w:rFonts w:hint="eastAsia" w:ascii="宋体" w:hAnsi="宋体" w:eastAsia="宋体" w:cs="宋体"/>
          <w:b w:val="0"/>
          <w:color w:val="auto"/>
          <w:sz w:val="21"/>
          <w:szCs w:val="21"/>
          <w:highlight w:val="none"/>
        </w:rPr>
      </w:pPr>
      <w:r>
        <w:rPr>
          <w:rFonts w:hint="eastAsia" w:ascii="宋体" w:hAnsi="宋体" w:eastAsia="宋体" w:cs="宋体"/>
          <w:b w:val="0"/>
          <w:color w:val="auto"/>
          <w:sz w:val="21"/>
          <w:szCs w:val="21"/>
          <w:highlight w:val="none"/>
        </w:rPr>
        <w:t xml:space="preserve"> 35.2签订合同后，如中标人不按双方签订的合同规定履约，则没收其全部履约保证金，履约保证金不足以赔偿损失的，按实际损失赔偿。</w:t>
      </w:r>
    </w:p>
    <w:p w14:paraId="63722BA0">
      <w:pPr>
        <w:pStyle w:val="5"/>
        <w:keepNext w:val="0"/>
        <w:keepLines w:val="0"/>
        <w:pageBreakBefore w:val="0"/>
        <w:numPr>
          <w:ilvl w:val="0"/>
          <w:numId w:val="0"/>
        </w:numPr>
        <w:shd w:val="clear"/>
        <w:kinsoku/>
        <w:wordWrap/>
        <w:overflowPunct/>
        <w:topLinePunct w:val="0"/>
        <w:bidi w:val="0"/>
        <w:spacing w:before="0" w:after="0" w:line="430" w:lineRule="exact"/>
        <w:ind w:firstLine="420" w:firstLineChars="200"/>
        <w:rPr>
          <w:rFonts w:hint="eastAsia" w:ascii="宋体" w:hAnsi="宋体" w:eastAsia="宋体" w:cs="宋体"/>
          <w:b w:val="0"/>
          <w:color w:val="auto"/>
          <w:sz w:val="21"/>
          <w:szCs w:val="21"/>
          <w:highlight w:val="none"/>
        </w:rPr>
      </w:pPr>
      <w:r>
        <w:rPr>
          <w:rFonts w:hint="eastAsia" w:ascii="宋体" w:hAnsi="宋体" w:eastAsia="宋体" w:cs="宋体"/>
          <w:b w:val="0"/>
          <w:color w:val="auto"/>
          <w:sz w:val="21"/>
          <w:szCs w:val="21"/>
          <w:highlight w:val="none"/>
        </w:rPr>
        <w:t>35.3在履约保证金退还日期前，若中标人的开户名称、开户银行、</w:t>
      </w:r>
      <w:r>
        <w:rPr>
          <w:rFonts w:hint="eastAsia" w:ascii="宋体" w:hAnsi="宋体" w:eastAsia="宋体" w:cs="宋体"/>
          <w:b w:val="0"/>
          <w:color w:val="auto"/>
          <w:sz w:val="21"/>
          <w:szCs w:val="21"/>
          <w:highlight w:val="none"/>
          <w:lang w:eastAsia="zh-CN"/>
        </w:rPr>
        <w:t>账</w:t>
      </w:r>
      <w:r>
        <w:rPr>
          <w:rFonts w:hint="eastAsia" w:ascii="宋体" w:hAnsi="宋体" w:eastAsia="宋体" w:cs="宋体"/>
          <w:b w:val="0"/>
          <w:color w:val="auto"/>
          <w:sz w:val="21"/>
          <w:szCs w:val="21"/>
          <w:highlight w:val="none"/>
        </w:rPr>
        <w:t>号有变动的，请以书面形式通知履约保证金收取单位，否则由此产生的后果由中标人自行承担。</w:t>
      </w:r>
    </w:p>
    <w:p w14:paraId="4860D2D7">
      <w:pPr>
        <w:keepNext w:val="0"/>
        <w:keepLines w:val="0"/>
        <w:pageBreakBefore w:val="0"/>
        <w:shd w:val="clear"/>
        <w:kinsoku/>
        <w:wordWrap/>
        <w:overflowPunct/>
        <w:topLinePunct w:val="0"/>
        <w:bidi w:val="0"/>
        <w:spacing w:line="43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36.签订合同</w:t>
      </w:r>
    </w:p>
    <w:p w14:paraId="11BEB9FB">
      <w:pPr>
        <w:keepNext w:val="0"/>
        <w:keepLines w:val="0"/>
        <w:pageBreakBefore w:val="0"/>
        <w:shd w:val="clear"/>
        <w:kinsoku/>
        <w:wordWrap/>
        <w:overflowPunct/>
        <w:topLinePunct w:val="0"/>
        <w:bidi w:val="0"/>
        <w:spacing w:line="430" w:lineRule="exact"/>
        <w:ind w:firstLine="420" w:firstLineChars="200"/>
        <w:rPr>
          <w:rFonts w:hint="eastAsia" w:ascii="宋体" w:hAnsi="宋体" w:eastAsia="宋体" w:cs="宋体"/>
          <w:b/>
          <w:bCs/>
          <w:i/>
          <w:iCs/>
          <w:color w:val="auto"/>
          <w:szCs w:val="21"/>
          <w:highlight w:val="none"/>
          <w:lang w:eastAsia="zh-CN"/>
        </w:rPr>
      </w:pPr>
      <w:bookmarkStart w:id="234" w:name="_40.1投标人接到中标通知书后，按须知前附表规定向采购人出示相关资格证"/>
      <w:bookmarkEnd w:id="234"/>
      <w:r>
        <w:rPr>
          <w:rFonts w:hint="eastAsia" w:ascii="宋体" w:hAnsi="宋体" w:eastAsia="宋体" w:cs="宋体"/>
          <w:b w:val="0"/>
          <w:color w:val="auto"/>
          <w:sz w:val="21"/>
          <w:szCs w:val="21"/>
          <w:highlight w:val="none"/>
          <w:lang w:eastAsia="zh-CN"/>
        </w:rPr>
        <w:t xml:space="preserve"> </w:t>
      </w:r>
      <w:r>
        <w:rPr>
          <w:rFonts w:hint="eastAsia" w:ascii="宋体" w:hAnsi="宋体" w:eastAsia="宋体" w:cs="宋体"/>
          <w:b/>
          <w:bCs/>
          <w:color w:val="auto"/>
          <w:sz w:val="21"/>
          <w:szCs w:val="21"/>
          <w:highlight w:val="none"/>
          <w:lang w:eastAsia="zh-CN"/>
        </w:rPr>
        <w:t>36.1中标人在中标通知书发出之日起</w:t>
      </w:r>
      <w:r>
        <w:rPr>
          <w:rFonts w:hint="eastAsia" w:ascii="宋体" w:hAnsi="宋体" w:eastAsia="宋体" w:cs="宋体"/>
          <w:b/>
          <w:bCs/>
          <w:color w:val="auto"/>
          <w:sz w:val="21"/>
          <w:szCs w:val="21"/>
          <w:highlight w:val="none"/>
        </w:rPr>
        <w:t>，</w:t>
      </w:r>
      <w:r>
        <w:rPr>
          <w:rFonts w:hint="eastAsia" w:ascii="宋体" w:hAnsi="宋体" w:eastAsia="宋体" w:cs="宋体"/>
          <w:b w:val="0"/>
          <w:bCs w:val="0"/>
          <w:color w:val="auto"/>
          <w:sz w:val="21"/>
          <w:szCs w:val="21"/>
          <w:highlight w:val="none"/>
        </w:rPr>
        <w:t>按规定的日期、时间、地点，由法定代表人或其授权代表与采购人代表签订采购合同。如中标人为联合体的，由联合体成员各方法定代表人或其授权代表与采购人代表签订合同，签订携带资料详见“投标人须知前附表”</w:t>
      </w:r>
      <w:r>
        <w:rPr>
          <w:rFonts w:hint="eastAsia" w:ascii="宋体" w:hAnsi="宋体" w:eastAsia="宋体" w:cs="宋体"/>
          <w:b w:val="0"/>
          <w:color w:val="auto"/>
          <w:sz w:val="21"/>
          <w:szCs w:val="21"/>
          <w:highlight w:val="none"/>
        </w:rPr>
        <w:t>。</w:t>
      </w:r>
    </w:p>
    <w:p w14:paraId="7EFC9C9F">
      <w:pPr>
        <w:keepNext w:val="0"/>
        <w:keepLines w:val="0"/>
        <w:pageBreakBefore w:val="0"/>
        <w:shd w:val="clear"/>
        <w:kinsoku/>
        <w:wordWrap/>
        <w:overflowPunct/>
        <w:topLinePunct w:val="0"/>
        <w:bidi w:val="0"/>
        <w:spacing w:line="430" w:lineRule="exact"/>
        <w:ind w:firstLine="420" w:firstLineChars="200"/>
        <w:rPr>
          <w:rFonts w:hint="eastAsia" w:ascii="宋体" w:hAnsi="宋体" w:eastAsia="宋体" w:cs="宋体"/>
          <w:b/>
          <w:bCs/>
          <w:i/>
          <w:iCs/>
          <w:color w:val="auto"/>
          <w:szCs w:val="21"/>
          <w:highlight w:val="none"/>
          <w:lang w:eastAsia="zh-CN"/>
        </w:rPr>
      </w:pPr>
      <w:r>
        <w:rPr>
          <w:rFonts w:hint="eastAsia" w:ascii="宋体" w:hAnsi="宋体" w:eastAsia="宋体" w:cs="宋体"/>
          <w:b w:val="0"/>
          <w:bCs w:val="0"/>
          <w:i w:val="0"/>
          <w:iCs w:val="0"/>
          <w:color w:val="auto"/>
          <w:sz w:val="21"/>
          <w:szCs w:val="21"/>
          <w:highlight w:val="none"/>
          <w:lang w:val="zh-CN" w:eastAsia="zh-CN"/>
        </w:rPr>
        <w:t>36.2采购合同由采购人与中标人根据招标文件、投标文件等内容签订。</w:t>
      </w:r>
    </w:p>
    <w:p w14:paraId="581CDBE6">
      <w:pPr>
        <w:pStyle w:val="36"/>
        <w:keepNext w:val="0"/>
        <w:keepLines w:val="0"/>
        <w:pageBreakBefore w:val="0"/>
        <w:shd w:val="clear"/>
        <w:kinsoku/>
        <w:wordWrap/>
        <w:overflowPunct/>
        <w:topLinePunct w:val="0"/>
        <w:bidi w:val="0"/>
        <w:snapToGrid w:val="0"/>
        <w:spacing w:before="0" w:line="430" w:lineRule="exact"/>
        <w:ind w:firstLine="42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36.3签订合同时间：按中标通知书规定的时间与采购人签订合同。</w:t>
      </w:r>
    </w:p>
    <w:p w14:paraId="46CFA2EE">
      <w:pPr>
        <w:keepNext w:val="0"/>
        <w:keepLines w:val="0"/>
        <w:pageBreakBefore w:val="0"/>
        <w:shd w:val="clear"/>
        <w:kinsoku/>
        <w:wordWrap/>
        <w:overflowPunct/>
        <w:topLinePunct w:val="0"/>
        <w:bidi w:val="0"/>
        <w:spacing w:line="43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36.4中标人拒绝与采购人签订合同的，采购人可以按照评审报告推荐的中标候选人名单排序，</w:t>
      </w:r>
      <w:r>
        <w:rPr>
          <w:rFonts w:hint="eastAsia" w:ascii="宋体" w:hAnsi="宋体" w:eastAsia="宋体" w:cs="宋体"/>
          <w:color w:val="auto"/>
          <w:szCs w:val="21"/>
          <w:highlight w:val="none"/>
          <w:lang w:eastAsia="zh-CN"/>
        </w:rPr>
        <w:t>依法</w:t>
      </w:r>
      <w:r>
        <w:rPr>
          <w:rFonts w:hint="eastAsia" w:ascii="宋体" w:hAnsi="宋体" w:eastAsia="宋体" w:cs="宋体"/>
          <w:color w:val="auto"/>
          <w:szCs w:val="21"/>
          <w:highlight w:val="none"/>
        </w:rPr>
        <w:t>确定下一候选人为中标人，也可以重新开展政府采购活动。如采购人无正当理由拒签合同的，给中标</w:t>
      </w:r>
      <w:r>
        <w:rPr>
          <w:rFonts w:hint="eastAsia" w:ascii="宋体" w:hAnsi="宋体" w:eastAsia="宋体" w:cs="宋体"/>
          <w:color w:val="auto"/>
          <w:szCs w:val="21"/>
          <w:highlight w:val="none"/>
          <w:lang w:eastAsia="zh-CN"/>
        </w:rPr>
        <w:t>人</w:t>
      </w:r>
      <w:r>
        <w:rPr>
          <w:rFonts w:hint="eastAsia" w:ascii="宋体" w:hAnsi="宋体" w:eastAsia="宋体" w:cs="宋体"/>
          <w:color w:val="auto"/>
          <w:szCs w:val="21"/>
          <w:highlight w:val="none"/>
        </w:rPr>
        <w:t>造成损失的，中标</w:t>
      </w:r>
      <w:r>
        <w:rPr>
          <w:rFonts w:hint="eastAsia" w:ascii="宋体" w:hAnsi="宋体" w:eastAsia="宋体" w:cs="宋体"/>
          <w:color w:val="auto"/>
          <w:szCs w:val="21"/>
          <w:highlight w:val="none"/>
          <w:lang w:eastAsia="zh-CN"/>
        </w:rPr>
        <w:t>人</w:t>
      </w:r>
      <w:r>
        <w:rPr>
          <w:rFonts w:hint="eastAsia" w:ascii="宋体" w:hAnsi="宋体" w:eastAsia="宋体" w:cs="宋体"/>
          <w:color w:val="auto"/>
          <w:szCs w:val="21"/>
          <w:highlight w:val="none"/>
        </w:rPr>
        <w:t>可追究采购人承担相应的法律责任。</w:t>
      </w:r>
    </w:p>
    <w:p w14:paraId="31EF34F6">
      <w:pPr>
        <w:keepNext w:val="0"/>
        <w:keepLines w:val="0"/>
        <w:pageBreakBefore w:val="0"/>
        <w:shd w:val="clear"/>
        <w:kinsoku/>
        <w:wordWrap/>
        <w:overflowPunct/>
        <w:topLinePunct w:val="0"/>
        <w:bidi w:val="0"/>
        <w:spacing w:line="43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36.5政府采购合同是政府采购项目验收的依据，中标</w:t>
      </w:r>
      <w:r>
        <w:rPr>
          <w:rFonts w:hint="eastAsia" w:ascii="宋体" w:hAnsi="宋体" w:eastAsia="宋体" w:cs="宋体"/>
          <w:color w:val="auto"/>
          <w:szCs w:val="21"/>
          <w:highlight w:val="none"/>
          <w:lang w:eastAsia="zh-CN"/>
        </w:rPr>
        <w:t>人</w:t>
      </w:r>
      <w:r>
        <w:rPr>
          <w:rFonts w:hint="eastAsia" w:ascii="宋体" w:hAnsi="宋体" w:eastAsia="宋体" w:cs="宋体"/>
          <w:color w:val="auto"/>
          <w:szCs w:val="21"/>
          <w:highlight w:val="none"/>
        </w:rPr>
        <w:t>和采购人应当按照采购合同约定的各自的权利和义务全面履行合同。任何一方当事人在履行合同过程中均不得擅自变更、中止或终止合同。政府采购合同继续履行将损害国家利益和社会公共利益的，双方当事人应当变更、中止或终止合同。有过错的一方应当承担赔偿责任，双方都有过错的，各自承担相应的责任。</w:t>
      </w:r>
    </w:p>
    <w:p w14:paraId="3B08A3A9">
      <w:pPr>
        <w:keepNext w:val="0"/>
        <w:keepLines w:val="0"/>
        <w:pageBreakBefore w:val="0"/>
        <w:shd w:val="clear"/>
        <w:kinsoku/>
        <w:wordWrap/>
        <w:overflowPunct/>
        <w:topLinePunct w:val="0"/>
        <w:bidi w:val="0"/>
        <w:spacing w:line="43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36.6采购人或中标</w:t>
      </w:r>
      <w:r>
        <w:rPr>
          <w:rFonts w:hint="eastAsia" w:ascii="宋体" w:hAnsi="宋体" w:eastAsia="宋体" w:cs="宋体"/>
          <w:color w:val="auto"/>
          <w:szCs w:val="21"/>
          <w:highlight w:val="none"/>
          <w:lang w:eastAsia="zh-CN"/>
        </w:rPr>
        <w:t>人</w:t>
      </w:r>
      <w:r>
        <w:rPr>
          <w:rFonts w:hint="eastAsia" w:ascii="宋体" w:hAnsi="宋体" w:eastAsia="宋体" w:cs="宋体"/>
          <w:color w:val="auto"/>
          <w:szCs w:val="21"/>
          <w:highlight w:val="none"/>
        </w:rPr>
        <w:t>不得单方面向合同另一方提出任何招标文件没有约定的条件或不合理的要求，作为签订合同的条件；也不得协商另行订立背离招标文件和合同实质性内容的协议。</w:t>
      </w:r>
    </w:p>
    <w:p w14:paraId="225A1DB8">
      <w:pPr>
        <w:keepNext w:val="0"/>
        <w:keepLines w:val="0"/>
        <w:pageBreakBefore w:val="0"/>
        <w:shd w:val="clear"/>
        <w:kinsoku/>
        <w:wordWrap/>
        <w:overflowPunct/>
        <w:topLinePunct w:val="0"/>
        <w:bidi w:val="0"/>
        <w:spacing w:line="43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36.7如签订合同并生效后，</w:t>
      </w:r>
      <w:r>
        <w:rPr>
          <w:rFonts w:hint="eastAsia" w:ascii="宋体" w:hAnsi="宋体" w:eastAsia="宋体" w:cs="宋体"/>
          <w:color w:val="auto"/>
          <w:szCs w:val="21"/>
          <w:highlight w:val="none"/>
          <w:lang w:eastAsia="zh-CN"/>
        </w:rPr>
        <w:t>中标人</w:t>
      </w:r>
      <w:r>
        <w:rPr>
          <w:rFonts w:hint="eastAsia" w:ascii="宋体" w:hAnsi="宋体" w:eastAsia="宋体" w:cs="宋体"/>
          <w:color w:val="auto"/>
          <w:szCs w:val="21"/>
          <w:highlight w:val="none"/>
        </w:rPr>
        <w:t>无故拒绝或延期，除按照合同条款处理外，将承担相应的法律责任。</w:t>
      </w:r>
    </w:p>
    <w:p w14:paraId="0A111EBD">
      <w:pPr>
        <w:keepNext w:val="0"/>
        <w:keepLines w:val="0"/>
        <w:pageBreakBefore w:val="0"/>
        <w:shd w:val="clear"/>
        <w:kinsoku/>
        <w:wordWrap/>
        <w:overflowPunct/>
        <w:topLinePunct w:val="0"/>
        <w:bidi w:val="0"/>
        <w:spacing w:line="430" w:lineRule="exact"/>
        <w:ind w:firstLine="480" w:firstLineChars="200"/>
        <w:rPr>
          <w:rFonts w:hint="eastAsia" w:ascii="宋体" w:hAnsi="宋体" w:eastAsia="宋体" w:cs="宋体"/>
          <w:color w:val="auto"/>
          <w:sz w:val="24"/>
          <w:highlight w:val="none"/>
        </w:rPr>
      </w:pPr>
      <w:bookmarkStart w:id="235" w:name="_41.政府采购合同公告"/>
      <w:bookmarkEnd w:id="235"/>
      <w:r>
        <w:rPr>
          <w:rFonts w:hint="eastAsia" w:ascii="宋体" w:hAnsi="宋体" w:eastAsia="宋体" w:cs="宋体"/>
          <w:color w:val="auto"/>
          <w:sz w:val="24"/>
          <w:highlight w:val="none"/>
        </w:rPr>
        <w:t>37.政府采购合同公告</w:t>
      </w:r>
    </w:p>
    <w:p w14:paraId="7AB1335C">
      <w:pPr>
        <w:keepNext w:val="0"/>
        <w:keepLines w:val="0"/>
        <w:pageBreakBefore w:val="0"/>
        <w:shd w:val="clear"/>
        <w:kinsoku/>
        <w:wordWrap/>
        <w:overflowPunct/>
        <w:topLinePunct w:val="0"/>
        <w:bidi w:val="0"/>
        <w:spacing w:line="430" w:lineRule="exact"/>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采购人应当自政府采购合同签订之日起2个工作日内，将政府采购合同</w:t>
      </w:r>
      <w:r>
        <w:rPr>
          <w:rFonts w:hint="eastAsia" w:ascii="宋体" w:hAnsi="宋体" w:eastAsia="宋体" w:cs="宋体"/>
          <w:bCs/>
          <w:color w:val="auto"/>
          <w:highlight w:val="none"/>
        </w:rPr>
        <w:t>在省级以上人民政府财政部门指定的媒体</w:t>
      </w:r>
      <w:r>
        <w:rPr>
          <w:rFonts w:hint="eastAsia" w:ascii="宋体" w:hAnsi="宋体" w:eastAsia="宋体" w:cs="宋体"/>
          <w:color w:val="auto"/>
          <w:highlight w:val="none"/>
        </w:rPr>
        <w:t>上公告，但政府采购合同中涉及国家秘密、商业秘密的内容除外。</w:t>
      </w:r>
    </w:p>
    <w:p w14:paraId="01906B67">
      <w:pPr>
        <w:keepNext w:val="0"/>
        <w:keepLines w:val="0"/>
        <w:pageBreakBefore w:val="0"/>
        <w:shd w:val="clear"/>
        <w:kinsoku/>
        <w:wordWrap/>
        <w:overflowPunct/>
        <w:topLinePunct w:val="0"/>
        <w:bidi w:val="0"/>
        <w:spacing w:line="43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38. 询问、质疑和投诉</w:t>
      </w:r>
    </w:p>
    <w:p w14:paraId="26731E41">
      <w:pPr>
        <w:keepNext w:val="0"/>
        <w:keepLines w:val="0"/>
        <w:pageBreakBefore w:val="0"/>
        <w:shd w:val="clear"/>
        <w:kinsoku/>
        <w:wordWrap/>
        <w:overflowPunct/>
        <w:topLinePunct w:val="0"/>
        <w:bidi w:val="0"/>
        <w:spacing w:line="430" w:lineRule="exact"/>
        <w:ind w:firstLine="422" w:firstLineChars="200"/>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38.1询问</w:t>
      </w:r>
    </w:p>
    <w:p w14:paraId="04B5DBC3">
      <w:pPr>
        <w:keepNext w:val="0"/>
        <w:keepLines w:val="0"/>
        <w:pageBreakBefore w:val="0"/>
        <w:shd w:val="clear"/>
        <w:kinsoku/>
        <w:wordWrap/>
        <w:overflowPunct/>
        <w:topLinePunct w:val="0"/>
        <w:bidi w:val="0"/>
        <w:spacing w:line="430" w:lineRule="exact"/>
        <w:ind w:firstLine="420" w:firstLineChars="200"/>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38.1.1供应商在开标前对政府采购活动事项有疑问的，可以向采购人或采购代理机构项目负责人提出询问。</w:t>
      </w:r>
    </w:p>
    <w:p w14:paraId="04E1339E">
      <w:pPr>
        <w:keepNext w:val="0"/>
        <w:keepLines w:val="0"/>
        <w:pageBreakBefore w:val="0"/>
        <w:shd w:val="clear"/>
        <w:kinsoku/>
        <w:wordWrap/>
        <w:overflowPunct/>
        <w:topLinePunct w:val="0"/>
        <w:bidi w:val="0"/>
        <w:spacing w:line="430" w:lineRule="exact"/>
        <w:ind w:firstLine="420" w:firstLineChars="200"/>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38.1.2采购人或采购人委托的采购代理机构自受理询问之日起3个工作日内对供应商依法提出的询问作出答复，</w:t>
      </w:r>
      <w:r>
        <w:rPr>
          <w:rFonts w:hint="eastAsia" w:ascii="宋体" w:hAnsi="宋体" w:eastAsia="宋体" w:cs="宋体"/>
          <w:color w:val="auto"/>
          <w:highlight w:val="none"/>
        </w:rPr>
        <w:t>但答复内容不得涉及商业秘密</w:t>
      </w:r>
      <w:r>
        <w:rPr>
          <w:rFonts w:hint="eastAsia" w:ascii="宋体" w:hAnsi="宋体" w:eastAsia="宋体" w:cs="宋体"/>
          <w:bCs/>
          <w:color w:val="auto"/>
          <w:szCs w:val="21"/>
          <w:highlight w:val="none"/>
        </w:rPr>
        <w:t>。</w:t>
      </w:r>
    </w:p>
    <w:p w14:paraId="37C6B5AF">
      <w:pPr>
        <w:keepNext w:val="0"/>
        <w:keepLines w:val="0"/>
        <w:pageBreakBefore w:val="0"/>
        <w:shd w:val="clear"/>
        <w:kinsoku/>
        <w:wordWrap/>
        <w:overflowPunct/>
        <w:topLinePunct w:val="0"/>
        <w:bidi w:val="0"/>
        <w:spacing w:line="430" w:lineRule="exact"/>
        <w:ind w:firstLine="420" w:firstLineChars="200"/>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38.1.3 询问事项可能影响中标结果的，采购人应当暂停签订合同，已经签订合同的，应当中止履行合同。</w:t>
      </w:r>
    </w:p>
    <w:p w14:paraId="638FD317">
      <w:pPr>
        <w:keepNext w:val="0"/>
        <w:keepLines w:val="0"/>
        <w:pageBreakBefore w:val="0"/>
        <w:shd w:val="clear"/>
        <w:kinsoku/>
        <w:wordWrap/>
        <w:overflowPunct/>
        <w:topLinePunct w:val="0"/>
        <w:bidi w:val="0"/>
        <w:spacing w:line="430" w:lineRule="exact"/>
        <w:ind w:firstLine="422" w:firstLineChars="200"/>
        <w:rPr>
          <w:rFonts w:hint="eastAsia" w:ascii="宋体" w:hAnsi="宋体" w:eastAsia="宋体" w:cs="宋体"/>
          <w:color w:val="auto"/>
          <w:szCs w:val="21"/>
          <w:highlight w:val="none"/>
        </w:rPr>
      </w:pPr>
      <w:r>
        <w:rPr>
          <w:rFonts w:hint="eastAsia" w:ascii="宋体" w:hAnsi="宋体" w:eastAsia="宋体" w:cs="宋体"/>
          <w:b/>
          <w:color w:val="auto"/>
          <w:szCs w:val="21"/>
          <w:highlight w:val="none"/>
        </w:rPr>
        <w:t xml:space="preserve"> </w:t>
      </w:r>
      <w:r>
        <w:rPr>
          <w:rFonts w:hint="eastAsia" w:ascii="宋体" w:hAnsi="宋体" w:eastAsia="宋体" w:cs="宋体"/>
          <w:color w:val="auto"/>
          <w:szCs w:val="21"/>
          <w:highlight w:val="none"/>
        </w:rPr>
        <w:t>38.2质疑</w:t>
      </w:r>
    </w:p>
    <w:p w14:paraId="40DA0996">
      <w:pPr>
        <w:keepNext w:val="0"/>
        <w:keepLines w:val="0"/>
        <w:pageBreakBefore w:val="0"/>
        <w:shd w:val="clear"/>
        <w:kinsoku/>
        <w:wordWrap/>
        <w:overflowPunct/>
        <w:topLinePunct w:val="0"/>
        <w:bidi w:val="0"/>
        <w:spacing w:line="430" w:lineRule="exact"/>
        <w:ind w:firstLine="422" w:firstLineChars="200"/>
        <w:rPr>
          <w:rFonts w:hint="eastAsia" w:ascii="宋体" w:hAnsi="宋体" w:eastAsia="宋体" w:cs="宋体"/>
          <w:b/>
          <w:color w:val="auto"/>
          <w:szCs w:val="21"/>
          <w:highlight w:val="none"/>
        </w:rPr>
      </w:pPr>
      <w:r>
        <w:rPr>
          <w:rFonts w:hint="eastAsia" w:ascii="宋体" w:hAnsi="宋体" w:eastAsia="宋体" w:cs="宋体"/>
          <w:b/>
          <w:bCs/>
          <w:color w:val="auto"/>
          <w:szCs w:val="21"/>
          <w:highlight w:val="none"/>
        </w:rPr>
        <w:t>38.2.1</w:t>
      </w:r>
      <w:r>
        <w:rPr>
          <w:rFonts w:hint="eastAsia" w:ascii="宋体" w:hAnsi="宋体" w:eastAsia="宋体" w:cs="宋体"/>
          <w:b/>
          <w:color w:val="auto"/>
          <w:szCs w:val="21"/>
          <w:highlight w:val="none"/>
        </w:rPr>
        <w:t>供应商认为招标文件、采购过程或者中标结果使自己的合法权益受到损害的，必须在知道或者应知其权益受到损害之日起7个工作日内，以书面形式向采购人</w:t>
      </w:r>
      <w:r>
        <w:rPr>
          <w:rFonts w:hint="eastAsia" w:ascii="宋体" w:hAnsi="宋体" w:eastAsia="宋体" w:cs="宋体"/>
          <w:b/>
          <w:color w:val="auto"/>
          <w:szCs w:val="21"/>
          <w:highlight w:val="none"/>
          <w:lang w:eastAsia="zh-CN"/>
        </w:rPr>
        <w:t>或</w:t>
      </w:r>
      <w:r>
        <w:rPr>
          <w:rFonts w:hint="eastAsia" w:ascii="宋体" w:hAnsi="宋体" w:eastAsia="宋体" w:cs="宋体"/>
          <w:b/>
          <w:color w:val="auto"/>
          <w:szCs w:val="21"/>
          <w:highlight w:val="none"/>
        </w:rPr>
        <w:t xml:space="preserve">采购代理机构提出质疑，质疑有效期结束后，采购人或采购代理机构不再受理该项目质疑。采购人、采购代理机构接收质疑函的方式、联系部门、联系电话和通讯地址等信息详见“投标人须知前附表”。具体质疑起算时间及处理方式如下： </w:t>
      </w:r>
    </w:p>
    <w:p w14:paraId="37CCC188">
      <w:pPr>
        <w:keepNext w:val="0"/>
        <w:keepLines w:val="0"/>
        <w:pageBreakBefore w:val="0"/>
        <w:shd w:val="clear"/>
        <w:kinsoku/>
        <w:wordWrap/>
        <w:overflowPunct/>
        <w:topLinePunct w:val="0"/>
        <w:bidi w:val="0"/>
        <w:spacing w:line="430" w:lineRule="exact"/>
        <w:ind w:firstLine="420" w:firstLineChars="200"/>
        <w:rPr>
          <w:rFonts w:hint="eastAsia" w:ascii="宋体" w:hAnsi="宋体" w:eastAsia="宋体" w:cs="宋体"/>
          <w:bCs/>
          <w:color w:val="auto"/>
          <w:highlight w:val="none"/>
        </w:rPr>
      </w:pPr>
      <w:r>
        <w:rPr>
          <w:rFonts w:hint="eastAsia" w:ascii="宋体" w:hAnsi="宋体" w:eastAsia="宋体" w:cs="宋体"/>
          <w:bCs/>
          <w:color w:val="auto"/>
          <w:highlight w:val="none"/>
        </w:rPr>
        <w:t>（1）潜在供应商依法获取招标文件后，认为采购文件使自己的权益受到损害的，应当在招标文件公告期限届满之日起7个工作日内提出质疑。</w:t>
      </w:r>
      <w:r>
        <w:rPr>
          <w:rFonts w:hint="eastAsia" w:ascii="宋体" w:hAnsi="宋体" w:eastAsia="宋体" w:cs="宋体"/>
          <w:color w:val="auto"/>
          <w:highlight w:val="none"/>
        </w:rPr>
        <w:t>委托代理协议无特殊约定的，</w:t>
      </w:r>
      <w:r>
        <w:rPr>
          <w:rFonts w:hint="eastAsia" w:ascii="宋体" w:hAnsi="宋体" w:eastAsia="宋体" w:cs="宋体"/>
          <w:bCs/>
          <w:color w:val="auto"/>
          <w:highlight w:val="none"/>
        </w:rPr>
        <w:t>对招标文件中采购需求（含资格要求、采购预算和评分办法）的质疑由采购人受理并负责答复；对招标文件中的采购执行程序的质疑由采购代理机构受理并负责答复。</w:t>
      </w:r>
    </w:p>
    <w:p w14:paraId="32DC3C2C">
      <w:pPr>
        <w:keepNext w:val="0"/>
        <w:keepLines w:val="0"/>
        <w:pageBreakBefore w:val="0"/>
        <w:shd w:val="clear"/>
        <w:kinsoku/>
        <w:wordWrap/>
        <w:overflowPunct/>
        <w:topLinePunct w:val="0"/>
        <w:bidi w:val="0"/>
        <w:spacing w:line="430" w:lineRule="exact"/>
        <w:ind w:firstLine="420" w:firstLineChars="200"/>
        <w:rPr>
          <w:rFonts w:hint="eastAsia" w:ascii="宋体" w:hAnsi="宋体" w:eastAsia="宋体" w:cs="宋体"/>
          <w:bCs/>
          <w:color w:val="auto"/>
          <w:highlight w:val="none"/>
        </w:rPr>
      </w:pPr>
      <w:r>
        <w:rPr>
          <w:rFonts w:hint="eastAsia" w:ascii="宋体" w:hAnsi="宋体" w:eastAsia="宋体" w:cs="宋体"/>
          <w:bCs/>
          <w:color w:val="auto"/>
          <w:highlight w:val="none"/>
        </w:rPr>
        <w:t>（2）供应商认为采购过程使自己的权益受到损害的，应当在各采购程序环节结束之日起7个工作日内提出质疑。对采购过程中资格审查、符合性审查等具体评审情况的质疑应向采购人或</w:t>
      </w:r>
      <w:r>
        <w:rPr>
          <w:rFonts w:hint="eastAsia" w:ascii="宋体" w:hAnsi="宋体" w:eastAsia="宋体" w:cs="宋体"/>
          <w:bCs/>
          <w:color w:val="auto"/>
          <w:highlight w:val="none"/>
          <w:lang w:eastAsia="zh-CN"/>
        </w:rPr>
        <w:t>采购</w:t>
      </w:r>
      <w:r>
        <w:rPr>
          <w:rFonts w:hint="eastAsia" w:ascii="宋体" w:hAnsi="宋体" w:eastAsia="宋体" w:cs="宋体"/>
          <w:bCs/>
          <w:color w:val="auto"/>
          <w:highlight w:val="none"/>
        </w:rPr>
        <w:t>代理机构提出，由采购人或</w:t>
      </w:r>
      <w:r>
        <w:rPr>
          <w:rFonts w:hint="eastAsia" w:ascii="宋体" w:hAnsi="宋体" w:eastAsia="宋体" w:cs="宋体"/>
          <w:bCs/>
          <w:color w:val="auto"/>
          <w:highlight w:val="none"/>
          <w:lang w:eastAsia="zh-CN"/>
        </w:rPr>
        <w:t>采购</w:t>
      </w:r>
      <w:r>
        <w:rPr>
          <w:rFonts w:hint="eastAsia" w:ascii="宋体" w:hAnsi="宋体" w:eastAsia="宋体" w:cs="宋体"/>
          <w:bCs/>
          <w:color w:val="auto"/>
          <w:highlight w:val="none"/>
        </w:rPr>
        <w:t>代理机构受理并负责答复；对采购过程中采购执行程序的质疑由采购代理机构受理并负责答复。</w:t>
      </w:r>
    </w:p>
    <w:p w14:paraId="4160C6CA">
      <w:pPr>
        <w:keepNext w:val="0"/>
        <w:keepLines w:val="0"/>
        <w:pageBreakBefore w:val="0"/>
        <w:shd w:val="clear"/>
        <w:kinsoku/>
        <w:wordWrap/>
        <w:overflowPunct/>
        <w:topLinePunct w:val="0"/>
        <w:bidi w:val="0"/>
        <w:spacing w:line="430" w:lineRule="exact"/>
        <w:ind w:firstLine="420" w:firstLineChars="200"/>
        <w:rPr>
          <w:rFonts w:hint="eastAsia" w:ascii="宋体" w:hAnsi="宋体" w:eastAsia="宋体" w:cs="宋体"/>
          <w:bCs/>
          <w:color w:val="auto"/>
          <w:highlight w:val="none"/>
        </w:rPr>
      </w:pPr>
      <w:r>
        <w:rPr>
          <w:rFonts w:hint="eastAsia" w:ascii="宋体" w:hAnsi="宋体" w:eastAsia="宋体" w:cs="宋体"/>
          <w:bCs/>
          <w:color w:val="auto"/>
          <w:highlight w:val="none"/>
        </w:rPr>
        <w:t>（3）供应商认为中标或者成交结果使自己的权益受到损害的，应当在中标或者成交结果公告期限届满之日起7个工作日内提出质疑，由采购人受理并负责答复。</w:t>
      </w:r>
    </w:p>
    <w:p w14:paraId="32373B21">
      <w:pPr>
        <w:keepNext w:val="0"/>
        <w:keepLines w:val="0"/>
        <w:pageBreakBefore w:val="0"/>
        <w:shd w:val="clear"/>
        <w:kinsoku/>
        <w:wordWrap/>
        <w:overflowPunct/>
        <w:topLinePunct w:val="0"/>
        <w:bidi w:val="0"/>
        <w:spacing w:line="430" w:lineRule="exact"/>
        <w:ind w:firstLine="422" w:firstLineChars="200"/>
        <w:rPr>
          <w:rFonts w:hint="eastAsia" w:ascii="宋体" w:hAnsi="宋体" w:eastAsia="宋体" w:cs="宋体"/>
          <w:bCs/>
          <w:color w:val="auto"/>
          <w:szCs w:val="21"/>
          <w:highlight w:val="none"/>
        </w:rPr>
      </w:pPr>
      <w:r>
        <w:rPr>
          <w:rFonts w:hint="eastAsia" w:ascii="宋体" w:hAnsi="宋体" w:eastAsia="宋体" w:cs="宋体"/>
          <w:b/>
          <w:bCs/>
          <w:color w:val="auto"/>
          <w:szCs w:val="21"/>
          <w:highlight w:val="none"/>
        </w:rPr>
        <w:t>38.2.2</w:t>
      </w:r>
      <w:r>
        <w:rPr>
          <w:rFonts w:hint="eastAsia" w:ascii="宋体" w:hAnsi="宋体" w:eastAsia="宋体" w:cs="宋体"/>
          <w:bCs/>
          <w:color w:val="auto"/>
          <w:szCs w:val="21"/>
          <w:highlight w:val="none"/>
        </w:rPr>
        <w:t>供应商质疑实行实名制，其质疑应当有具体的质疑事项及事实根据，质疑应当坚持依法依规、诚实信用原则，不得进行虚假、恶意质疑。</w:t>
      </w:r>
    </w:p>
    <w:p w14:paraId="48CE7802">
      <w:pPr>
        <w:keepNext w:val="0"/>
        <w:keepLines w:val="0"/>
        <w:pageBreakBefore w:val="0"/>
        <w:shd w:val="clear"/>
        <w:kinsoku/>
        <w:wordWrap/>
        <w:overflowPunct/>
        <w:topLinePunct w:val="0"/>
        <w:bidi w:val="0"/>
        <w:spacing w:line="430" w:lineRule="exact"/>
        <w:ind w:firstLine="422" w:firstLineChars="200"/>
        <w:rPr>
          <w:rFonts w:hint="eastAsia" w:ascii="宋体" w:hAnsi="宋体" w:eastAsia="宋体" w:cs="宋体"/>
          <w:bCs/>
          <w:color w:val="auto"/>
          <w:highlight w:val="none"/>
        </w:rPr>
      </w:pPr>
      <w:r>
        <w:rPr>
          <w:rFonts w:hint="eastAsia" w:ascii="宋体" w:hAnsi="宋体" w:eastAsia="宋体" w:cs="宋体"/>
          <w:b/>
          <w:bCs/>
          <w:color w:val="auto"/>
          <w:highlight w:val="none"/>
        </w:rPr>
        <w:t>38.2.3</w:t>
      </w:r>
      <w:r>
        <w:rPr>
          <w:rFonts w:hint="eastAsia" w:ascii="宋体" w:hAnsi="宋体" w:eastAsia="宋体" w:cs="宋体"/>
          <w:bCs/>
          <w:color w:val="auto"/>
          <w:highlight w:val="none"/>
        </w:rPr>
        <w:t xml:space="preserve"> 质疑供应商可以委托代理人办理质疑事务。委托代理人应熟悉相关业务情况。代理人办理质疑事务时，除提交质疑书外，还应当提交质疑供应商的授权委托书和委托代理人身份证明复印件</w:t>
      </w:r>
      <w:r>
        <w:rPr>
          <w:rFonts w:hint="eastAsia" w:ascii="宋体" w:hAnsi="宋体" w:eastAsia="宋体" w:cs="宋体"/>
          <w:color w:val="auto"/>
          <w:highlight w:val="none"/>
        </w:rPr>
        <w:t>。</w:t>
      </w:r>
    </w:p>
    <w:p w14:paraId="3EA5CF73">
      <w:pPr>
        <w:keepNext w:val="0"/>
        <w:keepLines w:val="0"/>
        <w:pageBreakBefore w:val="0"/>
        <w:shd w:val="clear"/>
        <w:kinsoku/>
        <w:wordWrap/>
        <w:overflowPunct/>
        <w:topLinePunct w:val="0"/>
        <w:bidi w:val="0"/>
        <w:spacing w:line="430" w:lineRule="exact"/>
        <w:ind w:firstLine="422" w:firstLineChars="200"/>
        <w:rPr>
          <w:rFonts w:hint="eastAsia" w:ascii="宋体" w:hAnsi="宋体" w:eastAsia="宋体" w:cs="宋体"/>
          <w:b/>
          <w:bCs/>
          <w:color w:val="auto"/>
          <w:highlight w:val="none"/>
        </w:rPr>
      </w:pPr>
      <w:r>
        <w:rPr>
          <w:rFonts w:hint="eastAsia" w:ascii="宋体" w:hAnsi="宋体" w:eastAsia="宋体" w:cs="宋体"/>
          <w:b/>
          <w:bCs/>
          <w:color w:val="auto"/>
          <w:highlight w:val="none"/>
        </w:rPr>
        <w:t>38.2.4 质疑供应商提起质疑应当符合下列条件：</w:t>
      </w:r>
    </w:p>
    <w:p w14:paraId="05AF1A2A">
      <w:pPr>
        <w:keepNext w:val="0"/>
        <w:keepLines w:val="0"/>
        <w:pageBreakBefore w:val="0"/>
        <w:shd w:val="clear"/>
        <w:kinsoku/>
        <w:wordWrap/>
        <w:overflowPunct/>
        <w:topLinePunct w:val="0"/>
        <w:bidi w:val="0"/>
        <w:spacing w:line="430" w:lineRule="exact"/>
        <w:ind w:firstLine="420" w:firstLineChars="200"/>
        <w:rPr>
          <w:rFonts w:hint="eastAsia" w:ascii="宋体" w:hAnsi="宋体" w:eastAsia="宋体" w:cs="宋体"/>
          <w:bCs/>
          <w:color w:val="auto"/>
          <w:highlight w:val="none"/>
        </w:rPr>
      </w:pPr>
      <w:r>
        <w:rPr>
          <w:rFonts w:hint="eastAsia" w:ascii="宋体" w:hAnsi="宋体" w:eastAsia="宋体" w:cs="宋体"/>
          <w:bCs/>
          <w:color w:val="auto"/>
          <w:highlight w:val="none"/>
        </w:rPr>
        <w:t>（1）质疑供应商是参与所质疑</w:t>
      </w:r>
      <w:r>
        <w:rPr>
          <w:rFonts w:hint="eastAsia" w:ascii="宋体" w:hAnsi="宋体" w:eastAsia="宋体" w:cs="宋体"/>
          <w:bCs/>
          <w:color w:val="auto"/>
          <w:szCs w:val="21"/>
          <w:highlight w:val="none"/>
        </w:rPr>
        <w:t>项目</w:t>
      </w:r>
      <w:r>
        <w:rPr>
          <w:rFonts w:hint="eastAsia" w:ascii="宋体" w:hAnsi="宋体" w:eastAsia="宋体" w:cs="宋体"/>
          <w:bCs/>
          <w:color w:val="auto"/>
          <w:highlight w:val="none"/>
        </w:rPr>
        <w:t>采购活动的供应商（潜在供应商已依法获取可</w:t>
      </w:r>
      <w:r>
        <w:rPr>
          <w:rFonts w:hint="eastAsia" w:ascii="宋体" w:hAnsi="宋体" w:eastAsia="宋体" w:cs="宋体"/>
          <w:bCs/>
          <w:color w:val="auto"/>
          <w:highlight w:val="none"/>
          <w:lang w:eastAsia="zh-CN"/>
        </w:rPr>
        <w:t>质疑</w:t>
      </w:r>
      <w:r>
        <w:rPr>
          <w:rFonts w:hint="eastAsia" w:ascii="宋体" w:hAnsi="宋体" w:eastAsia="宋体" w:cs="宋体"/>
          <w:bCs/>
          <w:color w:val="auto"/>
          <w:highlight w:val="none"/>
        </w:rPr>
        <w:t>的采购文件的，可以对该采购文件质疑）；</w:t>
      </w:r>
    </w:p>
    <w:p w14:paraId="2646D77B">
      <w:pPr>
        <w:keepNext w:val="0"/>
        <w:keepLines w:val="0"/>
        <w:pageBreakBefore w:val="0"/>
        <w:shd w:val="clear"/>
        <w:kinsoku/>
        <w:wordWrap/>
        <w:overflowPunct/>
        <w:topLinePunct w:val="0"/>
        <w:bidi w:val="0"/>
        <w:spacing w:line="430" w:lineRule="exact"/>
        <w:ind w:firstLine="420" w:firstLineChars="200"/>
        <w:rPr>
          <w:rFonts w:hint="eastAsia" w:ascii="宋体" w:hAnsi="宋体" w:eastAsia="宋体" w:cs="宋体"/>
          <w:bCs/>
          <w:color w:val="auto"/>
          <w:highlight w:val="none"/>
        </w:rPr>
      </w:pPr>
      <w:r>
        <w:rPr>
          <w:rFonts w:hint="eastAsia" w:ascii="宋体" w:hAnsi="宋体" w:eastAsia="宋体" w:cs="宋体"/>
          <w:bCs/>
          <w:color w:val="auto"/>
          <w:highlight w:val="none"/>
        </w:rPr>
        <w:t>（2）质疑函内容符合本章第38.2.5项的规定；</w:t>
      </w:r>
    </w:p>
    <w:p w14:paraId="1E289E93">
      <w:pPr>
        <w:keepNext w:val="0"/>
        <w:keepLines w:val="0"/>
        <w:pageBreakBefore w:val="0"/>
        <w:shd w:val="clear"/>
        <w:kinsoku/>
        <w:wordWrap/>
        <w:overflowPunct/>
        <w:topLinePunct w:val="0"/>
        <w:bidi w:val="0"/>
        <w:spacing w:line="430" w:lineRule="exact"/>
        <w:ind w:firstLine="420" w:firstLineChars="200"/>
        <w:rPr>
          <w:rFonts w:hint="eastAsia" w:ascii="宋体" w:hAnsi="宋体" w:eastAsia="宋体" w:cs="宋体"/>
          <w:bCs/>
          <w:color w:val="auto"/>
          <w:highlight w:val="none"/>
        </w:rPr>
      </w:pPr>
      <w:r>
        <w:rPr>
          <w:rFonts w:hint="eastAsia" w:ascii="宋体" w:hAnsi="宋体" w:eastAsia="宋体" w:cs="宋体"/>
          <w:bCs/>
          <w:color w:val="auto"/>
          <w:highlight w:val="none"/>
        </w:rPr>
        <w:t>（3）在质疑有效期限内提起质疑；</w:t>
      </w:r>
    </w:p>
    <w:p w14:paraId="210C2EE1">
      <w:pPr>
        <w:keepNext w:val="0"/>
        <w:keepLines w:val="0"/>
        <w:pageBreakBefore w:val="0"/>
        <w:shd w:val="clear"/>
        <w:kinsoku/>
        <w:wordWrap/>
        <w:overflowPunct/>
        <w:topLinePunct w:val="0"/>
        <w:bidi w:val="0"/>
        <w:spacing w:line="430" w:lineRule="exact"/>
        <w:ind w:firstLine="420" w:firstLineChars="200"/>
        <w:rPr>
          <w:rFonts w:hint="eastAsia" w:ascii="宋体" w:hAnsi="宋体" w:eastAsia="宋体" w:cs="宋体"/>
          <w:bCs/>
          <w:color w:val="auto"/>
          <w:highlight w:val="none"/>
        </w:rPr>
      </w:pPr>
      <w:r>
        <w:rPr>
          <w:rFonts w:hint="eastAsia" w:ascii="宋体" w:hAnsi="宋体" w:eastAsia="宋体" w:cs="宋体"/>
          <w:bCs/>
          <w:color w:val="auto"/>
          <w:highlight w:val="none"/>
        </w:rPr>
        <w:t>（4）属于所质疑的采购人或采购人委托的采购代理机构组织的采购活动；</w:t>
      </w:r>
    </w:p>
    <w:p w14:paraId="3A661809">
      <w:pPr>
        <w:keepNext w:val="0"/>
        <w:keepLines w:val="0"/>
        <w:pageBreakBefore w:val="0"/>
        <w:shd w:val="clear"/>
        <w:kinsoku/>
        <w:wordWrap/>
        <w:overflowPunct/>
        <w:topLinePunct w:val="0"/>
        <w:bidi w:val="0"/>
        <w:spacing w:line="430" w:lineRule="exact"/>
        <w:ind w:firstLine="420" w:firstLineChars="200"/>
        <w:rPr>
          <w:rFonts w:hint="eastAsia" w:ascii="宋体" w:hAnsi="宋体" w:eastAsia="宋体" w:cs="宋体"/>
          <w:bCs/>
          <w:color w:val="auto"/>
          <w:highlight w:val="none"/>
        </w:rPr>
      </w:pPr>
      <w:r>
        <w:rPr>
          <w:rFonts w:hint="eastAsia" w:ascii="宋体" w:hAnsi="宋体" w:eastAsia="宋体" w:cs="宋体"/>
          <w:bCs/>
          <w:color w:val="auto"/>
          <w:highlight w:val="none"/>
        </w:rPr>
        <w:t>（</w:t>
      </w:r>
      <w:r>
        <w:rPr>
          <w:rFonts w:hint="eastAsia" w:ascii="宋体" w:hAnsi="宋体" w:eastAsia="宋体" w:cs="宋体"/>
          <w:bCs/>
          <w:color w:val="auto"/>
          <w:highlight w:val="none"/>
          <w:lang w:val="en-US" w:eastAsia="zh-CN"/>
        </w:rPr>
        <w:t>5</w:t>
      </w:r>
      <w:r>
        <w:rPr>
          <w:rFonts w:hint="eastAsia" w:ascii="宋体" w:hAnsi="宋体" w:eastAsia="宋体" w:cs="宋体"/>
          <w:bCs/>
          <w:color w:val="auto"/>
          <w:highlight w:val="none"/>
        </w:rPr>
        <w:t>）供应商对同一采购程序环节的质疑应当在质疑有效期内一次性提出；</w:t>
      </w:r>
    </w:p>
    <w:p w14:paraId="01A6F37C">
      <w:pPr>
        <w:keepNext w:val="0"/>
        <w:keepLines w:val="0"/>
        <w:pageBreakBefore w:val="0"/>
        <w:shd w:val="clear"/>
        <w:kinsoku/>
        <w:wordWrap/>
        <w:overflowPunct/>
        <w:topLinePunct w:val="0"/>
        <w:bidi w:val="0"/>
        <w:spacing w:line="430" w:lineRule="exact"/>
        <w:ind w:firstLine="420" w:firstLineChars="200"/>
        <w:rPr>
          <w:rFonts w:hint="eastAsia" w:ascii="宋体" w:hAnsi="宋体" w:eastAsia="宋体" w:cs="宋体"/>
          <w:bCs/>
          <w:color w:val="auto"/>
          <w:highlight w:val="none"/>
        </w:rPr>
      </w:pPr>
      <w:r>
        <w:rPr>
          <w:rFonts w:hint="eastAsia" w:ascii="宋体" w:hAnsi="宋体" w:eastAsia="宋体" w:cs="宋体"/>
          <w:bCs/>
          <w:color w:val="auto"/>
          <w:highlight w:val="none"/>
        </w:rPr>
        <w:t>（</w:t>
      </w:r>
      <w:r>
        <w:rPr>
          <w:rFonts w:hint="eastAsia" w:ascii="宋体" w:hAnsi="宋体" w:eastAsia="宋体" w:cs="宋体"/>
          <w:bCs/>
          <w:color w:val="auto"/>
          <w:highlight w:val="none"/>
          <w:lang w:val="en-US" w:eastAsia="zh-CN"/>
        </w:rPr>
        <w:t>6</w:t>
      </w:r>
      <w:r>
        <w:rPr>
          <w:rFonts w:hint="eastAsia" w:ascii="宋体" w:hAnsi="宋体" w:eastAsia="宋体" w:cs="宋体"/>
          <w:bCs/>
          <w:color w:val="auto"/>
          <w:highlight w:val="none"/>
        </w:rPr>
        <w:t>）供应商提交质疑应当提交必要的证明材料，证明材料应以合法手段取得；</w:t>
      </w:r>
    </w:p>
    <w:p w14:paraId="47B33CAA">
      <w:pPr>
        <w:keepNext w:val="0"/>
        <w:keepLines w:val="0"/>
        <w:pageBreakBefore w:val="0"/>
        <w:shd w:val="clear"/>
        <w:kinsoku/>
        <w:wordWrap/>
        <w:overflowPunct/>
        <w:topLinePunct w:val="0"/>
        <w:bidi w:val="0"/>
        <w:spacing w:line="430" w:lineRule="exact"/>
        <w:ind w:firstLine="420" w:firstLineChars="200"/>
        <w:rPr>
          <w:rFonts w:hint="eastAsia" w:ascii="宋体" w:hAnsi="宋体" w:eastAsia="宋体" w:cs="宋体"/>
          <w:color w:val="auto"/>
          <w:highlight w:val="none"/>
        </w:rPr>
      </w:pPr>
      <w:r>
        <w:rPr>
          <w:rFonts w:hint="eastAsia" w:ascii="宋体" w:hAnsi="宋体" w:eastAsia="宋体" w:cs="宋体"/>
          <w:bCs/>
          <w:color w:val="auto"/>
          <w:highlight w:val="none"/>
        </w:rPr>
        <w:t>（</w:t>
      </w:r>
      <w:r>
        <w:rPr>
          <w:rFonts w:hint="eastAsia" w:ascii="宋体" w:hAnsi="宋体" w:eastAsia="宋体" w:cs="宋体"/>
          <w:bCs/>
          <w:color w:val="auto"/>
          <w:highlight w:val="none"/>
          <w:lang w:val="en-US" w:eastAsia="zh-CN"/>
        </w:rPr>
        <w:t>7</w:t>
      </w:r>
      <w:r>
        <w:rPr>
          <w:rFonts w:hint="eastAsia" w:ascii="宋体" w:hAnsi="宋体" w:eastAsia="宋体" w:cs="宋体"/>
          <w:bCs/>
          <w:color w:val="auto"/>
          <w:highlight w:val="none"/>
        </w:rPr>
        <w:t>）财政部门规定的其他条件。</w:t>
      </w:r>
    </w:p>
    <w:p w14:paraId="21B68994">
      <w:pPr>
        <w:keepNext w:val="0"/>
        <w:keepLines w:val="0"/>
        <w:pageBreakBefore w:val="0"/>
        <w:shd w:val="clear"/>
        <w:kinsoku/>
        <w:wordWrap/>
        <w:overflowPunct/>
        <w:topLinePunct w:val="0"/>
        <w:bidi w:val="0"/>
        <w:spacing w:line="430" w:lineRule="exact"/>
        <w:ind w:firstLine="422" w:firstLineChars="200"/>
        <w:rPr>
          <w:rFonts w:hint="eastAsia" w:ascii="宋体" w:hAnsi="宋体" w:eastAsia="宋体" w:cs="宋体"/>
          <w:b/>
          <w:bCs/>
          <w:color w:val="auto"/>
          <w:szCs w:val="21"/>
          <w:highlight w:val="none"/>
        </w:rPr>
      </w:pPr>
      <w:bookmarkStart w:id="236" w:name="_9.2质疑、投诉应当采用书面形式，质疑函、投诉书均应明确阐述招标文件、"/>
      <w:bookmarkEnd w:id="236"/>
      <w:r>
        <w:rPr>
          <w:rFonts w:hint="eastAsia" w:ascii="宋体" w:hAnsi="宋体" w:eastAsia="宋体" w:cs="宋体"/>
          <w:b/>
          <w:bCs/>
          <w:color w:val="auto"/>
          <w:szCs w:val="21"/>
          <w:highlight w:val="none"/>
        </w:rPr>
        <w:t xml:space="preserve"> 38.2.5 </w:t>
      </w:r>
      <w:r>
        <w:rPr>
          <w:rFonts w:hint="eastAsia" w:ascii="宋体" w:hAnsi="宋体" w:eastAsia="宋体" w:cs="宋体"/>
          <w:b/>
          <w:bCs/>
          <w:color w:val="auto"/>
          <w:highlight w:val="none"/>
        </w:rPr>
        <w:t>供应商提出质疑应当提交质疑函和必要的证明材料，针对同一采购程序环节的质疑必须在法定质疑期内一次性提出。质疑函应当包括下列内容（质疑函格式后附）：</w:t>
      </w:r>
    </w:p>
    <w:p w14:paraId="28D0DA62">
      <w:pPr>
        <w:keepNext w:val="0"/>
        <w:keepLines w:val="0"/>
        <w:pageBreakBefore w:val="0"/>
        <w:shd w:val="clear"/>
        <w:kinsoku/>
        <w:wordWrap/>
        <w:overflowPunct/>
        <w:topLinePunct w:val="0"/>
        <w:bidi w:val="0"/>
        <w:spacing w:line="430" w:lineRule="exact"/>
        <w:ind w:firstLine="420" w:firstLineChars="200"/>
        <w:rPr>
          <w:rFonts w:hint="eastAsia" w:ascii="宋体" w:hAnsi="宋体" w:eastAsia="宋体" w:cs="宋体"/>
          <w:bCs/>
          <w:color w:val="auto"/>
          <w:highlight w:val="none"/>
        </w:rPr>
      </w:pPr>
      <w:r>
        <w:rPr>
          <w:rFonts w:hint="eastAsia" w:ascii="宋体" w:hAnsi="宋体" w:eastAsia="宋体" w:cs="宋体"/>
          <w:bCs/>
          <w:color w:val="auto"/>
          <w:highlight w:val="none"/>
        </w:rPr>
        <w:t>（1）供应商的姓名或者名称、地址、邮编、联系人及联系电话；</w:t>
      </w:r>
    </w:p>
    <w:p w14:paraId="79D606A4">
      <w:pPr>
        <w:keepNext w:val="0"/>
        <w:keepLines w:val="0"/>
        <w:pageBreakBefore w:val="0"/>
        <w:shd w:val="clear"/>
        <w:kinsoku/>
        <w:wordWrap/>
        <w:overflowPunct/>
        <w:topLinePunct w:val="0"/>
        <w:bidi w:val="0"/>
        <w:spacing w:line="430" w:lineRule="exact"/>
        <w:ind w:firstLine="420" w:firstLineChars="200"/>
        <w:rPr>
          <w:rFonts w:hint="eastAsia" w:ascii="宋体" w:hAnsi="宋体" w:eastAsia="宋体" w:cs="宋体"/>
          <w:bCs/>
          <w:color w:val="auto"/>
          <w:highlight w:val="none"/>
        </w:rPr>
      </w:pPr>
      <w:r>
        <w:rPr>
          <w:rFonts w:hint="eastAsia" w:ascii="宋体" w:hAnsi="宋体" w:eastAsia="宋体" w:cs="宋体"/>
          <w:bCs/>
          <w:color w:val="auto"/>
          <w:highlight w:val="none"/>
        </w:rPr>
        <w:t>（2）质疑项目的名称、编号；</w:t>
      </w:r>
    </w:p>
    <w:p w14:paraId="7D9AB429">
      <w:pPr>
        <w:keepNext w:val="0"/>
        <w:keepLines w:val="0"/>
        <w:pageBreakBefore w:val="0"/>
        <w:shd w:val="clear"/>
        <w:kinsoku/>
        <w:wordWrap/>
        <w:overflowPunct/>
        <w:topLinePunct w:val="0"/>
        <w:bidi w:val="0"/>
        <w:spacing w:line="430" w:lineRule="exact"/>
        <w:ind w:firstLine="420" w:firstLineChars="200"/>
        <w:rPr>
          <w:rFonts w:hint="eastAsia" w:ascii="宋体" w:hAnsi="宋体" w:eastAsia="宋体" w:cs="宋体"/>
          <w:bCs/>
          <w:color w:val="auto"/>
          <w:highlight w:val="none"/>
        </w:rPr>
      </w:pPr>
      <w:r>
        <w:rPr>
          <w:rFonts w:hint="eastAsia" w:ascii="宋体" w:hAnsi="宋体" w:eastAsia="宋体" w:cs="宋体"/>
          <w:bCs/>
          <w:color w:val="auto"/>
          <w:highlight w:val="none"/>
        </w:rPr>
        <w:t>（3）具体、明确的质疑事项和与质疑事项相关的请求；</w:t>
      </w:r>
    </w:p>
    <w:p w14:paraId="4598475F">
      <w:pPr>
        <w:keepNext w:val="0"/>
        <w:keepLines w:val="0"/>
        <w:pageBreakBefore w:val="0"/>
        <w:shd w:val="clear"/>
        <w:kinsoku/>
        <w:wordWrap/>
        <w:overflowPunct/>
        <w:topLinePunct w:val="0"/>
        <w:bidi w:val="0"/>
        <w:spacing w:line="430" w:lineRule="exact"/>
        <w:ind w:firstLine="420" w:firstLineChars="200"/>
        <w:rPr>
          <w:rFonts w:hint="eastAsia" w:ascii="宋体" w:hAnsi="宋体" w:eastAsia="宋体" w:cs="宋体"/>
          <w:bCs/>
          <w:color w:val="auto"/>
          <w:highlight w:val="none"/>
        </w:rPr>
      </w:pPr>
      <w:r>
        <w:rPr>
          <w:rFonts w:hint="eastAsia" w:ascii="宋体" w:hAnsi="宋体" w:eastAsia="宋体" w:cs="宋体"/>
          <w:bCs/>
          <w:color w:val="auto"/>
          <w:highlight w:val="none"/>
        </w:rPr>
        <w:t>（4）事实依据（列明权益受到损害的事实和理由）；</w:t>
      </w:r>
    </w:p>
    <w:p w14:paraId="0C9396E0">
      <w:pPr>
        <w:keepNext w:val="0"/>
        <w:keepLines w:val="0"/>
        <w:pageBreakBefore w:val="0"/>
        <w:shd w:val="clear"/>
        <w:kinsoku/>
        <w:wordWrap/>
        <w:overflowPunct/>
        <w:topLinePunct w:val="0"/>
        <w:bidi w:val="0"/>
        <w:spacing w:line="430" w:lineRule="exact"/>
        <w:ind w:firstLine="420" w:firstLineChars="200"/>
        <w:rPr>
          <w:rFonts w:hint="eastAsia" w:ascii="宋体" w:hAnsi="宋体" w:eastAsia="宋体" w:cs="宋体"/>
          <w:bCs/>
          <w:color w:val="auto"/>
          <w:highlight w:val="none"/>
        </w:rPr>
      </w:pPr>
      <w:r>
        <w:rPr>
          <w:rFonts w:hint="eastAsia" w:ascii="宋体" w:hAnsi="宋体" w:eastAsia="宋体" w:cs="宋体"/>
          <w:bCs/>
          <w:color w:val="auto"/>
          <w:highlight w:val="none"/>
        </w:rPr>
        <w:t>（5）必要的法律依据；</w:t>
      </w:r>
    </w:p>
    <w:p w14:paraId="4AA2E050">
      <w:pPr>
        <w:keepNext w:val="0"/>
        <w:keepLines w:val="0"/>
        <w:pageBreakBefore w:val="0"/>
        <w:shd w:val="clear"/>
        <w:kinsoku/>
        <w:wordWrap/>
        <w:overflowPunct/>
        <w:topLinePunct w:val="0"/>
        <w:bidi w:val="0"/>
        <w:spacing w:line="430" w:lineRule="exact"/>
        <w:ind w:firstLine="420" w:firstLineChars="200"/>
        <w:rPr>
          <w:rFonts w:hint="eastAsia" w:ascii="宋体" w:hAnsi="宋体" w:eastAsia="宋体" w:cs="宋体"/>
          <w:bCs/>
          <w:color w:val="auto"/>
          <w:highlight w:val="none"/>
        </w:rPr>
      </w:pPr>
      <w:r>
        <w:rPr>
          <w:rFonts w:hint="eastAsia" w:ascii="宋体" w:hAnsi="宋体" w:eastAsia="宋体" w:cs="宋体"/>
          <w:bCs/>
          <w:color w:val="auto"/>
          <w:highlight w:val="none"/>
        </w:rPr>
        <w:t>（6）提出质疑的日期。</w:t>
      </w:r>
    </w:p>
    <w:p w14:paraId="7C1A41A4">
      <w:pPr>
        <w:keepNext w:val="0"/>
        <w:keepLines w:val="0"/>
        <w:pageBreakBefore w:val="0"/>
        <w:shd w:val="clear"/>
        <w:kinsoku/>
        <w:wordWrap/>
        <w:overflowPunct/>
        <w:topLinePunct w:val="0"/>
        <w:bidi w:val="0"/>
        <w:spacing w:line="430" w:lineRule="exact"/>
        <w:ind w:firstLine="420" w:firstLineChars="200"/>
        <w:rPr>
          <w:rFonts w:hint="eastAsia" w:ascii="宋体" w:hAnsi="宋体" w:eastAsia="宋体" w:cs="宋体"/>
          <w:bCs/>
          <w:color w:val="auto"/>
          <w:highlight w:val="none"/>
        </w:rPr>
      </w:pPr>
      <w:r>
        <w:rPr>
          <w:rFonts w:hint="eastAsia" w:ascii="宋体" w:hAnsi="宋体" w:eastAsia="宋体" w:cs="宋体"/>
          <w:bCs/>
          <w:color w:val="auto"/>
          <w:highlight w:val="none"/>
        </w:rPr>
        <w:t>供应商为自然人的，应当由本人签字；供应商为法人或者其他组织的，应当由法定代表人、主要负责人，或者其委托代理人签字或者盖章，并加盖公章。</w:t>
      </w:r>
    </w:p>
    <w:p w14:paraId="7B087D9A">
      <w:pPr>
        <w:keepNext w:val="0"/>
        <w:keepLines w:val="0"/>
        <w:pageBreakBefore w:val="0"/>
        <w:shd w:val="clear"/>
        <w:kinsoku/>
        <w:wordWrap/>
        <w:overflowPunct/>
        <w:topLinePunct w:val="0"/>
        <w:bidi w:val="0"/>
        <w:spacing w:line="430" w:lineRule="exact"/>
        <w:ind w:firstLine="422" w:firstLineChars="200"/>
        <w:rPr>
          <w:rFonts w:hint="eastAsia" w:ascii="宋体" w:hAnsi="宋体" w:eastAsia="宋体" w:cs="宋体"/>
          <w:b/>
          <w:color w:val="auto"/>
          <w:szCs w:val="20"/>
          <w:highlight w:val="none"/>
        </w:rPr>
      </w:pPr>
      <w:r>
        <w:rPr>
          <w:rFonts w:hint="eastAsia" w:ascii="宋体" w:hAnsi="宋体" w:eastAsia="宋体" w:cs="宋体"/>
          <w:b/>
          <w:color w:val="auto"/>
          <w:szCs w:val="20"/>
          <w:highlight w:val="none"/>
        </w:rPr>
        <w:t>38.2.6采购人或采购人委托的采购代理机构在收到质疑函后7个工作日内作出答复，并以书面形式通知质疑供应商及其他有关供应商。对不符合质疑条件的质疑，答复不予受理，并说明理由；对符合质疑条件的质疑，对质疑事项作出答复</w:t>
      </w:r>
      <w:r>
        <w:rPr>
          <w:rFonts w:hint="eastAsia" w:ascii="宋体" w:hAnsi="宋体" w:eastAsia="宋体" w:cs="宋体"/>
          <w:bCs/>
          <w:color w:val="auto"/>
          <w:highlight w:val="none"/>
        </w:rPr>
        <w:t>。</w:t>
      </w:r>
    </w:p>
    <w:p w14:paraId="5E3178A5">
      <w:pPr>
        <w:keepNext w:val="0"/>
        <w:keepLines w:val="0"/>
        <w:pageBreakBefore w:val="0"/>
        <w:shd w:val="clear"/>
        <w:kinsoku/>
        <w:wordWrap/>
        <w:overflowPunct/>
        <w:topLinePunct w:val="0"/>
        <w:bidi w:val="0"/>
        <w:spacing w:line="430" w:lineRule="exact"/>
        <w:ind w:firstLine="420" w:firstLineChars="200"/>
        <w:rPr>
          <w:rFonts w:hint="eastAsia" w:ascii="宋体" w:hAnsi="宋体" w:eastAsia="宋体" w:cs="宋体"/>
          <w:bCs/>
          <w:color w:val="auto"/>
          <w:szCs w:val="21"/>
          <w:highlight w:val="none"/>
        </w:rPr>
      </w:pPr>
      <w:r>
        <w:rPr>
          <w:rFonts w:hint="eastAsia" w:ascii="宋体" w:hAnsi="宋体" w:eastAsia="宋体" w:cs="宋体"/>
          <w:color w:val="auto"/>
          <w:szCs w:val="21"/>
          <w:highlight w:val="none"/>
        </w:rPr>
        <w:t>3</w:t>
      </w:r>
      <w:r>
        <w:rPr>
          <w:rFonts w:hint="eastAsia" w:ascii="宋体" w:hAnsi="宋体" w:eastAsia="宋体" w:cs="宋体"/>
          <w:bCs/>
          <w:color w:val="auto"/>
          <w:szCs w:val="21"/>
          <w:highlight w:val="none"/>
        </w:rPr>
        <w:t>8.2.7采购人、采购代理机构认为供应商质疑不成立，或者成立但未对中标结果构成影响的，继续开展采购活动；认为供应商质疑成立且影响或者可能影响中标结果的，按照下列情况处理：</w:t>
      </w:r>
    </w:p>
    <w:p w14:paraId="46B515FC">
      <w:pPr>
        <w:keepNext w:val="0"/>
        <w:keepLines w:val="0"/>
        <w:pageBreakBefore w:val="0"/>
        <w:shd w:val="clear"/>
        <w:kinsoku/>
        <w:wordWrap/>
        <w:overflowPunct/>
        <w:topLinePunct w:val="0"/>
        <w:bidi w:val="0"/>
        <w:spacing w:line="430" w:lineRule="exact"/>
        <w:ind w:firstLine="420" w:firstLineChars="200"/>
        <w:rPr>
          <w:rFonts w:hint="eastAsia" w:ascii="宋体" w:hAnsi="宋体" w:eastAsia="宋体" w:cs="宋体"/>
          <w:bCs/>
          <w:color w:val="auto"/>
          <w:highlight w:val="none"/>
        </w:rPr>
      </w:pPr>
      <w:r>
        <w:rPr>
          <w:rFonts w:hint="eastAsia" w:ascii="宋体" w:hAnsi="宋体" w:eastAsia="宋体" w:cs="宋体"/>
          <w:bCs/>
          <w:color w:val="auto"/>
          <w:highlight w:val="none"/>
        </w:rPr>
        <w:t>（一）对招标文件提出的质疑，依法通过澄清或者修改可以继续开展采购活动的，澄清或者修改招标文件后继续开展采购活动；否则应当修改招标文件后重新开展采购活动。</w:t>
      </w:r>
    </w:p>
    <w:p w14:paraId="1DBB1FAE">
      <w:pPr>
        <w:keepNext w:val="0"/>
        <w:keepLines w:val="0"/>
        <w:pageBreakBefore w:val="0"/>
        <w:shd w:val="clear"/>
        <w:kinsoku/>
        <w:wordWrap/>
        <w:overflowPunct/>
        <w:topLinePunct w:val="0"/>
        <w:bidi w:val="0"/>
        <w:spacing w:line="430" w:lineRule="exact"/>
        <w:ind w:firstLine="420" w:firstLineChars="200"/>
        <w:rPr>
          <w:rFonts w:hint="eastAsia" w:ascii="宋体" w:hAnsi="宋体" w:eastAsia="宋体" w:cs="宋体"/>
          <w:bCs/>
          <w:color w:val="auto"/>
          <w:highlight w:val="none"/>
        </w:rPr>
      </w:pPr>
      <w:r>
        <w:rPr>
          <w:rFonts w:hint="eastAsia" w:ascii="宋体" w:hAnsi="宋体" w:eastAsia="宋体" w:cs="宋体"/>
          <w:bCs/>
          <w:color w:val="auto"/>
          <w:highlight w:val="none"/>
        </w:rPr>
        <w:t>（二）对采购过程、中标结果提出的质疑，合格供应商符合法定数量时，可以从合格的中标候选人中另行确定中标供应商的，应当依法另行确定中标供应商；否则应当重新开展采购活动。</w:t>
      </w:r>
    </w:p>
    <w:p w14:paraId="6A158240">
      <w:pPr>
        <w:keepNext w:val="0"/>
        <w:keepLines w:val="0"/>
        <w:pageBreakBefore w:val="0"/>
        <w:shd w:val="clear"/>
        <w:kinsoku/>
        <w:wordWrap/>
        <w:overflowPunct/>
        <w:topLinePunct w:val="0"/>
        <w:bidi w:val="0"/>
        <w:spacing w:line="430" w:lineRule="exact"/>
        <w:ind w:firstLine="420" w:firstLineChars="200"/>
        <w:rPr>
          <w:rFonts w:hint="eastAsia" w:ascii="宋体" w:hAnsi="宋体" w:eastAsia="宋体" w:cs="宋体"/>
          <w:bCs/>
          <w:color w:val="auto"/>
          <w:highlight w:val="none"/>
        </w:rPr>
      </w:pPr>
      <w:r>
        <w:rPr>
          <w:rFonts w:hint="eastAsia" w:ascii="宋体" w:hAnsi="宋体" w:eastAsia="宋体" w:cs="宋体"/>
          <w:bCs/>
          <w:color w:val="auto"/>
          <w:highlight w:val="none"/>
        </w:rPr>
        <w:t>质疑答复导致中标结果改变的，采购人或者采购代理机构应当将有关情况书面报告本级财政部门。</w:t>
      </w:r>
    </w:p>
    <w:p w14:paraId="2B55B9FE">
      <w:pPr>
        <w:keepNext w:val="0"/>
        <w:keepLines w:val="0"/>
        <w:pageBreakBefore w:val="0"/>
        <w:shd w:val="clear"/>
        <w:kinsoku/>
        <w:wordWrap/>
        <w:overflowPunct/>
        <w:topLinePunct w:val="0"/>
        <w:bidi w:val="0"/>
        <w:spacing w:line="430" w:lineRule="exact"/>
        <w:ind w:firstLine="422" w:firstLineChars="200"/>
        <w:rPr>
          <w:rFonts w:hint="eastAsia" w:ascii="宋体" w:hAnsi="宋体" w:eastAsia="宋体" w:cs="宋体"/>
          <w:b/>
          <w:color w:val="auto"/>
          <w:highlight w:val="none"/>
        </w:rPr>
      </w:pPr>
      <w:r>
        <w:rPr>
          <w:rFonts w:hint="eastAsia" w:ascii="宋体" w:hAnsi="宋体" w:eastAsia="宋体" w:cs="宋体"/>
          <w:b/>
          <w:color w:val="auto"/>
          <w:highlight w:val="none"/>
        </w:rPr>
        <w:t>38.3投诉</w:t>
      </w:r>
    </w:p>
    <w:p w14:paraId="0561E3BB">
      <w:pPr>
        <w:keepNext w:val="0"/>
        <w:keepLines w:val="0"/>
        <w:pageBreakBefore w:val="0"/>
        <w:shd w:val="clear"/>
        <w:kinsoku/>
        <w:wordWrap/>
        <w:overflowPunct/>
        <w:topLinePunct w:val="0"/>
        <w:bidi w:val="0"/>
        <w:spacing w:line="430" w:lineRule="exact"/>
        <w:ind w:firstLine="422" w:firstLineChars="200"/>
        <w:rPr>
          <w:rFonts w:hint="eastAsia" w:ascii="宋体" w:hAnsi="宋体" w:eastAsia="宋体" w:cs="宋体"/>
          <w:bCs/>
          <w:color w:val="auto"/>
          <w:highlight w:val="none"/>
        </w:rPr>
      </w:pPr>
      <w:r>
        <w:rPr>
          <w:rFonts w:hint="eastAsia" w:ascii="宋体" w:hAnsi="宋体" w:eastAsia="宋体" w:cs="宋体"/>
          <w:b/>
          <w:color w:val="auto"/>
          <w:highlight w:val="none"/>
        </w:rPr>
        <w:t>38.3</w:t>
      </w:r>
      <w:r>
        <w:rPr>
          <w:rFonts w:hint="eastAsia" w:ascii="宋体" w:hAnsi="宋体" w:eastAsia="宋体" w:cs="宋体"/>
          <w:bCs/>
          <w:color w:val="auto"/>
          <w:highlight w:val="none"/>
        </w:rPr>
        <w:t>.</w:t>
      </w:r>
      <w:r>
        <w:rPr>
          <w:rFonts w:hint="eastAsia" w:ascii="宋体" w:hAnsi="宋体" w:eastAsia="宋体" w:cs="宋体"/>
          <w:b/>
          <w:bCs/>
          <w:color w:val="auto"/>
          <w:highlight w:val="none"/>
        </w:rPr>
        <w:t xml:space="preserve">1 </w:t>
      </w:r>
      <w:r>
        <w:rPr>
          <w:rFonts w:hint="eastAsia" w:ascii="宋体" w:hAnsi="宋体" w:eastAsia="宋体" w:cs="宋体"/>
          <w:bCs/>
          <w:color w:val="auto"/>
          <w:highlight w:val="none"/>
        </w:rPr>
        <w:t xml:space="preserve"> 供应商认为采购文件、采购过程、中标和成交结果使自己的合法权益受到损害的，应当首先依法向采购人或采购人委托的</w:t>
      </w:r>
      <w:r>
        <w:rPr>
          <w:rFonts w:hint="eastAsia" w:ascii="宋体" w:hAnsi="宋体" w:eastAsia="宋体" w:cs="宋体"/>
          <w:color w:val="auto"/>
          <w:highlight w:val="none"/>
        </w:rPr>
        <w:t>采购代理机构</w:t>
      </w:r>
      <w:r>
        <w:rPr>
          <w:rFonts w:hint="eastAsia" w:ascii="宋体" w:hAnsi="宋体" w:eastAsia="宋体" w:cs="宋体"/>
          <w:bCs/>
          <w:color w:val="auto"/>
          <w:highlight w:val="none"/>
        </w:rPr>
        <w:t>提出质疑。对采购人</w:t>
      </w:r>
      <w:r>
        <w:rPr>
          <w:rFonts w:hint="eastAsia" w:ascii="宋体" w:hAnsi="宋体" w:eastAsia="宋体" w:cs="宋体"/>
          <w:bCs/>
          <w:color w:val="auto"/>
          <w:highlight w:val="none"/>
          <w:lang w:eastAsia="zh-CN"/>
        </w:rPr>
        <w:t>或</w:t>
      </w:r>
      <w:r>
        <w:rPr>
          <w:rFonts w:hint="eastAsia" w:ascii="宋体" w:hAnsi="宋体" w:eastAsia="宋体" w:cs="宋体"/>
          <w:color w:val="auto"/>
          <w:highlight w:val="none"/>
        </w:rPr>
        <w:t>采购代理机构</w:t>
      </w:r>
      <w:r>
        <w:rPr>
          <w:rFonts w:hint="eastAsia" w:ascii="宋体" w:hAnsi="宋体" w:eastAsia="宋体" w:cs="宋体"/>
          <w:bCs/>
          <w:color w:val="auto"/>
          <w:highlight w:val="none"/>
        </w:rPr>
        <w:t>的答复不满意，或者采购人</w:t>
      </w:r>
      <w:r>
        <w:rPr>
          <w:rFonts w:hint="eastAsia" w:ascii="宋体" w:hAnsi="宋体" w:eastAsia="宋体" w:cs="宋体"/>
          <w:bCs/>
          <w:color w:val="auto"/>
          <w:highlight w:val="none"/>
          <w:lang w:eastAsia="zh-CN"/>
        </w:rPr>
        <w:t>或</w:t>
      </w:r>
      <w:r>
        <w:rPr>
          <w:rFonts w:hint="eastAsia" w:ascii="宋体" w:hAnsi="宋体" w:eastAsia="宋体" w:cs="宋体"/>
          <w:color w:val="auto"/>
          <w:highlight w:val="none"/>
        </w:rPr>
        <w:t>采购代理机构</w:t>
      </w:r>
      <w:r>
        <w:rPr>
          <w:rFonts w:hint="eastAsia" w:ascii="宋体" w:hAnsi="宋体" w:eastAsia="宋体" w:cs="宋体"/>
          <w:bCs/>
          <w:color w:val="auto"/>
          <w:highlight w:val="none"/>
        </w:rPr>
        <w:t>未在规定期限内做出答复的，供应商可以在答复期满后15个工作日内向本级财政部门提起投诉，投诉</w:t>
      </w:r>
      <w:r>
        <w:rPr>
          <w:rFonts w:hint="eastAsia" w:ascii="宋体" w:hAnsi="宋体" w:eastAsia="宋体" w:cs="宋体"/>
          <w:bCs/>
          <w:color w:val="auto"/>
          <w:highlight w:val="none"/>
          <w:lang w:eastAsia="zh-CN"/>
        </w:rPr>
        <w:t>联系</w:t>
      </w:r>
      <w:r>
        <w:rPr>
          <w:rFonts w:hint="eastAsia" w:ascii="宋体" w:hAnsi="宋体" w:eastAsia="宋体" w:cs="宋体"/>
          <w:bCs/>
          <w:color w:val="auto"/>
          <w:highlight w:val="none"/>
        </w:rPr>
        <w:t>方式见“投标人须知前附表”。</w:t>
      </w:r>
    </w:p>
    <w:p w14:paraId="6418777D">
      <w:pPr>
        <w:keepNext w:val="0"/>
        <w:keepLines w:val="0"/>
        <w:pageBreakBefore w:val="0"/>
        <w:shd w:val="clear"/>
        <w:kinsoku/>
        <w:wordWrap/>
        <w:overflowPunct/>
        <w:topLinePunct w:val="0"/>
        <w:bidi w:val="0"/>
        <w:spacing w:line="430" w:lineRule="exact"/>
        <w:ind w:firstLine="422" w:firstLineChars="200"/>
        <w:rPr>
          <w:rFonts w:hint="eastAsia" w:ascii="宋体" w:hAnsi="宋体" w:eastAsia="宋体" w:cs="宋体"/>
          <w:bCs/>
          <w:color w:val="auto"/>
          <w:highlight w:val="none"/>
        </w:rPr>
      </w:pPr>
      <w:r>
        <w:rPr>
          <w:rFonts w:hint="eastAsia" w:ascii="宋体" w:hAnsi="宋体" w:eastAsia="宋体" w:cs="宋体"/>
          <w:b/>
          <w:color w:val="auto"/>
          <w:highlight w:val="none"/>
        </w:rPr>
        <w:t xml:space="preserve">38.3.2 </w:t>
      </w:r>
      <w:r>
        <w:rPr>
          <w:rFonts w:hint="eastAsia" w:ascii="宋体" w:hAnsi="宋体" w:eastAsia="宋体" w:cs="宋体"/>
          <w:color w:val="auto"/>
          <w:highlight w:val="none"/>
        </w:rPr>
        <w:t xml:space="preserve"> 投诉人投诉时，应当提交投诉书，并按照被投诉采购人、采购代理机构和与投诉事项有关的供应商数量提供投诉书的副本。投诉书</w:t>
      </w:r>
      <w:r>
        <w:rPr>
          <w:rFonts w:hint="eastAsia" w:ascii="宋体" w:hAnsi="宋体" w:eastAsia="宋体" w:cs="宋体"/>
          <w:color w:val="auto"/>
          <w:szCs w:val="21"/>
          <w:highlight w:val="none"/>
        </w:rPr>
        <w:t>应当包括下列主要内容</w:t>
      </w:r>
      <w:r>
        <w:rPr>
          <w:rFonts w:hint="eastAsia" w:ascii="宋体" w:hAnsi="宋体" w:eastAsia="宋体" w:cs="宋体"/>
          <w:color w:val="auto"/>
          <w:highlight w:val="none"/>
        </w:rPr>
        <w:t>（如材料中有外文资料应同时附上对应的中文译本）</w:t>
      </w:r>
      <w:r>
        <w:rPr>
          <w:rFonts w:hint="eastAsia" w:ascii="宋体" w:hAnsi="宋体" w:eastAsia="宋体" w:cs="宋体"/>
          <w:bCs/>
          <w:color w:val="auto"/>
          <w:highlight w:val="none"/>
        </w:rPr>
        <w:t>（投诉书格式后附）</w:t>
      </w:r>
      <w:r>
        <w:rPr>
          <w:rFonts w:hint="eastAsia" w:ascii="宋体" w:hAnsi="宋体" w:eastAsia="宋体" w:cs="宋体"/>
          <w:color w:val="auto"/>
          <w:szCs w:val="21"/>
          <w:highlight w:val="none"/>
        </w:rPr>
        <w:t>：</w:t>
      </w:r>
    </w:p>
    <w:p w14:paraId="2BA9A465">
      <w:pPr>
        <w:keepNext w:val="0"/>
        <w:keepLines w:val="0"/>
        <w:pageBreakBefore w:val="0"/>
        <w:shd w:val="clear"/>
        <w:kinsoku/>
        <w:wordWrap/>
        <w:overflowPunct/>
        <w:topLinePunct w:val="0"/>
        <w:bidi w:val="0"/>
        <w:spacing w:line="430" w:lineRule="exact"/>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 xml:space="preserve">（1）投诉人和被投诉人的名称、地址、邮编、联系人及联系电话等； </w:t>
      </w:r>
    </w:p>
    <w:p w14:paraId="75AC1887">
      <w:pPr>
        <w:keepNext w:val="0"/>
        <w:keepLines w:val="0"/>
        <w:pageBreakBefore w:val="0"/>
        <w:shd w:val="clear"/>
        <w:kinsoku/>
        <w:wordWrap/>
        <w:overflowPunct/>
        <w:topLinePunct w:val="0"/>
        <w:bidi w:val="0"/>
        <w:spacing w:line="430" w:lineRule="exact"/>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 xml:space="preserve">（2）质疑和质疑答复情况及相关证明材料； </w:t>
      </w:r>
    </w:p>
    <w:p w14:paraId="4A46C353">
      <w:pPr>
        <w:keepNext w:val="0"/>
        <w:keepLines w:val="0"/>
        <w:pageBreakBefore w:val="0"/>
        <w:shd w:val="clear"/>
        <w:kinsoku/>
        <w:wordWrap/>
        <w:overflowPunct/>
        <w:topLinePunct w:val="0"/>
        <w:bidi w:val="0"/>
        <w:spacing w:line="430" w:lineRule="exact"/>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（3）具体、明确的投诉事项和与投诉事项相关的投诉请求；</w:t>
      </w:r>
    </w:p>
    <w:p w14:paraId="0A8C2875">
      <w:pPr>
        <w:keepNext w:val="0"/>
        <w:keepLines w:val="0"/>
        <w:pageBreakBefore w:val="0"/>
        <w:shd w:val="clear"/>
        <w:kinsoku/>
        <w:wordWrap/>
        <w:overflowPunct/>
        <w:topLinePunct w:val="0"/>
        <w:bidi w:val="0"/>
        <w:spacing w:line="430" w:lineRule="exact"/>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（4）事实依据；</w:t>
      </w:r>
    </w:p>
    <w:p w14:paraId="6B1C1758">
      <w:pPr>
        <w:keepNext w:val="0"/>
        <w:keepLines w:val="0"/>
        <w:pageBreakBefore w:val="0"/>
        <w:shd w:val="clear"/>
        <w:kinsoku/>
        <w:wordWrap/>
        <w:overflowPunct/>
        <w:topLinePunct w:val="0"/>
        <w:bidi w:val="0"/>
        <w:spacing w:line="430" w:lineRule="exact"/>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（5）法律依据；</w:t>
      </w:r>
    </w:p>
    <w:p w14:paraId="639BB36F">
      <w:pPr>
        <w:keepNext w:val="0"/>
        <w:keepLines w:val="0"/>
        <w:pageBreakBefore w:val="0"/>
        <w:shd w:val="clear"/>
        <w:kinsoku/>
        <w:wordWrap/>
        <w:overflowPunct/>
        <w:topLinePunct w:val="0"/>
        <w:bidi w:val="0"/>
        <w:spacing w:line="430" w:lineRule="exact"/>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（6）提起投诉的日期。</w:t>
      </w:r>
    </w:p>
    <w:p w14:paraId="727D32AD">
      <w:pPr>
        <w:keepNext w:val="0"/>
        <w:keepLines w:val="0"/>
        <w:pageBreakBefore w:val="0"/>
        <w:shd w:val="clear"/>
        <w:kinsoku/>
        <w:wordWrap/>
        <w:overflowPunct/>
        <w:topLinePunct w:val="0"/>
        <w:bidi w:val="0"/>
        <w:spacing w:line="430" w:lineRule="exact"/>
        <w:ind w:firstLine="420" w:firstLineChars="200"/>
        <w:rPr>
          <w:rFonts w:hint="eastAsia" w:ascii="宋体" w:hAnsi="宋体" w:eastAsia="宋体" w:cs="宋体"/>
          <w:b w:val="0"/>
          <w:bCs/>
          <w:color w:val="auto"/>
          <w:highlight w:val="none"/>
        </w:rPr>
      </w:pPr>
      <w:r>
        <w:rPr>
          <w:rFonts w:hint="eastAsia" w:ascii="宋体" w:hAnsi="宋体" w:eastAsia="宋体" w:cs="宋体"/>
          <w:b w:val="0"/>
          <w:bCs/>
          <w:color w:val="auto"/>
          <w:highlight w:val="none"/>
        </w:rPr>
        <w:t>投诉人为自然人的，应当由本人签字；投诉人为法人或者其他组织的，应当由法定代表人、主要负责人，或者其授权代表签字或者盖章，并加盖公章。</w:t>
      </w:r>
    </w:p>
    <w:p w14:paraId="07A62A86">
      <w:pPr>
        <w:keepNext w:val="0"/>
        <w:keepLines w:val="0"/>
        <w:pageBreakBefore w:val="0"/>
        <w:shd w:val="clear"/>
        <w:kinsoku/>
        <w:wordWrap/>
        <w:overflowPunct/>
        <w:topLinePunct w:val="0"/>
        <w:bidi w:val="0"/>
        <w:spacing w:line="430" w:lineRule="exact"/>
        <w:ind w:firstLine="422" w:firstLineChars="200"/>
        <w:rPr>
          <w:rFonts w:hint="eastAsia" w:ascii="宋体" w:hAnsi="宋体" w:eastAsia="宋体" w:cs="宋体"/>
          <w:bCs/>
          <w:color w:val="auto"/>
          <w:highlight w:val="none"/>
        </w:rPr>
      </w:pPr>
      <w:r>
        <w:rPr>
          <w:rFonts w:hint="eastAsia" w:ascii="宋体" w:hAnsi="宋体" w:eastAsia="宋体" w:cs="宋体"/>
          <w:b/>
          <w:color w:val="auto"/>
          <w:highlight w:val="none"/>
        </w:rPr>
        <w:t xml:space="preserve">38.3.3  </w:t>
      </w:r>
      <w:r>
        <w:rPr>
          <w:rFonts w:hint="eastAsia" w:ascii="宋体" w:hAnsi="宋体" w:eastAsia="宋体" w:cs="宋体"/>
          <w:color w:val="auto"/>
          <w:highlight w:val="none"/>
        </w:rPr>
        <w:t>投诉人可以委托代理人办理投诉事务。</w:t>
      </w:r>
      <w:r>
        <w:rPr>
          <w:rFonts w:hint="eastAsia" w:ascii="宋体" w:hAnsi="宋体" w:eastAsia="宋体" w:cs="宋体"/>
          <w:bCs/>
          <w:color w:val="auto"/>
          <w:highlight w:val="none"/>
        </w:rPr>
        <w:t>委托代理人应熟悉相关业务情况。</w:t>
      </w:r>
      <w:r>
        <w:rPr>
          <w:rFonts w:hint="eastAsia" w:ascii="宋体" w:hAnsi="宋体" w:eastAsia="宋体" w:cs="宋体"/>
          <w:color w:val="auto"/>
          <w:highlight w:val="none"/>
        </w:rPr>
        <w:t>代理人办理投诉事务时，除提交投诉书外，还应当提交投诉人的授权委托书和委托代理人身份证明复印件。</w:t>
      </w:r>
    </w:p>
    <w:p w14:paraId="0EE538E6">
      <w:pPr>
        <w:keepNext w:val="0"/>
        <w:keepLines w:val="0"/>
        <w:pageBreakBefore w:val="0"/>
        <w:shd w:val="clear"/>
        <w:kinsoku/>
        <w:wordWrap/>
        <w:overflowPunct/>
        <w:topLinePunct w:val="0"/>
        <w:bidi w:val="0"/>
        <w:spacing w:line="430" w:lineRule="exact"/>
        <w:ind w:firstLine="422" w:firstLineChars="200"/>
        <w:rPr>
          <w:rFonts w:hint="eastAsia" w:ascii="宋体" w:hAnsi="宋体" w:eastAsia="宋体" w:cs="宋体"/>
          <w:color w:val="auto"/>
          <w:highlight w:val="none"/>
        </w:rPr>
      </w:pPr>
      <w:r>
        <w:rPr>
          <w:rFonts w:hint="eastAsia" w:ascii="宋体" w:hAnsi="宋体" w:eastAsia="宋体" w:cs="宋体"/>
          <w:b/>
          <w:color w:val="auto"/>
          <w:highlight w:val="none"/>
        </w:rPr>
        <w:t>38.3.4</w:t>
      </w:r>
      <w:r>
        <w:rPr>
          <w:rFonts w:hint="eastAsia" w:ascii="宋体" w:hAnsi="宋体" w:eastAsia="宋体" w:cs="宋体"/>
          <w:color w:val="auto"/>
          <w:highlight w:val="none"/>
        </w:rPr>
        <w:t xml:space="preserve">  投诉人提起投诉应当符合下列条件：</w:t>
      </w:r>
    </w:p>
    <w:p w14:paraId="71C5D466">
      <w:pPr>
        <w:keepNext w:val="0"/>
        <w:keepLines w:val="0"/>
        <w:pageBreakBefore w:val="0"/>
        <w:shd w:val="clear"/>
        <w:kinsoku/>
        <w:wordWrap/>
        <w:overflowPunct/>
        <w:topLinePunct w:val="0"/>
        <w:bidi w:val="0"/>
        <w:spacing w:line="430" w:lineRule="exact"/>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（1）投诉人是参与所投诉政府采购活动的供应商；</w:t>
      </w:r>
    </w:p>
    <w:p w14:paraId="768551EA">
      <w:pPr>
        <w:keepNext w:val="0"/>
        <w:keepLines w:val="0"/>
        <w:pageBreakBefore w:val="0"/>
        <w:shd w:val="clear"/>
        <w:kinsoku/>
        <w:wordWrap/>
        <w:overflowPunct/>
        <w:topLinePunct w:val="0"/>
        <w:bidi w:val="0"/>
        <w:spacing w:line="430" w:lineRule="exact"/>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（2）提起投诉前已依法进行质疑；</w:t>
      </w:r>
    </w:p>
    <w:p w14:paraId="4E3403A5">
      <w:pPr>
        <w:keepNext w:val="0"/>
        <w:keepLines w:val="0"/>
        <w:pageBreakBefore w:val="0"/>
        <w:shd w:val="clear"/>
        <w:kinsoku/>
        <w:wordWrap/>
        <w:overflowPunct/>
        <w:topLinePunct w:val="0"/>
        <w:bidi w:val="0"/>
        <w:spacing w:line="430" w:lineRule="exact"/>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（3）投诉书内容符合本章第38.3.2项的规定；</w:t>
      </w:r>
    </w:p>
    <w:p w14:paraId="586B225A">
      <w:pPr>
        <w:keepNext w:val="0"/>
        <w:keepLines w:val="0"/>
        <w:pageBreakBefore w:val="0"/>
        <w:shd w:val="clear"/>
        <w:kinsoku/>
        <w:wordWrap/>
        <w:overflowPunct/>
        <w:topLinePunct w:val="0"/>
        <w:bidi w:val="0"/>
        <w:spacing w:line="430" w:lineRule="exact"/>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（4）在投诉有效期限内提起投诉；</w:t>
      </w:r>
    </w:p>
    <w:p w14:paraId="35E9F59F">
      <w:pPr>
        <w:keepNext w:val="0"/>
        <w:keepLines w:val="0"/>
        <w:pageBreakBefore w:val="0"/>
        <w:shd w:val="clear"/>
        <w:kinsoku/>
        <w:wordWrap/>
        <w:overflowPunct/>
        <w:topLinePunct w:val="0"/>
        <w:bidi w:val="0"/>
        <w:spacing w:line="430" w:lineRule="exact"/>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w:t>
      </w:r>
      <w:r>
        <w:rPr>
          <w:rFonts w:hint="eastAsia" w:ascii="宋体" w:hAnsi="宋体" w:eastAsia="宋体" w:cs="宋体"/>
          <w:color w:val="auto"/>
          <w:highlight w:val="none"/>
          <w:lang w:val="en-US" w:eastAsia="zh-CN"/>
        </w:rPr>
        <w:t>5</w:t>
      </w:r>
      <w:r>
        <w:rPr>
          <w:rFonts w:hint="eastAsia" w:ascii="宋体" w:hAnsi="宋体" w:eastAsia="宋体" w:cs="宋体"/>
          <w:color w:val="auto"/>
          <w:highlight w:val="none"/>
        </w:rPr>
        <w:t>）同一投诉事项未经</w:t>
      </w:r>
      <w:r>
        <w:rPr>
          <w:rFonts w:hint="eastAsia" w:ascii="宋体" w:hAnsi="宋体" w:eastAsia="宋体" w:cs="宋体"/>
          <w:bCs/>
          <w:color w:val="auto"/>
          <w:highlight w:val="none"/>
          <w:lang w:eastAsia="zh-CN"/>
        </w:rPr>
        <w:t>财政</w:t>
      </w:r>
      <w:r>
        <w:rPr>
          <w:rFonts w:hint="eastAsia" w:ascii="宋体" w:hAnsi="宋体" w:eastAsia="宋体" w:cs="宋体"/>
          <w:bCs/>
          <w:color w:val="auto"/>
          <w:highlight w:val="none"/>
        </w:rPr>
        <w:t>部门</w:t>
      </w:r>
      <w:r>
        <w:rPr>
          <w:rFonts w:hint="eastAsia" w:ascii="宋体" w:hAnsi="宋体" w:eastAsia="宋体" w:cs="宋体"/>
          <w:color w:val="auto"/>
          <w:highlight w:val="none"/>
        </w:rPr>
        <w:t>投诉处理；</w:t>
      </w:r>
    </w:p>
    <w:p w14:paraId="3BB6F931">
      <w:pPr>
        <w:keepNext w:val="0"/>
        <w:keepLines w:val="0"/>
        <w:pageBreakBefore w:val="0"/>
        <w:shd w:val="clear"/>
        <w:kinsoku/>
        <w:wordWrap/>
        <w:overflowPunct/>
        <w:topLinePunct w:val="0"/>
        <w:bidi w:val="0"/>
        <w:spacing w:line="430" w:lineRule="exact"/>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w:t>
      </w:r>
      <w:r>
        <w:rPr>
          <w:rFonts w:hint="eastAsia" w:ascii="宋体" w:hAnsi="宋体" w:eastAsia="宋体" w:cs="宋体"/>
          <w:color w:val="auto"/>
          <w:highlight w:val="none"/>
          <w:lang w:val="en-US" w:eastAsia="zh-CN"/>
        </w:rPr>
        <w:t>6</w:t>
      </w:r>
      <w:r>
        <w:rPr>
          <w:rFonts w:hint="eastAsia" w:ascii="宋体" w:hAnsi="宋体" w:eastAsia="宋体" w:cs="宋体"/>
          <w:color w:val="auto"/>
          <w:highlight w:val="none"/>
        </w:rPr>
        <w:t>）国务院财政部门规定的其他条件。</w:t>
      </w:r>
    </w:p>
    <w:p w14:paraId="230659B0">
      <w:pPr>
        <w:keepNext w:val="0"/>
        <w:keepLines w:val="0"/>
        <w:pageBreakBefore w:val="0"/>
        <w:shd w:val="clear"/>
        <w:kinsoku/>
        <w:wordWrap/>
        <w:overflowPunct/>
        <w:topLinePunct w:val="0"/>
        <w:bidi w:val="0"/>
        <w:snapToGrid w:val="0"/>
        <w:spacing w:line="430" w:lineRule="exact"/>
        <w:ind w:left="120" w:leftChars="57" w:firstLine="482" w:firstLineChars="150"/>
        <w:jc w:val="center"/>
        <w:outlineLvl w:val="2"/>
        <w:rPr>
          <w:rFonts w:hint="eastAsia" w:ascii="宋体" w:hAnsi="宋体" w:eastAsia="宋体" w:cs="宋体"/>
          <w:b/>
          <w:bCs/>
          <w:color w:val="auto"/>
          <w:sz w:val="32"/>
          <w:szCs w:val="32"/>
          <w:highlight w:val="none"/>
        </w:rPr>
      </w:pPr>
      <w:bookmarkStart w:id="237" w:name="_Toc1756"/>
      <w:bookmarkStart w:id="238" w:name="_Toc7828"/>
      <w:bookmarkStart w:id="239" w:name="_Toc25946"/>
      <w:bookmarkStart w:id="240" w:name="_Toc14937"/>
      <w:bookmarkStart w:id="241" w:name="_Toc23239"/>
      <w:bookmarkStart w:id="242" w:name="_Toc27653"/>
      <w:bookmarkStart w:id="243" w:name="_Toc8731"/>
      <w:bookmarkStart w:id="244" w:name="_Toc26583"/>
      <w:bookmarkStart w:id="245" w:name="_Toc29288"/>
      <w:bookmarkStart w:id="246" w:name="_Toc13659"/>
      <w:r>
        <w:rPr>
          <w:rFonts w:hint="eastAsia" w:ascii="宋体" w:hAnsi="宋体" w:eastAsia="宋体" w:cs="宋体"/>
          <w:b/>
          <w:bCs/>
          <w:color w:val="auto"/>
          <w:sz w:val="32"/>
          <w:szCs w:val="32"/>
          <w:highlight w:val="none"/>
        </w:rPr>
        <w:t>八、验收</w:t>
      </w:r>
      <w:bookmarkEnd w:id="237"/>
      <w:bookmarkEnd w:id="238"/>
      <w:bookmarkEnd w:id="239"/>
      <w:bookmarkEnd w:id="240"/>
      <w:bookmarkEnd w:id="241"/>
      <w:bookmarkEnd w:id="242"/>
      <w:bookmarkEnd w:id="243"/>
      <w:bookmarkEnd w:id="244"/>
      <w:bookmarkEnd w:id="245"/>
      <w:bookmarkEnd w:id="246"/>
    </w:p>
    <w:p w14:paraId="5D1B1DBB">
      <w:pPr>
        <w:keepNext w:val="0"/>
        <w:keepLines w:val="0"/>
        <w:pageBreakBefore w:val="0"/>
        <w:shd w:val="clear"/>
        <w:kinsoku/>
        <w:wordWrap/>
        <w:overflowPunct/>
        <w:topLinePunct w:val="0"/>
        <w:bidi w:val="0"/>
        <w:spacing w:line="430" w:lineRule="exact"/>
        <w:ind w:firstLine="422" w:firstLineChars="200"/>
        <w:rPr>
          <w:rFonts w:hint="eastAsia" w:ascii="宋体" w:hAnsi="宋体" w:eastAsia="宋体" w:cs="宋体"/>
          <w:b/>
          <w:color w:val="auto"/>
          <w:highlight w:val="none"/>
        </w:rPr>
      </w:pPr>
      <w:r>
        <w:rPr>
          <w:rFonts w:hint="eastAsia" w:ascii="宋体" w:hAnsi="宋体" w:eastAsia="宋体" w:cs="宋体"/>
          <w:b/>
          <w:color w:val="auto"/>
          <w:highlight w:val="none"/>
        </w:rPr>
        <w:t>39.验收</w:t>
      </w:r>
    </w:p>
    <w:p w14:paraId="3881721A">
      <w:pPr>
        <w:keepNext w:val="0"/>
        <w:keepLines w:val="0"/>
        <w:pageBreakBefore w:val="0"/>
        <w:shd w:val="clear"/>
        <w:tabs>
          <w:tab w:val="left" w:pos="0"/>
        </w:tabs>
        <w:kinsoku/>
        <w:wordWrap/>
        <w:overflowPunct/>
        <w:topLinePunct w:val="0"/>
        <w:bidi w:val="0"/>
        <w:spacing w:line="430" w:lineRule="exact"/>
        <w:ind w:firstLine="480"/>
        <w:rPr>
          <w:rFonts w:hint="eastAsia" w:ascii="宋体" w:hAnsi="宋体" w:eastAsia="宋体" w:cs="宋体"/>
          <w:color w:val="auto"/>
          <w:highlight w:val="none"/>
        </w:rPr>
      </w:pPr>
      <w:r>
        <w:rPr>
          <w:rFonts w:hint="eastAsia" w:ascii="宋体" w:hAnsi="宋体" w:eastAsia="宋体" w:cs="宋体"/>
          <w:color w:val="auto"/>
          <w:highlight w:val="none"/>
        </w:rPr>
        <w:t>39.1采购人组织对</w:t>
      </w:r>
      <w:r>
        <w:rPr>
          <w:rFonts w:hint="eastAsia" w:ascii="宋体" w:hAnsi="宋体" w:eastAsia="宋体" w:cs="宋体"/>
          <w:color w:val="auto"/>
          <w:highlight w:val="none"/>
          <w:lang w:eastAsia="zh-CN"/>
        </w:rPr>
        <w:t>中标人</w:t>
      </w:r>
      <w:r>
        <w:rPr>
          <w:rFonts w:hint="eastAsia" w:ascii="宋体" w:hAnsi="宋体" w:eastAsia="宋体" w:cs="宋体"/>
          <w:color w:val="auto"/>
          <w:highlight w:val="none"/>
        </w:rPr>
        <w:t>履约的验收。大型或者复杂的政府采购项目，应当邀请国家认可的质量检测机构参加验收工作。验收方成员应当在验收书上签字，并承担相应的法律责任。如果发现与合同中要求不符，</w:t>
      </w:r>
      <w:r>
        <w:rPr>
          <w:rFonts w:hint="eastAsia" w:ascii="宋体" w:hAnsi="宋体" w:eastAsia="宋体" w:cs="宋体"/>
          <w:color w:val="auto"/>
          <w:highlight w:val="none"/>
          <w:lang w:eastAsia="zh-CN"/>
        </w:rPr>
        <w:t>中标人</w:t>
      </w:r>
      <w:r>
        <w:rPr>
          <w:rFonts w:hint="eastAsia" w:ascii="宋体" w:hAnsi="宋体" w:eastAsia="宋体" w:cs="宋体"/>
          <w:color w:val="auto"/>
          <w:highlight w:val="none"/>
        </w:rPr>
        <w:t>须承担由此发生的一切损失和费用，并接受相应的处理。</w:t>
      </w:r>
    </w:p>
    <w:p w14:paraId="23D02D2A">
      <w:pPr>
        <w:keepNext w:val="0"/>
        <w:keepLines w:val="0"/>
        <w:pageBreakBefore w:val="0"/>
        <w:shd w:val="clear"/>
        <w:tabs>
          <w:tab w:val="left" w:pos="0"/>
        </w:tabs>
        <w:kinsoku/>
        <w:wordWrap/>
        <w:overflowPunct/>
        <w:topLinePunct w:val="0"/>
        <w:bidi w:val="0"/>
        <w:spacing w:line="430" w:lineRule="exact"/>
        <w:ind w:firstLine="480"/>
        <w:rPr>
          <w:rFonts w:hint="eastAsia" w:ascii="宋体" w:hAnsi="宋体" w:eastAsia="宋体" w:cs="宋体"/>
          <w:color w:val="auto"/>
          <w:highlight w:val="none"/>
        </w:rPr>
      </w:pPr>
      <w:r>
        <w:rPr>
          <w:rFonts w:hint="eastAsia" w:ascii="宋体" w:hAnsi="宋体" w:eastAsia="宋体" w:cs="宋体"/>
          <w:color w:val="auto"/>
          <w:highlight w:val="none"/>
        </w:rPr>
        <w:t>39.2采购人可以邀请参加本项目的其他投标人或者第三方机构参与验收。参与验收的投标人或者第三方机构的意见作为验收书的参考资料一并存档。</w:t>
      </w:r>
    </w:p>
    <w:p w14:paraId="31902619">
      <w:pPr>
        <w:keepNext w:val="0"/>
        <w:keepLines w:val="0"/>
        <w:pageBreakBefore w:val="0"/>
        <w:shd w:val="clear"/>
        <w:tabs>
          <w:tab w:val="left" w:pos="0"/>
        </w:tabs>
        <w:kinsoku/>
        <w:wordWrap/>
        <w:overflowPunct/>
        <w:topLinePunct w:val="0"/>
        <w:bidi w:val="0"/>
        <w:spacing w:line="430" w:lineRule="exact"/>
        <w:ind w:firstLine="480"/>
        <w:rPr>
          <w:rFonts w:hint="eastAsia" w:ascii="宋体" w:hAnsi="宋体" w:eastAsia="宋体" w:cs="宋体"/>
          <w:color w:val="auto"/>
          <w:highlight w:val="none"/>
        </w:rPr>
      </w:pPr>
      <w:r>
        <w:rPr>
          <w:rFonts w:hint="eastAsia" w:ascii="宋体" w:hAnsi="宋体" w:eastAsia="宋体" w:cs="宋体"/>
          <w:color w:val="auto"/>
          <w:highlight w:val="none"/>
        </w:rPr>
        <w:t>39.3严格按照采购合同开展履约验收。采购人成立验收小组，按照采购合同的约定对</w:t>
      </w:r>
      <w:r>
        <w:rPr>
          <w:rFonts w:hint="eastAsia" w:ascii="宋体" w:hAnsi="宋体" w:eastAsia="宋体" w:cs="宋体"/>
          <w:color w:val="auto"/>
          <w:highlight w:val="none"/>
          <w:lang w:eastAsia="zh-CN"/>
        </w:rPr>
        <w:t>中标人</w:t>
      </w:r>
      <w:r>
        <w:rPr>
          <w:rFonts w:hint="eastAsia" w:ascii="宋体" w:hAnsi="宋体" w:eastAsia="宋体" w:cs="宋体"/>
          <w:color w:val="auto"/>
          <w:highlight w:val="none"/>
        </w:rPr>
        <w:t>履约情况进行验收。验收时，按照采购合同的约定对每一项技术、服务、安全标准的履约情况进行确认。验收结束后，应当出具验收书，列明各项标准的验收情况及项目总体评价，由验收双方共同签署。验收结果与采购合同约定的资金支付及履约保证金</w:t>
      </w:r>
      <w:r>
        <w:rPr>
          <w:rFonts w:hint="eastAsia" w:ascii="宋体" w:hAnsi="宋体" w:eastAsia="宋体" w:cs="宋体"/>
          <w:color w:val="auto"/>
          <w:highlight w:val="none"/>
          <w:lang w:eastAsia="zh-CN"/>
        </w:rPr>
        <w:t>（</w:t>
      </w:r>
      <w:r>
        <w:rPr>
          <w:rFonts w:hint="eastAsia" w:ascii="宋体" w:hAnsi="宋体" w:eastAsia="宋体" w:cs="宋体"/>
          <w:color w:val="auto"/>
          <w:highlight w:val="none"/>
          <w:lang w:val="en-US" w:eastAsia="zh-CN"/>
        </w:rPr>
        <w:t>如有</w:t>
      </w:r>
      <w:r>
        <w:rPr>
          <w:rFonts w:hint="eastAsia" w:ascii="宋体" w:hAnsi="宋体" w:eastAsia="宋体" w:cs="宋体"/>
          <w:color w:val="auto"/>
          <w:highlight w:val="none"/>
          <w:lang w:eastAsia="zh-CN"/>
        </w:rPr>
        <w:t>）</w:t>
      </w:r>
      <w:r>
        <w:rPr>
          <w:rFonts w:hint="eastAsia" w:ascii="宋体" w:hAnsi="宋体" w:eastAsia="宋体" w:cs="宋体"/>
          <w:color w:val="auto"/>
          <w:highlight w:val="none"/>
        </w:rPr>
        <w:t>返还条件挂钩。履约验收的各项资料应当存档备查。</w:t>
      </w:r>
    </w:p>
    <w:p w14:paraId="6FAA4EEC">
      <w:pPr>
        <w:keepNext w:val="0"/>
        <w:keepLines w:val="0"/>
        <w:pageBreakBefore w:val="0"/>
        <w:shd w:val="clear"/>
        <w:tabs>
          <w:tab w:val="left" w:pos="0"/>
        </w:tabs>
        <w:kinsoku/>
        <w:wordWrap/>
        <w:overflowPunct/>
        <w:topLinePunct w:val="0"/>
        <w:bidi w:val="0"/>
        <w:spacing w:line="430" w:lineRule="exact"/>
        <w:ind w:firstLine="480"/>
        <w:rPr>
          <w:rFonts w:hint="eastAsia" w:ascii="宋体" w:hAnsi="宋体" w:eastAsia="宋体" w:cs="宋体"/>
          <w:color w:val="auto"/>
          <w:highlight w:val="none"/>
        </w:rPr>
      </w:pPr>
      <w:r>
        <w:rPr>
          <w:rFonts w:hint="eastAsia" w:ascii="宋体" w:hAnsi="宋体" w:eastAsia="宋体" w:cs="宋体"/>
          <w:color w:val="auto"/>
          <w:highlight w:val="none"/>
        </w:rPr>
        <w:t>39.4验收合格的项目，采购人将根据采购合同的约定及时向</w:t>
      </w:r>
      <w:r>
        <w:rPr>
          <w:rFonts w:hint="eastAsia" w:ascii="宋体" w:hAnsi="宋体" w:eastAsia="宋体" w:cs="宋体"/>
          <w:color w:val="auto"/>
          <w:highlight w:val="none"/>
          <w:lang w:eastAsia="zh-CN"/>
        </w:rPr>
        <w:t>中标人</w:t>
      </w:r>
      <w:r>
        <w:rPr>
          <w:rFonts w:hint="eastAsia" w:ascii="宋体" w:hAnsi="宋体" w:eastAsia="宋体" w:cs="宋体"/>
          <w:color w:val="auto"/>
          <w:highlight w:val="none"/>
        </w:rPr>
        <w:t>支付采购资金。验收不合格的项目，采购人将依法及时处理。采购合同的履行、违约责任和解决争议的方式等适用《中华人民共和国民法典》。</w:t>
      </w:r>
      <w:r>
        <w:rPr>
          <w:rFonts w:hint="eastAsia" w:ascii="宋体" w:hAnsi="宋体" w:eastAsia="宋体" w:cs="宋体"/>
          <w:color w:val="auto"/>
          <w:highlight w:val="none"/>
          <w:lang w:eastAsia="zh-CN"/>
        </w:rPr>
        <w:t>中标人</w:t>
      </w:r>
      <w:r>
        <w:rPr>
          <w:rFonts w:hint="eastAsia" w:ascii="宋体" w:hAnsi="宋体" w:eastAsia="宋体" w:cs="宋体"/>
          <w:color w:val="auto"/>
          <w:highlight w:val="none"/>
        </w:rPr>
        <w:t>在履约过程中有政府采购法律法规规定的违法违规情形的，采购人应当及时报告本级财政部门。</w:t>
      </w:r>
    </w:p>
    <w:p w14:paraId="73574F0A">
      <w:pPr>
        <w:pStyle w:val="12"/>
        <w:shd w:val="clear"/>
        <w:snapToGrid w:val="0"/>
        <w:spacing w:line="400" w:lineRule="exact"/>
        <w:rPr>
          <w:rFonts w:hint="eastAsia" w:ascii="宋体" w:hAnsi="宋体" w:eastAsia="宋体" w:cs="宋体"/>
          <w:color w:val="auto"/>
          <w:highlight w:val="none"/>
        </w:rPr>
      </w:pPr>
    </w:p>
    <w:p w14:paraId="7176D0D2">
      <w:pPr>
        <w:pStyle w:val="3"/>
        <w:keepNext w:val="0"/>
        <w:keepLines w:val="0"/>
        <w:shd w:val="clear"/>
        <w:spacing w:line="360" w:lineRule="auto"/>
        <w:jc w:val="center"/>
        <w:rPr>
          <w:rFonts w:hint="eastAsia" w:ascii="宋体" w:hAnsi="宋体" w:eastAsia="宋体" w:cs="宋体"/>
          <w:color w:val="auto"/>
          <w:highlight w:val="none"/>
        </w:rPr>
      </w:pPr>
      <w:bookmarkStart w:id="247" w:name="_八、其他事项"/>
      <w:bookmarkEnd w:id="247"/>
      <w:bookmarkStart w:id="248" w:name="_Toc13612"/>
      <w:bookmarkStart w:id="249" w:name="_Toc5795"/>
      <w:bookmarkStart w:id="250" w:name="_Toc13217"/>
      <w:bookmarkStart w:id="251" w:name="_Toc32163"/>
      <w:bookmarkStart w:id="252" w:name="_Toc28972"/>
      <w:bookmarkStart w:id="253" w:name="_Toc27249"/>
      <w:bookmarkStart w:id="254" w:name="_Toc24348"/>
      <w:bookmarkStart w:id="255" w:name="_Toc16509"/>
      <w:bookmarkStart w:id="256" w:name="_Toc14814"/>
      <w:bookmarkStart w:id="257" w:name="_Toc31560"/>
      <w:r>
        <w:rPr>
          <w:rFonts w:hint="eastAsia" w:ascii="宋体" w:hAnsi="宋体" w:eastAsia="宋体" w:cs="宋体"/>
          <w:color w:val="auto"/>
          <w:highlight w:val="none"/>
        </w:rPr>
        <w:t>九、其他事项</w:t>
      </w:r>
      <w:bookmarkEnd w:id="248"/>
      <w:bookmarkEnd w:id="249"/>
      <w:bookmarkEnd w:id="250"/>
      <w:bookmarkEnd w:id="251"/>
      <w:bookmarkEnd w:id="252"/>
      <w:bookmarkEnd w:id="253"/>
      <w:bookmarkEnd w:id="254"/>
      <w:bookmarkEnd w:id="255"/>
      <w:bookmarkEnd w:id="256"/>
      <w:bookmarkEnd w:id="257"/>
    </w:p>
    <w:p w14:paraId="29744E56">
      <w:pPr>
        <w:keepNext w:val="0"/>
        <w:keepLines w:val="0"/>
        <w:pageBreakBefore w:val="0"/>
        <w:shd w:val="clear"/>
        <w:kinsoku/>
        <w:wordWrap/>
        <w:overflowPunct/>
        <w:topLinePunct w:val="0"/>
        <w:bidi w:val="0"/>
        <w:spacing w:line="430" w:lineRule="exact"/>
        <w:ind w:firstLine="480" w:firstLineChars="200"/>
        <w:rPr>
          <w:rFonts w:hint="eastAsia" w:ascii="宋体" w:hAnsi="宋体" w:eastAsia="宋体" w:cs="宋体"/>
          <w:color w:val="auto"/>
          <w:sz w:val="24"/>
          <w:highlight w:val="none"/>
        </w:rPr>
      </w:pPr>
      <w:bookmarkStart w:id="258" w:name="_42.代理服务费"/>
      <w:bookmarkEnd w:id="258"/>
      <w:r>
        <w:rPr>
          <w:rFonts w:hint="eastAsia" w:ascii="宋体" w:hAnsi="宋体" w:eastAsia="宋体" w:cs="宋体"/>
          <w:color w:val="auto"/>
          <w:sz w:val="24"/>
          <w:highlight w:val="none"/>
        </w:rPr>
        <w:t>40.</w:t>
      </w:r>
      <w:r>
        <w:rPr>
          <w:rFonts w:hint="eastAsia" w:ascii="宋体" w:hAnsi="宋体" w:eastAsia="宋体" w:cs="宋体"/>
          <w:color w:val="auto"/>
          <w:sz w:val="24"/>
          <w:highlight w:val="none"/>
          <w:lang w:eastAsia="zh-CN"/>
        </w:rPr>
        <w:t>采购</w:t>
      </w:r>
      <w:r>
        <w:rPr>
          <w:rFonts w:hint="eastAsia" w:ascii="宋体" w:hAnsi="宋体" w:eastAsia="宋体" w:cs="宋体"/>
          <w:color w:val="auto"/>
          <w:sz w:val="24"/>
          <w:highlight w:val="none"/>
        </w:rPr>
        <w:t>代理服务费</w:t>
      </w:r>
    </w:p>
    <w:p w14:paraId="7F6F4CF1">
      <w:pPr>
        <w:keepNext w:val="0"/>
        <w:keepLines w:val="0"/>
        <w:pageBreakBefore w:val="0"/>
        <w:shd w:val="clear"/>
        <w:kinsoku/>
        <w:wordWrap/>
        <w:overflowPunct/>
        <w:topLinePunct w:val="0"/>
        <w:bidi w:val="0"/>
        <w:spacing w:line="430" w:lineRule="exact"/>
        <w:ind w:firstLine="420" w:firstLineChars="200"/>
        <w:rPr>
          <w:rFonts w:hint="eastAsia" w:ascii="宋体" w:hAnsi="宋体" w:eastAsia="宋体" w:cs="宋体"/>
          <w:b/>
          <w:color w:val="auto"/>
          <w:szCs w:val="21"/>
          <w:highlight w:val="none"/>
        </w:rPr>
      </w:pPr>
      <w:r>
        <w:rPr>
          <w:rFonts w:hint="eastAsia" w:ascii="宋体" w:hAnsi="宋体" w:eastAsia="宋体" w:cs="宋体"/>
          <w:b w:val="0"/>
          <w:bCs/>
          <w:color w:val="auto"/>
          <w:szCs w:val="21"/>
          <w:highlight w:val="none"/>
          <w:lang w:val="en-US" w:eastAsia="zh-CN"/>
        </w:rPr>
        <w:t>40.1</w:t>
      </w:r>
      <w:r>
        <w:rPr>
          <w:rFonts w:hint="eastAsia" w:ascii="宋体" w:hAnsi="宋体" w:eastAsia="宋体" w:cs="宋体"/>
          <w:b w:val="0"/>
          <w:bCs/>
          <w:color w:val="auto"/>
          <w:szCs w:val="21"/>
          <w:highlight w:val="none"/>
          <w:lang w:eastAsia="zh-CN"/>
        </w:rPr>
        <w:t>采购</w:t>
      </w:r>
      <w:r>
        <w:rPr>
          <w:rFonts w:hint="eastAsia" w:ascii="宋体" w:hAnsi="宋体" w:eastAsia="宋体" w:cs="宋体"/>
          <w:b w:val="0"/>
          <w:bCs/>
          <w:color w:val="auto"/>
          <w:szCs w:val="21"/>
          <w:highlight w:val="none"/>
        </w:rPr>
        <w:t>代理服务</w:t>
      </w:r>
      <w:r>
        <w:rPr>
          <w:rFonts w:hint="eastAsia" w:ascii="宋体" w:hAnsi="宋体" w:eastAsia="宋体" w:cs="宋体"/>
          <w:b w:val="0"/>
          <w:bCs/>
          <w:color w:val="auto"/>
          <w:szCs w:val="21"/>
          <w:highlight w:val="none"/>
          <w:lang w:eastAsia="zh-CN"/>
        </w:rPr>
        <w:t>费</w:t>
      </w:r>
      <w:r>
        <w:rPr>
          <w:rFonts w:hint="eastAsia" w:ascii="宋体" w:hAnsi="宋体" w:eastAsia="宋体" w:cs="宋体"/>
          <w:b w:val="0"/>
          <w:bCs/>
          <w:color w:val="auto"/>
          <w:szCs w:val="21"/>
          <w:highlight w:val="none"/>
        </w:rPr>
        <w:t>收费标准及缴费账户详见“投标人须知前附表”，投标人为联合体的，可以由联合体中的一方或者多方共同</w:t>
      </w:r>
      <w:r>
        <w:rPr>
          <w:rFonts w:hint="eastAsia" w:ascii="宋体" w:hAnsi="宋体" w:eastAsia="宋体" w:cs="宋体"/>
          <w:b w:val="0"/>
          <w:bCs/>
          <w:color w:val="auto"/>
          <w:szCs w:val="21"/>
          <w:highlight w:val="none"/>
          <w:lang w:eastAsia="zh-CN"/>
        </w:rPr>
        <w:t>缴</w:t>
      </w:r>
      <w:r>
        <w:rPr>
          <w:rFonts w:hint="eastAsia" w:ascii="宋体" w:hAnsi="宋体" w:eastAsia="宋体" w:cs="宋体"/>
          <w:b w:val="0"/>
          <w:bCs/>
          <w:color w:val="auto"/>
          <w:szCs w:val="21"/>
          <w:highlight w:val="none"/>
        </w:rPr>
        <w:t>纳</w:t>
      </w:r>
      <w:r>
        <w:rPr>
          <w:rFonts w:hint="eastAsia" w:ascii="宋体" w:hAnsi="宋体" w:eastAsia="宋体" w:cs="宋体"/>
          <w:b w:val="0"/>
          <w:bCs/>
          <w:color w:val="auto"/>
          <w:szCs w:val="21"/>
          <w:highlight w:val="none"/>
          <w:lang w:eastAsia="zh-CN"/>
        </w:rPr>
        <w:t>采购</w:t>
      </w:r>
      <w:r>
        <w:rPr>
          <w:rFonts w:hint="eastAsia" w:ascii="宋体" w:hAnsi="宋体" w:eastAsia="宋体" w:cs="宋体"/>
          <w:b w:val="0"/>
          <w:bCs/>
          <w:color w:val="auto"/>
          <w:szCs w:val="21"/>
          <w:highlight w:val="none"/>
        </w:rPr>
        <w:t>代理服务费。</w:t>
      </w:r>
    </w:p>
    <w:p w14:paraId="53CE8458">
      <w:pPr>
        <w:pStyle w:val="5"/>
        <w:keepNext w:val="0"/>
        <w:keepLines w:val="0"/>
        <w:pageBreakBefore w:val="0"/>
        <w:shd w:val="clear"/>
        <w:kinsoku/>
        <w:wordWrap/>
        <w:overflowPunct/>
        <w:topLinePunct w:val="0"/>
        <w:bidi w:val="0"/>
        <w:spacing w:before="0" w:after="0" w:line="430" w:lineRule="exact"/>
        <w:ind w:left="420" w:leftChars="200"/>
        <w:rPr>
          <w:rFonts w:hint="eastAsia" w:ascii="宋体" w:hAnsi="宋体" w:eastAsia="宋体" w:cs="宋体"/>
          <w:b w:val="0"/>
          <w:color w:val="auto"/>
          <w:sz w:val="21"/>
          <w:szCs w:val="21"/>
          <w:highlight w:val="none"/>
        </w:rPr>
      </w:pPr>
      <w:r>
        <w:rPr>
          <w:rFonts w:hint="eastAsia" w:ascii="宋体" w:hAnsi="宋体" w:eastAsia="宋体" w:cs="宋体"/>
          <w:b w:val="0"/>
          <w:color w:val="auto"/>
          <w:sz w:val="21"/>
          <w:szCs w:val="21"/>
          <w:highlight w:val="none"/>
          <w:lang w:val="en-US" w:eastAsia="zh-CN"/>
        </w:rPr>
        <w:t>40.2</w:t>
      </w:r>
      <w:r>
        <w:rPr>
          <w:rFonts w:hint="eastAsia" w:ascii="宋体" w:hAnsi="宋体" w:eastAsia="宋体" w:cs="宋体"/>
          <w:b w:val="0"/>
          <w:color w:val="auto"/>
          <w:sz w:val="21"/>
          <w:szCs w:val="21"/>
          <w:highlight w:val="none"/>
          <w:lang w:eastAsia="zh-CN"/>
        </w:rPr>
        <w:t>采购</w:t>
      </w:r>
      <w:r>
        <w:rPr>
          <w:rFonts w:hint="eastAsia" w:ascii="宋体" w:hAnsi="宋体" w:eastAsia="宋体" w:cs="宋体"/>
          <w:b w:val="0"/>
          <w:color w:val="auto"/>
          <w:sz w:val="21"/>
          <w:szCs w:val="21"/>
          <w:highlight w:val="none"/>
        </w:rPr>
        <w:t>代理服务</w:t>
      </w:r>
      <w:r>
        <w:rPr>
          <w:rFonts w:hint="eastAsia" w:ascii="宋体" w:hAnsi="宋体" w:eastAsia="宋体" w:cs="宋体"/>
          <w:b w:val="0"/>
          <w:color w:val="auto"/>
          <w:sz w:val="21"/>
          <w:szCs w:val="21"/>
          <w:highlight w:val="none"/>
          <w:lang w:eastAsia="zh-CN"/>
        </w:rPr>
        <w:t>费</w:t>
      </w:r>
      <w:r>
        <w:rPr>
          <w:rFonts w:hint="eastAsia" w:ascii="宋体" w:hAnsi="宋体" w:eastAsia="宋体" w:cs="宋体"/>
          <w:b w:val="0"/>
          <w:color w:val="auto"/>
          <w:sz w:val="21"/>
          <w:szCs w:val="21"/>
          <w:highlight w:val="none"/>
        </w:rPr>
        <w:t>收费标准：</w:t>
      </w:r>
    </w:p>
    <w:tbl>
      <w:tblPr>
        <w:tblStyle w:val="18"/>
        <w:tblW w:w="8477" w:type="dxa"/>
        <w:tblInd w:w="53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472"/>
        <w:gridCol w:w="1659"/>
        <w:gridCol w:w="1687"/>
        <w:gridCol w:w="1659"/>
      </w:tblGrid>
      <w:tr w14:paraId="3D7F86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72" w:type="dxa"/>
            <w:tcBorders>
              <w:tl2br w:val="single" w:color="auto" w:sz="4" w:space="0"/>
            </w:tcBorders>
            <w:noWrap w:val="0"/>
            <w:vAlign w:val="top"/>
          </w:tcPr>
          <w:p w14:paraId="3EB69B66">
            <w:pPr>
              <w:shd w:val="clear"/>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               费率</w:t>
            </w:r>
          </w:p>
          <w:p w14:paraId="5637034E">
            <w:pPr>
              <w:shd w:val="clear"/>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中标金额</w:t>
            </w:r>
          </w:p>
        </w:tc>
        <w:tc>
          <w:tcPr>
            <w:tcW w:w="1659" w:type="dxa"/>
            <w:noWrap w:val="0"/>
            <w:vAlign w:val="center"/>
          </w:tcPr>
          <w:p w14:paraId="2994452E">
            <w:pPr>
              <w:shd w:val="clear"/>
              <w:spacing w:line="360" w:lineRule="auto"/>
              <w:ind w:firstLine="105" w:firstLineChars="5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货物招标</w:t>
            </w:r>
          </w:p>
        </w:tc>
        <w:tc>
          <w:tcPr>
            <w:tcW w:w="1687" w:type="dxa"/>
            <w:noWrap w:val="0"/>
            <w:vAlign w:val="center"/>
          </w:tcPr>
          <w:p w14:paraId="42EA9EBD">
            <w:pPr>
              <w:shd w:val="clea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服务招标</w:t>
            </w:r>
          </w:p>
        </w:tc>
        <w:tc>
          <w:tcPr>
            <w:tcW w:w="1659" w:type="dxa"/>
            <w:noWrap w:val="0"/>
            <w:vAlign w:val="center"/>
          </w:tcPr>
          <w:p w14:paraId="24E47C77">
            <w:pPr>
              <w:shd w:val="clea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工程招标</w:t>
            </w:r>
          </w:p>
        </w:tc>
      </w:tr>
      <w:tr w14:paraId="50F3F5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72" w:type="dxa"/>
            <w:noWrap w:val="0"/>
            <w:vAlign w:val="top"/>
          </w:tcPr>
          <w:p w14:paraId="76E4F7B5">
            <w:pPr>
              <w:shd w:val="clear"/>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100万元以下</w:t>
            </w:r>
          </w:p>
        </w:tc>
        <w:tc>
          <w:tcPr>
            <w:tcW w:w="1659" w:type="dxa"/>
            <w:noWrap w:val="0"/>
            <w:vAlign w:val="top"/>
          </w:tcPr>
          <w:p w14:paraId="3E902FD4">
            <w:pPr>
              <w:shd w:val="clear"/>
              <w:spacing w:line="360" w:lineRule="auto"/>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 xml:space="preserve">  1.5%                </w:t>
            </w:r>
          </w:p>
        </w:tc>
        <w:tc>
          <w:tcPr>
            <w:tcW w:w="1687" w:type="dxa"/>
            <w:noWrap w:val="0"/>
            <w:vAlign w:val="top"/>
          </w:tcPr>
          <w:p w14:paraId="0D188B6D">
            <w:pPr>
              <w:shd w:val="clear"/>
              <w:spacing w:line="360" w:lineRule="auto"/>
              <w:ind w:firstLine="210" w:firstLineChars="100"/>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1.5%</w:t>
            </w:r>
          </w:p>
        </w:tc>
        <w:tc>
          <w:tcPr>
            <w:tcW w:w="1659" w:type="dxa"/>
            <w:noWrap w:val="0"/>
            <w:vAlign w:val="top"/>
          </w:tcPr>
          <w:p w14:paraId="312F2E6B">
            <w:pPr>
              <w:shd w:val="clear"/>
              <w:spacing w:line="360" w:lineRule="auto"/>
              <w:ind w:firstLine="210" w:firstLineChars="100"/>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 xml:space="preserve">1.0% </w:t>
            </w:r>
          </w:p>
        </w:tc>
      </w:tr>
      <w:tr w14:paraId="46E14F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72" w:type="dxa"/>
            <w:noWrap w:val="0"/>
            <w:vAlign w:val="top"/>
          </w:tcPr>
          <w:p w14:paraId="4139D885">
            <w:pPr>
              <w:shd w:val="clear"/>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100～500万元</w:t>
            </w:r>
          </w:p>
        </w:tc>
        <w:tc>
          <w:tcPr>
            <w:tcW w:w="1659" w:type="dxa"/>
            <w:noWrap w:val="0"/>
            <w:vAlign w:val="top"/>
          </w:tcPr>
          <w:p w14:paraId="19D1C391">
            <w:pPr>
              <w:shd w:val="clear"/>
              <w:spacing w:line="360" w:lineRule="auto"/>
              <w:ind w:firstLine="210" w:firstLineChars="100"/>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 xml:space="preserve">1.1%                 </w:t>
            </w:r>
          </w:p>
        </w:tc>
        <w:tc>
          <w:tcPr>
            <w:tcW w:w="1687" w:type="dxa"/>
            <w:noWrap w:val="0"/>
            <w:vAlign w:val="top"/>
          </w:tcPr>
          <w:p w14:paraId="744C193F">
            <w:pPr>
              <w:shd w:val="clear"/>
              <w:spacing w:line="360" w:lineRule="auto"/>
              <w:ind w:firstLine="210" w:firstLineChars="100"/>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0.8%</w:t>
            </w:r>
          </w:p>
        </w:tc>
        <w:tc>
          <w:tcPr>
            <w:tcW w:w="1659" w:type="dxa"/>
            <w:noWrap w:val="0"/>
            <w:vAlign w:val="top"/>
          </w:tcPr>
          <w:p w14:paraId="03F04EFF">
            <w:pPr>
              <w:shd w:val="clear"/>
              <w:spacing w:line="360" w:lineRule="auto"/>
              <w:ind w:firstLine="210" w:firstLineChars="100"/>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 xml:space="preserve">0.7% </w:t>
            </w:r>
          </w:p>
        </w:tc>
      </w:tr>
      <w:tr w14:paraId="2ECA3E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72" w:type="dxa"/>
            <w:noWrap w:val="0"/>
            <w:vAlign w:val="top"/>
          </w:tcPr>
          <w:p w14:paraId="34EDD9FE">
            <w:pPr>
              <w:shd w:val="clear"/>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500～1000万元</w:t>
            </w:r>
          </w:p>
        </w:tc>
        <w:tc>
          <w:tcPr>
            <w:tcW w:w="1659" w:type="dxa"/>
            <w:noWrap w:val="0"/>
            <w:vAlign w:val="top"/>
          </w:tcPr>
          <w:p w14:paraId="00A3F720">
            <w:pPr>
              <w:shd w:val="clear"/>
              <w:spacing w:line="360" w:lineRule="auto"/>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 xml:space="preserve">  0.8%                </w:t>
            </w:r>
          </w:p>
        </w:tc>
        <w:tc>
          <w:tcPr>
            <w:tcW w:w="1687" w:type="dxa"/>
            <w:noWrap w:val="0"/>
            <w:vAlign w:val="top"/>
          </w:tcPr>
          <w:p w14:paraId="171826FB">
            <w:pPr>
              <w:shd w:val="clear"/>
              <w:spacing w:line="360" w:lineRule="auto"/>
              <w:ind w:firstLine="210" w:firstLineChars="100"/>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0.45%</w:t>
            </w:r>
          </w:p>
        </w:tc>
        <w:tc>
          <w:tcPr>
            <w:tcW w:w="1659" w:type="dxa"/>
            <w:noWrap w:val="0"/>
            <w:vAlign w:val="top"/>
          </w:tcPr>
          <w:p w14:paraId="71618DE1">
            <w:pPr>
              <w:shd w:val="clear"/>
              <w:spacing w:line="360" w:lineRule="auto"/>
              <w:ind w:firstLine="210" w:firstLineChars="100"/>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0.55%</w:t>
            </w:r>
          </w:p>
        </w:tc>
      </w:tr>
      <w:tr w14:paraId="019116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72" w:type="dxa"/>
            <w:noWrap w:val="0"/>
            <w:vAlign w:val="top"/>
          </w:tcPr>
          <w:p w14:paraId="6E17573C">
            <w:pPr>
              <w:shd w:val="clear"/>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1000～5000万元</w:t>
            </w:r>
          </w:p>
        </w:tc>
        <w:tc>
          <w:tcPr>
            <w:tcW w:w="1659" w:type="dxa"/>
            <w:noWrap w:val="0"/>
            <w:vAlign w:val="top"/>
          </w:tcPr>
          <w:p w14:paraId="5B58920B">
            <w:pPr>
              <w:shd w:val="clear"/>
              <w:spacing w:line="360" w:lineRule="auto"/>
              <w:ind w:firstLine="210" w:firstLineChars="100"/>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 xml:space="preserve">0.5%                </w:t>
            </w:r>
          </w:p>
        </w:tc>
        <w:tc>
          <w:tcPr>
            <w:tcW w:w="1687" w:type="dxa"/>
            <w:noWrap w:val="0"/>
            <w:vAlign w:val="top"/>
          </w:tcPr>
          <w:p w14:paraId="532B6256">
            <w:pPr>
              <w:shd w:val="clear"/>
              <w:spacing w:line="360" w:lineRule="auto"/>
              <w:ind w:firstLine="210" w:firstLineChars="100"/>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0.25%</w:t>
            </w:r>
          </w:p>
        </w:tc>
        <w:tc>
          <w:tcPr>
            <w:tcW w:w="1659" w:type="dxa"/>
            <w:noWrap w:val="0"/>
            <w:vAlign w:val="top"/>
          </w:tcPr>
          <w:p w14:paraId="2D8E2930">
            <w:pPr>
              <w:shd w:val="clear"/>
              <w:spacing w:line="360" w:lineRule="auto"/>
              <w:ind w:firstLine="210" w:firstLineChars="100"/>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 xml:space="preserve">0.35% </w:t>
            </w:r>
          </w:p>
        </w:tc>
      </w:tr>
      <w:tr w14:paraId="465767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72" w:type="dxa"/>
            <w:noWrap w:val="0"/>
            <w:vAlign w:val="top"/>
          </w:tcPr>
          <w:p w14:paraId="6FED0573">
            <w:pPr>
              <w:shd w:val="clear"/>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5000万元～1亿元</w:t>
            </w:r>
          </w:p>
        </w:tc>
        <w:tc>
          <w:tcPr>
            <w:tcW w:w="1659" w:type="dxa"/>
            <w:noWrap w:val="0"/>
            <w:vAlign w:val="top"/>
          </w:tcPr>
          <w:p w14:paraId="4EC66ED0">
            <w:pPr>
              <w:shd w:val="clear"/>
              <w:spacing w:line="360" w:lineRule="auto"/>
              <w:ind w:firstLine="210" w:firstLineChars="100"/>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 xml:space="preserve">0.25%                 </w:t>
            </w:r>
          </w:p>
        </w:tc>
        <w:tc>
          <w:tcPr>
            <w:tcW w:w="1687" w:type="dxa"/>
            <w:noWrap w:val="0"/>
            <w:vAlign w:val="top"/>
          </w:tcPr>
          <w:p w14:paraId="6E321EA9">
            <w:pPr>
              <w:shd w:val="clear"/>
              <w:spacing w:line="360" w:lineRule="auto"/>
              <w:ind w:firstLine="210" w:firstLineChars="100"/>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0.1%</w:t>
            </w:r>
          </w:p>
        </w:tc>
        <w:tc>
          <w:tcPr>
            <w:tcW w:w="1659" w:type="dxa"/>
            <w:noWrap w:val="0"/>
            <w:vAlign w:val="top"/>
          </w:tcPr>
          <w:p w14:paraId="710AC2E0">
            <w:pPr>
              <w:shd w:val="clear"/>
              <w:spacing w:line="360" w:lineRule="auto"/>
              <w:ind w:firstLine="210" w:firstLineChars="100"/>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0.2%</w:t>
            </w:r>
          </w:p>
        </w:tc>
      </w:tr>
      <w:tr w14:paraId="6F84FC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72" w:type="dxa"/>
            <w:noWrap w:val="0"/>
            <w:vAlign w:val="top"/>
          </w:tcPr>
          <w:p w14:paraId="6BDEC64B">
            <w:pPr>
              <w:shd w:val="clear"/>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1～5亿元</w:t>
            </w:r>
          </w:p>
        </w:tc>
        <w:tc>
          <w:tcPr>
            <w:tcW w:w="1659" w:type="dxa"/>
            <w:noWrap w:val="0"/>
            <w:vAlign w:val="top"/>
          </w:tcPr>
          <w:p w14:paraId="0FC2BDC5">
            <w:pPr>
              <w:shd w:val="clear"/>
              <w:spacing w:line="360" w:lineRule="auto"/>
              <w:ind w:firstLine="210" w:firstLineChars="100"/>
              <w:rPr>
                <w:rFonts w:hint="eastAsia" w:ascii="宋体" w:hAnsi="宋体" w:eastAsia="宋体" w:cs="宋体"/>
                <w:color w:val="auto"/>
                <w:szCs w:val="21"/>
                <w:highlight w:val="none"/>
              </w:rPr>
            </w:pPr>
            <w:r>
              <w:rPr>
                <w:rFonts w:hint="eastAsia" w:ascii="宋体" w:hAnsi="宋体" w:eastAsia="宋体" w:cs="宋体"/>
                <w:color w:val="auto"/>
                <w:szCs w:val="21"/>
                <w:highlight w:val="none"/>
              </w:rPr>
              <w:t>0.05%</w:t>
            </w:r>
          </w:p>
        </w:tc>
        <w:tc>
          <w:tcPr>
            <w:tcW w:w="1687" w:type="dxa"/>
            <w:noWrap w:val="0"/>
            <w:vAlign w:val="top"/>
          </w:tcPr>
          <w:p w14:paraId="5BD32D9C">
            <w:pPr>
              <w:shd w:val="clear"/>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  0.05%</w:t>
            </w:r>
          </w:p>
        </w:tc>
        <w:tc>
          <w:tcPr>
            <w:tcW w:w="1659" w:type="dxa"/>
            <w:noWrap w:val="0"/>
            <w:vAlign w:val="top"/>
          </w:tcPr>
          <w:p w14:paraId="2177FB9D">
            <w:pPr>
              <w:shd w:val="clear"/>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  0.05%</w:t>
            </w:r>
          </w:p>
        </w:tc>
      </w:tr>
      <w:tr w14:paraId="6A2029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72" w:type="dxa"/>
            <w:noWrap w:val="0"/>
            <w:vAlign w:val="top"/>
          </w:tcPr>
          <w:p w14:paraId="429E1A96">
            <w:pPr>
              <w:shd w:val="clear"/>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5～10亿元</w:t>
            </w:r>
          </w:p>
        </w:tc>
        <w:tc>
          <w:tcPr>
            <w:tcW w:w="1659" w:type="dxa"/>
            <w:noWrap w:val="0"/>
            <w:vAlign w:val="top"/>
          </w:tcPr>
          <w:p w14:paraId="14F0E9B7">
            <w:pPr>
              <w:shd w:val="clear"/>
              <w:spacing w:line="360" w:lineRule="auto"/>
              <w:ind w:firstLine="105" w:firstLineChars="50"/>
              <w:rPr>
                <w:rFonts w:hint="eastAsia" w:ascii="宋体" w:hAnsi="宋体" w:eastAsia="宋体" w:cs="宋体"/>
                <w:color w:val="auto"/>
                <w:szCs w:val="21"/>
                <w:highlight w:val="none"/>
              </w:rPr>
            </w:pPr>
            <w:r>
              <w:rPr>
                <w:rFonts w:hint="eastAsia" w:ascii="宋体" w:hAnsi="宋体" w:eastAsia="宋体" w:cs="宋体"/>
                <w:color w:val="auto"/>
                <w:szCs w:val="21"/>
                <w:highlight w:val="none"/>
              </w:rPr>
              <w:t>0.035%</w:t>
            </w:r>
          </w:p>
        </w:tc>
        <w:tc>
          <w:tcPr>
            <w:tcW w:w="1687" w:type="dxa"/>
            <w:noWrap w:val="0"/>
            <w:vAlign w:val="top"/>
          </w:tcPr>
          <w:p w14:paraId="3B87907C">
            <w:pPr>
              <w:shd w:val="clear"/>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  0.035%</w:t>
            </w:r>
          </w:p>
        </w:tc>
        <w:tc>
          <w:tcPr>
            <w:tcW w:w="1659" w:type="dxa"/>
            <w:noWrap w:val="0"/>
            <w:vAlign w:val="top"/>
          </w:tcPr>
          <w:p w14:paraId="401AF785">
            <w:pPr>
              <w:shd w:val="clear"/>
              <w:spacing w:line="360" w:lineRule="auto"/>
              <w:ind w:firstLine="105" w:firstLineChars="50"/>
              <w:rPr>
                <w:rFonts w:hint="eastAsia" w:ascii="宋体" w:hAnsi="宋体" w:eastAsia="宋体" w:cs="宋体"/>
                <w:color w:val="auto"/>
                <w:szCs w:val="21"/>
                <w:highlight w:val="none"/>
              </w:rPr>
            </w:pPr>
            <w:r>
              <w:rPr>
                <w:rFonts w:hint="eastAsia" w:ascii="宋体" w:hAnsi="宋体" w:eastAsia="宋体" w:cs="宋体"/>
                <w:color w:val="auto"/>
                <w:szCs w:val="21"/>
                <w:highlight w:val="none"/>
              </w:rPr>
              <w:t>0.035%</w:t>
            </w:r>
          </w:p>
        </w:tc>
      </w:tr>
      <w:tr w14:paraId="5FEEBE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72" w:type="dxa"/>
            <w:noWrap w:val="0"/>
            <w:vAlign w:val="top"/>
          </w:tcPr>
          <w:p w14:paraId="1D3C4C90">
            <w:pPr>
              <w:shd w:val="clear"/>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10～50亿元</w:t>
            </w:r>
          </w:p>
        </w:tc>
        <w:tc>
          <w:tcPr>
            <w:tcW w:w="1659" w:type="dxa"/>
            <w:noWrap w:val="0"/>
            <w:vAlign w:val="top"/>
          </w:tcPr>
          <w:p w14:paraId="26BC0831">
            <w:pPr>
              <w:shd w:val="clear"/>
              <w:spacing w:line="360" w:lineRule="auto"/>
              <w:ind w:firstLine="105" w:firstLineChars="50"/>
              <w:rPr>
                <w:rFonts w:hint="eastAsia" w:ascii="宋体" w:hAnsi="宋体" w:eastAsia="宋体" w:cs="宋体"/>
                <w:color w:val="auto"/>
                <w:szCs w:val="21"/>
                <w:highlight w:val="none"/>
              </w:rPr>
            </w:pPr>
            <w:r>
              <w:rPr>
                <w:rFonts w:hint="eastAsia" w:ascii="宋体" w:hAnsi="宋体" w:eastAsia="宋体" w:cs="宋体"/>
                <w:color w:val="auto"/>
                <w:szCs w:val="21"/>
                <w:highlight w:val="none"/>
              </w:rPr>
              <w:t>0.008%</w:t>
            </w:r>
          </w:p>
        </w:tc>
        <w:tc>
          <w:tcPr>
            <w:tcW w:w="1687" w:type="dxa"/>
            <w:noWrap w:val="0"/>
            <w:vAlign w:val="top"/>
          </w:tcPr>
          <w:p w14:paraId="27607CCB">
            <w:pPr>
              <w:shd w:val="clear"/>
              <w:spacing w:line="360" w:lineRule="auto"/>
              <w:ind w:firstLine="210" w:firstLineChars="100"/>
              <w:rPr>
                <w:rFonts w:hint="eastAsia" w:ascii="宋体" w:hAnsi="宋体" w:eastAsia="宋体" w:cs="宋体"/>
                <w:color w:val="auto"/>
                <w:szCs w:val="21"/>
                <w:highlight w:val="none"/>
              </w:rPr>
            </w:pPr>
            <w:r>
              <w:rPr>
                <w:rFonts w:hint="eastAsia" w:ascii="宋体" w:hAnsi="宋体" w:eastAsia="宋体" w:cs="宋体"/>
                <w:color w:val="auto"/>
                <w:szCs w:val="21"/>
                <w:highlight w:val="none"/>
              </w:rPr>
              <w:t>0.008%</w:t>
            </w:r>
          </w:p>
        </w:tc>
        <w:tc>
          <w:tcPr>
            <w:tcW w:w="1659" w:type="dxa"/>
            <w:noWrap w:val="0"/>
            <w:vAlign w:val="top"/>
          </w:tcPr>
          <w:p w14:paraId="45BE8402">
            <w:pPr>
              <w:shd w:val="clear"/>
              <w:spacing w:line="360" w:lineRule="auto"/>
              <w:ind w:firstLine="105" w:firstLineChars="50"/>
              <w:rPr>
                <w:rFonts w:hint="eastAsia" w:ascii="宋体" w:hAnsi="宋体" w:eastAsia="宋体" w:cs="宋体"/>
                <w:color w:val="auto"/>
                <w:szCs w:val="21"/>
                <w:highlight w:val="none"/>
              </w:rPr>
            </w:pPr>
            <w:r>
              <w:rPr>
                <w:rFonts w:hint="eastAsia" w:ascii="宋体" w:hAnsi="宋体" w:eastAsia="宋体" w:cs="宋体"/>
                <w:color w:val="auto"/>
                <w:szCs w:val="21"/>
                <w:highlight w:val="none"/>
              </w:rPr>
              <w:t>0.008%</w:t>
            </w:r>
          </w:p>
        </w:tc>
      </w:tr>
      <w:tr w14:paraId="5B0131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72" w:type="dxa"/>
            <w:noWrap w:val="0"/>
            <w:vAlign w:val="top"/>
          </w:tcPr>
          <w:p w14:paraId="5498104B">
            <w:pPr>
              <w:shd w:val="clear"/>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50～100亿元</w:t>
            </w:r>
          </w:p>
        </w:tc>
        <w:tc>
          <w:tcPr>
            <w:tcW w:w="1659" w:type="dxa"/>
            <w:noWrap w:val="0"/>
            <w:vAlign w:val="top"/>
          </w:tcPr>
          <w:p w14:paraId="7831E7A8">
            <w:pPr>
              <w:shd w:val="clear"/>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 0.006%</w:t>
            </w:r>
          </w:p>
        </w:tc>
        <w:tc>
          <w:tcPr>
            <w:tcW w:w="1687" w:type="dxa"/>
            <w:noWrap w:val="0"/>
            <w:vAlign w:val="top"/>
          </w:tcPr>
          <w:p w14:paraId="5B1ACF08">
            <w:pPr>
              <w:shd w:val="clear"/>
              <w:spacing w:line="360" w:lineRule="auto"/>
              <w:ind w:firstLine="210" w:firstLineChars="100"/>
              <w:rPr>
                <w:rFonts w:hint="eastAsia" w:ascii="宋体" w:hAnsi="宋体" w:eastAsia="宋体" w:cs="宋体"/>
                <w:color w:val="auto"/>
                <w:szCs w:val="21"/>
                <w:highlight w:val="none"/>
              </w:rPr>
            </w:pPr>
            <w:r>
              <w:rPr>
                <w:rFonts w:hint="eastAsia" w:ascii="宋体" w:hAnsi="宋体" w:eastAsia="宋体" w:cs="宋体"/>
                <w:color w:val="auto"/>
                <w:szCs w:val="21"/>
                <w:highlight w:val="none"/>
              </w:rPr>
              <w:t>0.006%</w:t>
            </w:r>
          </w:p>
        </w:tc>
        <w:tc>
          <w:tcPr>
            <w:tcW w:w="1659" w:type="dxa"/>
            <w:noWrap w:val="0"/>
            <w:vAlign w:val="top"/>
          </w:tcPr>
          <w:p w14:paraId="02D3CD8B">
            <w:pPr>
              <w:shd w:val="clear"/>
              <w:spacing w:line="360" w:lineRule="auto"/>
              <w:ind w:firstLine="105" w:firstLineChars="50"/>
              <w:rPr>
                <w:rFonts w:hint="eastAsia" w:ascii="宋体" w:hAnsi="宋体" w:eastAsia="宋体" w:cs="宋体"/>
                <w:color w:val="auto"/>
                <w:szCs w:val="21"/>
                <w:highlight w:val="none"/>
              </w:rPr>
            </w:pPr>
            <w:r>
              <w:rPr>
                <w:rFonts w:hint="eastAsia" w:ascii="宋体" w:hAnsi="宋体" w:eastAsia="宋体" w:cs="宋体"/>
                <w:color w:val="auto"/>
                <w:szCs w:val="21"/>
                <w:highlight w:val="none"/>
              </w:rPr>
              <w:t>0.006%</w:t>
            </w:r>
          </w:p>
        </w:tc>
      </w:tr>
      <w:tr w14:paraId="106A8C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72" w:type="dxa"/>
            <w:noWrap w:val="0"/>
            <w:vAlign w:val="top"/>
          </w:tcPr>
          <w:p w14:paraId="59FAF549">
            <w:pPr>
              <w:shd w:val="clear"/>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100亿以上</w:t>
            </w:r>
          </w:p>
        </w:tc>
        <w:tc>
          <w:tcPr>
            <w:tcW w:w="1659" w:type="dxa"/>
            <w:noWrap w:val="0"/>
            <w:vAlign w:val="top"/>
          </w:tcPr>
          <w:p w14:paraId="0C206F3D">
            <w:pPr>
              <w:shd w:val="clear"/>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 0.004%</w:t>
            </w:r>
          </w:p>
        </w:tc>
        <w:tc>
          <w:tcPr>
            <w:tcW w:w="1687" w:type="dxa"/>
            <w:noWrap w:val="0"/>
            <w:vAlign w:val="top"/>
          </w:tcPr>
          <w:p w14:paraId="7084137C">
            <w:pPr>
              <w:shd w:val="clear"/>
              <w:spacing w:line="360" w:lineRule="auto"/>
              <w:ind w:firstLine="210" w:firstLineChars="100"/>
              <w:rPr>
                <w:rFonts w:hint="eastAsia" w:ascii="宋体" w:hAnsi="宋体" w:eastAsia="宋体" w:cs="宋体"/>
                <w:color w:val="auto"/>
                <w:szCs w:val="21"/>
                <w:highlight w:val="none"/>
              </w:rPr>
            </w:pPr>
            <w:r>
              <w:rPr>
                <w:rFonts w:hint="eastAsia" w:ascii="宋体" w:hAnsi="宋体" w:eastAsia="宋体" w:cs="宋体"/>
                <w:color w:val="auto"/>
                <w:szCs w:val="21"/>
                <w:highlight w:val="none"/>
              </w:rPr>
              <w:t>0.004%</w:t>
            </w:r>
          </w:p>
        </w:tc>
        <w:tc>
          <w:tcPr>
            <w:tcW w:w="1659" w:type="dxa"/>
            <w:noWrap w:val="0"/>
            <w:vAlign w:val="top"/>
          </w:tcPr>
          <w:p w14:paraId="2F7D7DB7">
            <w:pPr>
              <w:shd w:val="clear"/>
              <w:spacing w:line="360" w:lineRule="auto"/>
              <w:ind w:firstLine="105" w:firstLineChars="50"/>
              <w:rPr>
                <w:rFonts w:hint="eastAsia" w:ascii="宋体" w:hAnsi="宋体" w:eastAsia="宋体" w:cs="宋体"/>
                <w:color w:val="auto"/>
                <w:szCs w:val="21"/>
                <w:highlight w:val="none"/>
              </w:rPr>
            </w:pPr>
            <w:r>
              <w:rPr>
                <w:rFonts w:hint="eastAsia" w:ascii="宋体" w:hAnsi="宋体" w:eastAsia="宋体" w:cs="宋体"/>
                <w:color w:val="auto"/>
                <w:szCs w:val="21"/>
                <w:highlight w:val="none"/>
              </w:rPr>
              <w:t>0.004%</w:t>
            </w:r>
          </w:p>
        </w:tc>
      </w:tr>
    </w:tbl>
    <w:p w14:paraId="4C50D079">
      <w:pPr>
        <w:keepNext w:val="0"/>
        <w:keepLines w:val="0"/>
        <w:pageBreakBefore w:val="0"/>
        <w:shd w:val="clear"/>
        <w:kinsoku/>
        <w:wordWrap/>
        <w:overflowPunct/>
        <w:topLinePunct w:val="0"/>
        <w:bidi w:val="0"/>
        <w:spacing w:line="43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注</w:t>
      </w:r>
      <w:r>
        <w:rPr>
          <w:rFonts w:hint="eastAsia" w:ascii="宋体" w:hAnsi="宋体" w:cs="宋体"/>
          <w:color w:val="auto"/>
          <w:szCs w:val="21"/>
          <w:highlight w:val="none"/>
          <w:lang w:eastAsia="zh-CN"/>
        </w:rPr>
        <w:t>：</w:t>
      </w:r>
      <w:r>
        <w:rPr>
          <w:rFonts w:hint="eastAsia" w:ascii="宋体" w:hAnsi="宋体" w:eastAsia="宋体" w:cs="宋体"/>
          <w:color w:val="auto"/>
          <w:szCs w:val="21"/>
          <w:highlight w:val="none"/>
        </w:rPr>
        <w:t xml:space="preserve"> </w:t>
      </w:r>
    </w:p>
    <w:p w14:paraId="1F66D84F">
      <w:pPr>
        <w:keepNext w:val="0"/>
        <w:keepLines w:val="0"/>
        <w:pageBreakBefore w:val="0"/>
        <w:shd w:val="clear"/>
        <w:kinsoku/>
        <w:wordWrap/>
        <w:overflowPunct/>
        <w:topLinePunct w:val="0"/>
        <w:bidi w:val="0"/>
        <w:spacing w:line="43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（1）按本表费率计算的收费为采购代理的收费基准价格；</w:t>
      </w:r>
    </w:p>
    <w:p w14:paraId="27B943A7">
      <w:pPr>
        <w:keepNext w:val="0"/>
        <w:keepLines w:val="0"/>
        <w:pageBreakBefore w:val="0"/>
        <w:shd w:val="clear"/>
        <w:kinsoku/>
        <w:wordWrap/>
        <w:overflowPunct/>
        <w:topLinePunct w:val="0"/>
        <w:bidi w:val="0"/>
        <w:spacing w:line="43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（2）采购代理收费按差额定率累进法计算。</w:t>
      </w:r>
    </w:p>
    <w:p w14:paraId="3CF5F062">
      <w:pPr>
        <w:keepNext w:val="0"/>
        <w:keepLines w:val="0"/>
        <w:pageBreakBefore w:val="0"/>
        <w:shd w:val="clear"/>
        <w:kinsoku/>
        <w:wordWrap/>
        <w:overflowPunct/>
        <w:topLinePunct w:val="0"/>
        <w:bidi w:val="0"/>
        <w:spacing w:line="43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例如：某服务采购代理业务中标金额或者暂定价为200万元，计算采购代理收费额如下：</w:t>
      </w:r>
    </w:p>
    <w:p w14:paraId="37985F81">
      <w:pPr>
        <w:keepNext w:val="0"/>
        <w:keepLines w:val="0"/>
        <w:pageBreakBefore w:val="0"/>
        <w:shd w:val="clear"/>
        <w:kinsoku/>
        <w:wordWrap/>
        <w:overflowPunct/>
        <w:topLinePunct w:val="0"/>
        <w:bidi w:val="0"/>
        <w:spacing w:line="43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100 万元×l.5 ％＝ 1.5 万元</w:t>
      </w:r>
    </w:p>
    <w:p w14:paraId="40E04AD1">
      <w:pPr>
        <w:keepNext w:val="0"/>
        <w:keepLines w:val="0"/>
        <w:pageBreakBefore w:val="0"/>
        <w:shd w:val="clear"/>
        <w:kinsoku/>
        <w:wordWrap/>
        <w:overflowPunct/>
        <w:topLinePunct w:val="0"/>
        <w:bidi w:val="0"/>
        <w:spacing w:line="43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 200 － 100 ）万元 ×0.8％＝0.8万元</w:t>
      </w:r>
    </w:p>
    <w:p w14:paraId="0FD600CB">
      <w:pPr>
        <w:pStyle w:val="12"/>
        <w:keepNext w:val="0"/>
        <w:keepLines w:val="0"/>
        <w:pageBreakBefore w:val="0"/>
        <w:shd w:val="clear"/>
        <w:kinsoku/>
        <w:wordWrap/>
        <w:overflowPunct/>
        <w:topLinePunct w:val="0"/>
        <w:bidi w:val="0"/>
        <w:snapToGrid w:val="0"/>
        <w:spacing w:before="120" w:after="120" w:line="430" w:lineRule="exact"/>
        <w:ind w:firstLine="420" w:firstLineChars="200"/>
        <w:rPr>
          <w:rFonts w:hint="eastAsia" w:ascii="宋体" w:hAnsi="宋体" w:eastAsia="宋体" w:cs="宋体"/>
          <w:color w:val="auto"/>
          <w:sz w:val="21"/>
          <w:highlight w:val="none"/>
        </w:rPr>
      </w:pPr>
      <w:r>
        <w:rPr>
          <w:rFonts w:hint="eastAsia" w:ascii="宋体" w:hAnsi="宋体" w:eastAsia="宋体" w:cs="宋体"/>
          <w:color w:val="auto"/>
          <w:sz w:val="21"/>
          <w:highlight w:val="none"/>
        </w:rPr>
        <w:t xml:space="preserve">合计收费＝ 1.5+0.8＝ </w:t>
      </w:r>
      <w:r>
        <w:rPr>
          <w:rFonts w:hint="eastAsia" w:ascii="宋体" w:hAnsi="宋体" w:eastAsia="宋体" w:cs="宋体"/>
          <w:color w:val="auto"/>
          <w:sz w:val="21"/>
          <w:highlight w:val="none"/>
          <w:lang w:val="en-US"/>
        </w:rPr>
        <w:t>2.3</w:t>
      </w:r>
      <w:r>
        <w:rPr>
          <w:rFonts w:hint="eastAsia" w:ascii="宋体" w:hAnsi="宋体" w:eastAsia="宋体" w:cs="宋体"/>
          <w:color w:val="auto"/>
          <w:sz w:val="21"/>
          <w:highlight w:val="none"/>
        </w:rPr>
        <w:t>（万元）</w:t>
      </w:r>
    </w:p>
    <w:p w14:paraId="0B408697">
      <w:pPr>
        <w:pStyle w:val="13"/>
        <w:keepNext w:val="0"/>
        <w:keepLines w:val="0"/>
        <w:pageBreakBefore w:val="0"/>
        <w:shd w:val="clear"/>
        <w:kinsoku/>
        <w:wordWrap/>
        <w:overflowPunct/>
        <w:topLinePunct w:val="0"/>
        <w:bidi w:val="0"/>
        <w:spacing w:line="430" w:lineRule="exact"/>
        <w:rPr>
          <w:rFonts w:hint="eastAsia" w:ascii="宋体" w:hAnsi="宋体" w:eastAsia="宋体" w:cs="宋体"/>
          <w:color w:val="auto"/>
          <w:highlight w:val="none"/>
        </w:rPr>
      </w:pPr>
    </w:p>
    <w:p w14:paraId="1B323BDE">
      <w:pPr>
        <w:keepNext w:val="0"/>
        <w:keepLines w:val="0"/>
        <w:pageBreakBefore w:val="0"/>
        <w:shd w:val="clear"/>
        <w:kinsoku/>
        <w:wordWrap/>
        <w:overflowPunct/>
        <w:topLinePunct w:val="0"/>
        <w:bidi w:val="0"/>
        <w:spacing w:line="43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41. 需要补充的其他内容</w:t>
      </w:r>
    </w:p>
    <w:p w14:paraId="1A4C9557">
      <w:pPr>
        <w:keepNext w:val="0"/>
        <w:keepLines w:val="0"/>
        <w:pageBreakBefore w:val="0"/>
        <w:shd w:val="clear"/>
        <w:kinsoku/>
        <w:wordWrap/>
        <w:overflowPunct/>
        <w:topLinePunct w:val="0"/>
        <w:bidi w:val="0"/>
        <w:spacing w:line="430" w:lineRule="exact"/>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41.1本招标文件解释规则详见“投标人须知前附表”。</w:t>
      </w:r>
    </w:p>
    <w:p w14:paraId="50001B28">
      <w:pPr>
        <w:keepNext w:val="0"/>
        <w:keepLines w:val="0"/>
        <w:pageBreakBefore w:val="0"/>
        <w:shd w:val="clear"/>
        <w:kinsoku/>
        <w:wordWrap/>
        <w:overflowPunct/>
        <w:topLinePunct w:val="0"/>
        <w:bidi w:val="0"/>
        <w:spacing w:line="430" w:lineRule="exact"/>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41.2 其他事项详见“投标人须知前附表”。</w:t>
      </w:r>
    </w:p>
    <w:p w14:paraId="1BE90CEE">
      <w:pPr>
        <w:keepNext w:val="0"/>
        <w:keepLines w:val="0"/>
        <w:pageBreakBefore w:val="0"/>
        <w:shd w:val="clear"/>
        <w:kinsoku/>
        <w:wordWrap/>
        <w:overflowPunct/>
        <w:topLinePunct w:val="0"/>
        <w:bidi w:val="0"/>
        <w:spacing w:line="430" w:lineRule="exact"/>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41.3本文件所称中小企业，是指在中华人民共和国境内依法设立，依据国务院批准的中小企业划分标准确定的中型企业、小型企业和微型企业，但与大企业的负责人为同一人，或者与大企业存在直接控股、管理关系的除外。符合中小企业划分标准的个体工商户，在政府采购活动中视同中小企业。在政府采购活动中，</w:t>
      </w:r>
      <w:r>
        <w:rPr>
          <w:rFonts w:hint="eastAsia" w:ascii="宋体" w:hAnsi="宋体" w:eastAsia="宋体" w:cs="宋体"/>
          <w:color w:val="auto"/>
          <w:highlight w:val="none"/>
          <w:lang w:eastAsia="zh-CN"/>
        </w:rPr>
        <w:t>投标人</w:t>
      </w:r>
      <w:r>
        <w:rPr>
          <w:rFonts w:hint="eastAsia" w:ascii="宋体" w:hAnsi="宋体" w:eastAsia="宋体" w:cs="宋体"/>
          <w:color w:val="auto"/>
          <w:highlight w:val="none"/>
        </w:rPr>
        <w:t>提供的服务的人员为中小企业依照《中华人民共和国劳动合同法》订立劳动合同的从业人员，不对其中涉及的货物的制造商和工程承建商作出要求的，享受本文件规定的中小企业扶持政策。</w:t>
      </w:r>
    </w:p>
    <w:p w14:paraId="508539C2">
      <w:pPr>
        <w:keepNext w:val="0"/>
        <w:keepLines w:val="0"/>
        <w:pageBreakBefore w:val="0"/>
        <w:shd w:val="clear"/>
        <w:kinsoku/>
        <w:wordWrap/>
        <w:overflowPunct/>
        <w:topLinePunct w:val="0"/>
        <w:bidi w:val="0"/>
        <w:spacing w:line="430" w:lineRule="exact"/>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以联合体形式参加政府采购活动，联合体各方均为中小企业的，联合体视同中小企业。其中，联合体各方均为小微企业的，联合体视同小微企业。</w:t>
      </w:r>
    </w:p>
    <w:p w14:paraId="59E0769D">
      <w:pPr>
        <w:keepNext w:val="0"/>
        <w:keepLines w:val="0"/>
        <w:pageBreakBefore w:val="0"/>
        <w:shd w:val="clear"/>
        <w:kinsoku/>
        <w:wordWrap/>
        <w:overflowPunct/>
        <w:topLinePunct w:val="0"/>
        <w:bidi w:val="0"/>
        <w:spacing w:line="430" w:lineRule="exact"/>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依据本文件规定享受扶持政策获得政府采购合同的，小微企业不得将合同分包给大中型企业，中型企业不得将合同分包给大型企业。</w:t>
      </w:r>
    </w:p>
    <w:p w14:paraId="6AE8CE5C">
      <w:pPr>
        <w:shd w:val="clear"/>
        <w:spacing w:line="360" w:lineRule="auto"/>
        <w:ind w:firstLine="480" w:firstLineChars="200"/>
        <w:rPr>
          <w:rFonts w:hint="eastAsia" w:ascii="宋体" w:hAnsi="宋体" w:eastAsia="宋体" w:cs="宋体"/>
          <w:color w:val="auto"/>
          <w:sz w:val="24"/>
          <w:highlight w:val="none"/>
        </w:rPr>
      </w:pPr>
    </w:p>
    <w:p w14:paraId="09DE51A5">
      <w:pPr>
        <w:shd w:val="clear"/>
        <w:spacing w:line="360" w:lineRule="auto"/>
        <w:ind w:firstLine="480" w:firstLineChars="200"/>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rPr>
        <w:t>42. 广西线上</w:t>
      </w:r>
      <w:r>
        <w:rPr>
          <w:rFonts w:hint="eastAsia" w:ascii="宋体" w:hAnsi="宋体" w:eastAsia="宋体" w:cs="宋体"/>
          <w:color w:val="auto"/>
          <w:sz w:val="24"/>
          <w:highlight w:val="none"/>
          <w:lang w:eastAsia="zh-CN"/>
        </w:rPr>
        <w:t>“</w:t>
      </w:r>
      <w:r>
        <w:rPr>
          <w:rFonts w:hint="eastAsia" w:ascii="宋体" w:hAnsi="宋体" w:eastAsia="宋体" w:cs="宋体"/>
          <w:color w:val="auto"/>
          <w:sz w:val="24"/>
          <w:highlight w:val="none"/>
        </w:rPr>
        <w:t>政采贷</w:t>
      </w:r>
      <w:r>
        <w:rPr>
          <w:rFonts w:hint="eastAsia" w:ascii="宋体" w:hAnsi="宋体" w:eastAsia="宋体" w:cs="宋体"/>
          <w:color w:val="auto"/>
          <w:sz w:val="24"/>
          <w:highlight w:val="none"/>
          <w:lang w:val="en-US" w:eastAsia="zh-CN"/>
        </w:rPr>
        <w:t>”</w:t>
      </w:r>
      <w:r>
        <w:rPr>
          <w:rFonts w:hint="eastAsia" w:ascii="宋体" w:hAnsi="宋体" w:eastAsia="宋体" w:cs="宋体"/>
          <w:color w:val="auto"/>
          <w:sz w:val="24"/>
          <w:szCs w:val="24"/>
          <w:highlight w:val="none"/>
        </w:rPr>
        <w:t>政策告知函</w:t>
      </w:r>
    </w:p>
    <w:p w14:paraId="1544FF3D">
      <w:pPr>
        <w:shd w:val="clear"/>
        <w:spacing w:line="580" w:lineRule="exact"/>
        <w:jc w:val="center"/>
        <w:rPr>
          <w:rFonts w:hint="eastAsia" w:ascii="宋体" w:hAnsi="宋体" w:eastAsia="宋体" w:cs="宋体"/>
          <w:color w:val="auto"/>
          <w:sz w:val="44"/>
          <w:szCs w:val="44"/>
          <w:highlight w:val="none"/>
        </w:rPr>
      </w:pPr>
    </w:p>
    <w:p w14:paraId="727EBA40">
      <w:pPr>
        <w:shd w:val="clear"/>
        <w:spacing w:line="580" w:lineRule="exact"/>
        <w:jc w:val="center"/>
        <w:rPr>
          <w:rFonts w:hint="eastAsia" w:ascii="宋体" w:hAnsi="宋体" w:eastAsia="宋体" w:cs="宋体"/>
          <w:color w:val="auto"/>
          <w:sz w:val="32"/>
          <w:szCs w:val="32"/>
          <w:highlight w:val="none"/>
        </w:rPr>
      </w:pPr>
      <w:r>
        <w:rPr>
          <w:rFonts w:hint="eastAsia" w:ascii="宋体" w:hAnsi="宋体" w:eastAsia="宋体" w:cs="宋体"/>
          <w:color w:val="auto"/>
          <w:sz w:val="32"/>
          <w:szCs w:val="32"/>
          <w:highlight w:val="none"/>
        </w:rPr>
        <w:t>广西线上“政采贷”政策告知函</w:t>
      </w:r>
    </w:p>
    <w:p w14:paraId="1411C213">
      <w:pPr>
        <w:shd w:val="clear"/>
        <w:spacing w:line="580" w:lineRule="exact"/>
        <w:ind w:firstLine="420" w:firstLineChars="200"/>
        <w:rPr>
          <w:rFonts w:hint="eastAsia" w:ascii="宋体" w:hAnsi="宋体" w:eastAsia="宋体" w:cs="宋体"/>
          <w:color w:val="auto"/>
          <w:szCs w:val="32"/>
          <w:highlight w:val="none"/>
        </w:rPr>
      </w:pPr>
    </w:p>
    <w:p w14:paraId="51FE2789">
      <w:pPr>
        <w:shd w:val="clear"/>
        <w:spacing w:line="58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各供应商：</w:t>
      </w:r>
    </w:p>
    <w:p w14:paraId="078E7862">
      <w:pPr>
        <w:shd w:val="clear"/>
        <w:spacing w:line="58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欢迎贵公司参与广西政府采购活动！</w:t>
      </w:r>
    </w:p>
    <w:p w14:paraId="6CA7A987">
      <w:pPr>
        <w:shd w:val="clear"/>
        <w:spacing w:line="58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线上“政采贷”是人民银行南宁中心支行和自治区财政厅共同支持企业发展，针对参与政府采购活动的企业融资难、融资贵、融资慢、融资繁问题推出的一项融资政策。贵公司若成为本次政府采购项目的中标（成交）供应商，可持政府采购合同在线向</w:t>
      </w:r>
      <w:r>
        <w:rPr>
          <w:rFonts w:hint="eastAsia" w:ascii="宋体" w:hAnsi="宋体" w:eastAsia="宋体" w:cs="宋体"/>
          <w:color w:val="auto"/>
          <w:kern w:val="2"/>
          <w:sz w:val="21"/>
          <w:szCs w:val="21"/>
          <w:highlight w:val="none"/>
          <w:lang w:val="en-US" w:eastAsia="zh-CN" w:bidi="ar-SA"/>
        </w:rPr>
        <w:t>银行业金融机构</w:t>
      </w:r>
      <w:r>
        <w:rPr>
          <w:rFonts w:hint="eastAsia" w:ascii="宋体" w:hAnsi="宋体" w:eastAsia="宋体" w:cs="宋体"/>
          <w:color w:val="auto"/>
          <w:szCs w:val="21"/>
          <w:highlight w:val="none"/>
        </w:rPr>
        <w:t>申请贷款，融资机构将根据《中国人民银行南宁中心支行 广西壮族自治区财政厅关于推广线上“政采贷”融资模式的通知》（南宁银发〔2021〕</w:t>
      </w:r>
      <w:r>
        <w:rPr>
          <w:rFonts w:hint="eastAsia" w:ascii="宋体" w:hAnsi="宋体" w:eastAsia="宋体" w:cs="宋体"/>
          <w:color w:val="auto"/>
          <w:szCs w:val="21"/>
          <w:highlight w:val="none"/>
          <w:lang w:val="en-US" w:eastAsia="zh-CN"/>
        </w:rPr>
        <w:t>258</w:t>
      </w:r>
      <w:r>
        <w:rPr>
          <w:rFonts w:hint="eastAsia" w:ascii="宋体" w:hAnsi="宋体" w:eastAsia="宋体" w:cs="宋体"/>
          <w:color w:val="auto"/>
          <w:szCs w:val="21"/>
          <w:highlight w:val="none"/>
        </w:rPr>
        <w:t>号），按照双方自愿的原则提供便捷、优惠的贷款服务。</w:t>
      </w:r>
    </w:p>
    <w:p w14:paraId="36A46C9F">
      <w:pPr>
        <w:shd w:val="clear"/>
        <w:spacing w:line="58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相关金融产品和</w:t>
      </w:r>
      <w:r>
        <w:rPr>
          <w:rFonts w:hint="eastAsia" w:ascii="宋体" w:hAnsi="宋体" w:eastAsia="宋体" w:cs="宋体"/>
          <w:color w:val="auto"/>
          <w:kern w:val="2"/>
          <w:sz w:val="21"/>
          <w:szCs w:val="21"/>
          <w:highlight w:val="none"/>
          <w:lang w:val="en-US" w:eastAsia="zh-CN" w:bidi="ar-SA"/>
        </w:rPr>
        <w:t>银行业金融机构</w:t>
      </w:r>
      <w:r>
        <w:rPr>
          <w:rFonts w:hint="eastAsia" w:ascii="宋体" w:hAnsi="宋体" w:eastAsia="宋体" w:cs="宋体"/>
          <w:color w:val="auto"/>
          <w:szCs w:val="21"/>
          <w:highlight w:val="none"/>
        </w:rPr>
        <w:t>联系方式，可在中征应收账款融资服务平台查询</w:t>
      </w:r>
      <w:r>
        <w:rPr>
          <w:rFonts w:hint="eastAsia" w:ascii="宋体" w:hAnsi="宋体" w:eastAsia="宋体" w:cs="宋体"/>
          <w:color w:val="auto"/>
          <w:szCs w:val="21"/>
          <w:highlight w:val="none"/>
          <w:lang w:eastAsia="zh-CN"/>
        </w:rPr>
        <w:t>（网址：</w:t>
      </w:r>
      <w:r>
        <w:rPr>
          <w:rFonts w:hint="eastAsia" w:ascii="宋体" w:hAnsi="宋体" w:eastAsia="宋体" w:cs="宋体"/>
          <w:color w:val="auto"/>
          <w:szCs w:val="21"/>
          <w:highlight w:val="none"/>
          <w:lang w:eastAsia="zh-CN"/>
        </w:rPr>
        <w:fldChar w:fldCharType="begin"/>
      </w:r>
      <w:r>
        <w:rPr>
          <w:rFonts w:hint="eastAsia" w:ascii="宋体" w:hAnsi="宋体" w:eastAsia="宋体" w:cs="宋体"/>
          <w:color w:val="auto"/>
          <w:szCs w:val="21"/>
          <w:highlight w:val="none"/>
          <w:lang w:eastAsia="zh-CN"/>
        </w:rPr>
        <w:instrText xml:space="preserve"> HYPERLINK "https://www.crcrfsp.com/" </w:instrText>
      </w:r>
      <w:r>
        <w:rPr>
          <w:rFonts w:hint="eastAsia" w:ascii="宋体" w:hAnsi="宋体" w:eastAsia="宋体" w:cs="宋体"/>
          <w:color w:val="auto"/>
          <w:szCs w:val="21"/>
          <w:highlight w:val="none"/>
          <w:lang w:eastAsia="zh-CN"/>
        </w:rPr>
        <w:fldChar w:fldCharType="separate"/>
      </w:r>
      <w:r>
        <w:rPr>
          <w:rStyle w:val="22"/>
          <w:rFonts w:hint="eastAsia" w:ascii="宋体" w:hAnsi="宋体" w:eastAsia="宋体" w:cs="宋体"/>
          <w:color w:val="auto"/>
          <w:szCs w:val="21"/>
          <w:highlight w:val="none"/>
          <w:lang w:eastAsia="zh-CN"/>
        </w:rPr>
        <w:t>https://www.crcrfsp.com/</w:t>
      </w:r>
      <w:r>
        <w:rPr>
          <w:rFonts w:hint="eastAsia" w:ascii="宋体" w:hAnsi="宋体" w:eastAsia="宋体" w:cs="宋体"/>
          <w:color w:val="auto"/>
          <w:szCs w:val="21"/>
          <w:highlight w:val="none"/>
          <w:lang w:eastAsia="zh-CN"/>
        </w:rPr>
        <w:fldChar w:fldCharType="end"/>
      </w:r>
      <w:r>
        <w:rPr>
          <w:rFonts w:hint="eastAsia" w:ascii="宋体" w:hAnsi="宋体" w:eastAsia="宋体" w:cs="宋体"/>
          <w:color w:val="auto"/>
          <w:szCs w:val="21"/>
          <w:highlight w:val="none"/>
          <w:lang w:eastAsia="zh-CN"/>
        </w:rPr>
        <w:t>，客服电话：</w:t>
      </w:r>
      <w:r>
        <w:rPr>
          <w:rFonts w:hint="eastAsia" w:ascii="宋体" w:hAnsi="宋体" w:eastAsia="宋体" w:cs="宋体"/>
          <w:color w:val="auto"/>
          <w:szCs w:val="21"/>
          <w:highlight w:val="none"/>
          <w:lang w:val="en-US" w:eastAsia="zh-CN"/>
        </w:rPr>
        <w:t>400-009-0001</w:t>
      </w:r>
      <w:r>
        <w:rPr>
          <w:rFonts w:hint="eastAsia" w:ascii="宋体" w:hAnsi="宋体" w:eastAsia="宋体" w:cs="宋体"/>
          <w:color w:val="auto"/>
          <w:szCs w:val="21"/>
          <w:highlight w:val="none"/>
          <w:lang w:eastAsia="zh-CN"/>
        </w:rPr>
        <w:t>）。</w:t>
      </w:r>
    </w:p>
    <w:p w14:paraId="4A6D55E5">
      <w:pPr>
        <w:numPr>
          <w:ilvl w:val="0"/>
          <w:numId w:val="3"/>
        </w:numPr>
        <w:shd w:val="clear"/>
        <w:spacing w:line="360" w:lineRule="auto"/>
        <w:ind w:firstLine="420" w:firstLineChars="200"/>
        <w:jc w:val="left"/>
        <w:rPr>
          <w:rFonts w:hint="eastAsia" w:ascii="宋体" w:hAnsi="宋体" w:eastAsia="宋体" w:cs="宋体"/>
          <w:color w:val="auto"/>
          <w:highlight w:val="none"/>
        </w:rPr>
      </w:pPr>
      <w:r>
        <w:rPr>
          <w:rFonts w:hint="eastAsia" w:ascii="宋体" w:hAnsi="宋体" w:eastAsia="宋体" w:cs="宋体"/>
          <w:color w:val="auto"/>
          <w:highlight w:val="none"/>
        </w:rPr>
        <w:br w:type="page"/>
      </w:r>
      <w:bookmarkStart w:id="259" w:name="_Toc532545043"/>
    </w:p>
    <w:p w14:paraId="4EE9FAA9">
      <w:pPr>
        <w:pStyle w:val="12"/>
        <w:shd w:val="clear"/>
        <w:jc w:val="center"/>
        <w:outlineLvl w:val="0"/>
        <w:rPr>
          <w:rFonts w:hint="eastAsia" w:ascii="宋体" w:hAnsi="宋体" w:eastAsia="宋体" w:cs="宋体"/>
          <w:b/>
          <w:color w:val="auto"/>
          <w:sz w:val="36"/>
          <w:highlight w:val="none"/>
          <w:lang w:eastAsia="zh-CN"/>
        </w:rPr>
      </w:pPr>
      <w:bookmarkStart w:id="260" w:name="_Toc12751"/>
      <w:bookmarkStart w:id="261" w:name="_Toc2789"/>
      <w:bookmarkStart w:id="262" w:name="_Toc14666"/>
      <w:bookmarkStart w:id="263" w:name="_Toc18631"/>
      <w:bookmarkStart w:id="264" w:name="_Toc31952"/>
      <w:bookmarkStart w:id="265" w:name="_Toc26567"/>
      <w:bookmarkStart w:id="266" w:name="_Toc24569"/>
      <w:bookmarkStart w:id="267" w:name="_Toc11694"/>
      <w:bookmarkStart w:id="268" w:name="_Toc3584"/>
      <w:bookmarkStart w:id="269" w:name="_Toc10118"/>
      <w:bookmarkStart w:id="270" w:name="_Toc10034"/>
      <w:bookmarkStart w:id="271" w:name="_Toc19117"/>
      <w:bookmarkStart w:id="272" w:name="_Toc28468"/>
      <w:r>
        <w:rPr>
          <w:rFonts w:hint="eastAsia" w:ascii="宋体" w:hAnsi="宋体" w:eastAsia="宋体" w:cs="宋体"/>
          <w:b/>
          <w:color w:val="auto"/>
          <w:sz w:val="36"/>
          <w:highlight w:val="none"/>
        </w:rPr>
        <w:t xml:space="preserve">第四章  </w:t>
      </w:r>
      <w:bookmarkEnd w:id="259"/>
      <w:bookmarkEnd w:id="260"/>
      <w:bookmarkEnd w:id="261"/>
      <w:bookmarkEnd w:id="262"/>
      <w:bookmarkEnd w:id="263"/>
      <w:bookmarkEnd w:id="264"/>
      <w:bookmarkEnd w:id="265"/>
      <w:bookmarkEnd w:id="266"/>
      <w:bookmarkEnd w:id="267"/>
      <w:r>
        <w:rPr>
          <w:rFonts w:hint="eastAsia" w:ascii="宋体" w:hAnsi="宋体" w:eastAsia="宋体" w:cs="宋体"/>
          <w:b/>
          <w:color w:val="auto"/>
          <w:sz w:val="36"/>
          <w:highlight w:val="none"/>
          <w:lang w:eastAsia="zh-CN"/>
        </w:rPr>
        <w:t>评标方法和评标标准</w:t>
      </w:r>
      <w:bookmarkEnd w:id="268"/>
      <w:bookmarkEnd w:id="269"/>
      <w:bookmarkEnd w:id="270"/>
      <w:bookmarkEnd w:id="271"/>
      <w:bookmarkEnd w:id="272"/>
    </w:p>
    <w:p w14:paraId="42DAB343">
      <w:pPr>
        <w:pStyle w:val="12"/>
        <w:shd w:val="clear"/>
        <w:jc w:val="center"/>
        <w:outlineLvl w:val="1"/>
        <w:rPr>
          <w:rFonts w:hint="eastAsia" w:ascii="宋体" w:hAnsi="宋体" w:eastAsia="宋体" w:cs="宋体"/>
          <w:b/>
          <w:bCs/>
          <w:color w:val="auto"/>
          <w:sz w:val="32"/>
          <w:szCs w:val="32"/>
          <w:highlight w:val="none"/>
        </w:rPr>
      </w:pPr>
      <w:bookmarkStart w:id="273" w:name="_Toc20519"/>
      <w:bookmarkStart w:id="274" w:name="_Toc29945"/>
      <w:bookmarkStart w:id="275" w:name="_Toc9604"/>
      <w:bookmarkStart w:id="276" w:name="_Toc14342"/>
      <w:bookmarkStart w:id="277" w:name="_Toc3574"/>
      <w:bookmarkStart w:id="278" w:name="_Toc6104"/>
      <w:bookmarkStart w:id="279" w:name="_Toc5889"/>
      <w:bookmarkStart w:id="280" w:name="_Toc28074"/>
      <w:bookmarkStart w:id="281" w:name="_Toc12345"/>
      <w:bookmarkStart w:id="282" w:name="_Toc28945"/>
      <w:r>
        <w:rPr>
          <w:rFonts w:hint="eastAsia" w:ascii="宋体" w:hAnsi="宋体" w:eastAsia="宋体" w:cs="宋体"/>
          <w:b/>
          <w:bCs/>
          <w:color w:val="auto"/>
          <w:sz w:val="32"/>
          <w:szCs w:val="32"/>
          <w:highlight w:val="none"/>
        </w:rPr>
        <w:t>第一节 评标方法</w:t>
      </w:r>
      <w:bookmarkEnd w:id="273"/>
      <w:bookmarkEnd w:id="274"/>
      <w:bookmarkEnd w:id="275"/>
      <w:bookmarkEnd w:id="276"/>
      <w:bookmarkEnd w:id="277"/>
      <w:bookmarkEnd w:id="278"/>
      <w:bookmarkEnd w:id="279"/>
      <w:bookmarkEnd w:id="280"/>
      <w:bookmarkEnd w:id="281"/>
      <w:bookmarkEnd w:id="282"/>
    </w:p>
    <w:p w14:paraId="1C3DF327">
      <w:pPr>
        <w:pStyle w:val="12"/>
        <w:keepNext w:val="0"/>
        <w:keepLines w:val="0"/>
        <w:pageBreakBefore w:val="0"/>
        <w:shd w:val="clear"/>
        <w:tabs>
          <w:tab w:val="left" w:pos="2472"/>
        </w:tabs>
        <w:kinsoku/>
        <w:wordWrap/>
        <w:overflowPunct/>
        <w:topLinePunct w:val="0"/>
        <w:bidi w:val="0"/>
        <w:snapToGrid/>
        <w:spacing w:line="424"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本项目采用</w:t>
      </w:r>
      <w:r>
        <w:rPr>
          <w:rFonts w:hint="eastAsia" w:ascii="宋体" w:hAnsi="宋体" w:eastAsia="宋体" w:cs="宋体"/>
          <w:color w:val="auto"/>
          <w:szCs w:val="21"/>
          <w:highlight w:val="none"/>
          <w:u w:val="single"/>
        </w:rPr>
        <w:t xml:space="preserve"> 以下勾选的方式</w:t>
      </w:r>
      <w:r>
        <w:rPr>
          <w:rFonts w:hint="eastAsia" w:ascii="宋体" w:hAnsi="宋体" w:eastAsia="宋体" w:cs="宋体"/>
          <w:color w:val="auto"/>
          <w:szCs w:val="21"/>
          <w:highlight w:val="none"/>
        </w:rPr>
        <w:t>进行评审。</w:t>
      </w:r>
    </w:p>
    <w:p w14:paraId="0EF6551F">
      <w:pPr>
        <w:pStyle w:val="12"/>
        <w:keepNext w:val="0"/>
        <w:keepLines w:val="0"/>
        <w:pageBreakBefore w:val="0"/>
        <w:shd w:val="clear"/>
        <w:kinsoku/>
        <w:wordWrap/>
        <w:overflowPunct/>
        <w:topLinePunct w:val="0"/>
        <w:bidi w:val="0"/>
        <w:snapToGrid/>
        <w:spacing w:line="424" w:lineRule="exact"/>
        <w:ind w:firstLine="420"/>
        <w:rPr>
          <w:rFonts w:hint="eastAsia" w:ascii="宋体" w:hAnsi="宋体" w:eastAsia="宋体" w:cs="宋体"/>
          <w:color w:val="auto"/>
          <w:highlight w:val="none"/>
        </w:rPr>
      </w:pPr>
      <w:r>
        <w:rPr>
          <w:rFonts w:hint="eastAsia" w:ascii="宋体" w:hAnsi="宋体" w:eastAsia="宋体" w:cs="宋体"/>
          <w:color w:val="auto"/>
          <w:szCs w:val="21"/>
          <w:highlight w:val="none"/>
        </w:rPr>
        <w:t>□最低评标价法，是指投标文件满足招标文件</w:t>
      </w:r>
      <w:r>
        <w:rPr>
          <w:rFonts w:hint="eastAsia" w:ascii="宋体" w:hAnsi="宋体" w:eastAsia="宋体" w:cs="宋体"/>
          <w:color w:val="auto"/>
          <w:highlight w:val="none"/>
        </w:rPr>
        <w:t>全部实质性要求，且投标报价最低的投标人为中标候选人的评标方法。</w:t>
      </w:r>
    </w:p>
    <w:p w14:paraId="760A7DD6">
      <w:pPr>
        <w:keepNext w:val="0"/>
        <w:keepLines w:val="0"/>
        <w:pageBreakBefore w:val="0"/>
        <w:shd w:val="clear"/>
        <w:kinsoku/>
        <w:wordWrap/>
        <w:overflowPunct/>
        <w:topLinePunct w:val="0"/>
        <w:autoSpaceDE w:val="0"/>
        <w:autoSpaceDN w:val="0"/>
        <w:bidi w:val="0"/>
        <w:adjustRightInd w:val="0"/>
        <w:snapToGrid/>
        <w:spacing w:line="424" w:lineRule="exact"/>
        <w:ind w:firstLine="420" w:firstLineChars="200"/>
        <w:rPr>
          <w:rFonts w:hint="eastAsia" w:ascii="宋体" w:hAnsi="宋体" w:eastAsia="宋体" w:cs="宋体"/>
          <w:color w:val="auto"/>
          <w:sz w:val="24"/>
          <w:highlight w:val="none"/>
        </w:rPr>
      </w:pPr>
      <w:r>
        <w:rPr>
          <w:rFonts w:hint="eastAsia" w:ascii="宋体" w:hAnsi="宋体" w:eastAsia="宋体" w:cs="宋体"/>
          <w:color w:val="auto"/>
          <w:highlight w:val="none"/>
          <w:lang w:eastAsia="zh-CN"/>
        </w:rPr>
        <w:t>☑</w:t>
      </w:r>
      <w:r>
        <w:rPr>
          <w:rFonts w:hint="eastAsia" w:ascii="宋体" w:hAnsi="宋体" w:eastAsia="宋体" w:cs="宋体"/>
          <w:color w:val="auto"/>
          <w:highlight w:val="none"/>
        </w:rPr>
        <w:t>综合评分法，</w:t>
      </w:r>
      <w:r>
        <w:rPr>
          <w:rFonts w:hint="eastAsia" w:ascii="宋体" w:hAnsi="宋体" w:eastAsia="宋体" w:cs="宋体"/>
          <w:color w:val="auto"/>
          <w:szCs w:val="20"/>
          <w:highlight w:val="none"/>
        </w:rPr>
        <w:t>是指投标文件满足招标文件全部实质性要求，且按照评审因素的量化指标评审得分最高的投标人为中标候选人的评标方法。评标委员会将对各投标人的</w:t>
      </w:r>
      <w:r>
        <w:rPr>
          <w:rFonts w:hint="eastAsia" w:ascii="宋体" w:hAnsi="宋体" w:eastAsia="宋体" w:cs="宋体"/>
          <w:color w:val="auto"/>
          <w:szCs w:val="20"/>
          <w:highlight w:val="none"/>
          <w:lang w:eastAsia="zh-CN"/>
        </w:rPr>
        <w:t>投标文件</w:t>
      </w:r>
      <w:r>
        <w:rPr>
          <w:rFonts w:hint="eastAsia" w:ascii="宋体" w:hAnsi="宋体" w:eastAsia="宋体" w:cs="宋体"/>
          <w:color w:val="auto"/>
          <w:szCs w:val="20"/>
          <w:highlight w:val="none"/>
        </w:rPr>
        <w:t>进行综合评审，对实质上响应招标文件的投标人，由各评委独立记名打分。经统计，得出各投标人的综合得分,按综合得分由高到低顺序排列。若综合得分相同的，按投标</w:t>
      </w:r>
      <w:r>
        <w:rPr>
          <w:rFonts w:hint="eastAsia" w:ascii="宋体" w:hAnsi="宋体" w:cs="宋体"/>
          <w:color w:val="auto"/>
          <w:kern w:val="0"/>
          <w:highlight w:val="none"/>
          <w:shd w:val="clear" w:color="auto" w:fill="auto"/>
          <w:rtl w:val="0"/>
          <w:lang w:val="en-US" w:eastAsia="zh-CN"/>
        </w:rPr>
        <w:t>报价</w:t>
      </w:r>
      <w:r>
        <w:rPr>
          <w:rFonts w:hint="eastAsia" w:ascii="宋体" w:hAnsi="宋体" w:eastAsia="宋体" w:cs="宋体"/>
          <w:color w:val="auto"/>
          <w:szCs w:val="20"/>
          <w:highlight w:val="none"/>
        </w:rPr>
        <w:t>由</w:t>
      </w:r>
      <w:r>
        <w:rPr>
          <w:rFonts w:hint="eastAsia" w:ascii="宋体" w:hAnsi="宋体" w:cs="宋体"/>
          <w:color w:val="auto"/>
          <w:szCs w:val="20"/>
          <w:highlight w:val="none"/>
          <w:lang w:val="en-US" w:eastAsia="zh-CN"/>
        </w:rPr>
        <w:t>低</w:t>
      </w:r>
      <w:r>
        <w:rPr>
          <w:rFonts w:hint="eastAsia" w:ascii="宋体" w:hAnsi="宋体" w:eastAsia="宋体" w:cs="宋体"/>
          <w:color w:val="auto"/>
          <w:szCs w:val="20"/>
          <w:highlight w:val="none"/>
        </w:rPr>
        <w:t>到</w:t>
      </w:r>
      <w:r>
        <w:rPr>
          <w:rFonts w:hint="eastAsia" w:ascii="宋体" w:hAnsi="宋体" w:cs="宋体"/>
          <w:color w:val="auto"/>
          <w:szCs w:val="20"/>
          <w:highlight w:val="none"/>
          <w:lang w:val="en-US" w:eastAsia="zh-CN"/>
        </w:rPr>
        <w:t>高</w:t>
      </w:r>
      <w:r>
        <w:rPr>
          <w:rFonts w:hint="eastAsia" w:ascii="宋体" w:hAnsi="宋体" w:eastAsia="宋体" w:cs="宋体"/>
          <w:color w:val="auto"/>
          <w:szCs w:val="20"/>
          <w:highlight w:val="none"/>
        </w:rPr>
        <w:t>顺序排列。若综合得分且投标报价相同的，服务类采购项目以</w:t>
      </w:r>
      <w:r>
        <w:rPr>
          <w:rFonts w:hint="eastAsia" w:ascii="宋体" w:hAnsi="宋体" w:eastAsia="宋体" w:cs="宋体"/>
          <w:color w:val="auto"/>
          <w:szCs w:val="20"/>
          <w:highlight w:val="none"/>
          <w:lang w:eastAsia="zh-CN"/>
        </w:rPr>
        <w:t>“投标人须知前附表”规定的方式排列</w:t>
      </w:r>
      <w:r>
        <w:rPr>
          <w:rFonts w:hint="eastAsia" w:ascii="宋体" w:hAnsi="宋体" w:eastAsia="宋体" w:cs="宋体"/>
          <w:color w:val="auto"/>
          <w:szCs w:val="20"/>
          <w:highlight w:val="none"/>
        </w:rPr>
        <w:t xml:space="preserve">。 </w:t>
      </w:r>
    </w:p>
    <w:p w14:paraId="302FBA74">
      <w:pPr>
        <w:pStyle w:val="12"/>
        <w:keepNext w:val="0"/>
        <w:keepLines w:val="0"/>
        <w:pageBreakBefore w:val="0"/>
        <w:shd w:val="clear"/>
        <w:kinsoku/>
        <w:wordWrap/>
        <w:overflowPunct/>
        <w:topLinePunct w:val="0"/>
        <w:bidi w:val="0"/>
        <w:snapToGrid/>
        <w:spacing w:line="424" w:lineRule="exact"/>
        <w:ind w:firstLine="420"/>
        <w:rPr>
          <w:rFonts w:hint="eastAsia" w:ascii="宋体" w:hAnsi="宋体" w:eastAsia="宋体" w:cs="宋体"/>
          <w:color w:val="auto"/>
          <w:highlight w:val="none"/>
        </w:rPr>
      </w:pPr>
    </w:p>
    <w:p w14:paraId="6557F834">
      <w:pPr>
        <w:pStyle w:val="12"/>
        <w:keepNext w:val="0"/>
        <w:keepLines w:val="0"/>
        <w:pageBreakBefore w:val="0"/>
        <w:shd w:val="clear"/>
        <w:tabs>
          <w:tab w:val="left" w:pos="2472"/>
        </w:tabs>
        <w:kinsoku/>
        <w:wordWrap/>
        <w:overflowPunct/>
        <w:topLinePunct w:val="0"/>
        <w:bidi w:val="0"/>
        <w:snapToGrid/>
        <w:spacing w:line="424" w:lineRule="exact"/>
        <w:jc w:val="center"/>
        <w:outlineLvl w:val="1"/>
        <w:rPr>
          <w:rFonts w:hint="eastAsia" w:ascii="宋体" w:hAnsi="宋体" w:eastAsia="宋体" w:cs="宋体"/>
          <w:b/>
          <w:bCs/>
          <w:color w:val="auto"/>
          <w:sz w:val="32"/>
          <w:szCs w:val="32"/>
          <w:highlight w:val="none"/>
        </w:rPr>
      </w:pPr>
      <w:bookmarkStart w:id="283" w:name="_Toc1643"/>
      <w:bookmarkStart w:id="284" w:name="_Toc9259"/>
      <w:bookmarkStart w:id="285" w:name="_Toc588"/>
      <w:bookmarkStart w:id="286" w:name="_Toc18477"/>
      <w:bookmarkStart w:id="287" w:name="_Toc9023"/>
      <w:bookmarkStart w:id="288" w:name="_Toc30114"/>
      <w:bookmarkStart w:id="289" w:name="_Toc4190"/>
      <w:bookmarkStart w:id="290" w:name="_Toc23151"/>
      <w:bookmarkStart w:id="291" w:name="_Toc24507"/>
      <w:bookmarkStart w:id="292" w:name="_Toc10545"/>
      <w:r>
        <w:rPr>
          <w:rFonts w:hint="eastAsia" w:ascii="宋体" w:hAnsi="宋体" w:eastAsia="宋体" w:cs="宋体"/>
          <w:b/>
          <w:bCs/>
          <w:color w:val="auto"/>
          <w:sz w:val="32"/>
          <w:szCs w:val="32"/>
          <w:highlight w:val="none"/>
        </w:rPr>
        <w:t>第二节 评标程序</w:t>
      </w:r>
      <w:bookmarkEnd w:id="283"/>
      <w:bookmarkEnd w:id="284"/>
      <w:bookmarkEnd w:id="285"/>
      <w:bookmarkEnd w:id="286"/>
      <w:bookmarkEnd w:id="287"/>
      <w:bookmarkEnd w:id="288"/>
      <w:bookmarkEnd w:id="289"/>
      <w:bookmarkEnd w:id="290"/>
      <w:bookmarkEnd w:id="291"/>
      <w:bookmarkEnd w:id="292"/>
    </w:p>
    <w:p w14:paraId="2003BD5B">
      <w:pPr>
        <w:keepNext w:val="0"/>
        <w:keepLines w:val="0"/>
        <w:pageBreakBefore w:val="0"/>
        <w:shd w:val="clear"/>
        <w:kinsoku/>
        <w:wordWrap/>
        <w:overflowPunct/>
        <w:topLinePunct w:val="0"/>
        <w:bidi w:val="0"/>
        <w:snapToGrid/>
        <w:spacing w:line="424" w:lineRule="exact"/>
        <w:ind w:firstLine="422" w:firstLineChars="200"/>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1.符合性审查</w:t>
      </w:r>
    </w:p>
    <w:p w14:paraId="6C8858E7">
      <w:pPr>
        <w:keepNext w:val="0"/>
        <w:keepLines w:val="0"/>
        <w:pageBreakBefore w:val="0"/>
        <w:shd w:val="clear"/>
        <w:kinsoku/>
        <w:wordWrap/>
        <w:overflowPunct/>
        <w:topLinePunct w:val="0"/>
        <w:bidi w:val="0"/>
        <w:snapToGrid/>
        <w:spacing w:line="424" w:lineRule="exact"/>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评标委员会应当对符合资格的投标人的投标文件进行投标报价、商务、技术等实质性内容符合性审查，以确定其是否满足招标文件的实质性要求。</w:t>
      </w:r>
    </w:p>
    <w:p w14:paraId="31398170">
      <w:pPr>
        <w:keepNext w:val="0"/>
        <w:keepLines w:val="0"/>
        <w:pageBreakBefore w:val="0"/>
        <w:shd w:val="clear"/>
        <w:kinsoku/>
        <w:wordWrap/>
        <w:overflowPunct/>
        <w:topLinePunct w:val="0"/>
        <w:bidi w:val="0"/>
        <w:snapToGrid/>
        <w:spacing w:line="424" w:lineRule="exact"/>
        <w:ind w:firstLine="422" w:firstLineChars="200"/>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2.符合性审查不通过而导致投标无效的情形</w:t>
      </w:r>
    </w:p>
    <w:p w14:paraId="04D882C2">
      <w:pPr>
        <w:keepNext w:val="0"/>
        <w:keepLines w:val="0"/>
        <w:pageBreakBefore w:val="0"/>
        <w:shd w:val="clear"/>
        <w:kinsoku/>
        <w:wordWrap/>
        <w:overflowPunct/>
        <w:topLinePunct w:val="0"/>
        <w:bidi w:val="0"/>
        <w:snapToGrid/>
        <w:spacing w:line="424"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投标人的投标文件中存在对招标文件的任何实质性要求和条件的负偏离，将被视为投标无效。</w:t>
      </w:r>
    </w:p>
    <w:p w14:paraId="04D3D21E">
      <w:pPr>
        <w:keepNext w:val="0"/>
        <w:keepLines w:val="0"/>
        <w:pageBreakBefore w:val="0"/>
        <w:shd w:val="clear"/>
        <w:kinsoku/>
        <w:wordWrap/>
        <w:overflowPunct/>
        <w:topLinePunct w:val="0"/>
        <w:bidi w:val="0"/>
        <w:snapToGrid/>
        <w:spacing w:line="424"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2.1在报价评审时，如发现下列情形之一的，将被视为投标无效：</w:t>
      </w:r>
    </w:p>
    <w:p w14:paraId="60D63BBE">
      <w:pPr>
        <w:keepNext w:val="0"/>
        <w:keepLines w:val="0"/>
        <w:pageBreakBefore w:val="0"/>
        <w:shd w:val="clear"/>
        <w:kinsoku/>
        <w:wordWrap/>
        <w:overflowPunct/>
        <w:topLinePunct w:val="0"/>
        <w:bidi w:val="0"/>
        <w:snapToGrid/>
        <w:spacing w:line="424" w:lineRule="exact"/>
        <w:ind w:firstLine="420" w:firstLineChars="200"/>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rPr>
        <w:t>（1）投标文件未提供“投标人须知前附表”第13.1条规定中“必须提供”的文件资料的</w:t>
      </w:r>
      <w:r>
        <w:rPr>
          <w:rFonts w:hint="eastAsia" w:ascii="宋体" w:hAnsi="宋体" w:cs="宋体"/>
          <w:color w:val="auto"/>
          <w:szCs w:val="21"/>
          <w:highlight w:val="none"/>
          <w:lang w:eastAsia="zh-CN"/>
        </w:rPr>
        <w:t>；</w:t>
      </w:r>
    </w:p>
    <w:p w14:paraId="696CA569">
      <w:pPr>
        <w:keepNext w:val="0"/>
        <w:keepLines w:val="0"/>
        <w:pageBreakBefore w:val="0"/>
        <w:shd w:val="clear"/>
        <w:kinsoku/>
        <w:wordWrap/>
        <w:overflowPunct/>
        <w:topLinePunct w:val="0"/>
        <w:bidi w:val="0"/>
        <w:snapToGrid/>
        <w:spacing w:line="424"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（2）未采用人民币报价或者未按照招标文件标明的币种报价的；</w:t>
      </w:r>
    </w:p>
    <w:p w14:paraId="0C2DAE77">
      <w:pPr>
        <w:keepNext w:val="0"/>
        <w:keepLines w:val="0"/>
        <w:pageBreakBefore w:val="0"/>
        <w:shd w:val="clear"/>
        <w:kinsoku/>
        <w:wordWrap/>
        <w:overflowPunct/>
        <w:topLinePunct w:val="0"/>
        <w:bidi w:val="0"/>
        <w:snapToGrid/>
        <w:spacing w:line="424"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（3）报价超出招标文件规定最高限价，或者超出采购预算金额的；</w:t>
      </w:r>
    </w:p>
    <w:p w14:paraId="069E7C41">
      <w:pPr>
        <w:keepNext w:val="0"/>
        <w:keepLines w:val="0"/>
        <w:pageBreakBefore w:val="0"/>
        <w:shd w:val="clear"/>
        <w:kinsoku/>
        <w:wordWrap/>
        <w:overflowPunct/>
        <w:topLinePunct w:val="0"/>
        <w:bidi w:val="0"/>
        <w:snapToGrid/>
        <w:spacing w:line="424"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（4）投标人未就所投</w:t>
      </w:r>
      <w:r>
        <w:rPr>
          <w:rFonts w:hint="eastAsia" w:ascii="宋体" w:hAnsi="宋体" w:eastAsia="宋体" w:cs="宋体"/>
          <w:color w:val="auto"/>
          <w:szCs w:val="21"/>
          <w:highlight w:val="none"/>
          <w:lang w:eastAsia="zh-CN"/>
        </w:rPr>
        <w:t>项目</w:t>
      </w:r>
      <w:r>
        <w:rPr>
          <w:rFonts w:hint="eastAsia" w:ascii="宋体" w:hAnsi="宋体" w:eastAsia="宋体" w:cs="宋体"/>
          <w:color w:val="auto"/>
          <w:szCs w:val="21"/>
          <w:highlight w:val="none"/>
        </w:rPr>
        <w:t>进行报价或者存在漏项报价；投标人未就所投</w:t>
      </w:r>
      <w:r>
        <w:rPr>
          <w:rFonts w:hint="eastAsia" w:ascii="宋体" w:hAnsi="宋体" w:eastAsia="宋体" w:cs="宋体"/>
          <w:color w:val="auto"/>
          <w:szCs w:val="21"/>
          <w:highlight w:val="none"/>
          <w:lang w:eastAsia="zh-CN"/>
        </w:rPr>
        <w:t>项目</w:t>
      </w:r>
      <w:r>
        <w:rPr>
          <w:rFonts w:hint="eastAsia" w:ascii="宋体" w:hAnsi="宋体" w:eastAsia="宋体" w:cs="宋体"/>
          <w:color w:val="auto"/>
          <w:szCs w:val="21"/>
          <w:highlight w:val="none"/>
        </w:rPr>
        <w:t>的单项内容作唯一报价；投标人未就所投</w:t>
      </w:r>
      <w:r>
        <w:rPr>
          <w:rFonts w:hint="eastAsia" w:ascii="宋体" w:hAnsi="宋体" w:eastAsia="宋体" w:cs="宋体"/>
          <w:color w:val="auto"/>
          <w:szCs w:val="21"/>
          <w:highlight w:val="none"/>
          <w:lang w:eastAsia="zh-CN"/>
        </w:rPr>
        <w:t>项目</w:t>
      </w:r>
      <w:r>
        <w:rPr>
          <w:rFonts w:hint="eastAsia" w:ascii="宋体" w:hAnsi="宋体" w:eastAsia="宋体" w:cs="宋体"/>
          <w:color w:val="auto"/>
          <w:szCs w:val="21"/>
          <w:highlight w:val="none"/>
        </w:rPr>
        <w:t>的全部内容作唯一总价报价；存在有选择、有条件报价的（招标文件允许有备选方案或者其他约定的除外）；</w:t>
      </w:r>
    </w:p>
    <w:p w14:paraId="4BBE02B7">
      <w:pPr>
        <w:keepNext w:val="0"/>
        <w:keepLines w:val="0"/>
        <w:pageBreakBefore w:val="0"/>
        <w:shd w:val="clear"/>
        <w:kinsoku/>
        <w:wordWrap/>
        <w:overflowPunct/>
        <w:topLinePunct w:val="0"/>
        <w:bidi w:val="0"/>
        <w:snapToGrid/>
        <w:spacing w:line="424"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（5）修正后的报价，投标人不确认的；</w:t>
      </w:r>
    </w:p>
    <w:p w14:paraId="469285AB">
      <w:pPr>
        <w:keepNext w:val="0"/>
        <w:keepLines w:val="0"/>
        <w:pageBreakBefore w:val="0"/>
        <w:shd w:val="clear"/>
        <w:kinsoku/>
        <w:wordWrap/>
        <w:overflowPunct/>
        <w:topLinePunct w:val="0"/>
        <w:bidi w:val="0"/>
        <w:snapToGrid/>
        <w:spacing w:line="424"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（6）投标人属于本章第5条第（2）项情形的。</w:t>
      </w:r>
    </w:p>
    <w:p w14:paraId="71E78087">
      <w:pPr>
        <w:keepNext w:val="0"/>
        <w:keepLines w:val="0"/>
        <w:pageBreakBefore w:val="0"/>
        <w:shd w:val="clear"/>
        <w:kinsoku/>
        <w:wordWrap/>
        <w:overflowPunct/>
        <w:topLinePunct w:val="0"/>
        <w:bidi w:val="0"/>
        <w:snapToGrid/>
        <w:spacing w:line="424"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2.2在商务评审时，如发现下列情形之一的，将被视为投标无效：</w:t>
      </w:r>
    </w:p>
    <w:p w14:paraId="5D617AC8">
      <w:pPr>
        <w:keepNext w:val="0"/>
        <w:keepLines w:val="0"/>
        <w:pageBreakBefore w:val="0"/>
        <w:shd w:val="clear"/>
        <w:kinsoku/>
        <w:wordWrap/>
        <w:overflowPunct/>
        <w:topLinePunct w:val="0"/>
        <w:bidi w:val="0"/>
        <w:snapToGrid/>
        <w:spacing w:line="424"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（1）投标文件未按招标文件要求签署、盖章的；</w:t>
      </w:r>
    </w:p>
    <w:p w14:paraId="70FE8A9A">
      <w:pPr>
        <w:keepNext w:val="0"/>
        <w:keepLines w:val="0"/>
        <w:pageBreakBefore w:val="0"/>
        <w:shd w:val="clear"/>
        <w:kinsoku/>
        <w:wordWrap/>
        <w:overflowPunct/>
        <w:topLinePunct w:val="0"/>
        <w:bidi w:val="0"/>
        <w:snapToGrid/>
        <w:spacing w:line="424"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（2）委托代理人未能出具有效身份证明或者出具的身份证明与授权委托书中的信息不符的；</w:t>
      </w:r>
    </w:p>
    <w:p w14:paraId="04488D87">
      <w:pPr>
        <w:keepNext w:val="0"/>
        <w:keepLines w:val="0"/>
        <w:pageBreakBefore w:val="0"/>
        <w:shd w:val="clear"/>
        <w:kinsoku/>
        <w:wordWrap/>
        <w:overflowPunct/>
        <w:topLinePunct w:val="0"/>
        <w:bidi w:val="0"/>
        <w:snapToGrid/>
        <w:spacing w:line="424"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（3）为无效投标保证金的或者未按照招标文件的规定提交投标保证金的； </w:t>
      </w:r>
    </w:p>
    <w:p w14:paraId="31DF21B3">
      <w:pPr>
        <w:keepNext w:val="0"/>
        <w:keepLines w:val="0"/>
        <w:pageBreakBefore w:val="0"/>
        <w:shd w:val="clear"/>
        <w:kinsoku/>
        <w:wordWrap/>
        <w:overflowPunct/>
        <w:topLinePunct w:val="0"/>
        <w:bidi w:val="0"/>
        <w:snapToGrid/>
        <w:spacing w:line="424" w:lineRule="exact"/>
        <w:ind w:firstLine="420" w:firstLineChars="200"/>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rPr>
        <w:t>（</w:t>
      </w:r>
      <w:r>
        <w:rPr>
          <w:rFonts w:hint="eastAsia" w:ascii="宋体" w:hAnsi="宋体" w:eastAsia="宋体" w:cs="宋体"/>
          <w:color w:val="auto"/>
          <w:szCs w:val="21"/>
          <w:highlight w:val="none"/>
          <w:lang w:val="en-US" w:eastAsia="zh-CN"/>
        </w:rPr>
        <w:t>4</w:t>
      </w:r>
      <w:r>
        <w:rPr>
          <w:rFonts w:hint="eastAsia" w:ascii="宋体" w:hAnsi="宋体" w:eastAsia="宋体" w:cs="宋体"/>
          <w:color w:val="auto"/>
          <w:szCs w:val="21"/>
          <w:highlight w:val="none"/>
        </w:rPr>
        <w:t>）投标文件未提供“投标人须知前附表”第13.1条规定中“必须提供”或者“委托时必须提供”的文件资料的</w:t>
      </w:r>
      <w:r>
        <w:rPr>
          <w:rFonts w:hint="eastAsia" w:ascii="宋体" w:hAnsi="宋体" w:cs="宋体"/>
          <w:color w:val="auto"/>
          <w:szCs w:val="21"/>
          <w:highlight w:val="none"/>
          <w:lang w:eastAsia="zh-CN"/>
        </w:rPr>
        <w:t>；</w:t>
      </w:r>
    </w:p>
    <w:p w14:paraId="0C7468F4">
      <w:pPr>
        <w:keepNext w:val="0"/>
        <w:keepLines w:val="0"/>
        <w:pageBreakBefore w:val="0"/>
        <w:shd w:val="clear"/>
        <w:kinsoku/>
        <w:wordWrap/>
        <w:overflowPunct/>
        <w:topLinePunct w:val="0"/>
        <w:bidi w:val="0"/>
        <w:snapToGrid/>
        <w:spacing w:line="424"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w:t>
      </w:r>
      <w:r>
        <w:rPr>
          <w:rFonts w:hint="eastAsia" w:ascii="宋体" w:hAnsi="宋体" w:eastAsia="宋体" w:cs="宋体"/>
          <w:color w:val="auto"/>
          <w:szCs w:val="21"/>
          <w:highlight w:val="none"/>
          <w:lang w:val="en-US" w:eastAsia="zh-CN"/>
        </w:rPr>
        <w:t>5</w:t>
      </w:r>
      <w:r>
        <w:rPr>
          <w:rFonts w:hint="eastAsia" w:ascii="宋体" w:hAnsi="宋体" w:eastAsia="宋体" w:cs="宋体"/>
          <w:color w:val="auto"/>
          <w:szCs w:val="21"/>
          <w:highlight w:val="none"/>
        </w:rPr>
        <w:t>）投标有效期、项目完成时间（交货时间、服务完成时间或者服务期等）、质保期</w:t>
      </w:r>
      <w:r>
        <w:rPr>
          <w:rFonts w:hint="eastAsia" w:ascii="宋体" w:hAnsi="宋体" w:eastAsia="宋体" w:cs="宋体"/>
          <w:color w:val="auto"/>
          <w:szCs w:val="21"/>
          <w:highlight w:val="none"/>
          <w:lang w:eastAsia="zh-CN"/>
        </w:rPr>
        <w:t>及</w:t>
      </w:r>
      <w:r>
        <w:rPr>
          <w:rFonts w:hint="eastAsia" w:ascii="宋体" w:hAnsi="宋体" w:eastAsia="宋体" w:cs="宋体"/>
          <w:color w:val="auto"/>
          <w:szCs w:val="21"/>
          <w:highlight w:val="none"/>
        </w:rPr>
        <w:t>招标文件中标“▲”的商务条款发生负偏离的；</w:t>
      </w:r>
    </w:p>
    <w:p w14:paraId="3E94500B">
      <w:pPr>
        <w:keepNext w:val="0"/>
        <w:keepLines w:val="0"/>
        <w:pageBreakBefore w:val="0"/>
        <w:shd w:val="clear"/>
        <w:kinsoku/>
        <w:wordWrap/>
        <w:overflowPunct/>
        <w:topLinePunct w:val="0"/>
        <w:bidi w:val="0"/>
        <w:snapToGrid/>
        <w:spacing w:line="424"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w:t>
      </w:r>
      <w:r>
        <w:rPr>
          <w:rFonts w:hint="eastAsia" w:ascii="宋体" w:hAnsi="宋体" w:eastAsia="宋体" w:cs="宋体"/>
          <w:color w:val="auto"/>
          <w:szCs w:val="21"/>
          <w:highlight w:val="none"/>
          <w:lang w:val="en-US" w:eastAsia="zh-CN"/>
        </w:rPr>
        <w:t>6</w:t>
      </w:r>
      <w:r>
        <w:rPr>
          <w:rFonts w:hint="eastAsia" w:ascii="宋体" w:hAnsi="宋体" w:eastAsia="宋体" w:cs="宋体"/>
          <w:color w:val="auto"/>
          <w:szCs w:val="21"/>
          <w:highlight w:val="none"/>
        </w:rPr>
        <w:t>）商务条款评审允许负偏离的条款数超过“投标人须知前附表”规定项数的。</w:t>
      </w:r>
    </w:p>
    <w:p w14:paraId="7AADFD60">
      <w:pPr>
        <w:keepNext w:val="0"/>
        <w:keepLines w:val="0"/>
        <w:pageBreakBefore w:val="0"/>
        <w:shd w:val="clear"/>
        <w:kinsoku/>
        <w:wordWrap/>
        <w:overflowPunct/>
        <w:topLinePunct w:val="0"/>
        <w:bidi w:val="0"/>
        <w:snapToGrid/>
        <w:spacing w:line="424"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w:t>
      </w:r>
      <w:r>
        <w:rPr>
          <w:rFonts w:hint="eastAsia" w:ascii="宋体" w:hAnsi="宋体" w:eastAsia="宋体" w:cs="宋体"/>
          <w:color w:val="auto"/>
          <w:szCs w:val="21"/>
          <w:highlight w:val="none"/>
          <w:lang w:val="en-US" w:eastAsia="zh-CN"/>
        </w:rPr>
        <w:t>7</w:t>
      </w:r>
      <w:r>
        <w:rPr>
          <w:rFonts w:hint="eastAsia" w:ascii="宋体" w:hAnsi="宋体" w:eastAsia="宋体" w:cs="宋体"/>
          <w:color w:val="auto"/>
          <w:szCs w:val="21"/>
          <w:highlight w:val="none"/>
        </w:rPr>
        <w:t>）投标文件的实质性内容未使用中文表述、使用计量单位不符合招标文件要求的；</w:t>
      </w:r>
    </w:p>
    <w:p w14:paraId="131CE189">
      <w:pPr>
        <w:keepNext w:val="0"/>
        <w:keepLines w:val="0"/>
        <w:pageBreakBefore w:val="0"/>
        <w:shd w:val="clear"/>
        <w:kinsoku/>
        <w:wordWrap/>
        <w:overflowPunct/>
        <w:topLinePunct w:val="0"/>
        <w:bidi w:val="0"/>
        <w:snapToGrid/>
        <w:spacing w:line="424"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w:t>
      </w:r>
      <w:r>
        <w:rPr>
          <w:rFonts w:hint="eastAsia" w:ascii="宋体" w:hAnsi="宋体" w:eastAsia="宋体" w:cs="宋体"/>
          <w:color w:val="auto"/>
          <w:szCs w:val="21"/>
          <w:highlight w:val="none"/>
          <w:lang w:val="en-US" w:eastAsia="zh-CN"/>
        </w:rPr>
        <w:t>8</w:t>
      </w:r>
      <w:r>
        <w:rPr>
          <w:rFonts w:hint="eastAsia" w:ascii="宋体" w:hAnsi="宋体" w:eastAsia="宋体" w:cs="宋体"/>
          <w:color w:val="auto"/>
          <w:szCs w:val="21"/>
          <w:highlight w:val="none"/>
        </w:rPr>
        <w:t>）投标文件中的文件资料因填写不齐全或者内容虚假或者出现其他情形而导致被评标委员会认定无效的；</w:t>
      </w:r>
    </w:p>
    <w:p w14:paraId="73527EBE">
      <w:pPr>
        <w:keepNext w:val="0"/>
        <w:keepLines w:val="0"/>
        <w:pageBreakBefore w:val="0"/>
        <w:shd w:val="clear"/>
        <w:kinsoku/>
        <w:wordWrap/>
        <w:overflowPunct/>
        <w:topLinePunct w:val="0"/>
        <w:bidi w:val="0"/>
        <w:snapToGrid/>
        <w:spacing w:line="424"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w:t>
      </w:r>
      <w:r>
        <w:rPr>
          <w:rFonts w:hint="eastAsia" w:ascii="宋体" w:hAnsi="宋体" w:eastAsia="宋体" w:cs="宋体"/>
          <w:color w:val="auto"/>
          <w:szCs w:val="21"/>
          <w:highlight w:val="none"/>
          <w:lang w:val="en-US" w:eastAsia="zh-CN"/>
        </w:rPr>
        <w:t>9</w:t>
      </w:r>
      <w:r>
        <w:rPr>
          <w:rFonts w:hint="eastAsia" w:ascii="宋体" w:hAnsi="宋体" w:eastAsia="宋体" w:cs="宋体"/>
          <w:color w:val="auto"/>
          <w:szCs w:val="21"/>
          <w:highlight w:val="none"/>
        </w:rPr>
        <w:t>）投标文件含有采购人不能接受的附加条件的；</w:t>
      </w:r>
    </w:p>
    <w:p w14:paraId="5DFB0DCD">
      <w:pPr>
        <w:keepNext w:val="0"/>
        <w:keepLines w:val="0"/>
        <w:pageBreakBefore w:val="0"/>
        <w:shd w:val="clear"/>
        <w:kinsoku/>
        <w:wordWrap/>
        <w:overflowPunct/>
        <w:topLinePunct w:val="0"/>
        <w:bidi w:val="0"/>
        <w:snapToGrid/>
        <w:spacing w:line="424"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w:t>
      </w:r>
      <w:r>
        <w:rPr>
          <w:rFonts w:hint="eastAsia" w:ascii="宋体" w:hAnsi="宋体" w:eastAsia="宋体" w:cs="宋体"/>
          <w:color w:val="auto"/>
          <w:szCs w:val="21"/>
          <w:highlight w:val="none"/>
          <w:lang w:val="en-US" w:eastAsia="zh-CN"/>
        </w:rPr>
        <w:t>10</w:t>
      </w:r>
      <w:r>
        <w:rPr>
          <w:rFonts w:hint="eastAsia" w:ascii="宋体" w:hAnsi="宋体" w:eastAsia="宋体" w:cs="宋体"/>
          <w:color w:val="auto"/>
          <w:szCs w:val="21"/>
          <w:highlight w:val="none"/>
        </w:rPr>
        <w:t>）未响应招标文件实质性要求的；</w:t>
      </w:r>
    </w:p>
    <w:p w14:paraId="776860C1">
      <w:pPr>
        <w:keepNext w:val="0"/>
        <w:keepLines w:val="0"/>
        <w:pageBreakBefore w:val="0"/>
        <w:shd w:val="clear"/>
        <w:kinsoku/>
        <w:wordWrap/>
        <w:overflowPunct/>
        <w:topLinePunct w:val="0"/>
        <w:bidi w:val="0"/>
        <w:snapToGrid/>
        <w:spacing w:line="424"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w:t>
      </w:r>
      <w:r>
        <w:rPr>
          <w:rFonts w:hint="eastAsia" w:ascii="宋体" w:hAnsi="宋体" w:eastAsia="宋体" w:cs="宋体"/>
          <w:color w:val="auto"/>
          <w:szCs w:val="21"/>
          <w:highlight w:val="none"/>
          <w:lang w:val="en-US" w:eastAsia="zh-CN"/>
        </w:rPr>
        <w:t>1</w:t>
      </w:r>
      <w:r>
        <w:rPr>
          <w:rFonts w:hint="eastAsia" w:ascii="宋体" w:hAnsi="宋体" w:eastAsia="宋体" w:cs="宋体"/>
          <w:color w:val="auto"/>
          <w:szCs w:val="21"/>
          <w:highlight w:val="none"/>
        </w:rPr>
        <w:t>）属于投标人须知正文第9.2条情形的；</w:t>
      </w:r>
    </w:p>
    <w:p w14:paraId="6A5AB95A">
      <w:pPr>
        <w:keepNext w:val="0"/>
        <w:keepLines w:val="0"/>
        <w:pageBreakBefore w:val="0"/>
        <w:shd w:val="clear"/>
        <w:kinsoku/>
        <w:wordWrap/>
        <w:overflowPunct/>
        <w:topLinePunct w:val="0"/>
        <w:bidi w:val="0"/>
        <w:snapToGrid/>
        <w:spacing w:line="424"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w:t>
      </w:r>
      <w:r>
        <w:rPr>
          <w:rFonts w:hint="eastAsia" w:ascii="宋体" w:hAnsi="宋体" w:eastAsia="宋体" w:cs="宋体"/>
          <w:color w:val="auto"/>
          <w:szCs w:val="21"/>
          <w:highlight w:val="none"/>
          <w:lang w:val="en-US" w:eastAsia="zh-CN"/>
        </w:rPr>
        <w:t>2</w:t>
      </w:r>
      <w:r>
        <w:rPr>
          <w:rFonts w:hint="eastAsia" w:ascii="宋体" w:hAnsi="宋体" w:eastAsia="宋体" w:cs="宋体"/>
          <w:color w:val="auto"/>
          <w:szCs w:val="21"/>
          <w:highlight w:val="none"/>
        </w:rPr>
        <w:t>）法律、法规和招标文件规定的其他无效情形。</w:t>
      </w:r>
    </w:p>
    <w:p w14:paraId="64FFC2B7">
      <w:pPr>
        <w:keepNext w:val="0"/>
        <w:keepLines w:val="0"/>
        <w:pageBreakBefore w:val="0"/>
        <w:shd w:val="clear"/>
        <w:kinsoku/>
        <w:wordWrap/>
        <w:overflowPunct/>
        <w:topLinePunct w:val="0"/>
        <w:bidi w:val="0"/>
        <w:snapToGrid/>
        <w:spacing w:line="424"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2.3在技术评审时，如发现下列情形之一的，将被视为投标无效：</w:t>
      </w:r>
    </w:p>
    <w:p w14:paraId="3E7718B5">
      <w:pPr>
        <w:keepNext w:val="0"/>
        <w:keepLines w:val="0"/>
        <w:pageBreakBefore w:val="0"/>
        <w:shd w:val="clear"/>
        <w:kinsoku/>
        <w:wordWrap/>
        <w:overflowPunct/>
        <w:topLinePunct w:val="0"/>
        <w:bidi w:val="0"/>
        <w:snapToGrid/>
        <w:spacing w:line="424"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（1）不满足招标文件要求的服务内容、技术要求、安全、质量标准，或者与招标文件中标“▲”的技术需求发生负偏离的；</w:t>
      </w:r>
    </w:p>
    <w:p w14:paraId="7454A025">
      <w:pPr>
        <w:keepNext w:val="0"/>
        <w:keepLines w:val="0"/>
        <w:pageBreakBefore w:val="0"/>
        <w:shd w:val="clear"/>
        <w:kinsoku/>
        <w:wordWrap/>
        <w:overflowPunct/>
        <w:topLinePunct w:val="0"/>
        <w:bidi w:val="0"/>
        <w:snapToGrid/>
        <w:spacing w:line="424"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（2）技术需求评审允许负偏离的条款数超过“投标人须知前附表”规定项数的；</w:t>
      </w:r>
    </w:p>
    <w:p w14:paraId="087AA95F">
      <w:pPr>
        <w:keepNext w:val="0"/>
        <w:keepLines w:val="0"/>
        <w:pageBreakBefore w:val="0"/>
        <w:shd w:val="clear"/>
        <w:kinsoku/>
        <w:wordWrap/>
        <w:overflowPunct/>
        <w:topLinePunct w:val="0"/>
        <w:bidi w:val="0"/>
        <w:snapToGrid/>
        <w:spacing w:line="424" w:lineRule="exact"/>
        <w:ind w:firstLine="420" w:firstLineChars="200"/>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rPr>
        <w:t>（3）投标文件未提供“投标人须知前附表”第13.1条规定中“必须提供”的文件资料的</w:t>
      </w:r>
      <w:r>
        <w:rPr>
          <w:rFonts w:hint="eastAsia" w:ascii="宋体" w:hAnsi="宋体" w:cs="宋体"/>
          <w:color w:val="auto"/>
          <w:szCs w:val="21"/>
          <w:highlight w:val="none"/>
          <w:lang w:eastAsia="zh-CN"/>
        </w:rPr>
        <w:t>；</w:t>
      </w:r>
    </w:p>
    <w:p w14:paraId="793E4618">
      <w:pPr>
        <w:keepNext w:val="0"/>
        <w:keepLines w:val="0"/>
        <w:pageBreakBefore w:val="0"/>
        <w:shd w:val="clear"/>
        <w:kinsoku/>
        <w:wordWrap/>
        <w:overflowPunct/>
        <w:topLinePunct w:val="0"/>
        <w:bidi w:val="0"/>
        <w:snapToGrid/>
        <w:spacing w:line="424"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（4）虚假投标，或者出现其他情形而导致被评标委员会认定无效的；</w:t>
      </w:r>
    </w:p>
    <w:p w14:paraId="2A67ECB2">
      <w:pPr>
        <w:keepNext w:val="0"/>
        <w:keepLines w:val="0"/>
        <w:pageBreakBefore w:val="0"/>
        <w:shd w:val="clear"/>
        <w:kinsoku/>
        <w:wordWrap/>
        <w:overflowPunct/>
        <w:topLinePunct w:val="0"/>
        <w:bidi w:val="0"/>
        <w:snapToGrid/>
        <w:spacing w:line="424"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w:t>
      </w:r>
      <w:r>
        <w:rPr>
          <w:rFonts w:hint="eastAsia" w:ascii="宋体" w:hAnsi="宋体" w:eastAsia="宋体" w:cs="宋体"/>
          <w:color w:val="auto"/>
          <w:szCs w:val="21"/>
          <w:highlight w:val="none"/>
          <w:lang w:val="en-US"/>
        </w:rPr>
        <w:t>5</w:t>
      </w:r>
      <w:r>
        <w:rPr>
          <w:rFonts w:hint="eastAsia" w:ascii="宋体" w:hAnsi="宋体" w:eastAsia="宋体" w:cs="宋体"/>
          <w:color w:val="auto"/>
          <w:szCs w:val="21"/>
          <w:highlight w:val="none"/>
        </w:rPr>
        <w:t>）招标文件</w:t>
      </w:r>
      <w:r>
        <w:rPr>
          <w:rFonts w:hint="eastAsia" w:ascii="宋体" w:hAnsi="宋体" w:eastAsia="宋体" w:cs="宋体"/>
          <w:color w:val="auto"/>
          <w:szCs w:val="21"/>
          <w:highlight w:val="none"/>
          <w:lang w:eastAsia="zh-CN"/>
        </w:rPr>
        <w:t>要求</w:t>
      </w:r>
      <w:r>
        <w:rPr>
          <w:rFonts w:hint="eastAsia" w:ascii="宋体" w:hAnsi="宋体" w:eastAsia="宋体" w:cs="宋体"/>
          <w:color w:val="auto"/>
          <w:szCs w:val="21"/>
          <w:highlight w:val="none"/>
        </w:rPr>
        <w:t>提供技术方案的，投标技术方案不明确，招标文件未允许但存在一个或者一个以上备选（替代）投标方案的。</w:t>
      </w:r>
    </w:p>
    <w:p w14:paraId="6491D735">
      <w:pPr>
        <w:keepNext w:val="0"/>
        <w:keepLines w:val="0"/>
        <w:pageBreakBefore w:val="0"/>
        <w:shd w:val="clear"/>
        <w:kinsoku/>
        <w:wordWrap/>
        <w:overflowPunct/>
        <w:topLinePunct w:val="0"/>
        <w:bidi w:val="0"/>
        <w:snapToGrid/>
        <w:spacing w:line="424" w:lineRule="exact"/>
        <w:ind w:firstLine="422" w:firstLineChars="200"/>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3.澄清补正、说明或者补正</w:t>
      </w:r>
    </w:p>
    <w:p w14:paraId="6F692109">
      <w:pPr>
        <w:keepNext w:val="0"/>
        <w:keepLines w:val="0"/>
        <w:pageBreakBefore w:val="0"/>
        <w:shd w:val="clear"/>
        <w:kinsoku/>
        <w:wordWrap/>
        <w:overflowPunct/>
        <w:topLinePunct w:val="0"/>
        <w:bidi w:val="0"/>
        <w:snapToGrid/>
        <w:spacing w:line="424"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对投标文件中含义不明确、同类问题表述不一致或者有明显文字和计算错误的内容，评标委员会应在</w:t>
      </w:r>
      <w:r>
        <w:rPr>
          <w:rFonts w:hint="eastAsia" w:ascii="宋体" w:hAnsi="宋体" w:eastAsia="宋体" w:cs="宋体"/>
          <w:b w:val="0"/>
          <w:bCs w:val="0"/>
          <w:color w:val="auto"/>
          <w:sz w:val="21"/>
          <w:szCs w:val="21"/>
          <w:highlight w:val="none"/>
          <w:lang w:val="en-US" w:eastAsia="zh-CN"/>
        </w:rPr>
        <w:t>广西政府采购云平台</w:t>
      </w:r>
      <w:r>
        <w:rPr>
          <w:rFonts w:hint="eastAsia" w:ascii="宋体" w:hAnsi="宋体" w:eastAsia="宋体" w:cs="宋体"/>
          <w:color w:val="auto"/>
          <w:szCs w:val="21"/>
          <w:highlight w:val="none"/>
        </w:rPr>
        <w:t>发布电子澄清函，要求投标人在规定时间内作出必要的澄清、说明或者补正。投标人在</w:t>
      </w:r>
      <w:r>
        <w:rPr>
          <w:rFonts w:hint="eastAsia" w:ascii="宋体" w:hAnsi="宋体" w:eastAsia="宋体" w:cs="宋体"/>
          <w:b w:val="0"/>
          <w:bCs w:val="0"/>
          <w:color w:val="auto"/>
          <w:sz w:val="21"/>
          <w:szCs w:val="21"/>
          <w:highlight w:val="none"/>
          <w:lang w:val="en-US" w:eastAsia="zh-CN"/>
        </w:rPr>
        <w:t>广西政府采购云平台</w:t>
      </w:r>
      <w:r>
        <w:rPr>
          <w:rFonts w:hint="eastAsia" w:ascii="宋体" w:hAnsi="宋体" w:eastAsia="宋体" w:cs="宋体"/>
          <w:color w:val="auto"/>
          <w:szCs w:val="21"/>
          <w:highlight w:val="none"/>
        </w:rPr>
        <w:t>接收到电子澄清函后根据澄清函内容上传PDF格式回函，电子澄清答复函使用CA证书加盖</w:t>
      </w:r>
      <w:r>
        <w:rPr>
          <w:rFonts w:hint="eastAsia" w:ascii="宋体" w:hAnsi="宋体" w:eastAsia="宋体" w:cs="宋体"/>
          <w:color w:val="auto"/>
          <w:szCs w:val="21"/>
          <w:highlight w:val="none"/>
          <w:lang w:eastAsia="zh-CN"/>
        </w:rPr>
        <w:t>投标人</w:t>
      </w:r>
      <w:r>
        <w:rPr>
          <w:rFonts w:hint="eastAsia" w:ascii="宋体" w:hAnsi="宋体" w:eastAsia="宋体" w:cs="宋体"/>
          <w:color w:val="auto"/>
          <w:szCs w:val="21"/>
          <w:highlight w:val="none"/>
        </w:rPr>
        <w:t>公章后在线上传至评标委员会。投标人的澄清、说明或者补正不得超出投标文件的范围或者改变投标文件的实质性内容。投标人未在规定时间内进行澄清、说明或者补正的，有可能对评审产生影响。</w:t>
      </w:r>
    </w:p>
    <w:p w14:paraId="6F7CD624">
      <w:pPr>
        <w:keepNext w:val="0"/>
        <w:keepLines w:val="0"/>
        <w:pageBreakBefore w:val="0"/>
        <w:shd w:val="clear"/>
        <w:kinsoku/>
        <w:wordWrap/>
        <w:overflowPunct/>
        <w:topLinePunct w:val="0"/>
        <w:bidi w:val="0"/>
        <w:snapToGrid/>
        <w:spacing w:line="424"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异常情况处理：如遇无法正常使用线上发送澄清函的情况，将启动书面形式办理。启动书面形式办理的情况下，评标委员会以书面形式要求投标人在规定时间内作出必要的澄清、说明或者补正。投标人的澄清、说明或者补正必须采用书面形式，并加盖公章，或者由法定代表人或者其授权的代表签字。</w:t>
      </w:r>
    </w:p>
    <w:p w14:paraId="0B00C808">
      <w:pPr>
        <w:keepNext w:val="0"/>
        <w:keepLines w:val="0"/>
        <w:pageBreakBefore w:val="0"/>
        <w:shd w:val="clear"/>
        <w:kinsoku/>
        <w:wordWrap/>
        <w:overflowPunct/>
        <w:topLinePunct w:val="0"/>
        <w:bidi w:val="0"/>
        <w:snapToGrid/>
        <w:spacing w:line="424" w:lineRule="exact"/>
        <w:ind w:firstLine="422" w:firstLineChars="200"/>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4.投标文件修正</w:t>
      </w:r>
    </w:p>
    <w:p w14:paraId="7FC434B4">
      <w:pPr>
        <w:keepNext w:val="0"/>
        <w:keepLines w:val="0"/>
        <w:pageBreakBefore w:val="0"/>
        <w:shd w:val="clear"/>
        <w:kinsoku/>
        <w:wordWrap/>
        <w:overflowPunct/>
        <w:topLinePunct w:val="0"/>
        <w:bidi w:val="0"/>
        <w:snapToGrid/>
        <w:spacing w:line="424"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4.1投标文件报价出现前后不一致的，按照下列规定修正： </w:t>
      </w:r>
    </w:p>
    <w:p w14:paraId="3CB536FD">
      <w:pPr>
        <w:keepNext w:val="0"/>
        <w:keepLines w:val="0"/>
        <w:pageBreakBefore w:val="0"/>
        <w:shd w:val="clear"/>
        <w:kinsoku/>
        <w:wordWrap/>
        <w:overflowPunct/>
        <w:topLinePunct w:val="0"/>
        <w:bidi w:val="0"/>
        <w:snapToGrid/>
        <w:spacing w:line="424" w:lineRule="exact"/>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（1）报价文件中“开标一览表”内容与投标文件中相应内容不一致的，以“开标一览表”为准；</w:t>
      </w:r>
    </w:p>
    <w:p w14:paraId="51F1E646">
      <w:pPr>
        <w:keepNext w:val="0"/>
        <w:keepLines w:val="0"/>
        <w:pageBreakBefore w:val="0"/>
        <w:shd w:val="clear"/>
        <w:kinsoku/>
        <w:wordWrap/>
        <w:overflowPunct/>
        <w:topLinePunct w:val="0"/>
        <w:bidi w:val="0"/>
        <w:snapToGrid/>
        <w:spacing w:line="424" w:lineRule="exact"/>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（2）大写金额和小写金额不一致的，以大写金额为准；</w:t>
      </w:r>
    </w:p>
    <w:p w14:paraId="0005176F">
      <w:pPr>
        <w:keepNext w:val="0"/>
        <w:keepLines w:val="0"/>
        <w:pageBreakBefore w:val="0"/>
        <w:shd w:val="clear"/>
        <w:kinsoku/>
        <w:wordWrap/>
        <w:overflowPunct/>
        <w:topLinePunct w:val="0"/>
        <w:bidi w:val="0"/>
        <w:snapToGrid/>
        <w:spacing w:line="424" w:lineRule="exact"/>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（3）单价金额小数点或者百分比有明显错位的，以开标一览表的总价为准，并修改单价；</w:t>
      </w:r>
    </w:p>
    <w:p w14:paraId="6218C83B">
      <w:pPr>
        <w:keepNext w:val="0"/>
        <w:keepLines w:val="0"/>
        <w:pageBreakBefore w:val="0"/>
        <w:shd w:val="clear"/>
        <w:kinsoku/>
        <w:wordWrap/>
        <w:overflowPunct/>
        <w:topLinePunct w:val="0"/>
        <w:bidi w:val="0"/>
        <w:snapToGrid/>
        <w:spacing w:line="424" w:lineRule="exact"/>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（4）总价金额与按单价汇总金额不一致的，以单价金额计算结果为准。</w:t>
      </w:r>
    </w:p>
    <w:p w14:paraId="3215BA9B">
      <w:pPr>
        <w:keepNext w:val="0"/>
        <w:keepLines w:val="0"/>
        <w:pageBreakBefore w:val="0"/>
        <w:shd w:val="clear"/>
        <w:kinsoku/>
        <w:wordWrap/>
        <w:overflowPunct/>
        <w:topLinePunct w:val="0"/>
        <w:bidi w:val="0"/>
        <w:snapToGrid/>
        <w:spacing w:line="424" w:lineRule="exact"/>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同时出现两种以上不一致的，按照以上（1）-（4）规定的顺序修正。修正后的报价经投标人确认后产生约束力，投标人不确认的，其投标无效。</w:t>
      </w:r>
    </w:p>
    <w:p w14:paraId="0790FD4F">
      <w:pPr>
        <w:keepNext w:val="0"/>
        <w:keepLines w:val="0"/>
        <w:pageBreakBefore w:val="0"/>
        <w:shd w:val="clear"/>
        <w:kinsoku/>
        <w:wordWrap/>
        <w:overflowPunct/>
        <w:topLinePunct w:val="0"/>
        <w:bidi w:val="0"/>
        <w:snapToGrid/>
        <w:spacing w:line="424"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4.2经投标人确认修正后的报价若超过采购预算金额或者最高限价，投标人的投标文件作无效投标处理。</w:t>
      </w:r>
    </w:p>
    <w:p w14:paraId="6CFAF1F4">
      <w:pPr>
        <w:keepNext w:val="0"/>
        <w:keepLines w:val="0"/>
        <w:pageBreakBefore w:val="0"/>
        <w:shd w:val="clear"/>
        <w:kinsoku/>
        <w:wordWrap/>
        <w:overflowPunct/>
        <w:topLinePunct w:val="0"/>
        <w:bidi w:val="0"/>
        <w:snapToGrid/>
        <w:spacing w:line="424"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4.3经投标人确认修正后的报价作为签订合同的依据，并以此报价计算价格分。</w:t>
      </w:r>
    </w:p>
    <w:p w14:paraId="2AEF26DA">
      <w:pPr>
        <w:keepNext w:val="0"/>
        <w:keepLines w:val="0"/>
        <w:pageBreakBefore w:val="0"/>
        <w:shd w:val="clear"/>
        <w:kinsoku/>
        <w:wordWrap/>
        <w:overflowPunct/>
        <w:topLinePunct w:val="0"/>
        <w:bidi w:val="0"/>
        <w:snapToGrid/>
        <w:spacing w:line="424"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5.比较与评价</w:t>
      </w:r>
    </w:p>
    <w:p w14:paraId="26EF8383">
      <w:pPr>
        <w:keepNext w:val="0"/>
        <w:keepLines w:val="0"/>
        <w:pageBreakBefore w:val="0"/>
        <w:shd w:val="clear"/>
        <w:kinsoku/>
        <w:wordWrap/>
        <w:overflowPunct/>
        <w:topLinePunct w:val="0"/>
        <w:bidi w:val="0"/>
        <w:snapToGrid/>
        <w:spacing w:line="424" w:lineRule="exact"/>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5.1评标委员会按照招标文件中规定的评标方法和评标标准，对符合性审查合格的投标文件进行商务和技术评估，综合比较与评价。</w:t>
      </w:r>
    </w:p>
    <w:p w14:paraId="34A6CFC2">
      <w:pPr>
        <w:keepNext w:val="0"/>
        <w:keepLines w:val="0"/>
        <w:pageBreakBefore w:val="0"/>
        <w:shd w:val="clear"/>
        <w:kinsoku/>
        <w:wordWrap/>
        <w:overflowPunct/>
        <w:topLinePunct w:val="0"/>
        <w:bidi w:val="0"/>
        <w:snapToGrid/>
        <w:spacing w:line="424" w:lineRule="exact"/>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5.2评标委员会</w:t>
      </w:r>
      <w:r>
        <w:rPr>
          <w:rFonts w:hint="eastAsia" w:ascii="宋体" w:hAnsi="宋体" w:eastAsia="宋体" w:cs="宋体"/>
          <w:color w:val="auto"/>
          <w:highlight w:val="none"/>
          <w:lang w:eastAsia="zh-CN"/>
        </w:rPr>
        <w:t>各成员</w:t>
      </w:r>
      <w:r>
        <w:rPr>
          <w:rFonts w:hint="eastAsia" w:ascii="宋体" w:hAnsi="宋体" w:eastAsia="宋体" w:cs="宋体"/>
          <w:color w:val="auto"/>
          <w:highlight w:val="none"/>
        </w:rPr>
        <w:t>独立对每个投标人的投标文件进行评价，并汇总每个投标人的得分。</w:t>
      </w:r>
    </w:p>
    <w:p w14:paraId="7F5AC88A">
      <w:pPr>
        <w:keepNext w:val="0"/>
        <w:keepLines w:val="0"/>
        <w:pageBreakBefore w:val="0"/>
        <w:widowControl/>
        <w:numPr>
          <w:ilvl w:val="0"/>
          <w:numId w:val="4"/>
        </w:numPr>
        <w:shd w:val="clear"/>
        <w:kinsoku/>
        <w:wordWrap/>
        <w:overflowPunct/>
        <w:topLinePunct w:val="0"/>
        <w:bidi w:val="0"/>
        <w:snapToGrid/>
        <w:spacing w:after="150" w:line="424" w:lineRule="exact"/>
        <w:ind w:firstLine="420" w:firstLineChars="200"/>
        <w:jc w:val="left"/>
        <w:rPr>
          <w:rFonts w:hint="eastAsia" w:ascii="宋体" w:hAnsi="宋体" w:eastAsia="宋体" w:cs="宋体"/>
          <w:color w:val="auto"/>
          <w:highlight w:val="none"/>
        </w:rPr>
      </w:pPr>
      <w:r>
        <w:rPr>
          <w:rFonts w:hint="eastAsia" w:ascii="宋体" w:hAnsi="宋体" w:eastAsia="宋体" w:cs="宋体"/>
          <w:color w:val="auto"/>
          <w:highlight w:val="none"/>
        </w:rPr>
        <w:t>评审委员会成员要根据政府采购法律法规和</w:t>
      </w:r>
      <w:r>
        <w:rPr>
          <w:rFonts w:hint="eastAsia" w:ascii="宋体" w:hAnsi="宋体" w:eastAsia="宋体" w:cs="宋体"/>
          <w:color w:val="auto"/>
          <w:highlight w:val="none"/>
          <w:lang w:eastAsia="zh-CN"/>
        </w:rPr>
        <w:t>招标</w:t>
      </w:r>
      <w:r>
        <w:rPr>
          <w:rFonts w:hint="eastAsia" w:ascii="宋体" w:hAnsi="宋体" w:eastAsia="宋体" w:cs="宋体"/>
          <w:color w:val="auto"/>
          <w:highlight w:val="none"/>
        </w:rPr>
        <w:t>文件所载明的评</w:t>
      </w:r>
      <w:r>
        <w:rPr>
          <w:rFonts w:hint="eastAsia" w:ascii="宋体" w:hAnsi="宋体" w:eastAsia="宋体" w:cs="宋体"/>
          <w:color w:val="auto"/>
          <w:highlight w:val="none"/>
          <w:lang w:eastAsia="zh-CN"/>
        </w:rPr>
        <w:t>标</w:t>
      </w:r>
      <w:r>
        <w:rPr>
          <w:rFonts w:hint="eastAsia" w:ascii="宋体" w:hAnsi="宋体" w:eastAsia="宋体" w:cs="宋体"/>
          <w:color w:val="auto"/>
          <w:highlight w:val="none"/>
        </w:rPr>
        <w:t>方法、标准进行评审。对</w:t>
      </w:r>
      <w:r>
        <w:rPr>
          <w:rFonts w:hint="eastAsia" w:ascii="宋体" w:hAnsi="宋体" w:eastAsia="宋体" w:cs="宋体"/>
          <w:color w:val="auto"/>
          <w:highlight w:val="none"/>
          <w:lang w:eastAsia="zh-CN"/>
        </w:rPr>
        <w:t>投标人</w:t>
      </w:r>
      <w:r>
        <w:rPr>
          <w:rFonts w:hint="eastAsia" w:ascii="宋体" w:hAnsi="宋体" w:eastAsia="宋体" w:cs="宋体"/>
          <w:color w:val="auto"/>
          <w:highlight w:val="none"/>
        </w:rPr>
        <w:t>的价格分等客观评分项的评分应当一致，对其他需要借助专业知识评判的主观评分项，应当严格按照评分细则公正评分。</w:t>
      </w:r>
    </w:p>
    <w:p w14:paraId="34E3FE6B">
      <w:pPr>
        <w:keepNext w:val="0"/>
        <w:keepLines w:val="0"/>
        <w:pageBreakBefore w:val="0"/>
        <w:widowControl/>
        <w:numPr>
          <w:ilvl w:val="0"/>
          <w:numId w:val="4"/>
        </w:numPr>
        <w:shd w:val="clear"/>
        <w:kinsoku/>
        <w:wordWrap/>
        <w:overflowPunct/>
        <w:topLinePunct w:val="0"/>
        <w:bidi w:val="0"/>
        <w:snapToGrid/>
        <w:spacing w:after="150" w:line="424" w:lineRule="exact"/>
        <w:ind w:firstLine="422" w:firstLineChars="200"/>
        <w:jc w:val="left"/>
        <w:rPr>
          <w:rFonts w:hint="eastAsia" w:ascii="宋体" w:hAnsi="宋体" w:eastAsia="宋体" w:cs="宋体"/>
          <w:b/>
          <w:bCs/>
          <w:color w:val="auto"/>
          <w:highlight w:val="none"/>
        </w:rPr>
      </w:pPr>
      <w:r>
        <w:rPr>
          <w:rFonts w:hint="eastAsia" w:ascii="宋体" w:hAnsi="宋体" w:eastAsia="宋体" w:cs="宋体"/>
          <w:b/>
          <w:bCs/>
          <w:color w:val="auto"/>
          <w:highlight w:val="none"/>
        </w:rPr>
        <w:t>评标委员会认为投标人的报价明显低于其他通过符合性审查投标人的报价，有可能影响产品质量或者不能诚信履约的，应当要求其在评标现场合理的时间内提供书面说明，必要时提交相关证明材料；投标人不能证明其报价合理性的，评标委员会将其作为无效投标处理。</w:t>
      </w:r>
    </w:p>
    <w:p w14:paraId="1F8FCB2B">
      <w:pPr>
        <w:keepNext w:val="0"/>
        <w:keepLines w:val="0"/>
        <w:pageBreakBefore w:val="0"/>
        <w:shd w:val="clear"/>
        <w:kinsoku/>
        <w:wordWrap/>
        <w:overflowPunct/>
        <w:topLinePunct w:val="0"/>
        <w:bidi w:val="0"/>
        <w:snapToGrid/>
        <w:spacing w:line="424" w:lineRule="exact"/>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5.3评标委员会按照招标文件中规定的评标方法和标准计算各投标人的报价得分。在评标过程中，不得去掉报价中的最高报价和最低报价。</w:t>
      </w:r>
    </w:p>
    <w:p w14:paraId="5DE2867F">
      <w:pPr>
        <w:keepNext w:val="0"/>
        <w:keepLines w:val="0"/>
        <w:pageBreakBefore w:val="0"/>
        <w:shd w:val="clear"/>
        <w:kinsoku/>
        <w:wordWrap/>
        <w:overflowPunct/>
        <w:topLinePunct w:val="0"/>
        <w:bidi w:val="0"/>
        <w:snapToGrid/>
        <w:spacing w:line="424" w:lineRule="exact"/>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5.4各投标人的得分为评标委员会各成员的有效评分的算术平均数。</w:t>
      </w:r>
    </w:p>
    <w:p w14:paraId="06F3EFC9">
      <w:pPr>
        <w:keepNext w:val="0"/>
        <w:keepLines w:val="0"/>
        <w:pageBreakBefore w:val="0"/>
        <w:shd w:val="clear"/>
        <w:kinsoku/>
        <w:wordWrap/>
        <w:overflowPunct/>
        <w:topLinePunct w:val="0"/>
        <w:bidi w:val="0"/>
        <w:snapToGrid/>
        <w:spacing w:line="424" w:lineRule="exact"/>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5.5评标委员会按照招标文件中的规定推荐中标候选人。</w:t>
      </w:r>
    </w:p>
    <w:p w14:paraId="632D5F9F">
      <w:pPr>
        <w:keepNext w:val="0"/>
        <w:keepLines w:val="0"/>
        <w:pageBreakBefore w:val="0"/>
        <w:shd w:val="clear"/>
        <w:kinsoku/>
        <w:wordWrap/>
        <w:overflowPunct/>
        <w:topLinePunct w:val="0"/>
        <w:bidi w:val="0"/>
        <w:snapToGrid/>
        <w:spacing w:line="424" w:lineRule="exact"/>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5.6起草并签署评标报告。评标委员会根据评标委员会</w:t>
      </w:r>
      <w:r>
        <w:rPr>
          <w:rFonts w:hint="eastAsia" w:ascii="宋体" w:hAnsi="宋体" w:eastAsia="宋体" w:cs="宋体"/>
          <w:color w:val="auto"/>
          <w:highlight w:val="none"/>
          <w:lang w:eastAsia="zh-CN"/>
        </w:rPr>
        <w:t>各</w:t>
      </w:r>
      <w:r>
        <w:rPr>
          <w:rFonts w:hint="eastAsia" w:ascii="宋体" w:hAnsi="宋体" w:eastAsia="宋体" w:cs="宋体"/>
          <w:color w:val="auto"/>
          <w:highlight w:val="none"/>
        </w:rPr>
        <w:t>成员签字的原始评标记录和评标结果编写评标报告。评标委员会成员均应当在评标报告上签字，对自己的评标意见承担法律责任。对评标过程中需要共同认定的事项存在争议的，应当按照少数服从多数的原则做出结论。持不同意见的评标委员会应当在评标报告上签署不同意见及理由，否则视为同意评标报告。</w:t>
      </w:r>
    </w:p>
    <w:p w14:paraId="7DC3551B">
      <w:pPr>
        <w:keepNext w:val="0"/>
        <w:keepLines w:val="0"/>
        <w:pageBreakBefore w:val="0"/>
        <w:shd w:val="clear"/>
        <w:kinsoku/>
        <w:wordWrap/>
        <w:overflowPunct/>
        <w:topLinePunct w:val="0"/>
        <w:bidi w:val="0"/>
        <w:snapToGrid/>
        <w:spacing w:line="424" w:lineRule="exact"/>
        <w:ind w:firstLine="422" w:firstLineChars="200"/>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6.评审复核</w:t>
      </w:r>
    </w:p>
    <w:p w14:paraId="6A024861">
      <w:pPr>
        <w:keepNext w:val="0"/>
        <w:keepLines w:val="0"/>
        <w:pageBreakBefore w:val="0"/>
        <w:shd w:val="clear"/>
        <w:kinsoku/>
        <w:wordWrap/>
        <w:overflowPunct/>
        <w:topLinePunct w:val="0"/>
        <w:bidi w:val="0"/>
        <w:snapToGrid/>
        <w:spacing w:line="424"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6.1评标报告签署前，评标委员会要对评审结果进行复核，复核意见要体现在评标报告中。</w:t>
      </w:r>
    </w:p>
    <w:p w14:paraId="5F98AC25">
      <w:pPr>
        <w:keepNext w:val="0"/>
        <w:keepLines w:val="0"/>
        <w:pageBreakBefore w:val="0"/>
        <w:widowControl/>
        <w:shd w:val="clear"/>
        <w:kinsoku/>
        <w:wordWrap/>
        <w:overflowPunct/>
        <w:topLinePunct w:val="0"/>
        <w:bidi w:val="0"/>
        <w:snapToGrid/>
        <w:spacing w:line="424" w:lineRule="exact"/>
        <w:ind w:firstLine="420" w:firstLineChars="200"/>
        <w:jc w:val="left"/>
        <w:textAlignment w:val="baseline"/>
        <w:rPr>
          <w:rFonts w:hint="eastAsia" w:ascii="宋体" w:hAnsi="宋体" w:eastAsia="宋体" w:cs="宋体"/>
          <w:color w:val="auto"/>
          <w:highlight w:val="none"/>
        </w:rPr>
      </w:pPr>
      <w:r>
        <w:rPr>
          <w:rFonts w:hint="eastAsia" w:ascii="宋体" w:hAnsi="宋体" w:eastAsia="宋体" w:cs="宋体"/>
          <w:color w:val="auto"/>
          <w:highlight w:val="none"/>
        </w:rPr>
        <w:t>6.2评标结果汇总完成后，除下列情形外，任何人不得修改评标结果：</w:t>
      </w:r>
    </w:p>
    <w:p w14:paraId="3FECF48B">
      <w:pPr>
        <w:keepNext w:val="0"/>
        <w:keepLines w:val="0"/>
        <w:pageBreakBefore w:val="0"/>
        <w:widowControl/>
        <w:shd w:val="clear"/>
        <w:kinsoku/>
        <w:wordWrap/>
        <w:overflowPunct/>
        <w:topLinePunct w:val="0"/>
        <w:bidi w:val="0"/>
        <w:snapToGrid/>
        <w:spacing w:line="424" w:lineRule="exact"/>
        <w:jc w:val="left"/>
        <w:textAlignment w:val="baseline"/>
        <w:rPr>
          <w:rFonts w:hint="eastAsia" w:ascii="宋体" w:hAnsi="宋体" w:eastAsia="宋体" w:cs="宋体"/>
          <w:color w:val="auto"/>
          <w:highlight w:val="none"/>
        </w:rPr>
      </w:pPr>
      <w:r>
        <w:rPr>
          <w:rFonts w:hint="eastAsia" w:ascii="宋体" w:hAnsi="宋体" w:eastAsia="宋体" w:cs="宋体"/>
          <w:color w:val="auto"/>
          <w:highlight w:val="none"/>
        </w:rPr>
        <w:t>　　（一）分值汇总计算错误的；</w:t>
      </w:r>
    </w:p>
    <w:p w14:paraId="7027BC9D">
      <w:pPr>
        <w:keepNext w:val="0"/>
        <w:keepLines w:val="0"/>
        <w:pageBreakBefore w:val="0"/>
        <w:widowControl/>
        <w:shd w:val="clear"/>
        <w:kinsoku/>
        <w:wordWrap/>
        <w:overflowPunct/>
        <w:topLinePunct w:val="0"/>
        <w:bidi w:val="0"/>
        <w:snapToGrid/>
        <w:spacing w:line="424" w:lineRule="exact"/>
        <w:jc w:val="left"/>
        <w:textAlignment w:val="baseline"/>
        <w:rPr>
          <w:rFonts w:hint="eastAsia" w:ascii="宋体" w:hAnsi="宋体" w:eastAsia="宋体" w:cs="宋体"/>
          <w:color w:val="auto"/>
          <w:highlight w:val="none"/>
        </w:rPr>
      </w:pPr>
      <w:r>
        <w:rPr>
          <w:rFonts w:hint="eastAsia" w:ascii="宋体" w:hAnsi="宋体" w:eastAsia="宋体" w:cs="宋体"/>
          <w:color w:val="auto"/>
          <w:highlight w:val="none"/>
        </w:rPr>
        <w:t>　　（二）分项评分超出评分标准范围的；</w:t>
      </w:r>
    </w:p>
    <w:p w14:paraId="0306D765">
      <w:pPr>
        <w:keepNext w:val="0"/>
        <w:keepLines w:val="0"/>
        <w:pageBreakBefore w:val="0"/>
        <w:widowControl/>
        <w:shd w:val="clear"/>
        <w:kinsoku/>
        <w:wordWrap/>
        <w:overflowPunct/>
        <w:topLinePunct w:val="0"/>
        <w:bidi w:val="0"/>
        <w:snapToGrid/>
        <w:spacing w:line="424" w:lineRule="exact"/>
        <w:jc w:val="left"/>
        <w:textAlignment w:val="baseline"/>
        <w:rPr>
          <w:rFonts w:hint="eastAsia" w:ascii="宋体" w:hAnsi="宋体" w:eastAsia="宋体" w:cs="宋体"/>
          <w:color w:val="auto"/>
          <w:highlight w:val="none"/>
        </w:rPr>
      </w:pPr>
      <w:r>
        <w:rPr>
          <w:rFonts w:hint="eastAsia" w:ascii="宋体" w:hAnsi="宋体" w:eastAsia="宋体" w:cs="宋体"/>
          <w:color w:val="auto"/>
          <w:highlight w:val="none"/>
        </w:rPr>
        <w:t>　　（三）评标委员会成员对客观评审因素评分不一致的；</w:t>
      </w:r>
    </w:p>
    <w:p w14:paraId="4DD0FCCA">
      <w:pPr>
        <w:keepNext w:val="0"/>
        <w:keepLines w:val="0"/>
        <w:pageBreakBefore w:val="0"/>
        <w:widowControl/>
        <w:shd w:val="clear"/>
        <w:kinsoku/>
        <w:wordWrap/>
        <w:overflowPunct/>
        <w:topLinePunct w:val="0"/>
        <w:bidi w:val="0"/>
        <w:snapToGrid/>
        <w:spacing w:line="424" w:lineRule="exact"/>
        <w:jc w:val="left"/>
        <w:textAlignment w:val="baseline"/>
        <w:rPr>
          <w:rFonts w:hint="eastAsia" w:ascii="宋体" w:hAnsi="宋体" w:eastAsia="宋体" w:cs="宋体"/>
          <w:color w:val="auto"/>
          <w:highlight w:val="none"/>
        </w:rPr>
      </w:pPr>
      <w:r>
        <w:rPr>
          <w:rFonts w:hint="eastAsia" w:ascii="宋体" w:hAnsi="宋体" w:eastAsia="宋体" w:cs="宋体"/>
          <w:color w:val="auto"/>
          <w:highlight w:val="none"/>
        </w:rPr>
        <w:t>　　（四）经评标委员会认定评分畸高、畸低的。</w:t>
      </w:r>
    </w:p>
    <w:p w14:paraId="188C3673">
      <w:pPr>
        <w:keepNext w:val="0"/>
        <w:keepLines w:val="0"/>
        <w:pageBreakBefore w:val="0"/>
        <w:shd w:val="clear"/>
        <w:kinsoku/>
        <w:wordWrap/>
        <w:overflowPunct/>
        <w:topLinePunct w:val="0"/>
        <w:bidi w:val="0"/>
        <w:snapToGrid/>
        <w:spacing w:line="424" w:lineRule="exact"/>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评标报告签署前，经复核发现存在以上情形之一的，评标委员会应当当场修改评标结果，并在评标报告中记载；评标报告签署后，采购人或者采购代理机构发现存在以上情形之一的，应当组织原评标委员会进行重新评审，重新评审改变评标结果的，书面报告本级财政部门。</w:t>
      </w:r>
    </w:p>
    <w:p w14:paraId="60AC04FD">
      <w:pPr>
        <w:pStyle w:val="2"/>
        <w:shd w:val="clear"/>
        <w:jc w:val="center"/>
        <w:rPr>
          <w:rFonts w:hint="eastAsia" w:ascii="宋体" w:hAnsi="宋体" w:eastAsia="宋体" w:cs="宋体"/>
          <w:b w:val="0"/>
          <w:color w:val="auto"/>
          <w:sz w:val="30"/>
          <w:szCs w:val="30"/>
          <w:highlight w:val="none"/>
        </w:rPr>
      </w:pPr>
      <w:bookmarkStart w:id="293" w:name="_Toc13548"/>
      <w:bookmarkStart w:id="294" w:name="_Toc28829"/>
      <w:bookmarkStart w:id="295" w:name="_Toc27331"/>
      <w:bookmarkStart w:id="296" w:name="_Toc28193"/>
      <w:bookmarkStart w:id="297" w:name="_Toc19942"/>
      <w:bookmarkStart w:id="298" w:name="_Toc25728"/>
      <w:bookmarkStart w:id="299" w:name="_Toc5755"/>
      <w:bookmarkStart w:id="300" w:name="_Toc17834"/>
      <w:bookmarkStart w:id="301" w:name="_Toc22963"/>
      <w:bookmarkStart w:id="302" w:name="_Toc4866"/>
      <w:r>
        <w:rPr>
          <w:rFonts w:hint="eastAsia" w:ascii="宋体" w:hAnsi="宋体" w:eastAsia="宋体" w:cs="宋体"/>
          <w:b w:val="0"/>
          <w:color w:val="auto"/>
          <w:sz w:val="30"/>
          <w:szCs w:val="30"/>
          <w:highlight w:val="none"/>
        </w:rPr>
        <w:t>第三节 评分标准</w:t>
      </w:r>
      <w:bookmarkEnd w:id="293"/>
      <w:bookmarkEnd w:id="294"/>
      <w:bookmarkEnd w:id="295"/>
      <w:bookmarkEnd w:id="296"/>
      <w:bookmarkEnd w:id="297"/>
      <w:bookmarkEnd w:id="298"/>
      <w:bookmarkEnd w:id="299"/>
      <w:bookmarkEnd w:id="300"/>
      <w:bookmarkEnd w:id="301"/>
      <w:bookmarkEnd w:id="302"/>
    </w:p>
    <w:p w14:paraId="6F22AA9E">
      <w:pPr>
        <w:pStyle w:val="12"/>
        <w:shd w:val="clear"/>
        <w:ind w:firstLine="602" w:firstLineChars="200"/>
        <w:jc w:val="center"/>
        <w:rPr>
          <w:rFonts w:hint="eastAsia" w:ascii="宋体" w:hAnsi="宋体" w:eastAsia="宋体" w:cs="宋体"/>
          <w:b/>
          <w:color w:val="auto"/>
          <w:sz w:val="30"/>
          <w:szCs w:val="30"/>
          <w:highlight w:val="none"/>
        </w:rPr>
      </w:pPr>
      <w:r>
        <w:rPr>
          <w:rFonts w:hint="eastAsia" w:ascii="宋体" w:hAnsi="宋体" w:eastAsia="宋体" w:cs="宋体"/>
          <w:b/>
          <w:color w:val="auto"/>
          <w:sz w:val="30"/>
          <w:szCs w:val="30"/>
          <w:highlight w:val="none"/>
        </w:rPr>
        <w:t>一、综合评分法</w:t>
      </w:r>
    </w:p>
    <w:p w14:paraId="07DF27A7">
      <w:pPr>
        <w:spacing w:line="400" w:lineRule="exact"/>
        <w:ind w:firstLine="440" w:firstLineChars="200"/>
        <w:rPr>
          <w:rFonts w:hint="eastAsia" w:ascii="宋体" w:hAnsi="宋体" w:cs="宋体"/>
          <w:bCs/>
          <w:color w:val="auto"/>
          <w:sz w:val="22"/>
          <w:szCs w:val="22"/>
          <w:highlight w:val="none"/>
        </w:rPr>
      </w:pPr>
      <w:r>
        <w:rPr>
          <w:rFonts w:hint="eastAsia" w:ascii="宋体" w:hAnsi="宋体" w:cs="宋体"/>
          <w:bCs/>
          <w:color w:val="auto"/>
          <w:sz w:val="22"/>
          <w:szCs w:val="22"/>
          <w:highlight w:val="none"/>
        </w:rPr>
        <w:t>评审依据：</w:t>
      </w:r>
      <w:r>
        <w:rPr>
          <w:rFonts w:hint="eastAsia" w:ascii="宋体" w:hAnsi="宋体" w:cs="宋体"/>
          <w:bCs/>
          <w:color w:val="auto"/>
          <w:sz w:val="22"/>
          <w:szCs w:val="22"/>
          <w:highlight w:val="none"/>
          <w:lang w:eastAsia="zh-CN"/>
        </w:rPr>
        <w:t>评标委员会</w:t>
      </w:r>
      <w:r>
        <w:rPr>
          <w:rFonts w:hint="eastAsia" w:ascii="宋体" w:hAnsi="宋体" w:cs="宋体"/>
          <w:bCs/>
          <w:color w:val="auto"/>
          <w:sz w:val="22"/>
          <w:szCs w:val="22"/>
          <w:highlight w:val="none"/>
        </w:rPr>
        <w:t>将以</w:t>
      </w:r>
      <w:r>
        <w:rPr>
          <w:rFonts w:hint="eastAsia" w:ascii="宋体" w:hAnsi="宋体" w:cs="宋体"/>
          <w:bCs/>
          <w:color w:val="auto"/>
          <w:sz w:val="22"/>
          <w:szCs w:val="22"/>
          <w:highlight w:val="none"/>
          <w:lang w:val="en-US" w:eastAsia="zh-CN"/>
        </w:rPr>
        <w:t>投标</w:t>
      </w:r>
      <w:r>
        <w:rPr>
          <w:rFonts w:hint="eastAsia" w:ascii="宋体" w:hAnsi="宋体" w:cs="宋体"/>
          <w:bCs/>
          <w:color w:val="auto"/>
          <w:sz w:val="22"/>
          <w:szCs w:val="22"/>
          <w:highlight w:val="none"/>
        </w:rPr>
        <w:t>文件为评审依据，对供应商的报价、技术、商务等方面内容按百分制打分。（计分方法按四舍五入取至百分位）</w:t>
      </w:r>
    </w:p>
    <w:p w14:paraId="005CFEE8">
      <w:pPr>
        <w:spacing w:line="400" w:lineRule="exact"/>
        <w:ind w:firstLine="440" w:firstLineChars="200"/>
        <w:rPr>
          <w:rFonts w:hint="eastAsia" w:ascii="宋体" w:hAnsi="宋体" w:cs="宋体"/>
          <w:bCs/>
          <w:color w:val="auto"/>
          <w:sz w:val="22"/>
          <w:szCs w:val="22"/>
          <w:highlight w:val="none"/>
        </w:rPr>
      </w:pPr>
    </w:p>
    <w:tbl>
      <w:tblPr>
        <w:tblStyle w:val="18"/>
        <w:tblW w:w="977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1"/>
        <w:gridCol w:w="1327"/>
        <w:gridCol w:w="6915"/>
        <w:gridCol w:w="814"/>
      </w:tblGrid>
      <w:tr w14:paraId="77E631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6" w:hRule="atLeast"/>
          <w:jc w:val="center"/>
        </w:trPr>
        <w:tc>
          <w:tcPr>
            <w:tcW w:w="9777" w:type="dxa"/>
            <w:gridSpan w:val="4"/>
            <w:noWrap w:val="0"/>
            <w:vAlign w:val="center"/>
          </w:tcPr>
          <w:p w14:paraId="5F074EAC">
            <w:pPr>
              <w:widowControl/>
              <w:spacing w:line="400" w:lineRule="exact"/>
              <w:jc w:val="center"/>
              <w:rPr>
                <w:rFonts w:hint="default" w:ascii="宋体" w:hAnsi="宋体" w:eastAsia="宋体" w:cs="宋体"/>
                <w:b/>
                <w:bCs/>
                <w:color w:val="auto"/>
                <w:kern w:val="0"/>
                <w:sz w:val="22"/>
                <w:szCs w:val="22"/>
                <w:highlight w:val="none"/>
                <w:lang w:val="en-US" w:eastAsia="zh-CN"/>
              </w:rPr>
            </w:pPr>
            <w:r>
              <w:rPr>
                <w:rFonts w:hint="eastAsia" w:eastAsia="宋体"/>
                <w:b/>
                <w:bCs/>
                <w:color w:val="auto"/>
                <w:highlight w:val="none"/>
                <w:lang w:val="en-US" w:eastAsia="zh-CN"/>
              </w:rPr>
              <w:t>标项一、标项二、标项三、标项四评分办法</w:t>
            </w:r>
          </w:p>
        </w:tc>
      </w:tr>
      <w:tr w14:paraId="2770E4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1" w:hRule="atLeast"/>
          <w:jc w:val="center"/>
        </w:trPr>
        <w:tc>
          <w:tcPr>
            <w:tcW w:w="721" w:type="dxa"/>
            <w:noWrap w:val="0"/>
            <w:vAlign w:val="center"/>
          </w:tcPr>
          <w:p w14:paraId="1F436283">
            <w:pPr>
              <w:widowControl/>
              <w:spacing w:line="400" w:lineRule="exact"/>
              <w:jc w:val="center"/>
              <w:rPr>
                <w:rFonts w:hint="eastAsia" w:ascii="宋体" w:hAnsi="宋体" w:eastAsia="宋体" w:cs="宋体"/>
                <w:b/>
                <w:bCs/>
                <w:color w:val="auto"/>
                <w:kern w:val="0"/>
                <w:sz w:val="22"/>
                <w:szCs w:val="22"/>
                <w:highlight w:val="none"/>
              </w:rPr>
            </w:pPr>
            <w:r>
              <w:rPr>
                <w:rFonts w:hint="eastAsia" w:ascii="宋体" w:hAnsi="宋体" w:eastAsia="宋体" w:cs="宋体"/>
                <w:b/>
                <w:bCs/>
                <w:color w:val="auto"/>
                <w:kern w:val="0"/>
                <w:sz w:val="22"/>
                <w:szCs w:val="22"/>
                <w:highlight w:val="none"/>
              </w:rPr>
              <w:t>序号</w:t>
            </w:r>
          </w:p>
        </w:tc>
        <w:tc>
          <w:tcPr>
            <w:tcW w:w="1327" w:type="dxa"/>
            <w:noWrap w:val="0"/>
            <w:vAlign w:val="center"/>
          </w:tcPr>
          <w:p w14:paraId="379A8941">
            <w:pPr>
              <w:widowControl/>
              <w:spacing w:line="400" w:lineRule="exact"/>
              <w:jc w:val="center"/>
              <w:rPr>
                <w:rFonts w:hint="eastAsia" w:ascii="宋体" w:hAnsi="宋体" w:eastAsia="宋体" w:cs="宋体"/>
                <w:b/>
                <w:bCs/>
                <w:color w:val="auto"/>
                <w:kern w:val="0"/>
                <w:sz w:val="22"/>
                <w:szCs w:val="22"/>
                <w:highlight w:val="none"/>
              </w:rPr>
            </w:pPr>
            <w:r>
              <w:rPr>
                <w:rFonts w:hint="eastAsia" w:ascii="宋体" w:hAnsi="宋体" w:eastAsia="宋体" w:cs="宋体"/>
                <w:b/>
                <w:bCs/>
                <w:color w:val="auto"/>
                <w:kern w:val="0"/>
                <w:sz w:val="22"/>
                <w:szCs w:val="22"/>
                <w:highlight w:val="none"/>
              </w:rPr>
              <w:t>评审因素</w:t>
            </w:r>
          </w:p>
        </w:tc>
        <w:tc>
          <w:tcPr>
            <w:tcW w:w="6915" w:type="dxa"/>
            <w:noWrap w:val="0"/>
            <w:vAlign w:val="center"/>
          </w:tcPr>
          <w:p w14:paraId="70C05E65">
            <w:pPr>
              <w:widowControl/>
              <w:spacing w:line="400" w:lineRule="exact"/>
              <w:jc w:val="center"/>
              <w:rPr>
                <w:rFonts w:hint="eastAsia" w:ascii="宋体" w:hAnsi="宋体" w:eastAsia="宋体" w:cs="宋体"/>
                <w:b/>
                <w:bCs/>
                <w:color w:val="auto"/>
                <w:kern w:val="0"/>
                <w:sz w:val="22"/>
                <w:szCs w:val="22"/>
                <w:highlight w:val="none"/>
              </w:rPr>
            </w:pPr>
            <w:r>
              <w:rPr>
                <w:rFonts w:hint="eastAsia" w:ascii="宋体" w:hAnsi="宋体" w:eastAsia="宋体" w:cs="宋体"/>
                <w:b/>
                <w:bCs/>
                <w:color w:val="auto"/>
                <w:kern w:val="0"/>
                <w:sz w:val="22"/>
                <w:szCs w:val="22"/>
                <w:highlight w:val="none"/>
              </w:rPr>
              <w:t>评审因素具体内容</w:t>
            </w:r>
          </w:p>
        </w:tc>
        <w:tc>
          <w:tcPr>
            <w:tcW w:w="814" w:type="dxa"/>
            <w:noWrap w:val="0"/>
            <w:vAlign w:val="center"/>
          </w:tcPr>
          <w:p w14:paraId="1DE3AF85">
            <w:pPr>
              <w:widowControl/>
              <w:spacing w:line="400" w:lineRule="exact"/>
              <w:jc w:val="center"/>
              <w:rPr>
                <w:rFonts w:hint="eastAsia" w:ascii="宋体" w:hAnsi="宋体" w:eastAsia="宋体" w:cs="宋体"/>
                <w:b/>
                <w:bCs/>
                <w:color w:val="auto"/>
                <w:kern w:val="0"/>
                <w:sz w:val="22"/>
                <w:szCs w:val="22"/>
                <w:highlight w:val="none"/>
              </w:rPr>
            </w:pPr>
            <w:r>
              <w:rPr>
                <w:rFonts w:hint="eastAsia" w:ascii="宋体" w:hAnsi="宋体" w:eastAsia="宋体" w:cs="宋体"/>
                <w:b/>
                <w:bCs/>
                <w:color w:val="auto"/>
                <w:kern w:val="0"/>
                <w:sz w:val="22"/>
                <w:szCs w:val="22"/>
                <w:highlight w:val="none"/>
              </w:rPr>
              <w:t>分值</w:t>
            </w:r>
          </w:p>
        </w:tc>
      </w:tr>
      <w:tr w14:paraId="0D00FC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4" w:hRule="atLeast"/>
          <w:jc w:val="center"/>
        </w:trPr>
        <w:tc>
          <w:tcPr>
            <w:tcW w:w="721" w:type="dxa"/>
            <w:noWrap w:val="0"/>
            <w:vAlign w:val="center"/>
          </w:tcPr>
          <w:p w14:paraId="3D254D2A">
            <w:pPr>
              <w:widowControl/>
              <w:spacing w:line="400" w:lineRule="exact"/>
              <w:jc w:val="center"/>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1</w:t>
            </w:r>
          </w:p>
        </w:tc>
        <w:tc>
          <w:tcPr>
            <w:tcW w:w="1327" w:type="dxa"/>
            <w:noWrap w:val="0"/>
            <w:vAlign w:val="center"/>
          </w:tcPr>
          <w:p w14:paraId="6B2F58CB">
            <w:pPr>
              <w:widowControl/>
              <w:spacing w:line="400" w:lineRule="exact"/>
              <w:jc w:val="center"/>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价格分（满分</w:t>
            </w:r>
            <w:r>
              <w:rPr>
                <w:rFonts w:hint="eastAsia" w:ascii="宋体" w:hAnsi="宋体" w:eastAsia="宋体" w:cs="宋体"/>
                <w:color w:val="auto"/>
                <w:kern w:val="0"/>
                <w:sz w:val="22"/>
                <w:szCs w:val="22"/>
                <w:highlight w:val="none"/>
                <w:lang w:val="en-US" w:eastAsia="zh-CN"/>
              </w:rPr>
              <w:t>10</w:t>
            </w:r>
            <w:r>
              <w:rPr>
                <w:rFonts w:hint="eastAsia" w:ascii="宋体" w:hAnsi="宋体" w:eastAsia="宋体" w:cs="宋体"/>
                <w:color w:val="auto"/>
                <w:kern w:val="0"/>
                <w:sz w:val="22"/>
                <w:szCs w:val="22"/>
                <w:highlight w:val="none"/>
              </w:rPr>
              <w:t>分）</w:t>
            </w:r>
          </w:p>
        </w:tc>
        <w:tc>
          <w:tcPr>
            <w:tcW w:w="6915" w:type="dxa"/>
            <w:noWrap w:val="0"/>
            <w:vAlign w:val="top"/>
          </w:tcPr>
          <w:p w14:paraId="595F186C">
            <w:pPr>
              <w:snapToGrid w:val="0"/>
              <w:spacing w:line="400" w:lineRule="exact"/>
              <w:ind w:firstLine="440" w:firstLineChars="200"/>
              <w:jc w:val="left"/>
              <w:rPr>
                <w:rFonts w:hint="eastAsia" w:ascii="宋体" w:hAnsi="宋体" w:eastAsia="宋体" w:cs="宋体"/>
                <w:bCs/>
                <w:color w:val="auto"/>
                <w:sz w:val="22"/>
                <w:szCs w:val="22"/>
                <w:highlight w:val="none"/>
              </w:rPr>
            </w:pPr>
            <w:r>
              <w:rPr>
                <w:rFonts w:hint="eastAsia" w:ascii="宋体" w:hAnsi="宋体" w:eastAsia="宋体" w:cs="宋体"/>
                <w:bCs/>
                <w:color w:val="auto"/>
                <w:sz w:val="22"/>
                <w:szCs w:val="22"/>
                <w:highlight w:val="none"/>
              </w:rPr>
              <w:t>1.</w:t>
            </w:r>
            <w:r>
              <w:rPr>
                <w:rFonts w:hint="eastAsia" w:ascii="宋体" w:hAnsi="宋体" w:eastAsia="宋体" w:cs="宋体"/>
                <w:b w:val="0"/>
                <w:bCs w:val="0"/>
                <w:color w:val="auto"/>
                <w:sz w:val="22"/>
                <w:szCs w:val="22"/>
                <w:highlight w:val="none"/>
              </w:rPr>
              <w:t>本项目已预留份额专门面向中小企业采购，不再执行</w:t>
            </w:r>
            <w:r>
              <w:rPr>
                <w:rFonts w:hint="eastAsia" w:ascii="宋体" w:hAnsi="宋体" w:cs="宋体"/>
                <w:b w:val="0"/>
                <w:bCs w:val="0"/>
                <w:color w:val="auto"/>
                <w:sz w:val="22"/>
                <w:szCs w:val="22"/>
                <w:highlight w:val="none"/>
                <w:lang w:val="en-US" w:eastAsia="zh-CN"/>
              </w:rPr>
              <w:t>投标</w:t>
            </w:r>
            <w:r>
              <w:rPr>
                <w:rFonts w:hint="eastAsia" w:ascii="宋体" w:hAnsi="宋体" w:eastAsia="宋体" w:cs="宋体"/>
                <w:b w:val="0"/>
                <w:bCs w:val="0"/>
                <w:color w:val="auto"/>
                <w:sz w:val="22"/>
                <w:szCs w:val="22"/>
                <w:highlight w:val="none"/>
              </w:rPr>
              <w:t>报价政策性扣除，</w:t>
            </w:r>
            <w:r>
              <w:rPr>
                <w:rFonts w:hint="eastAsia" w:ascii="宋体" w:hAnsi="宋体" w:eastAsia="宋体" w:cs="宋体"/>
                <w:color w:val="auto"/>
                <w:sz w:val="22"/>
                <w:szCs w:val="22"/>
                <w:highlight w:val="none"/>
              </w:rPr>
              <w:t>评</w:t>
            </w:r>
            <w:r>
              <w:rPr>
                <w:rFonts w:hint="eastAsia" w:ascii="宋体" w:hAnsi="宋体" w:eastAsia="宋体" w:cs="宋体"/>
                <w:color w:val="auto"/>
                <w:sz w:val="22"/>
                <w:szCs w:val="22"/>
                <w:highlight w:val="none"/>
                <w:lang w:eastAsia="zh-CN"/>
              </w:rPr>
              <w:t>审报</w:t>
            </w:r>
            <w:r>
              <w:rPr>
                <w:rFonts w:hint="eastAsia" w:ascii="宋体" w:hAnsi="宋体" w:eastAsia="宋体" w:cs="宋体"/>
                <w:color w:val="auto"/>
                <w:sz w:val="22"/>
                <w:szCs w:val="22"/>
                <w:highlight w:val="none"/>
              </w:rPr>
              <w:t>价为供应商的最后报价，最终</w:t>
            </w:r>
            <w:r>
              <w:rPr>
                <w:rFonts w:hint="eastAsia" w:ascii="宋体" w:hAnsi="宋体" w:cs="宋体"/>
                <w:color w:val="auto"/>
                <w:sz w:val="22"/>
                <w:szCs w:val="22"/>
                <w:highlight w:val="none"/>
                <w:lang w:val="en-US" w:eastAsia="zh-CN"/>
              </w:rPr>
              <w:t>中标</w:t>
            </w:r>
            <w:r>
              <w:rPr>
                <w:rFonts w:hint="eastAsia" w:ascii="宋体" w:hAnsi="宋体" w:eastAsia="宋体" w:cs="宋体"/>
                <w:color w:val="auto"/>
                <w:sz w:val="22"/>
                <w:szCs w:val="22"/>
                <w:highlight w:val="none"/>
              </w:rPr>
              <w:t>供应商的</w:t>
            </w:r>
            <w:r>
              <w:rPr>
                <w:rFonts w:hint="eastAsia" w:ascii="宋体" w:hAnsi="宋体" w:cs="宋体"/>
                <w:color w:val="auto"/>
                <w:sz w:val="22"/>
                <w:szCs w:val="22"/>
                <w:highlight w:val="none"/>
                <w:lang w:val="en-US" w:eastAsia="zh-CN"/>
              </w:rPr>
              <w:t>中标</w:t>
            </w:r>
            <w:r>
              <w:rPr>
                <w:rFonts w:hint="eastAsia" w:ascii="宋体" w:hAnsi="宋体" w:eastAsia="宋体" w:cs="宋体"/>
                <w:color w:val="auto"/>
                <w:sz w:val="22"/>
                <w:szCs w:val="22"/>
                <w:highlight w:val="none"/>
              </w:rPr>
              <w:t>金额等于最后报价（如有修正，以确认修正后的最后报价为准）。即：评审报价＝最后报价。</w:t>
            </w:r>
          </w:p>
          <w:p w14:paraId="689E2B44">
            <w:pPr>
              <w:pStyle w:val="12"/>
              <w:spacing w:line="400" w:lineRule="exact"/>
              <w:ind w:firstLine="440" w:firstLineChars="200"/>
              <w:rPr>
                <w:rFonts w:hint="eastAsia" w:ascii="宋体" w:hAnsi="宋体" w:eastAsia="宋体" w:cs="宋体"/>
                <w:bCs/>
                <w:color w:val="auto"/>
                <w:kern w:val="2"/>
                <w:sz w:val="22"/>
                <w:szCs w:val="22"/>
                <w:highlight w:val="none"/>
              </w:rPr>
            </w:pPr>
            <w:r>
              <w:rPr>
                <w:rFonts w:hint="eastAsia" w:ascii="宋体" w:hAnsi="宋体" w:eastAsia="宋体" w:cs="宋体"/>
                <w:color w:val="auto"/>
                <w:sz w:val="22"/>
                <w:szCs w:val="22"/>
                <w:highlight w:val="none"/>
                <w:lang w:val="en-US" w:eastAsia="zh-CN"/>
              </w:rPr>
              <w:t>2.</w:t>
            </w:r>
            <w:r>
              <w:rPr>
                <w:rFonts w:hint="eastAsia" w:ascii="宋体" w:hAnsi="宋体" w:eastAsia="宋体" w:cs="宋体"/>
                <w:b w:val="0"/>
                <w:bCs w:val="0"/>
                <w:color w:val="auto"/>
                <w:kern w:val="2"/>
                <w:sz w:val="22"/>
                <w:szCs w:val="22"/>
                <w:highlight w:val="none"/>
              </w:rPr>
              <w:t>以进入比较与评价环节的最低的</w:t>
            </w:r>
            <w:r>
              <w:rPr>
                <w:rFonts w:hint="eastAsia" w:ascii="宋体" w:hAnsi="宋体" w:eastAsia="宋体" w:cs="宋体"/>
                <w:color w:val="auto"/>
                <w:sz w:val="22"/>
                <w:szCs w:val="22"/>
                <w:highlight w:val="none"/>
              </w:rPr>
              <w:t>最后报价</w:t>
            </w:r>
            <w:r>
              <w:rPr>
                <w:rFonts w:hint="eastAsia" w:ascii="宋体" w:hAnsi="宋体" w:eastAsia="宋体" w:cs="宋体"/>
                <w:b w:val="0"/>
                <w:bCs w:val="0"/>
                <w:color w:val="auto"/>
                <w:kern w:val="2"/>
                <w:sz w:val="22"/>
                <w:szCs w:val="22"/>
                <w:highlight w:val="none"/>
              </w:rPr>
              <w:t>为基准价</w:t>
            </w:r>
            <w:r>
              <w:rPr>
                <w:rFonts w:hint="eastAsia" w:ascii="宋体" w:hAnsi="宋体" w:eastAsia="宋体" w:cs="宋体"/>
                <w:bCs/>
                <w:color w:val="auto"/>
                <w:kern w:val="2"/>
                <w:sz w:val="22"/>
                <w:szCs w:val="22"/>
                <w:highlight w:val="none"/>
              </w:rPr>
              <w:t xml:space="preserve">，基准价得分为 </w:t>
            </w:r>
            <w:r>
              <w:rPr>
                <w:rFonts w:hint="eastAsia" w:ascii="宋体" w:hAnsi="宋体" w:eastAsia="宋体" w:cs="宋体"/>
                <w:bCs/>
                <w:color w:val="auto"/>
                <w:kern w:val="2"/>
                <w:sz w:val="22"/>
                <w:szCs w:val="22"/>
                <w:highlight w:val="none"/>
                <w:u w:val="single"/>
              </w:rPr>
              <w:t xml:space="preserve"> 10分</w:t>
            </w:r>
            <w:r>
              <w:rPr>
                <w:rFonts w:hint="eastAsia" w:ascii="宋体" w:hAnsi="宋体" w:eastAsia="宋体" w:cs="宋体"/>
                <w:bCs/>
                <w:color w:val="auto"/>
                <w:kern w:val="2"/>
                <w:sz w:val="22"/>
                <w:szCs w:val="22"/>
                <w:highlight w:val="none"/>
              </w:rPr>
              <w:t>。</w:t>
            </w:r>
          </w:p>
          <w:p w14:paraId="06081A85">
            <w:pPr>
              <w:pStyle w:val="12"/>
              <w:spacing w:line="400" w:lineRule="exact"/>
              <w:ind w:firstLine="440" w:firstLineChars="200"/>
              <w:rPr>
                <w:rFonts w:hint="eastAsia" w:ascii="宋体" w:hAnsi="宋体" w:eastAsia="宋体" w:cs="宋体"/>
                <w:bCs/>
                <w:color w:val="auto"/>
                <w:kern w:val="2"/>
                <w:sz w:val="22"/>
                <w:szCs w:val="22"/>
                <w:highlight w:val="none"/>
              </w:rPr>
            </w:pPr>
            <w:r>
              <w:rPr>
                <w:rFonts w:hint="eastAsia" w:ascii="宋体" w:hAnsi="宋体" w:eastAsia="宋体" w:cs="宋体"/>
                <w:bCs/>
                <w:color w:val="auto"/>
                <w:kern w:val="2"/>
                <w:sz w:val="22"/>
                <w:szCs w:val="22"/>
                <w:highlight w:val="none"/>
                <w:lang w:val="en-US" w:eastAsia="zh-CN"/>
              </w:rPr>
              <w:t>3.</w:t>
            </w:r>
            <w:r>
              <w:rPr>
                <w:rFonts w:hint="eastAsia" w:ascii="宋体" w:hAnsi="宋体" w:eastAsia="宋体" w:cs="宋体"/>
                <w:bCs/>
                <w:color w:val="auto"/>
                <w:kern w:val="2"/>
                <w:sz w:val="22"/>
                <w:szCs w:val="22"/>
                <w:highlight w:val="none"/>
              </w:rPr>
              <w:t>价格分计算公式：</w:t>
            </w:r>
          </w:p>
          <w:p w14:paraId="2549792F">
            <w:pPr>
              <w:pStyle w:val="12"/>
              <w:spacing w:line="400" w:lineRule="exact"/>
              <w:ind w:firstLine="440" w:firstLineChars="200"/>
              <w:rPr>
                <w:rFonts w:hint="eastAsia" w:ascii="宋体" w:hAnsi="宋体" w:eastAsia="宋体" w:cs="宋体"/>
                <w:color w:val="auto"/>
                <w:sz w:val="22"/>
                <w:szCs w:val="22"/>
                <w:highlight w:val="none"/>
              </w:rPr>
            </w:pPr>
            <w:r>
              <w:rPr>
                <w:rFonts w:hint="eastAsia" w:ascii="宋体" w:hAnsi="宋体" w:eastAsia="宋体" w:cs="宋体"/>
                <w:bCs/>
                <w:color w:val="auto"/>
                <w:kern w:val="2"/>
                <w:sz w:val="22"/>
                <w:szCs w:val="22"/>
                <w:highlight w:val="none"/>
              </w:rPr>
              <w:t>报价得分=（基准价/最后报价）×</w:t>
            </w:r>
            <w:r>
              <w:rPr>
                <w:rFonts w:hint="eastAsia" w:ascii="宋体" w:hAnsi="宋体" w:eastAsia="宋体" w:cs="宋体"/>
                <w:bCs/>
                <w:color w:val="auto"/>
                <w:kern w:val="2"/>
                <w:sz w:val="22"/>
                <w:szCs w:val="22"/>
                <w:highlight w:val="none"/>
                <w:u w:val="single"/>
              </w:rPr>
              <w:t xml:space="preserve"> 10分</w:t>
            </w:r>
          </w:p>
        </w:tc>
        <w:tc>
          <w:tcPr>
            <w:tcW w:w="814" w:type="dxa"/>
            <w:noWrap w:val="0"/>
            <w:vAlign w:val="center"/>
          </w:tcPr>
          <w:p w14:paraId="738A73AF">
            <w:pPr>
              <w:pStyle w:val="12"/>
              <w:spacing w:line="400" w:lineRule="exact"/>
              <w:jc w:val="center"/>
              <w:rPr>
                <w:rFonts w:hint="eastAsia" w:ascii="宋体" w:hAnsi="宋体" w:eastAsia="宋体" w:cs="宋体"/>
                <w:bCs/>
                <w:color w:val="auto"/>
                <w:kern w:val="2"/>
                <w:sz w:val="22"/>
                <w:szCs w:val="22"/>
                <w:highlight w:val="none"/>
              </w:rPr>
            </w:pPr>
            <w:r>
              <w:rPr>
                <w:rFonts w:hint="eastAsia" w:ascii="宋体" w:hAnsi="宋体" w:eastAsia="宋体" w:cs="宋体"/>
                <w:bCs/>
                <w:color w:val="auto"/>
                <w:kern w:val="2"/>
                <w:sz w:val="22"/>
                <w:szCs w:val="22"/>
                <w:highlight w:val="none"/>
              </w:rPr>
              <w:t>10分</w:t>
            </w:r>
          </w:p>
        </w:tc>
      </w:tr>
      <w:tr w14:paraId="5129E3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jc w:val="center"/>
        </w:trPr>
        <w:tc>
          <w:tcPr>
            <w:tcW w:w="721" w:type="dxa"/>
            <w:noWrap w:val="0"/>
            <w:vAlign w:val="center"/>
          </w:tcPr>
          <w:p w14:paraId="6EA3F223">
            <w:pPr>
              <w:widowControl/>
              <w:spacing w:line="400" w:lineRule="exact"/>
              <w:jc w:val="center"/>
              <w:rPr>
                <w:rFonts w:hint="eastAsia" w:ascii="宋体" w:hAnsi="宋体" w:eastAsia="宋体" w:cs="宋体"/>
                <w:b/>
                <w:bCs/>
                <w:color w:val="auto"/>
                <w:kern w:val="0"/>
                <w:sz w:val="22"/>
                <w:szCs w:val="22"/>
                <w:highlight w:val="none"/>
              </w:rPr>
            </w:pPr>
            <w:r>
              <w:rPr>
                <w:rFonts w:hint="eastAsia" w:ascii="宋体" w:hAnsi="宋体" w:eastAsia="宋体" w:cs="宋体"/>
                <w:b/>
                <w:bCs/>
                <w:color w:val="auto"/>
                <w:kern w:val="0"/>
                <w:sz w:val="22"/>
                <w:szCs w:val="22"/>
                <w:highlight w:val="none"/>
              </w:rPr>
              <w:t>2</w:t>
            </w:r>
          </w:p>
        </w:tc>
        <w:tc>
          <w:tcPr>
            <w:tcW w:w="1327" w:type="dxa"/>
            <w:noWrap w:val="0"/>
            <w:vAlign w:val="center"/>
          </w:tcPr>
          <w:p w14:paraId="6ECFD3A4">
            <w:pPr>
              <w:widowControl/>
              <w:spacing w:line="400" w:lineRule="exact"/>
              <w:jc w:val="center"/>
              <w:rPr>
                <w:rFonts w:hint="eastAsia" w:ascii="宋体" w:hAnsi="宋体" w:eastAsia="宋体" w:cs="宋体"/>
                <w:b/>
                <w:bCs/>
                <w:color w:val="auto"/>
                <w:kern w:val="0"/>
                <w:sz w:val="22"/>
                <w:szCs w:val="22"/>
                <w:highlight w:val="none"/>
              </w:rPr>
            </w:pPr>
            <w:r>
              <w:rPr>
                <w:rFonts w:hint="eastAsia" w:ascii="宋体" w:hAnsi="宋体" w:eastAsia="宋体" w:cs="宋体"/>
                <w:b/>
                <w:bCs/>
                <w:color w:val="auto"/>
                <w:kern w:val="0"/>
                <w:sz w:val="22"/>
                <w:szCs w:val="22"/>
                <w:highlight w:val="none"/>
              </w:rPr>
              <w:t>技术分</w:t>
            </w:r>
          </w:p>
        </w:tc>
        <w:tc>
          <w:tcPr>
            <w:tcW w:w="6915" w:type="dxa"/>
            <w:noWrap w:val="0"/>
            <w:vAlign w:val="center"/>
          </w:tcPr>
          <w:p w14:paraId="3D9FC61E">
            <w:pPr>
              <w:widowControl/>
              <w:spacing w:line="400" w:lineRule="exact"/>
              <w:jc w:val="center"/>
              <w:rPr>
                <w:rFonts w:hint="eastAsia" w:ascii="宋体" w:hAnsi="宋体" w:eastAsia="宋体" w:cs="宋体"/>
                <w:b/>
                <w:bCs/>
                <w:color w:val="auto"/>
                <w:kern w:val="0"/>
                <w:sz w:val="22"/>
                <w:szCs w:val="22"/>
                <w:highlight w:val="none"/>
              </w:rPr>
            </w:pPr>
            <w:r>
              <w:rPr>
                <w:rFonts w:hint="eastAsia" w:ascii="宋体" w:hAnsi="宋体" w:eastAsia="宋体" w:cs="宋体"/>
                <w:b/>
                <w:bCs/>
                <w:color w:val="auto"/>
                <w:kern w:val="0"/>
                <w:sz w:val="22"/>
                <w:szCs w:val="22"/>
                <w:highlight w:val="none"/>
              </w:rPr>
              <w:t>评审因素</w:t>
            </w:r>
          </w:p>
        </w:tc>
        <w:tc>
          <w:tcPr>
            <w:tcW w:w="814" w:type="dxa"/>
            <w:noWrap w:val="0"/>
            <w:vAlign w:val="center"/>
          </w:tcPr>
          <w:p w14:paraId="21E6A533">
            <w:pPr>
              <w:widowControl/>
              <w:spacing w:line="400" w:lineRule="exact"/>
              <w:jc w:val="center"/>
              <w:rPr>
                <w:rFonts w:hint="eastAsia" w:ascii="宋体" w:hAnsi="宋体" w:eastAsia="宋体" w:cs="宋体"/>
                <w:b/>
                <w:bCs/>
                <w:color w:val="auto"/>
                <w:kern w:val="0"/>
                <w:sz w:val="22"/>
                <w:szCs w:val="22"/>
                <w:highlight w:val="none"/>
              </w:rPr>
            </w:pPr>
            <w:r>
              <w:rPr>
                <w:rFonts w:hint="eastAsia" w:ascii="宋体" w:hAnsi="宋体" w:cs="宋体"/>
                <w:b/>
                <w:bCs/>
                <w:color w:val="auto"/>
                <w:kern w:val="0"/>
                <w:sz w:val="22"/>
                <w:szCs w:val="22"/>
                <w:highlight w:val="none"/>
                <w:lang w:val="en-US" w:eastAsia="zh-CN"/>
              </w:rPr>
              <w:t>75</w:t>
            </w:r>
            <w:r>
              <w:rPr>
                <w:rFonts w:hint="eastAsia" w:ascii="宋体" w:hAnsi="宋体" w:eastAsia="宋体" w:cs="宋体"/>
                <w:b/>
                <w:bCs/>
                <w:color w:val="auto"/>
                <w:kern w:val="0"/>
                <w:sz w:val="22"/>
                <w:szCs w:val="22"/>
                <w:highlight w:val="none"/>
              </w:rPr>
              <w:t>分</w:t>
            </w:r>
          </w:p>
        </w:tc>
      </w:tr>
      <w:tr w14:paraId="329570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86" w:hRule="atLeast"/>
          <w:jc w:val="center"/>
        </w:trPr>
        <w:tc>
          <w:tcPr>
            <w:tcW w:w="721" w:type="dxa"/>
            <w:noWrap w:val="0"/>
            <w:vAlign w:val="center"/>
          </w:tcPr>
          <w:p w14:paraId="2D5B01A6">
            <w:pPr>
              <w:snapToGrid w:val="0"/>
              <w:spacing w:line="400" w:lineRule="exact"/>
              <w:jc w:val="left"/>
              <w:rPr>
                <w:rFonts w:hint="eastAsia" w:ascii="宋体" w:hAnsi="宋体" w:eastAsia="宋体" w:cs="宋体"/>
                <w:b w:val="0"/>
                <w:bCs w:val="0"/>
                <w:color w:val="auto"/>
                <w:sz w:val="22"/>
                <w:szCs w:val="22"/>
                <w:highlight w:val="none"/>
              </w:rPr>
            </w:pPr>
            <w:r>
              <w:rPr>
                <w:rFonts w:hint="eastAsia" w:ascii="宋体" w:hAnsi="宋体" w:eastAsia="宋体" w:cs="宋体"/>
                <w:b w:val="0"/>
                <w:bCs w:val="0"/>
                <w:color w:val="auto"/>
                <w:sz w:val="22"/>
                <w:szCs w:val="22"/>
                <w:highlight w:val="none"/>
              </w:rPr>
              <w:t>2.1</w:t>
            </w:r>
          </w:p>
        </w:tc>
        <w:tc>
          <w:tcPr>
            <w:tcW w:w="1327" w:type="dxa"/>
            <w:shd w:val="clear" w:color="auto" w:fill="auto"/>
            <w:noWrap w:val="0"/>
            <w:vAlign w:val="center"/>
          </w:tcPr>
          <w:p w14:paraId="6E0465D6">
            <w:pPr>
              <w:widowControl/>
              <w:spacing w:line="400" w:lineRule="exact"/>
              <w:jc w:val="center"/>
              <w:rPr>
                <w:rFonts w:hint="eastAsia" w:ascii="宋体" w:hAnsi="宋体" w:eastAsia="宋体" w:cs="宋体"/>
                <w:color w:val="auto"/>
                <w:kern w:val="0"/>
                <w:sz w:val="22"/>
                <w:szCs w:val="22"/>
                <w:highlight w:val="none"/>
                <w:lang w:val="en-US" w:eastAsia="zh-CN" w:bidi="ar-SA"/>
              </w:rPr>
            </w:pPr>
            <w:r>
              <w:rPr>
                <w:rStyle w:val="37"/>
                <w:rFonts w:hint="eastAsia"/>
                <w:b/>
                <w:bCs/>
                <w:color w:val="auto"/>
                <w:kern w:val="10"/>
                <w:sz w:val="22"/>
                <w:szCs w:val="22"/>
                <w:highlight w:val="none"/>
                <w:lang w:val="en-US" w:eastAsia="zh-CN"/>
              </w:rPr>
              <w:t>实施</w:t>
            </w:r>
            <w:r>
              <w:rPr>
                <w:rStyle w:val="37"/>
                <w:rFonts w:hint="eastAsia"/>
                <w:b/>
                <w:bCs/>
                <w:color w:val="auto"/>
                <w:kern w:val="10"/>
                <w:sz w:val="22"/>
                <w:szCs w:val="22"/>
                <w:highlight w:val="none"/>
              </w:rPr>
              <w:t>方案分</w:t>
            </w:r>
          </w:p>
        </w:tc>
        <w:tc>
          <w:tcPr>
            <w:tcW w:w="6915" w:type="dxa"/>
            <w:shd w:val="clear" w:color="auto" w:fill="auto"/>
            <w:noWrap w:val="0"/>
            <w:vAlign w:val="center"/>
          </w:tcPr>
          <w:p w14:paraId="28FF993D">
            <w:pPr>
              <w:widowControl/>
              <w:spacing w:line="360" w:lineRule="auto"/>
              <w:ind w:firstLine="440" w:firstLineChars="200"/>
              <w:jc w:val="left"/>
              <w:rPr>
                <w:rFonts w:hint="default" w:ascii="宋体" w:hAnsi="宋体" w:eastAsia="宋体" w:cs="宋体"/>
                <w:color w:val="auto"/>
                <w:kern w:val="0"/>
                <w:sz w:val="22"/>
                <w:szCs w:val="22"/>
                <w:highlight w:val="none"/>
                <w:lang w:val="en-US" w:eastAsia="zh-CN" w:bidi="ar-SA"/>
              </w:rPr>
            </w:pPr>
            <w:r>
              <w:rPr>
                <w:rFonts w:hint="eastAsia" w:ascii="宋体" w:hAnsi="宋体" w:eastAsia="宋体" w:cs="宋体"/>
                <w:color w:val="auto"/>
                <w:sz w:val="22"/>
                <w:szCs w:val="22"/>
                <w:highlight w:val="none"/>
              </w:rPr>
              <w:t>由</w:t>
            </w:r>
            <w:r>
              <w:rPr>
                <w:rFonts w:hint="eastAsia" w:ascii="宋体" w:hAnsi="宋体" w:cs="宋体"/>
                <w:color w:val="auto"/>
                <w:sz w:val="22"/>
                <w:szCs w:val="22"/>
                <w:highlight w:val="none"/>
                <w:lang w:eastAsia="zh-CN"/>
              </w:rPr>
              <w:t>评标委员会</w:t>
            </w:r>
            <w:r>
              <w:rPr>
                <w:rFonts w:hint="eastAsia" w:ascii="宋体" w:hAnsi="宋体" w:eastAsia="宋体" w:cs="宋体"/>
                <w:color w:val="auto"/>
                <w:sz w:val="22"/>
                <w:szCs w:val="22"/>
                <w:highlight w:val="none"/>
              </w:rPr>
              <w:t>根据</w:t>
            </w:r>
            <w:r>
              <w:rPr>
                <w:rFonts w:hint="eastAsia" w:ascii="宋体" w:hAnsi="宋体" w:cs="宋体"/>
                <w:color w:val="auto"/>
                <w:sz w:val="22"/>
                <w:szCs w:val="22"/>
                <w:highlight w:val="none"/>
                <w:lang w:eastAsia="zh-CN"/>
              </w:rPr>
              <w:t>投标人</w:t>
            </w:r>
            <w:r>
              <w:rPr>
                <w:rFonts w:hint="eastAsia" w:ascii="宋体" w:hAnsi="宋体" w:eastAsia="宋体" w:cs="宋体"/>
                <w:color w:val="auto"/>
                <w:sz w:val="22"/>
                <w:szCs w:val="22"/>
                <w:highlight w:val="none"/>
              </w:rPr>
              <w:t>所提供的</w:t>
            </w:r>
            <w:r>
              <w:rPr>
                <w:rFonts w:hint="eastAsia" w:ascii="宋体" w:hAnsi="宋体" w:eastAsia="宋体" w:cs="宋体"/>
                <w:color w:val="auto"/>
                <w:sz w:val="22"/>
                <w:szCs w:val="22"/>
                <w:highlight w:val="none"/>
                <w:lang w:val="en-US" w:eastAsia="zh-CN"/>
              </w:rPr>
              <w:t>实施方案</w:t>
            </w:r>
            <w:r>
              <w:rPr>
                <w:rFonts w:hint="eastAsia" w:ascii="宋体" w:hAnsi="宋体" w:eastAsia="宋体" w:cs="宋体"/>
                <w:color w:val="auto"/>
                <w:sz w:val="22"/>
                <w:szCs w:val="22"/>
                <w:highlight w:val="none"/>
              </w:rPr>
              <w:t>进行评审。评审标准如下：</w:t>
            </w:r>
          </w:p>
          <w:p w14:paraId="0C004EE3">
            <w:pPr>
              <w:widowControl/>
              <w:spacing w:line="360" w:lineRule="auto"/>
              <w:ind w:firstLine="440" w:firstLineChars="200"/>
              <w:jc w:val="left"/>
              <w:rPr>
                <w:rFonts w:hint="default" w:ascii="宋体" w:hAnsi="宋体" w:eastAsia="宋体" w:cs="宋体"/>
                <w:color w:val="auto"/>
                <w:kern w:val="0"/>
                <w:sz w:val="22"/>
                <w:szCs w:val="22"/>
                <w:highlight w:val="none"/>
                <w:lang w:val="en-US" w:eastAsia="zh-CN" w:bidi="ar-SA"/>
              </w:rPr>
            </w:pPr>
            <w:r>
              <w:rPr>
                <w:rFonts w:hint="default" w:ascii="宋体" w:hAnsi="宋体" w:eastAsia="宋体" w:cs="宋体"/>
                <w:color w:val="auto"/>
                <w:kern w:val="0"/>
                <w:sz w:val="22"/>
                <w:szCs w:val="22"/>
                <w:highlight w:val="none"/>
                <w:lang w:val="en-US" w:eastAsia="zh-CN" w:bidi="ar-SA"/>
              </w:rPr>
              <w:t>一档（4分）：提供了项目实施方案，方案基本满足采购文件要求。</w:t>
            </w:r>
          </w:p>
          <w:p w14:paraId="4ABFB51C">
            <w:pPr>
              <w:widowControl/>
              <w:spacing w:line="360" w:lineRule="auto"/>
              <w:ind w:firstLine="440" w:firstLineChars="200"/>
              <w:jc w:val="left"/>
              <w:rPr>
                <w:rFonts w:hint="default" w:ascii="宋体" w:hAnsi="宋体" w:eastAsia="宋体" w:cs="宋体"/>
                <w:color w:val="auto"/>
                <w:kern w:val="0"/>
                <w:sz w:val="22"/>
                <w:szCs w:val="22"/>
                <w:highlight w:val="none"/>
                <w:lang w:val="en-US" w:eastAsia="zh-CN" w:bidi="ar-SA"/>
              </w:rPr>
            </w:pPr>
            <w:r>
              <w:rPr>
                <w:rFonts w:hint="default" w:ascii="宋体" w:hAnsi="宋体" w:eastAsia="宋体" w:cs="宋体"/>
                <w:color w:val="auto"/>
                <w:kern w:val="0"/>
                <w:sz w:val="22"/>
                <w:szCs w:val="22"/>
                <w:highlight w:val="none"/>
                <w:lang w:val="en-US" w:eastAsia="zh-CN" w:bidi="ar-SA"/>
              </w:rPr>
              <w:t>二档（8分）：提供了项目实施方案，方案可行，具有一定的先进性，项目实施有计划，分工和进度分配合理。</w:t>
            </w:r>
          </w:p>
          <w:p w14:paraId="1ADE6D40">
            <w:pPr>
              <w:widowControl/>
              <w:spacing w:line="360" w:lineRule="auto"/>
              <w:ind w:firstLine="440" w:firstLineChars="200"/>
              <w:jc w:val="left"/>
              <w:rPr>
                <w:rFonts w:hint="default" w:ascii="宋体" w:hAnsi="宋体" w:eastAsia="宋体" w:cs="宋体"/>
                <w:color w:val="auto"/>
                <w:kern w:val="0"/>
                <w:sz w:val="22"/>
                <w:szCs w:val="22"/>
                <w:highlight w:val="none"/>
                <w:lang w:val="en-US" w:eastAsia="zh-CN" w:bidi="ar-SA"/>
              </w:rPr>
            </w:pPr>
            <w:r>
              <w:rPr>
                <w:rFonts w:hint="default" w:ascii="宋体" w:hAnsi="宋体" w:eastAsia="宋体" w:cs="宋体"/>
                <w:color w:val="auto"/>
                <w:kern w:val="0"/>
                <w:sz w:val="22"/>
                <w:szCs w:val="22"/>
                <w:highlight w:val="none"/>
                <w:lang w:val="en-US" w:eastAsia="zh-CN" w:bidi="ar-SA"/>
              </w:rPr>
              <w:t>三档（12分）：提供了项目实施方案，方案可行，具有一定的先进性，项目实施有计划，分工和进度分配合理，专家配置合理，满足项目服务需求。</w:t>
            </w:r>
          </w:p>
          <w:p w14:paraId="3F217A44">
            <w:pPr>
              <w:widowControl/>
              <w:spacing w:line="360" w:lineRule="auto"/>
              <w:ind w:firstLine="440" w:firstLineChars="200"/>
              <w:jc w:val="left"/>
              <w:rPr>
                <w:rFonts w:hint="default" w:ascii="宋体" w:hAnsi="宋体" w:eastAsia="宋体" w:cs="宋体"/>
                <w:color w:val="auto"/>
                <w:kern w:val="0"/>
                <w:sz w:val="22"/>
                <w:szCs w:val="22"/>
                <w:highlight w:val="none"/>
                <w:lang w:val="en-US" w:eastAsia="zh-CN" w:bidi="ar-SA"/>
              </w:rPr>
            </w:pPr>
            <w:r>
              <w:rPr>
                <w:rFonts w:hint="default" w:ascii="宋体" w:hAnsi="宋体" w:eastAsia="宋体" w:cs="宋体"/>
                <w:color w:val="auto"/>
                <w:kern w:val="0"/>
                <w:sz w:val="22"/>
                <w:szCs w:val="22"/>
                <w:highlight w:val="none"/>
                <w:lang w:val="en-US" w:eastAsia="zh-CN" w:bidi="ar-SA"/>
              </w:rPr>
              <w:t>四档（1</w:t>
            </w:r>
            <w:r>
              <w:rPr>
                <w:rFonts w:hint="eastAsia" w:ascii="宋体" w:hAnsi="宋体" w:cs="宋体"/>
                <w:color w:val="auto"/>
                <w:kern w:val="0"/>
                <w:sz w:val="22"/>
                <w:szCs w:val="22"/>
                <w:highlight w:val="none"/>
                <w:lang w:val="en-US" w:eastAsia="zh-CN" w:bidi="ar-SA"/>
              </w:rPr>
              <w:t>5</w:t>
            </w:r>
            <w:r>
              <w:rPr>
                <w:rFonts w:hint="default" w:ascii="宋体" w:hAnsi="宋体" w:eastAsia="宋体" w:cs="宋体"/>
                <w:color w:val="auto"/>
                <w:kern w:val="0"/>
                <w:sz w:val="22"/>
                <w:szCs w:val="22"/>
                <w:highlight w:val="none"/>
                <w:lang w:val="en-US" w:eastAsia="zh-CN" w:bidi="ar-SA"/>
              </w:rPr>
              <w:t>分）：提供了项目实施方案，方案科学可行，具有一定的先进性，对专家配置、质量保障与成果承诺等方面有全面详细的描述；项目实施有详细完善的计划，具体时间安排表及个性化指导方案，人员配备充足、专业性强，任务分配和进度安排科学合理，描述具体详细，完全满足采购文件要求。</w:t>
            </w:r>
          </w:p>
          <w:p w14:paraId="6A817A0D">
            <w:pPr>
              <w:widowControl/>
              <w:spacing w:line="360" w:lineRule="auto"/>
              <w:ind w:firstLine="440" w:firstLineChars="200"/>
              <w:jc w:val="left"/>
              <w:rPr>
                <w:rFonts w:hint="default" w:ascii="宋体" w:hAnsi="宋体" w:eastAsia="宋体" w:cs="宋体"/>
                <w:color w:val="auto"/>
                <w:kern w:val="0"/>
                <w:sz w:val="22"/>
                <w:szCs w:val="22"/>
                <w:highlight w:val="none"/>
                <w:lang w:val="en-US" w:eastAsia="zh-CN" w:bidi="ar-SA"/>
              </w:rPr>
            </w:pPr>
            <w:r>
              <w:rPr>
                <w:rFonts w:hint="default" w:ascii="宋体" w:hAnsi="宋体" w:eastAsia="宋体" w:cs="宋体"/>
                <w:color w:val="auto"/>
                <w:kern w:val="0"/>
                <w:sz w:val="22"/>
                <w:szCs w:val="22"/>
                <w:highlight w:val="none"/>
                <w:lang w:val="en-US" w:eastAsia="zh-CN" w:bidi="ar-SA"/>
              </w:rPr>
              <w:t>注：未提供项目实施方案或方案未达到一档标准要求的，得0分。</w:t>
            </w:r>
          </w:p>
        </w:tc>
        <w:tc>
          <w:tcPr>
            <w:tcW w:w="814" w:type="dxa"/>
            <w:shd w:val="clear" w:color="auto" w:fill="auto"/>
            <w:noWrap w:val="0"/>
            <w:vAlign w:val="center"/>
          </w:tcPr>
          <w:p w14:paraId="7F95CE4B">
            <w:pPr>
              <w:snapToGrid w:val="0"/>
              <w:spacing w:line="400" w:lineRule="exact"/>
              <w:jc w:val="left"/>
              <w:rPr>
                <w:rFonts w:hint="default" w:ascii="宋体" w:hAnsi="宋体" w:eastAsia="宋体" w:cs="宋体"/>
                <w:b w:val="0"/>
                <w:bCs w:val="0"/>
                <w:color w:val="auto"/>
                <w:kern w:val="2"/>
                <w:sz w:val="22"/>
                <w:szCs w:val="22"/>
                <w:highlight w:val="none"/>
                <w:lang w:val="en-US" w:eastAsia="zh-CN" w:bidi="ar-SA"/>
              </w:rPr>
            </w:pPr>
            <w:r>
              <w:rPr>
                <w:rFonts w:hint="eastAsia" w:ascii="宋体" w:hAnsi="宋体" w:cs="宋体"/>
                <w:b w:val="0"/>
                <w:bCs w:val="0"/>
                <w:color w:val="auto"/>
                <w:sz w:val="22"/>
                <w:szCs w:val="22"/>
                <w:highlight w:val="none"/>
                <w:lang w:val="en-US" w:eastAsia="zh-CN"/>
              </w:rPr>
              <w:t xml:space="preserve"> 15分</w:t>
            </w:r>
          </w:p>
        </w:tc>
      </w:tr>
      <w:tr w14:paraId="419BD2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9" w:hRule="atLeast"/>
          <w:jc w:val="center"/>
        </w:trPr>
        <w:tc>
          <w:tcPr>
            <w:tcW w:w="721" w:type="dxa"/>
            <w:noWrap w:val="0"/>
            <w:vAlign w:val="center"/>
          </w:tcPr>
          <w:p w14:paraId="15CB6768">
            <w:pPr>
              <w:snapToGrid w:val="0"/>
              <w:spacing w:line="400" w:lineRule="exact"/>
              <w:jc w:val="left"/>
              <w:rPr>
                <w:rFonts w:hint="eastAsia" w:ascii="宋体" w:hAnsi="宋体" w:eastAsia="宋体" w:cs="宋体"/>
                <w:b w:val="0"/>
                <w:bCs w:val="0"/>
                <w:color w:val="auto"/>
                <w:sz w:val="22"/>
                <w:szCs w:val="22"/>
                <w:highlight w:val="none"/>
              </w:rPr>
            </w:pPr>
            <w:r>
              <w:rPr>
                <w:rFonts w:hint="eastAsia" w:ascii="宋体" w:hAnsi="宋体" w:eastAsia="宋体" w:cs="宋体"/>
                <w:b w:val="0"/>
                <w:bCs w:val="0"/>
                <w:color w:val="auto"/>
                <w:sz w:val="22"/>
                <w:szCs w:val="22"/>
                <w:highlight w:val="none"/>
              </w:rPr>
              <w:t>2.2</w:t>
            </w:r>
          </w:p>
        </w:tc>
        <w:tc>
          <w:tcPr>
            <w:tcW w:w="1327" w:type="dxa"/>
            <w:shd w:val="clear" w:color="auto" w:fill="auto"/>
            <w:noWrap w:val="0"/>
            <w:vAlign w:val="center"/>
          </w:tcPr>
          <w:p w14:paraId="6D77252E">
            <w:pPr>
              <w:widowControl/>
              <w:spacing w:line="400" w:lineRule="exact"/>
              <w:jc w:val="center"/>
              <w:rPr>
                <w:rFonts w:hint="eastAsia" w:ascii="宋体" w:hAnsi="宋体" w:eastAsia="宋体" w:cs="宋体"/>
                <w:color w:val="auto"/>
                <w:kern w:val="0"/>
                <w:sz w:val="22"/>
                <w:szCs w:val="22"/>
                <w:highlight w:val="none"/>
                <w:lang w:val="en-US" w:eastAsia="zh-CN" w:bidi="ar-SA"/>
              </w:rPr>
            </w:pPr>
            <w:r>
              <w:rPr>
                <w:rStyle w:val="37"/>
                <w:rFonts w:hint="eastAsia" w:ascii="宋体" w:hAnsi="宋体" w:eastAsia="宋体" w:cs="宋体"/>
                <w:b/>
                <w:bCs/>
                <w:color w:val="auto"/>
                <w:kern w:val="10"/>
                <w:sz w:val="22"/>
                <w:szCs w:val="22"/>
                <w:highlight w:val="none"/>
              </w:rPr>
              <w:t>培训组织管理分</w:t>
            </w:r>
            <w:r>
              <w:rPr>
                <w:rFonts w:hint="eastAsia" w:ascii="宋体" w:hAnsi="宋体" w:cs="宋体"/>
                <w:color w:val="auto"/>
                <w:kern w:val="0"/>
                <w:sz w:val="22"/>
                <w:szCs w:val="22"/>
                <w:highlight w:val="none"/>
                <w:lang w:val="en-US" w:eastAsia="zh-CN"/>
              </w:rPr>
              <w:t xml:space="preserve"> </w:t>
            </w:r>
          </w:p>
        </w:tc>
        <w:tc>
          <w:tcPr>
            <w:tcW w:w="6915" w:type="dxa"/>
            <w:shd w:val="clear" w:color="auto" w:fill="auto"/>
            <w:noWrap w:val="0"/>
            <w:vAlign w:val="center"/>
          </w:tcPr>
          <w:p w14:paraId="0FAD8737">
            <w:pPr>
              <w:pStyle w:val="8"/>
              <w:keepNext w:val="0"/>
              <w:keepLines w:val="0"/>
              <w:pageBreakBefore w:val="0"/>
              <w:kinsoku/>
              <w:wordWrap/>
              <w:overflowPunct/>
              <w:topLinePunct w:val="0"/>
              <w:autoSpaceDE/>
              <w:autoSpaceDN/>
              <w:bidi w:val="0"/>
              <w:adjustRightInd/>
              <w:spacing w:line="380" w:lineRule="exact"/>
              <w:ind w:firstLine="440" w:firstLineChars="200"/>
              <w:textAlignment w:val="auto"/>
              <w:rPr>
                <w:rFonts w:hint="eastAsia" w:ascii="宋体" w:hAnsi="宋体" w:eastAsia="宋体" w:cs="宋体"/>
                <w:color w:val="auto"/>
                <w:sz w:val="22"/>
                <w:szCs w:val="22"/>
                <w:highlight w:val="none"/>
              </w:rPr>
            </w:pPr>
            <w:r>
              <w:rPr>
                <w:rFonts w:hint="eastAsia" w:ascii="宋体" w:hAnsi="宋体" w:cs="宋体"/>
                <w:bCs/>
                <w:color w:val="auto"/>
                <w:sz w:val="22"/>
                <w:szCs w:val="22"/>
                <w:highlight w:val="none"/>
                <w:lang w:val="en-US" w:eastAsia="zh-CN"/>
              </w:rPr>
              <w:t xml:space="preserve"> </w:t>
            </w:r>
            <w:r>
              <w:rPr>
                <w:rFonts w:hint="eastAsia" w:ascii="宋体" w:hAnsi="宋体" w:eastAsia="宋体" w:cs="宋体"/>
                <w:color w:val="auto"/>
                <w:sz w:val="22"/>
                <w:szCs w:val="22"/>
                <w:highlight w:val="none"/>
              </w:rPr>
              <w:t>由</w:t>
            </w:r>
            <w:r>
              <w:rPr>
                <w:rFonts w:hint="eastAsia" w:ascii="宋体" w:hAnsi="宋体" w:cs="宋体"/>
                <w:color w:val="auto"/>
                <w:sz w:val="22"/>
                <w:szCs w:val="22"/>
                <w:highlight w:val="none"/>
                <w:lang w:eastAsia="zh-CN"/>
              </w:rPr>
              <w:t>评标委员会</w:t>
            </w:r>
            <w:r>
              <w:rPr>
                <w:rFonts w:hint="eastAsia" w:ascii="宋体" w:hAnsi="宋体" w:eastAsia="宋体" w:cs="宋体"/>
                <w:color w:val="auto"/>
                <w:sz w:val="22"/>
                <w:szCs w:val="22"/>
                <w:highlight w:val="none"/>
              </w:rPr>
              <w:t>根据</w:t>
            </w:r>
            <w:r>
              <w:rPr>
                <w:rFonts w:hint="eastAsia" w:ascii="宋体" w:hAnsi="宋体" w:cs="宋体"/>
                <w:color w:val="auto"/>
                <w:sz w:val="22"/>
                <w:szCs w:val="22"/>
                <w:highlight w:val="none"/>
                <w:lang w:eastAsia="zh-CN"/>
              </w:rPr>
              <w:t>投标人</w:t>
            </w:r>
            <w:r>
              <w:rPr>
                <w:rFonts w:hint="eastAsia" w:ascii="宋体" w:hAnsi="宋体" w:eastAsia="宋体" w:cs="宋体"/>
                <w:color w:val="auto"/>
                <w:sz w:val="22"/>
                <w:szCs w:val="22"/>
                <w:highlight w:val="none"/>
              </w:rPr>
              <w:t>所提供的培训组织管理体系进行评审。评审标准如下：</w:t>
            </w:r>
          </w:p>
          <w:p w14:paraId="22E446C8">
            <w:pPr>
              <w:pStyle w:val="8"/>
              <w:keepNext w:val="0"/>
              <w:keepLines w:val="0"/>
              <w:pageBreakBefore w:val="0"/>
              <w:kinsoku/>
              <w:wordWrap/>
              <w:overflowPunct/>
              <w:topLinePunct w:val="0"/>
              <w:autoSpaceDE/>
              <w:autoSpaceDN/>
              <w:bidi w:val="0"/>
              <w:adjustRightInd/>
              <w:spacing w:line="380" w:lineRule="exact"/>
              <w:ind w:firstLine="440" w:firstLineChars="200"/>
              <w:textAlignment w:val="auto"/>
              <w:rPr>
                <w:rFonts w:hint="eastAsia" w:ascii="宋体" w:hAnsi="宋体" w:eastAsia="宋体" w:cs="宋体"/>
                <w:color w:val="auto"/>
                <w:sz w:val="22"/>
                <w:szCs w:val="22"/>
                <w:highlight w:val="none"/>
                <w:lang w:eastAsia="zh-CN"/>
              </w:rPr>
            </w:pPr>
            <w:r>
              <w:rPr>
                <w:rFonts w:hint="eastAsia" w:ascii="宋体" w:hAnsi="宋体" w:cs="宋体"/>
                <w:color w:val="auto"/>
                <w:sz w:val="22"/>
                <w:szCs w:val="22"/>
                <w:highlight w:val="none"/>
                <w:lang w:val="en-US" w:eastAsia="zh-CN"/>
              </w:rPr>
              <w:t>一档</w:t>
            </w:r>
            <w:r>
              <w:rPr>
                <w:rFonts w:hint="eastAsia" w:ascii="宋体" w:hAnsi="宋体" w:eastAsia="宋体" w:cs="宋体"/>
                <w:color w:val="auto"/>
                <w:sz w:val="22"/>
                <w:szCs w:val="22"/>
                <w:highlight w:val="none"/>
                <w:lang w:eastAsia="zh-CN"/>
              </w:rPr>
              <w:t>（</w:t>
            </w:r>
            <w:r>
              <w:rPr>
                <w:rFonts w:hint="eastAsia" w:ascii="宋体" w:hAnsi="宋体" w:cs="宋体"/>
                <w:color w:val="auto"/>
                <w:sz w:val="22"/>
                <w:szCs w:val="22"/>
                <w:highlight w:val="none"/>
                <w:lang w:val="en-US" w:eastAsia="zh-CN"/>
              </w:rPr>
              <w:t>5</w:t>
            </w:r>
            <w:r>
              <w:rPr>
                <w:rFonts w:hint="eastAsia" w:ascii="宋体" w:hAnsi="宋体" w:eastAsia="宋体" w:cs="宋体"/>
                <w:color w:val="auto"/>
                <w:sz w:val="22"/>
                <w:szCs w:val="22"/>
                <w:highlight w:val="none"/>
                <w:lang w:val="en-US" w:eastAsia="zh-CN"/>
              </w:rPr>
              <w:t>分</w:t>
            </w:r>
            <w:r>
              <w:rPr>
                <w:rFonts w:hint="eastAsia" w:ascii="宋体" w:hAnsi="宋体" w:eastAsia="宋体" w:cs="宋体"/>
                <w:color w:val="auto"/>
                <w:sz w:val="22"/>
                <w:szCs w:val="22"/>
                <w:highlight w:val="none"/>
                <w:lang w:eastAsia="zh-CN"/>
              </w:rPr>
              <w:t>）</w:t>
            </w:r>
            <w:r>
              <w:rPr>
                <w:rFonts w:hint="eastAsia" w:ascii="宋体" w:hAnsi="宋体" w:eastAsia="宋体" w:cs="宋体"/>
                <w:color w:val="auto"/>
                <w:sz w:val="22"/>
                <w:szCs w:val="22"/>
                <w:highlight w:val="none"/>
              </w:rPr>
              <w:t>：培训组织不清晰，职责分工不合理，没有相应的培训管理制度</w:t>
            </w:r>
            <w:r>
              <w:rPr>
                <w:rFonts w:hint="eastAsia" w:ascii="宋体" w:hAnsi="宋体" w:eastAsia="宋体" w:cs="宋体"/>
                <w:color w:val="auto"/>
                <w:sz w:val="22"/>
                <w:szCs w:val="22"/>
                <w:highlight w:val="none"/>
                <w:lang w:eastAsia="zh-CN"/>
              </w:rPr>
              <w:t>的</w:t>
            </w:r>
            <w:r>
              <w:rPr>
                <w:rFonts w:hint="eastAsia" w:ascii="宋体" w:hAnsi="宋体" w:cs="宋体"/>
                <w:color w:val="auto"/>
                <w:sz w:val="22"/>
                <w:szCs w:val="22"/>
                <w:highlight w:val="none"/>
                <w:lang w:eastAsia="zh-CN"/>
              </w:rPr>
              <w:t>。</w:t>
            </w:r>
          </w:p>
          <w:p w14:paraId="2AE38417">
            <w:pPr>
              <w:pStyle w:val="8"/>
              <w:keepNext w:val="0"/>
              <w:keepLines w:val="0"/>
              <w:pageBreakBefore w:val="0"/>
              <w:kinsoku/>
              <w:wordWrap/>
              <w:overflowPunct/>
              <w:topLinePunct w:val="0"/>
              <w:autoSpaceDE/>
              <w:autoSpaceDN/>
              <w:bidi w:val="0"/>
              <w:adjustRightInd/>
              <w:spacing w:line="380" w:lineRule="exact"/>
              <w:ind w:firstLine="440" w:firstLineChars="200"/>
              <w:textAlignment w:val="auto"/>
              <w:rPr>
                <w:rFonts w:hint="eastAsia" w:ascii="宋体" w:hAnsi="宋体" w:eastAsia="宋体" w:cs="宋体"/>
                <w:color w:val="auto"/>
                <w:sz w:val="22"/>
                <w:szCs w:val="22"/>
                <w:highlight w:val="none"/>
                <w:lang w:eastAsia="zh-CN"/>
              </w:rPr>
            </w:pPr>
            <w:r>
              <w:rPr>
                <w:rFonts w:hint="eastAsia" w:ascii="宋体" w:hAnsi="宋体" w:cs="宋体"/>
                <w:color w:val="auto"/>
                <w:sz w:val="22"/>
                <w:szCs w:val="22"/>
                <w:highlight w:val="none"/>
                <w:lang w:val="en-US" w:eastAsia="zh-CN"/>
              </w:rPr>
              <w:t>二档</w:t>
            </w:r>
            <w:r>
              <w:rPr>
                <w:rFonts w:hint="eastAsia" w:ascii="宋体" w:hAnsi="宋体" w:eastAsia="宋体" w:cs="宋体"/>
                <w:color w:val="auto"/>
                <w:sz w:val="22"/>
                <w:szCs w:val="22"/>
                <w:highlight w:val="none"/>
                <w:lang w:eastAsia="zh-CN"/>
              </w:rPr>
              <w:t>（</w:t>
            </w:r>
            <w:r>
              <w:rPr>
                <w:rFonts w:hint="eastAsia" w:ascii="宋体" w:hAnsi="宋体" w:eastAsia="宋体" w:cs="宋体"/>
                <w:color w:val="auto"/>
                <w:sz w:val="22"/>
                <w:szCs w:val="22"/>
                <w:highlight w:val="none"/>
                <w:lang w:val="en-US" w:eastAsia="zh-CN"/>
              </w:rPr>
              <w:t>10分</w:t>
            </w:r>
            <w:r>
              <w:rPr>
                <w:rFonts w:hint="eastAsia" w:ascii="宋体" w:hAnsi="宋体" w:eastAsia="宋体" w:cs="宋体"/>
                <w:color w:val="auto"/>
                <w:sz w:val="22"/>
                <w:szCs w:val="22"/>
                <w:highlight w:val="none"/>
                <w:lang w:eastAsia="zh-CN"/>
              </w:rPr>
              <w:t>）</w:t>
            </w:r>
            <w:r>
              <w:rPr>
                <w:rFonts w:hint="eastAsia" w:ascii="宋体" w:hAnsi="宋体" w:eastAsia="宋体" w:cs="宋体"/>
                <w:color w:val="auto"/>
                <w:sz w:val="22"/>
                <w:szCs w:val="22"/>
                <w:highlight w:val="none"/>
              </w:rPr>
              <w:t>：有比较合理的培训组织架构，设置科学、职责分工比较清晰合理，培训管理制度比较完善的</w:t>
            </w:r>
            <w:r>
              <w:rPr>
                <w:rFonts w:hint="eastAsia" w:ascii="宋体" w:hAnsi="宋体" w:cs="宋体"/>
                <w:color w:val="auto"/>
                <w:sz w:val="22"/>
                <w:szCs w:val="22"/>
                <w:highlight w:val="none"/>
                <w:lang w:eastAsia="zh-CN"/>
              </w:rPr>
              <w:t>。</w:t>
            </w:r>
          </w:p>
          <w:p w14:paraId="1DEC58B1">
            <w:pPr>
              <w:pStyle w:val="8"/>
              <w:keepNext w:val="0"/>
              <w:keepLines w:val="0"/>
              <w:pageBreakBefore w:val="0"/>
              <w:kinsoku/>
              <w:wordWrap/>
              <w:overflowPunct/>
              <w:topLinePunct w:val="0"/>
              <w:autoSpaceDE/>
              <w:autoSpaceDN/>
              <w:bidi w:val="0"/>
              <w:adjustRightInd/>
              <w:spacing w:line="380" w:lineRule="exact"/>
              <w:ind w:firstLine="440" w:firstLineChars="200"/>
              <w:textAlignment w:val="auto"/>
              <w:rPr>
                <w:rFonts w:hint="eastAsia" w:ascii="宋体" w:hAnsi="宋体" w:eastAsia="宋体" w:cs="宋体"/>
                <w:color w:val="auto"/>
                <w:sz w:val="22"/>
                <w:szCs w:val="22"/>
                <w:highlight w:val="none"/>
                <w:lang w:eastAsia="zh-CN"/>
              </w:rPr>
            </w:pPr>
            <w:r>
              <w:rPr>
                <w:rFonts w:hint="eastAsia" w:ascii="宋体" w:hAnsi="宋体" w:cs="宋体"/>
                <w:color w:val="auto"/>
                <w:sz w:val="22"/>
                <w:szCs w:val="22"/>
                <w:highlight w:val="none"/>
                <w:lang w:val="en-US" w:eastAsia="zh-CN"/>
              </w:rPr>
              <w:t>三档</w:t>
            </w:r>
            <w:r>
              <w:rPr>
                <w:rFonts w:hint="eastAsia" w:ascii="宋体" w:hAnsi="宋体" w:eastAsia="宋体" w:cs="宋体"/>
                <w:color w:val="auto"/>
                <w:sz w:val="22"/>
                <w:szCs w:val="22"/>
                <w:highlight w:val="none"/>
                <w:lang w:eastAsia="zh-CN"/>
              </w:rPr>
              <w:t>（</w:t>
            </w:r>
            <w:r>
              <w:rPr>
                <w:rFonts w:hint="eastAsia" w:ascii="宋体" w:hAnsi="宋体" w:eastAsia="宋体" w:cs="宋体"/>
                <w:color w:val="auto"/>
                <w:sz w:val="22"/>
                <w:szCs w:val="22"/>
                <w:highlight w:val="none"/>
                <w:lang w:val="en-US" w:eastAsia="zh-CN"/>
              </w:rPr>
              <w:t>15分</w:t>
            </w:r>
            <w:r>
              <w:rPr>
                <w:rFonts w:hint="eastAsia" w:ascii="宋体" w:hAnsi="宋体" w:eastAsia="宋体" w:cs="宋体"/>
                <w:color w:val="auto"/>
                <w:sz w:val="22"/>
                <w:szCs w:val="22"/>
                <w:highlight w:val="none"/>
                <w:lang w:eastAsia="zh-CN"/>
              </w:rPr>
              <w:t>）</w:t>
            </w:r>
            <w:r>
              <w:rPr>
                <w:rFonts w:hint="eastAsia" w:ascii="宋体" w:hAnsi="宋体" w:eastAsia="宋体" w:cs="宋体"/>
                <w:color w:val="auto"/>
                <w:sz w:val="22"/>
                <w:szCs w:val="22"/>
                <w:highlight w:val="none"/>
              </w:rPr>
              <w:t>：有科学系统的培训组织架构，设置科学、职责分工具体详细合理，有完善的培训管理制度及其他相关管理制度的</w:t>
            </w:r>
            <w:r>
              <w:rPr>
                <w:rFonts w:hint="eastAsia" w:ascii="宋体" w:hAnsi="宋体" w:cs="宋体"/>
                <w:color w:val="auto"/>
                <w:sz w:val="22"/>
                <w:szCs w:val="22"/>
                <w:highlight w:val="none"/>
                <w:lang w:eastAsia="zh-CN"/>
              </w:rPr>
              <w:t>。</w:t>
            </w:r>
          </w:p>
          <w:p w14:paraId="40C86F6E">
            <w:pPr>
              <w:snapToGrid w:val="0"/>
              <w:spacing w:line="400" w:lineRule="exact"/>
              <w:ind w:firstLine="440" w:firstLineChars="200"/>
              <w:jc w:val="left"/>
              <w:rPr>
                <w:rFonts w:hint="eastAsia" w:ascii="宋体" w:hAnsi="宋体" w:eastAsia="宋体" w:cs="宋体"/>
                <w:bCs/>
                <w:color w:val="auto"/>
                <w:sz w:val="22"/>
                <w:szCs w:val="22"/>
                <w:highlight w:val="none"/>
                <w:lang w:val="en-US" w:eastAsia="zh-CN"/>
              </w:rPr>
            </w:pPr>
            <w:r>
              <w:rPr>
                <w:rFonts w:hint="eastAsia" w:ascii="宋体" w:hAnsi="宋体" w:eastAsia="宋体" w:cs="宋体"/>
                <w:color w:val="auto"/>
                <w:sz w:val="22"/>
                <w:szCs w:val="22"/>
                <w:highlight w:val="none"/>
                <w:lang w:eastAsia="zh-CN"/>
              </w:rPr>
              <w:t>注：</w:t>
            </w:r>
            <w:r>
              <w:rPr>
                <w:rFonts w:hint="eastAsia" w:ascii="宋体" w:hAnsi="宋体" w:eastAsia="宋体" w:cs="宋体"/>
                <w:color w:val="auto"/>
                <w:sz w:val="22"/>
                <w:szCs w:val="22"/>
                <w:highlight w:val="none"/>
              </w:rPr>
              <w:t>无培训组织管理体系</w:t>
            </w:r>
            <w:r>
              <w:rPr>
                <w:rFonts w:hint="eastAsia" w:ascii="宋体" w:hAnsi="宋体" w:cs="宋体"/>
                <w:color w:val="auto"/>
                <w:sz w:val="22"/>
                <w:szCs w:val="22"/>
                <w:highlight w:val="none"/>
                <w:lang w:val="en-US" w:eastAsia="zh-CN"/>
              </w:rPr>
              <w:t>或提供的</w:t>
            </w:r>
            <w:r>
              <w:rPr>
                <w:rFonts w:hint="eastAsia" w:ascii="宋体" w:hAnsi="宋体" w:eastAsia="宋体" w:cs="宋体"/>
                <w:color w:val="auto"/>
                <w:sz w:val="22"/>
                <w:szCs w:val="22"/>
                <w:highlight w:val="none"/>
              </w:rPr>
              <w:t>培训组织管理</w:t>
            </w:r>
            <w:r>
              <w:rPr>
                <w:rFonts w:hint="eastAsia" w:ascii="宋体" w:hAnsi="宋体" w:cs="宋体"/>
                <w:color w:val="auto"/>
                <w:sz w:val="22"/>
                <w:szCs w:val="22"/>
                <w:highlight w:val="none"/>
                <w:lang w:val="en-US" w:eastAsia="zh-CN"/>
              </w:rPr>
              <w:t>体系不满足一档要求的不得分。</w:t>
            </w:r>
          </w:p>
        </w:tc>
        <w:tc>
          <w:tcPr>
            <w:tcW w:w="814" w:type="dxa"/>
            <w:shd w:val="clear" w:color="auto" w:fill="auto"/>
            <w:noWrap w:val="0"/>
            <w:vAlign w:val="center"/>
          </w:tcPr>
          <w:p w14:paraId="295465F4">
            <w:pPr>
              <w:snapToGrid w:val="0"/>
              <w:spacing w:line="400" w:lineRule="exact"/>
              <w:jc w:val="left"/>
              <w:rPr>
                <w:rFonts w:hint="default" w:ascii="宋体" w:hAnsi="宋体" w:eastAsia="宋体" w:cs="宋体"/>
                <w:b w:val="0"/>
                <w:bCs w:val="0"/>
                <w:color w:val="auto"/>
                <w:kern w:val="2"/>
                <w:sz w:val="22"/>
                <w:szCs w:val="22"/>
                <w:highlight w:val="none"/>
                <w:lang w:val="en-US" w:eastAsia="zh-CN" w:bidi="ar-SA"/>
              </w:rPr>
            </w:pPr>
            <w:r>
              <w:rPr>
                <w:rFonts w:hint="eastAsia" w:ascii="宋体" w:hAnsi="宋体" w:cs="宋体"/>
                <w:b w:val="0"/>
                <w:bCs w:val="0"/>
                <w:color w:val="auto"/>
                <w:sz w:val="22"/>
                <w:szCs w:val="22"/>
                <w:highlight w:val="none"/>
                <w:lang w:val="en-US" w:eastAsia="zh-CN"/>
              </w:rPr>
              <w:t xml:space="preserve"> 15分</w:t>
            </w:r>
          </w:p>
        </w:tc>
      </w:tr>
      <w:tr w14:paraId="45D055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4" w:hRule="atLeast"/>
          <w:jc w:val="center"/>
        </w:trPr>
        <w:tc>
          <w:tcPr>
            <w:tcW w:w="721" w:type="dxa"/>
            <w:noWrap w:val="0"/>
            <w:vAlign w:val="center"/>
          </w:tcPr>
          <w:p w14:paraId="3B2401BB">
            <w:pPr>
              <w:snapToGrid w:val="0"/>
              <w:spacing w:line="400" w:lineRule="exact"/>
              <w:jc w:val="left"/>
              <w:rPr>
                <w:rFonts w:hint="eastAsia" w:ascii="宋体" w:hAnsi="宋体" w:eastAsia="宋体" w:cs="宋体"/>
                <w:b w:val="0"/>
                <w:bCs w:val="0"/>
                <w:color w:val="auto"/>
                <w:sz w:val="22"/>
                <w:szCs w:val="22"/>
                <w:highlight w:val="none"/>
              </w:rPr>
            </w:pPr>
            <w:r>
              <w:rPr>
                <w:rFonts w:hint="eastAsia" w:ascii="宋体" w:hAnsi="宋体" w:eastAsia="宋体" w:cs="宋体"/>
                <w:b w:val="0"/>
                <w:bCs w:val="0"/>
                <w:color w:val="auto"/>
                <w:sz w:val="22"/>
                <w:szCs w:val="22"/>
                <w:highlight w:val="none"/>
              </w:rPr>
              <w:t>2.3</w:t>
            </w:r>
          </w:p>
        </w:tc>
        <w:tc>
          <w:tcPr>
            <w:tcW w:w="1327" w:type="dxa"/>
            <w:shd w:val="clear" w:color="auto" w:fill="auto"/>
            <w:noWrap w:val="0"/>
            <w:vAlign w:val="center"/>
          </w:tcPr>
          <w:p w14:paraId="5AF6125C">
            <w:pPr>
              <w:snapToGrid w:val="0"/>
              <w:spacing w:line="360" w:lineRule="atLeast"/>
              <w:jc w:val="center"/>
              <w:rPr>
                <w:rFonts w:hint="eastAsia" w:ascii="宋体" w:hAnsi="宋体" w:eastAsia="宋体" w:cs="宋体"/>
                <w:color w:val="auto"/>
                <w:kern w:val="2"/>
                <w:sz w:val="22"/>
                <w:szCs w:val="22"/>
                <w:highlight w:val="none"/>
                <w:lang w:val="en-US" w:eastAsia="zh-CN" w:bidi="ar-SA"/>
              </w:rPr>
            </w:pPr>
            <w:r>
              <w:rPr>
                <w:rStyle w:val="37"/>
                <w:rFonts w:hint="eastAsia" w:ascii="宋体" w:hAnsi="宋体" w:eastAsia="宋体" w:cs="宋体"/>
                <w:b/>
                <w:bCs/>
                <w:color w:val="auto"/>
                <w:kern w:val="10"/>
                <w:sz w:val="22"/>
                <w:szCs w:val="22"/>
                <w:highlight w:val="none"/>
              </w:rPr>
              <w:t>质量保障措施分</w:t>
            </w:r>
            <w:r>
              <w:rPr>
                <w:rFonts w:hint="eastAsia" w:ascii="宋体" w:hAnsi="宋体" w:cs="宋体"/>
                <w:b/>
                <w:color w:val="auto"/>
                <w:sz w:val="22"/>
                <w:szCs w:val="22"/>
                <w:highlight w:val="none"/>
                <w:lang w:val="en-US" w:eastAsia="zh-CN"/>
              </w:rPr>
              <w:t xml:space="preserve"> </w:t>
            </w:r>
          </w:p>
        </w:tc>
        <w:tc>
          <w:tcPr>
            <w:tcW w:w="6915" w:type="dxa"/>
            <w:shd w:val="clear" w:color="auto" w:fill="auto"/>
            <w:noWrap w:val="0"/>
            <w:vAlign w:val="center"/>
          </w:tcPr>
          <w:p w14:paraId="2927C6BE">
            <w:pPr>
              <w:pStyle w:val="12"/>
              <w:keepNext w:val="0"/>
              <w:keepLines w:val="0"/>
              <w:pageBreakBefore w:val="0"/>
              <w:kinsoku/>
              <w:wordWrap/>
              <w:overflowPunct/>
              <w:topLinePunct w:val="0"/>
              <w:autoSpaceDE/>
              <w:autoSpaceDN/>
              <w:bidi w:val="0"/>
              <w:adjustRightInd/>
              <w:spacing w:line="380" w:lineRule="exact"/>
              <w:ind w:firstLine="440" w:firstLineChars="200"/>
              <w:jc w:val="left"/>
              <w:textAlignment w:val="auto"/>
              <w:rPr>
                <w:rFonts w:hint="eastAsia" w:ascii="宋体" w:hAnsi="宋体" w:eastAsia="宋体" w:cs="宋体"/>
                <w:b/>
                <w:bCs/>
                <w:color w:val="auto"/>
                <w:sz w:val="22"/>
                <w:szCs w:val="22"/>
                <w:highlight w:val="none"/>
              </w:rPr>
            </w:pPr>
            <w:r>
              <w:rPr>
                <w:rFonts w:hint="eastAsia" w:ascii="宋体" w:hAnsi="宋体" w:cs="宋体"/>
                <w:bCs/>
                <w:color w:val="auto"/>
                <w:sz w:val="22"/>
                <w:szCs w:val="22"/>
                <w:highlight w:val="none"/>
                <w:lang w:val="en-US" w:eastAsia="zh-CN"/>
              </w:rPr>
              <w:t xml:space="preserve"> </w:t>
            </w:r>
            <w:r>
              <w:rPr>
                <w:rFonts w:hint="eastAsia" w:ascii="宋体" w:hAnsi="宋体" w:eastAsia="宋体" w:cs="宋体"/>
                <w:color w:val="auto"/>
                <w:kern w:val="0"/>
                <w:sz w:val="22"/>
                <w:szCs w:val="22"/>
                <w:highlight w:val="none"/>
              </w:rPr>
              <w:t>由</w:t>
            </w:r>
            <w:r>
              <w:rPr>
                <w:rFonts w:hint="eastAsia" w:hAnsi="宋体" w:cs="宋体"/>
                <w:color w:val="auto"/>
                <w:kern w:val="0"/>
                <w:sz w:val="22"/>
                <w:szCs w:val="22"/>
                <w:highlight w:val="none"/>
                <w:lang w:eastAsia="zh-CN"/>
              </w:rPr>
              <w:t>评标委员会</w:t>
            </w:r>
            <w:r>
              <w:rPr>
                <w:rFonts w:hint="eastAsia" w:ascii="宋体" w:hAnsi="宋体" w:eastAsia="宋体" w:cs="宋体"/>
                <w:color w:val="auto"/>
                <w:kern w:val="0"/>
                <w:sz w:val="22"/>
                <w:szCs w:val="22"/>
                <w:highlight w:val="none"/>
              </w:rPr>
              <w:t>根据</w:t>
            </w:r>
            <w:r>
              <w:rPr>
                <w:rFonts w:hint="eastAsia" w:hAnsi="宋体" w:cs="宋体"/>
                <w:color w:val="auto"/>
                <w:kern w:val="0"/>
                <w:sz w:val="22"/>
                <w:szCs w:val="22"/>
                <w:highlight w:val="none"/>
                <w:lang w:eastAsia="zh-CN"/>
              </w:rPr>
              <w:t>投标人</w:t>
            </w:r>
            <w:r>
              <w:rPr>
                <w:rFonts w:hint="eastAsia" w:ascii="宋体" w:hAnsi="宋体" w:eastAsia="宋体" w:cs="宋体"/>
                <w:color w:val="auto"/>
                <w:kern w:val="0"/>
                <w:sz w:val="22"/>
                <w:szCs w:val="22"/>
                <w:highlight w:val="none"/>
              </w:rPr>
              <w:t>所提供的</w:t>
            </w:r>
            <w:r>
              <w:rPr>
                <w:rStyle w:val="37"/>
                <w:rFonts w:hint="eastAsia" w:ascii="宋体" w:hAnsi="宋体" w:eastAsia="宋体" w:cs="宋体"/>
                <w:color w:val="auto"/>
                <w:kern w:val="10"/>
                <w:sz w:val="22"/>
                <w:szCs w:val="22"/>
                <w:highlight w:val="none"/>
              </w:rPr>
              <w:t>质量保障措施</w:t>
            </w:r>
            <w:r>
              <w:rPr>
                <w:rStyle w:val="37"/>
                <w:rFonts w:hint="eastAsia" w:ascii="宋体" w:hAnsi="宋体" w:eastAsia="宋体" w:cs="宋体"/>
                <w:color w:val="auto"/>
                <w:sz w:val="22"/>
                <w:szCs w:val="22"/>
                <w:highlight w:val="none"/>
              </w:rPr>
              <w:t>进行评审</w:t>
            </w:r>
            <w:r>
              <w:rPr>
                <w:rFonts w:hint="eastAsia" w:ascii="宋体" w:hAnsi="宋体" w:eastAsia="宋体" w:cs="宋体"/>
                <w:color w:val="auto"/>
                <w:kern w:val="0"/>
                <w:sz w:val="22"/>
                <w:szCs w:val="22"/>
                <w:highlight w:val="none"/>
              </w:rPr>
              <w:t>。评审标准如下：</w:t>
            </w:r>
          </w:p>
          <w:p w14:paraId="312D2261">
            <w:pPr>
              <w:keepNext w:val="0"/>
              <w:keepLines w:val="0"/>
              <w:pageBreakBefore w:val="0"/>
              <w:kinsoku/>
              <w:wordWrap/>
              <w:overflowPunct/>
              <w:topLinePunct w:val="0"/>
              <w:autoSpaceDE/>
              <w:autoSpaceDN/>
              <w:bidi w:val="0"/>
              <w:adjustRightInd/>
              <w:snapToGrid w:val="0"/>
              <w:spacing w:line="380" w:lineRule="exact"/>
              <w:ind w:firstLine="440" w:firstLineChars="200"/>
              <w:jc w:val="left"/>
              <w:textAlignment w:val="auto"/>
              <w:rPr>
                <w:rStyle w:val="37"/>
                <w:rFonts w:hint="eastAsia" w:ascii="宋体" w:hAnsi="宋体" w:eastAsia="宋体" w:cs="宋体"/>
                <w:color w:val="auto"/>
                <w:kern w:val="10"/>
                <w:sz w:val="22"/>
                <w:szCs w:val="22"/>
                <w:highlight w:val="none"/>
                <w:lang w:eastAsia="zh-CN"/>
              </w:rPr>
            </w:pPr>
            <w:r>
              <w:rPr>
                <w:rFonts w:hint="eastAsia" w:ascii="宋体" w:hAnsi="宋体" w:cs="宋体"/>
                <w:color w:val="auto"/>
                <w:sz w:val="22"/>
                <w:szCs w:val="22"/>
                <w:highlight w:val="none"/>
                <w:lang w:val="en-US" w:eastAsia="zh-CN"/>
              </w:rPr>
              <w:t>一档</w:t>
            </w:r>
            <w:r>
              <w:rPr>
                <w:rStyle w:val="37"/>
                <w:rFonts w:hint="eastAsia" w:ascii="宋体" w:hAnsi="宋体" w:eastAsia="宋体" w:cs="宋体"/>
                <w:color w:val="auto"/>
                <w:kern w:val="10"/>
                <w:sz w:val="22"/>
                <w:szCs w:val="22"/>
                <w:highlight w:val="none"/>
                <w:lang w:eastAsia="zh-CN"/>
              </w:rPr>
              <w:t>（</w:t>
            </w:r>
            <w:r>
              <w:rPr>
                <w:rStyle w:val="37"/>
                <w:rFonts w:hint="eastAsia" w:ascii="宋体" w:hAnsi="宋体" w:cs="宋体"/>
                <w:color w:val="auto"/>
                <w:kern w:val="10"/>
                <w:sz w:val="22"/>
                <w:szCs w:val="22"/>
                <w:highlight w:val="none"/>
                <w:lang w:val="en-US" w:eastAsia="zh-CN"/>
              </w:rPr>
              <w:t>5</w:t>
            </w:r>
            <w:r>
              <w:rPr>
                <w:rStyle w:val="37"/>
                <w:rFonts w:hint="eastAsia" w:ascii="宋体" w:hAnsi="宋体" w:eastAsia="宋体" w:cs="宋体"/>
                <w:color w:val="auto"/>
                <w:kern w:val="10"/>
                <w:sz w:val="22"/>
                <w:szCs w:val="22"/>
                <w:highlight w:val="none"/>
                <w:lang w:val="en-US" w:eastAsia="zh-CN"/>
              </w:rPr>
              <w:t>分</w:t>
            </w:r>
            <w:r>
              <w:rPr>
                <w:rStyle w:val="37"/>
                <w:rFonts w:hint="eastAsia" w:ascii="宋体" w:hAnsi="宋体" w:eastAsia="宋体" w:cs="宋体"/>
                <w:color w:val="auto"/>
                <w:kern w:val="10"/>
                <w:sz w:val="22"/>
                <w:szCs w:val="22"/>
                <w:highlight w:val="none"/>
                <w:lang w:eastAsia="zh-CN"/>
              </w:rPr>
              <w:t>）</w:t>
            </w:r>
            <w:r>
              <w:rPr>
                <w:rStyle w:val="37"/>
                <w:rFonts w:hint="eastAsia" w:ascii="宋体" w:hAnsi="宋体" w:eastAsia="宋体" w:cs="宋体"/>
                <w:color w:val="auto"/>
                <w:kern w:val="10"/>
                <w:sz w:val="22"/>
                <w:szCs w:val="22"/>
                <w:highlight w:val="none"/>
              </w:rPr>
              <w:t>：培训服务质量保障措施不具体，安全管理措施、培训期间安全应急措施不能很好满足项目需求</w:t>
            </w:r>
            <w:r>
              <w:rPr>
                <w:rStyle w:val="37"/>
                <w:rFonts w:hint="eastAsia" w:ascii="宋体" w:hAnsi="宋体" w:eastAsia="宋体" w:cs="宋体"/>
                <w:color w:val="auto"/>
                <w:kern w:val="10"/>
                <w:sz w:val="22"/>
                <w:szCs w:val="22"/>
                <w:highlight w:val="none"/>
                <w:lang w:eastAsia="zh-CN"/>
              </w:rPr>
              <w:t>的</w:t>
            </w:r>
            <w:r>
              <w:rPr>
                <w:rStyle w:val="37"/>
                <w:rFonts w:hint="eastAsia" w:ascii="宋体" w:hAnsi="宋体" w:cs="宋体"/>
                <w:color w:val="auto"/>
                <w:kern w:val="10"/>
                <w:sz w:val="22"/>
                <w:szCs w:val="22"/>
                <w:highlight w:val="none"/>
                <w:lang w:eastAsia="zh-CN"/>
              </w:rPr>
              <w:t>。</w:t>
            </w:r>
          </w:p>
          <w:p w14:paraId="502A0EBF">
            <w:pPr>
              <w:keepNext w:val="0"/>
              <w:keepLines w:val="0"/>
              <w:pageBreakBefore w:val="0"/>
              <w:kinsoku/>
              <w:wordWrap/>
              <w:overflowPunct/>
              <w:topLinePunct w:val="0"/>
              <w:autoSpaceDE/>
              <w:autoSpaceDN/>
              <w:bidi w:val="0"/>
              <w:adjustRightInd/>
              <w:snapToGrid w:val="0"/>
              <w:spacing w:line="380" w:lineRule="exact"/>
              <w:ind w:firstLine="440" w:firstLineChars="200"/>
              <w:jc w:val="left"/>
              <w:textAlignment w:val="auto"/>
              <w:rPr>
                <w:rStyle w:val="37"/>
                <w:rFonts w:hint="eastAsia" w:ascii="宋体" w:hAnsi="宋体" w:eastAsia="宋体" w:cs="宋体"/>
                <w:color w:val="auto"/>
                <w:kern w:val="10"/>
                <w:sz w:val="22"/>
                <w:szCs w:val="22"/>
                <w:highlight w:val="none"/>
                <w:lang w:eastAsia="zh-CN"/>
              </w:rPr>
            </w:pPr>
            <w:r>
              <w:rPr>
                <w:rFonts w:hint="eastAsia" w:ascii="宋体" w:hAnsi="宋体" w:cs="宋体"/>
                <w:color w:val="auto"/>
                <w:sz w:val="22"/>
                <w:szCs w:val="22"/>
                <w:highlight w:val="none"/>
                <w:lang w:val="en-US" w:eastAsia="zh-CN"/>
              </w:rPr>
              <w:t>二档</w:t>
            </w:r>
            <w:r>
              <w:rPr>
                <w:rStyle w:val="37"/>
                <w:rFonts w:hint="eastAsia" w:ascii="宋体" w:hAnsi="宋体" w:eastAsia="宋体" w:cs="宋体"/>
                <w:color w:val="auto"/>
                <w:kern w:val="10"/>
                <w:sz w:val="22"/>
                <w:szCs w:val="22"/>
                <w:highlight w:val="none"/>
                <w:lang w:eastAsia="zh-CN"/>
              </w:rPr>
              <w:t>（</w:t>
            </w:r>
            <w:r>
              <w:rPr>
                <w:rStyle w:val="37"/>
                <w:rFonts w:hint="eastAsia" w:ascii="宋体" w:hAnsi="宋体" w:eastAsia="宋体" w:cs="宋体"/>
                <w:color w:val="auto"/>
                <w:kern w:val="10"/>
                <w:sz w:val="22"/>
                <w:szCs w:val="22"/>
                <w:highlight w:val="none"/>
                <w:lang w:val="en-US" w:eastAsia="zh-CN"/>
              </w:rPr>
              <w:t>10分</w:t>
            </w:r>
            <w:r>
              <w:rPr>
                <w:rStyle w:val="37"/>
                <w:rFonts w:hint="eastAsia" w:ascii="宋体" w:hAnsi="宋体" w:eastAsia="宋体" w:cs="宋体"/>
                <w:color w:val="auto"/>
                <w:kern w:val="10"/>
                <w:sz w:val="22"/>
                <w:szCs w:val="22"/>
                <w:highlight w:val="none"/>
                <w:lang w:eastAsia="zh-CN"/>
              </w:rPr>
              <w:t>）</w:t>
            </w:r>
            <w:r>
              <w:rPr>
                <w:rStyle w:val="37"/>
                <w:rFonts w:hint="eastAsia" w:ascii="宋体" w:hAnsi="宋体" w:eastAsia="宋体" w:cs="宋体"/>
                <w:color w:val="auto"/>
                <w:kern w:val="10"/>
                <w:sz w:val="22"/>
                <w:szCs w:val="22"/>
                <w:highlight w:val="none"/>
              </w:rPr>
              <w:t>：培训服务质量保障措施具体但不完善，安全管理措施、培训期间安全应急措施较可行、较具体</w:t>
            </w:r>
            <w:r>
              <w:rPr>
                <w:rStyle w:val="37"/>
                <w:rFonts w:hint="eastAsia" w:ascii="宋体" w:hAnsi="宋体" w:eastAsia="宋体" w:cs="宋体"/>
                <w:color w:val="auto"/>
                <w:kern w:val="10"/>
                <w:sz w:val="22"/>
                <w:szCs w:val="22"/>
                <w:highlight w:val="none"/>
                <w:lang w:eastAsia="zh-CN"/>
              </w:rPr>
              <w:t>的。</w:t>
            </w:r>
          </w:p>
          <w:p w14:paraId="04E05A1B">
            <w:pPr>
              <w:keepNext w:val="0"/>
              <w:keepLines w:val="0"/>
              <w:pageBreakBefore w:val="0"/>
              <w:kinsoku/>
              <w:wordWrap/>
              <w:overflowPunct/>
              <w:topLinePunct w:val="0"/>
              <w:autoSpaceDE/>
              <w:autoSpaceDN/>
              <w:bidi w:val="0"/>
              <w:adjustRightInd/>
              <w:snapToGrid w:val="0"/>
              <w:spacing w:line="380" w:lineRule="exact"/>
              <w:ind w:firstLine="440" w:firstLineChars="200"/>
              <w:jc w:val="left"/>
              <w:textAlignment w:val="auto"/>
              <w:rPr>
                <w:rStyle w:val="37"/>
                <w:rFonts w:hint="eastAsia" w:ascii="宋体" w:hAnsi="宋体" w:eastAsia="宋体" w:cs="宋体"/>
                <w:color w:val="auto"/>
                <w:kern w:val="10"/>
                <w:sz w:val="22"/>
                <w:szCs w:val="22"/>
                <w:highlight w:val="none"/>
                <w:lang w:eastAsia="zh-CN"/>
              </w:rPr>
            </w:pPr>
            <w:r>
              <w:rPr>
                <w:rFonts w:hint="eastAsia" w:ascii="宋体" w:hAnsi="宋体" w:cs="宋体"/>
                <w:color w:val="auto"/>
                <w:sz w:val="22"/>
                <w:szCs w:val="22"/>
                <w:highlight w:val="none"/>
                <w:lang w:val="en-US" w:eastAsia="zh-CN"/>
              </w:rPr>
              <w:t>三档</w:t>
            </w:r>
            <w:r>
              <w:rPr>
                <w:rStyle w:val="37"/>
                <w:rFonts w:hint="eastAsia" w:ascii="宋体" w:hAnsi="宋体" w:eastAsia="宋体" w:cs="宋体"/>
                <w:color w:val="auto"/>
                <w:kern w:val="10"/>
                <w:sz w:val="22"/>
                <w:szCs w:val="22"/>
                <w:highlight w:val="none"/>
                <w:lang w:eastAsia="zh-CN"/>
              </w:rPr>
              <w:t>（</w:t>
            </w:r>
            <w:r>
              <w:rPr>
                <w:rStyle w:val="37"/>
                <w:rFonts w:hint="eastAsia" w:ascii="宋体" w:hAnsi="宋体" w:eastAsia="宋体" w:cs="宋体"/>
                <w:color w:val="auto"/>
                <w:kern w:val="10"/>
                <w:sz w:val="22"/>
                <w:szCs w:val="22"/>
                <w:highlight w:val="none"/>
                <w:lang w:val="en-US" w:eastAsia="zh-CN"/>
              </w:rPr>
              <w:t>15分</w:t>
            </w:r>
            <w:r>
              <w:rPr>
                <w:rStyle w:val="37"/>
                <w:rFonts w:hint="eastAsia" w:ascii="宋体" w:hAnsi="宋体" w:eastAsia="宋体" w:cs="宋体"/>
                <w:color w:val="auto"/>
                <w:kern w:val="10"/>
                <w:sz w:val="22"/>
                <w:szCs w:val="22"/>
                <w:highlight w:val="none"/>
                <w:lang w:eastAsia="zh-CN"/>
              </w:rPr>
              <w:t>）</w:t>
            </w:r>
            <w:r>
              <w:rPr>
                <w:rStyle w:val="37"/>
                <w:rFonts w:hint="eastAsia" w:ascii="宋体" w:hAnsi="宋体" w:eastAsia="宋体" w:cs="宋体"/>
                <w:color w:val="auto"/>
                <w:kern w:val="10"/>
                <w:sz w:val="22"/>
                <w:szCs w:val="22"/>
                <w:highlight w:val="none"/>
              </w:rPr>
              <w:t>：培训服务质量保障措施具体完善的，安全管理措施、培训期间安全应急措施切实可行、具体有效</w:t>
            </w:r>
            <w:r>
              <w:rPr>
                <w:rStyle w:val="37"/>
                <w:rFonts w:hint="eastAsia" w:ascii="宋体" w:hAnsi="宋体" w:eastAsia="宋体" w:cs="宋体"/>
                <w:color w:val="auto"/>
                <w:kern w:val="10"/>
                <w:sz w:val="22"/>
                <w:szCs w:val="22"/>
                <w:highlight w:val="none"/>
                <w:lang w:eastAsia="zh-CN"/>
              </w:rPr>
              <w:t>的</w:t>
            </w:r>
            <w:r>
              <w:rPr>
                <w:rStyle w:val="37"/>
                <w:rFonts w:hint="eastAsia" w:ascii="宋体" w:hAnsi="宋体" w:cs="宋体"/>
                <w:color w:val="auto"/>
                <w:kern w:val="10"/>
                <w:sz w:val="22"/>
                <w:szCs w:val="22"/>
                <w:highlight w:val="none"/>
                <w:lang w:eastAsia="zh-CN"/>
              </w:rPr>
              <w:t>。</w:t>
            </w:r>
          </w:p>
          <w:p w14:paraId="774FEEFC">
            <w:pPr>
              <w:adjustRightInd w:val="0"/>
              <w:spacing w:line="380" w:lineRule="exact"/>
              <w:ind w:firstLine="440" w:firstLineChars="200"/>
              <w:textAlignment w:val="baseline"/>
              <w:rPr>
                <w:rFonts w:hint="eastAsia" w:ascii="宋体" w:hAnsi="宋体" w:eastAsia="宋体" w:cs="宋体"/>
                <w:color w:val="auto"/>
                <w:kern w:val="0"/>
                <w:sz w:val="22"/>
                <w:szCs w:val="22"/>
                <w:highlight w:val="none"/>
                <w:lang w:val="en-US" w:eastAsia="zh-CN" w:bidi="ar-SA"/>
              </w:rPr>
            </w:pPr>
            <w:r>
              <w:rPr>
                <w:rStyle w:val="37"/>
                <w:rFonts w:hint="eastAsia" w:hAnsi="宋体"/>
                <w:color w:val="auto"/>
                <w:kern w:val="10"/>
                <w:sz w:val="22"/>
                <w:szCs w:val="22"/>
                <w:highlight w:val="none"/>
                <w:lang w:eastAsia="zh-CN"/>
              </w:rPr>
              <w:t>注：</w:t>
            </w:r>
            <w:r>
              <w:rPr>
                <w:rStyle w:val="37"/>
                <w:rFonts w:hAnsi="宋体"/>
                <w:color w:val="auto"/>
                <w:kern w:val="10"/>
                <w:sz w:val="22"/>
                <w:szCs w:val="22"/>
                <w:highlight w:val="none"/>
              </w:rPr>
              <w:t>无质量保障措施</w:t>
            </w:r>
            <w:r>
              <w:rPr>
                <w:rFonts w:hint="eastAsia" w:ascii="宋体" w:hAnsi="宋体" w:cs="宋体"/>
                <w:color w:val="auto"/>
                <w:sz w:val="22"/>
                <w:szCs w:val="22"/>
                <w:highlight w:val="none"/>
                <w:lang w:val="en-US" w:eastAsia="zh-CN"/>
              </w:rPr>
              <w:t>或提供的</w:t>
            </w:r>
            <w:r>
              <w:rPr>
                <w:rStyle w:val="37"/>
                <w:rFonts w:hAnsi="宋体"/>
                <w:color w:val="auto"/>
                <w:kern w:val="10"/>
                <w:sz w:val="22"/>
                <w:szCs w:val="22"/>
                <w:highlight w:val="none"/>
              </w:rPr>
              <w:t>质量保障措施</w:t>
            </w:r>
            <w:r>
              <w:rPr>
                <w:rFonts w:hint="eastAsia" w:ascii="宋体" w:hAnsi="宋体" w:cs="宋体"/>
                <w:color w:val="auto"/>
                <w:sz w:val="22"/>
                <w:szCs w:val="22"/>
                <w:highlight w:val="none"/>
                <w:lang w:val="en-US" w:eastAsia="zh-CN"/>
              </w:rPr>
              <w:t>不满足一档要求的不得分。</w:t>
            </w:r>
          </w:p>
        </w:tc>
        <w:tc>
          <w:tcPr>
            <w:tcW w:w="814" w:type="dxa"/>
            <w:noWrap w:val="0"/>
            <w:vAlign w:val="center"/>
          </w:tcPr>
          <w:p w14:paraId="2D33E5EC">
            <w:pPr>
              <w:snapToGrid w:val="0"/>
              <w:spacing w:line="400" w:lineRule="exact"/>
              <w:jc w:val="left"/>
              <w:rPr>
                <w:rFonts w:hint="default" w:ascii="宋体" w:hAnsi="宋体" w:eastAsia="宋体" w:cs="宋体"/>
                <w:b w:val="0"/>
                <w:bCs w:val="0"/>
                <w:color w:val="auto"/>
                <w:sz w:val="22"/>
                <w:szCs w:val="22"/>
                <w:highlight w:val="none"/>
                <w:lang w:val="en-US" w:eastAsia="zh-CN"/>
              </w:rPr>
            </w:pPr>
            <w:r>
              <w:rPr>
                <w:rFonts w:hint="eastAsia" w:ascii="宋体" w:hAnsi="宋体" w:cs="宋体"/>
                <w:b/>
                <w:color w:val="auto"/>
                <w:sz w:val="22"/>
                <w:szCs w:val="22"/>
                <w:highlight w:val="none"/>
                <w:lang w:val="en-US" w:eastAsia="zh-CN"/>
              </w:rPr>
              <w:t xml:space="preserve"> </w:t>
            </w:r>
            <w:r>
              <w:rPr>
                <w:rFonts w:hint="eastAsia" w:ascii="宋体" w:hAnsi="宋体" w:cs="宋体"/>
                <w:b w:val="0"/>
                <w:bCs/>
                <w:color w:val="auto"/>
                <w:sz w:val="22"/>
                <w:szCs w:val="22"/>
                <w:highlight w:val="none"/>
                <w:lang w:val="en-US" w:eastAsia="zh-CN"/>
              </w:rPr>
              <w:t>15分</w:t>
            </w:r>
          </w:p>
        </w:tc>
      </w:tr>
      <w:tr w14:paraId="1A46B2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4" w:hRule="atLeast"/>
          <w:jc w:val="center"/>
        </w:trPr>
        <w:tc>
          <w:tcPr>
            <w:tcW w:w="721" w:type="dxa"/>
            <w:noWrap w:val="0"/>
            <w:vAlign w:val="center"/>
          </w:tcPr>
          <w:p w14:paraId="76E89084">
            <w:pPr>
              <w:snapToGrid w:val="0"/>
              <w:spacing w:line="400" w:lineRule="exact"/>
              <w:jc w:val="left"/>
              <w:rPr>
                <w:rFonts w:hint="eastAsia" w:ascii="宋体" w:hAnsi="宋体" w:eastAsia="宋体" w:cs="宋体"/>
                <w:b w:val="0"/>
                <w:bCs w:val="0"/>
                <w:color w:val="auto"/>
                <w:sz w:val="22"/>
                <w:szCs w:val="22"/>
                <w:highlight w:val="none"/>
              </w:rPr>
            </w:pPr>
            <w:r>
              <w:rPr>
                <w:rFonts w:hint="eastAsia" w:ascii="宋体" w:hAnsi="宋体" w:eastAsia="宋体" w:cs="宋体"/>
                <w:b w:val="0"/>
                <w:bCs w:val="0"/>
                <w:color w:val="auto"/>
                <w:sz w:val="22"/>
                <w:szCs w:val="22"/>
                <w:highlight w:val="none"/>
              </w:rPr>
              <w:t>2.4</w:t>
            </w:r>
          </w:p>
        </w:tc>
        <w:tc>
          <w:tcPr>
            <w:tcW w:w="1327" w:type="dxa"/>
            <w:shd w:val="clear" w:color="auto" w:fill="auto"/>
            <w:noWrap w:val="0"/>
            <w:vAlign w:val="center"/>
          </w:tcPr>
          <w:p w14:paraId="150A2A0F">
            <w:pPr>
              <w:widowControl/>
              <w:spacing w:line="400" w:lineRule="exact"/>
              <w:jc w:val="center"/>
              <w:rPr>
                <w:rFonts w:hint="eastAsia" w:ascii="宋体" w:hAnsi="宋体" w:eastAsia="宋体" w:cs="宋体"/>
                <w:color w:val="auto"/>
                <w:kern w:val="0"/>
                <w:sz w:val="22"/>
                <w:szCs w:val="22"/>
                <w:highlight w:val="none"/>
                <w:lang w:val="en-US" w:eastAsia="zh-CN"/>
              </w:rPr>
            </w:pPr>
            <w:r>
              <w:rPr>
                <w:rFonts w:hint="eastAsia" w:ascii="宋体" w:hAnsi="宋体" w:cs="宋体"/>
                <w:color w:val="auto"/>
                <w:kern w:val="0"/>
                <w:sz w:val="22"/>
                <w:szCs w:val="22"/>
                <w:highlight w:val="none"/>
                <w:lang w:val="en-US" w:eastAsia="zh-CN"/>
              </w:rPr>
              <w:t xml:space="preserve"> </w:t>
            </w:r>
            <w:r>
              <w:rPr>
                <w:rFonts w:hint="eastAsia" w:hAnsi="宋体" w:cs="宋体"/>
                <w:b/>
                <w:bCs/>
                <w:color w:val="auto"/>
                <w:sz w:val="22"/>
                <w:szCs w:val="22"/>
                <w:highlight w:val="none"/>
              </w:rPr>
              <w:t>项目实施人员分</w:t>
            </w:r>
          </w:p>
        </w:tc>
        <w:tc>
          <w:tcPr>
            <w:tcW w:w="6915" w:type="dxa"/>
            <w:shd w:val="clear" w:color="auto" w:fill="auto"/>
            <w:noWrap w:val="0"/>
            <w:vAlign w:val="center"/>
          </w:tcPr>
          <w:p w14:paraId="36F7932B">
            <w:pPr>
              <w:pStyle w:val="12"/>
              <w:keepNext w:val="0"/>
              <w:keepLines w:val="0"/>
              <w:pageBreakBefore w:val="0"/>
              <w:numPr>
                <w:ilvl w:val="0"/>
                <w:numId w:val="5"/>
              </w:numPr>
              <w:kinsoku/>
              <w:wordWrap/>
              <w:overflowPunct/>
              <w:topLinePunct w:val="0"/>
              <w:autoSpaceDE/>
              <w:autoSpaceDN/>
              <w:bidi w:val="0"/>
              <w:adjustRightInd/>
              <w:snapToGrid/>
              <w:spacing w:line="430" w:lineRule="exact"/>
              <w:ind w:firstLine="450"/>
              <w:jc w:val="left"/>
              <w:textAlignment w:val="auto"/>
              <w:rPr>
                <w:rFonts w:hint="eastAsia" w:hAnsi="宋体" w:cs="宋体"/>
                <w:color w:val="auto"/>
                <w:kern w:val="0"/>
                <w:sz w:val="22"/>
                <w:szCs w:val="22"/>
                <w:highlight w:val="none"/>
                <w:lang w:val="en-US" w:eastAsia="zh-CN"/>
              </w:rPr>
            </w:pPr>
            <w:r>
              <w:rPr>
                <w:rFonts w:hint="eastAsia" w:hAnsi="宋体" w:cs="宋体"/>
                <w:color w:val="auto"/>
                <w:kern w:val="0"/>
                <w:sz w:val="22"/>
                <w:szCs w:val="22"/>
                <w:highlight w:val="none"/>
                <w:lang w:val="en-US" w:eastAsia="zh-CN"/>
              </w:rPr>
              <w:t>项目负责人要求</w:t>
            </w:r>
            <w:r>
              <w:rPr>
                <w:rFonts w:hint="eastAsia" w:hAnsi="宋体" w:cs="宋体"/>
                <w:color w:val="0000FF"/>
                <w:kern w:val="0"/>
                <w:sz w:val="22"/>
                <w:szCs w:val="22"/>
                <w:highlight w:val="none"/>
                <w:lang w:val="en-US" w:eastAsia="zh-CN"/>
              </w:rPr>
              <w:t>[须提供投标人为其在2025年06月至投标文件提交截止时间止任意1个月的依法缴纳社会保障资金的缴费凭证，项目负责人非投标人正式员工该项不予评分]</w:t>
            </w:r>
            <w:r>
              <w:rPr>
                <w:rFonts w:hint="eastAsia" w:hAnsi="宋体" w:cs="宋体"/>
                <w:color w:val="auto"/>
                <w:kern w:val="0"/>
                <w:sz w:val="22"/>
                <w:szCs w:val="22"/>
                <w:highlight w:val="none"/>
                <w:lang w:val="en-US" w:eastAsia="zh-CN"/>
              </w:rPr>
              <w:t>，并具有以下资格：</w:t>
            </w:r>
          </w:p>
          <w:p w14:paraId="1D68E3CA">
            <w:pPr>
              <w:pStyle w:val="12"/>
              <w:keepNext w:val="0"/>
              <w:keepLines w:val="0"/>
              <w:pageBreakBefore w:val="0"/>
              <w:numPr>
                <w:ilvl w:val="0"/>
                <w:numId w:val="6"/>
              </w:numPr>
              <w:kinsoku/>
              <w:wordWrap/>
              <w:overflowPunct/>
              <w:topLinePunct w:val="0"/>
              <w:autoSpaceDE/>
              <w:autoSpaceDN/>
              <w:bidi w:val="0"/>
              <w:adjustRightInd/>
              <w:snapToGrid/>
              <w:spacing w:line="430" w:lineRule="exact"/>
              <w:ind w:firstLine="440" w:firstLineChars="200"/>
              <w:jc w:val="left"/>
              <w:textAlignment w:val="auto"/>
              <w:rPr>
                <w:rFonts w:hint="eastAsia" w:hAnsi="宋体" w:cs="宋体"/>
                <w:color w:val="auto"/>
                <w:kern w:val="0"/>
                <w:sz w:val="22"/>
                <w:szCs w:val="22"/>
                <w:highlight w:val="none"/>
                <w:lang w:val="en-US" w:eastAsia="zh-CN"/>
              </w:rPr>
            </w:pPr>
            <w:r>
              <w:rPr>
                <w:rFonts w:hint="eastAsia" w:hAnsi="宋体" w:cs="宋体"/>
                <w:color w:val="auto"/>
                <w:kern w:val="0"/>
                <w:sz w:val="22"/>
                <w:szCs w:val="22"/>
                <w:highlight w:val="none"/>
                <w:lang w:val="en-US" w:eastAsia="zh-CN"/>
              </w:rPr>
              <w:t>具有中级以上职称（须为计算机或电子信息类或数控技术应用专业技术资格）并提供相关职称证书，</w:t>
            </w:r>
            <w:r>
              <w:rPr>
                <w:rFonts w:hint="eastAsia" w:hAnsi="宋体" w:cs="宋体"/>
                <w:color w:val="auto"/>
                <w:kern w:val="0"/>
                <w:sz w:val="22"/>
                <w:szCs w:val="22"/>
                <w:highlight w:val="none"/>
              </w:rPr>
              <w:t>得</w:t>
            </w:r>
            <w:r>
              <w:rPr>
                <w:rFonts w:hint="eastAsia" w:hAnsi="宋体" w:cs="宋体"/>
                <w:color w:val="auto"/>
                <w:kern w:val="0"/>
                <w:sz w:val="22"/>
                <w:szCs w:val="22"/>
                <w:highlight w:val="none"/>
                <w:lang w:val="en-US" w:eastAsia="zh-CN"/>
              </w:rPr>
              <w:t>5分。</w:t>
            </w:r>
          </w:p>
          <w:p w14:paraId="7EADC9F6">
            <w:pPr>
              <w:pStyle w:val="12"/>
              <w:keepNext w:val="0"/>
              <w:keepLines w:val="0"/>
              <w:pageBreakBefore w:val="0"/>
              <w:numPr>
                <w:ilvl w:val="0"/>
                <w:numId w:val="6"/>
              </w:numPr>
              <w:kinsoku/>
              <w:wordWrap/>
              <w:overflowPunct/>
              <w:topLinePunct w:val="0"/>
              <w:autoSpaceDE/>
              <w:autoSpaceDN/>
              <w:bidi w:val="0"/>
              <w:adjustRightInd/>
              <w:snapToGrid/>
              <w:spacing w:line="430" w:lineRule="exact"/>
              <w:ind w:firstLine="440" w:firstLineChars="200"/>
              <w:jc w:val="left"/>
              <w:textAlignment w:val="auto"/>
              <w:rPr>
                <w:rFonts w:hint="eastAsia" w:hAnsi="宋体" w:cs="宋体"/>
                <w:color w:val="auto"/>
                <w:kern w:val="0"/>
                <w:sz w:val="22"/>
                <w:szCs w:val="22"/>
                <w:highlight w:val="none"/>
                <w:lang w:eastAsia="zh-CN"/>
              </w:rPr>
            </w:pPr>
            <w:r>
              <w:rPr>
                <w:rFonts w:hint="eastAsia" w:hAnsi="宋体" w:cs="宋体"/>
                <w:color w:val="auto"/>
                <w:kern w:val="0"/>
                <w:sz w:val="22"/>
                <w:szCs w:val="22"/>
                <w:highlight w:val="none"/>
                <w:lang w:val="en-US" w:eastAsia="zh-CN"/>
              </w:rPr>
              <w:t>具有知识产权指导经验或申报成功经验（知识产权指导经验指获国家颁发的相关证书，如：知识产权师、专利代理师证书等；申报成功经验是指已经获得至少2项知识产权授权），</w:t>
            </w:r>
            <w:r>
              <w:rPr>
                <w:rFonts w:hint="eastAsia" w:hAnsi="宋体" w:cs="宋体"/>
                <w:color w:val="auto"/>
                <w:kern w:val="0"/>
                <w:sz w:val="22"/>
                <w:szCs w:val="22"/>
                <w:highlight w:val="none"/>
              </w:rPr>
              <w:t>得</w:t>
            </w:r>
            <w:r>
              <w:rPr>
                <w:rFonts w:hint="eastAsia" w:hAnsi="宋体" w:cs="宋体"/>
                <w:color w:val="auto"/>
                <w:kern w:val="0"/>
                <w:sz w:val="22"/>
                <w:szCs w:val="22"/>
                <w:highlight w:val="none"/>
                <w:lang w:val="en-US" w:eastAsia="zh-CN"/>
              </w:rPr>
              <w:t>5分。</w:t>
            </w:r>
          </w:p>
          <w:p w14:paraId="068277F9">
            <w:pPr>
              <w:keepNext w:val="0"/>
              <w:keepLines w:val="0"/>
              <w:pageBreakBefore w:val="0"/>
              <w:kinsoku/>
              <w:wordWrap/>
              <w:overflowPunct/>
              <w:topLinePunct w:val="0"/>
              <w:autoSpaceDE/>
              <w:autoSpaceDN/>
              <w:bidi w:val="0"/>
              <w:adjustRightInd/>
              <w:snapToGrid/>
              <w:spacing w:line="430" w:lineRule="exact"/>
              <w:textAlignment w:val="auto"/>
              <w:rPr>
                <w:rFonts w:hint="default"/>
                <w:color w:val="auto"/>
                <w:highlight w:val="none"/>
                <w:lang w:val="en-US" w:eastAsia="zh-CN"/>
              </w:rPr>
            </w:pPr>
            <w:r>
              <w:rPr>
                <w:rFonts w:hint="eastAsia" w:hAnsi="宋体" w:cs="宋体"/>
                <w:color w:val="auto"/>
                <w:kern w:val="0"/>
                <w:sz w:val="22"/>
                <w:szCs w:val="22"/>
                <w:highlight w:val="none"/>
                <w:lang w:val="en-US" w:eastAsia="zh-CN"/>
              </w:rPr>
              <w:t xml:space="preserve">    二、管理及培训团队要求</w:t>
            </w:r>
            <w:r>
              <w:rPr>
                <w:rFonts w:hint="eastAsia" w:hAnsi="宋体" w:cs="宋体"/>
                <w:color w:val="0000FF"/>
                <w:kern w:val="0"/>
                <w:sz w:val="22"/>
                <w:szCs w:val="22"/>
                <w:highlight w:val="none"/>
                <w:lang w:val="en-US" w:eastAsia="zh-CN"/>
              </w:rPr>
              <w:t>：</w:t>
            </w:r>
          </w:p>
          <w:p w14:paraId="69D56A4D">
            <w:pPr>
              <w:pStyle w:val="12"/>
              <w:keepNext w:val="0"/>
              <w:keepLines w:val="0"/>
              <w:pageBreakBefore w:val="0"/>
              <w:kinsoku/>
              <w:wordWrap/>
              <w:overflowPunct/>
              <w:topLinePunct w:val="0"/>
              <w:autoSpaceDE/>
              <w:autoSpaceDN/>
              <w:bidi w:val="0"/>
              <w:adjustRightInd/>
              <w:snapToGrid/>
              <w:spacing w:line="430" w:lineRule="exact"/>
              <w:ind w:firstLine="450"/>
              <w:jc w:val="left"/>
              <w:textAlignment w:val="auto"/>
              <w:rPr>
                <w:rFonts w:hAnsi="宋体" w:cs="宋体"/>
                <w:b/>
                <w:color w:val="auto"/>
                <w:sz w:val="22"/>
                <w:szCs w:val="22"/>
                <w:highlight w:val="none"/>
              </w:rPr>
            </w:pPr>
            <w:r>
              <w:rPr>
                <w:rFonts w:hint="eastAsia" w:hAnsi="宋体" w:cs="宋体"/>
                <w:color w:val="auto"/>
                <w:kern w:val="0"/>
                <w:sz w:val="22"/>
                <w:szCs w:val="22"/>
                <w:highlight w:val="none"/>
                <w:lang w:val="en-US" w:eastAsia="zh-CN"/>
              </w:rPr>
              <w:t>1.优（20分）：</w:t>
            </w:r>
            <w:r>
              <w:rPr>
                <w:rFonts w:hint="eastAsia" w:hAnsi="宋体" w:cs="宋体"/>
                <w:color w:val="auto"/>
                <w:kern w:val="0"/>
                <w:sz w:val="22"/>
                <w:szCs w:val="22"/>
                <w:highlight w:val="none"/>
              </w:rPr>
              <w:t>项目实施团队成员</w:t>
            </w:r>
            <w:r>
              <w:rPr>
                <w:rFonts w:hint="eastAsia" w:hAnsi="宋体" w:cs="宋体"/>
                <w:color w:val="auto"/>
                <w:kern w:val="0"/>
                <w:sz w:val="22"/>
                <w:szCs w:val="22"/>
                <w:highlight w:val="none"/>
                <w:lang w:val="en-US" w:eastAsia="zh-CN"/>
              </w:rPr>
              <w:t>具有“全国技术能手”</w:t>
            </w:r>
            <w:r>
              <w:rPr>
                <w:rFonts w:hint="eastAsia" w:hAnsi="宋体" w:cs="宋体"/>
                <w:color w:val="auto"/>
                <w:kern w:val="0"/>
                <w:sz w:val="22"/>
                <w:szCs w:val="22"/>
                <w:highlight w:val="none"/>
              </w:rPr>
              <w:t>≥</w:t>
            </w:r>
            <w:r>
              <w:rPr>
                <w:rFonts w:hint="eastAsia" w:hAnsi="宋体" w:cs="宋体"/>
                <w:color w:val="auto"/>
                <w:kern w:val="0"/>
                <w:sz w:val="22"/>
                <w:szCs w:val="22"/>
                <w:highlight w:val="none"/>
                <w:lang w:val="en-US" w:eastAsia="zh-CN"/>
              </w:rPr>
              <w:t>1人（必须为计算机或电子信息类或数控类相关），“</w:t>
            </w:r>
            <w:r>
              <w:rPr>
                <w:rFonts w:hint="eastAsia" w:hAnsi="宋体" w:cs="宋体"/>
                <w:color w:val="0000FF"/>
                <w:kern w:val="0"/>
                <w:sz w:val="22"/>
                <w:szCs w:val="22"/>
                <w:highlight w:val="none"/>
                <w:lang w:val="en-US" w:eastAsia="zh-CN"/>
              </w:rPr>
              <w:t>省级</w:t>
            </w:r>
            <w:r>
              <w:rPr>
                <w:rFonts w:hint="eastAsia" w:hAnsi="宋体" w:cs="宋体"/>
                <w:color w:val="auto"/>
                <w:kern w:val="0"/>
                <w:sz w:val="22"/>
                <w:szCs w:val="22"/>
                <w:highlight w:val="none"/>
                <w:lang w:val="en-US" w:eastAsia="zh-CN"/>
              </w:rPr>
              <w:t>技术能手”</w:t>
            </w:r>
            <w:r>
              <w:rPr>
                <w:rFonts w:hint="eastAsia" w:hAnsi="宋体" w:cs="宋体"/>
                <w:color w:val="auto"/>
                <w:kern w:val="0"/>
                <w:sz w:val="22"/>
                <w:szCs w:val="22"/>
                <w:highlight w:val="none"/>
              </w:rPr>
              <w:t>≥</w:t>
            </w:r>
            <w:r>
              <w:rPr>
                <w:rFonts w:hint="eastAsia" w:hAnsi="宋体" w:cs="宋体"/>
                <w:color w:val="auto"/>
                <w:kern w:val="0"/>
                <w:sz w:val="22"/>
                <w:szCs w:val="22"/>
                <w:highlight w:val="none"/>
                <w:lang w:val="en-US" w:eastAsia="zh-CN"/>
              </w:rPr>
              <w:t>3人（必须为计算机或电子信息类或数控类相关），正高级职称</w:t>
            </w:r>
            <w:r>
              <w:rPr>
                <w:rFonts w:hint="eastAsia" w:hAnsi="宋体" w:cs="宋体"/>
                <w:color w:val="auto"/>
                <w:kern w:val="0"/>
                <w:sz w:val="22"/>
                <w:szCs w:val="22"/>
                <w:highlight w:val="none"/>
              </w:rPr>
              <w:t>≥</w:t>
            </w:r>
            <w:r>
              <w:rPr>
                <w:rFonts w:hint="eastAsia" w:hAnsi="宋体" w:cs="宋体"/>
                <w:color w:val="auto"/>
                <w:kern w:val="0"/>
                <w:sz w:val="22"/>
                <w:szCs w:val="22"/>
                <w:highlight w:val="none"/>
                <w:lang w:val="en-US" w:eastAsia="zh-CN"/>
              </w:rPr>
              <w:t>4</w:t>
            </w:r>
            <w:r>
              <w:rPr>
                <w:rFonts w:hint="eastAsia" w:hAnsi="宋体" w:cs="宋体"/>
                <w:color w:val="auto"/>
                <w:kern w:val="0"/>
                <w:sz w:val="22"/>
                <w:szCs w:val="22"/>
                <w:highlight w:val="none"/>
              </w:rPr>
              <w:t>人，</w:t>
            </w:r>
            <w:r>
              <w:rPr>
                <w:rFonts w:hint="eastAsia" w:hAnsi="宋体" w:cs="宋体"/>
                <w:color w:val="auto"/>
                <w:kern w:val="0"/>
                <w:sz w:val="22"/>
                <w:szCs w:val="22"/>
                <w:highlight w:val="none"/>
                <w:lang w:val="en-US" w:eastAsia="zh-CN"/>
              </w:rPr>
              <w:t>副高级职称</w:t>
            </w:r>
            <w:r>
              <w:rPr>
                <w:rFonts w:hint="eastAsia" w:hAnsi="宋体" w:cs="宋体"/>
                <w:color w:val="auto"/>
                <w:kern w:val="0"/>
                <w:sz w:val="22"/>
                <w:szCs w:val="22"/>
                <w:highlight w:val="none"/>
              </w:rPr>
              <w:t>≥</w:t>
            </w:r>
            <w:r>
              <w:rPr>
                <w:rFonts w:hint="eastAsia" w:hAnsi="宋体" w:cs="宋体"/>
                <w:color w:val="auto"/>
                <w:kern w:val="0"/>
                <w:sz w:val="22"/>
                <w:szCs w:val="22"/>
                <w:highlight w:val="none"/>
                <w:lang w:val="en-US" w:eastAsia="zh-CN"/>
              </w:rPr>
              <w:t>4人，</w:t>
            </w:r>
            <w:r>
              <w:rPr>
                <w:rFonts w:hint="eastAsia" w:hAnsi="宋体" w:cs="宋体"/>
                <w:color w:val="auto"/>
                <w:kern w:val="0"/>
                <w:sz w:val="22"/>
                <w:szCs w:val="22"/>
                <w:highlight w:val="none"/>
              </w:rPr>
              <w:t>需</w:t>
            </w:r>
            <w:r>
              <w:rPr>
                <w:rFonts w:hint="eastAsia" w:hAnsi="宋体" w:cs="宋体"/>
                <w:color w:val="auto"/>
                <w:kern w:val="0"/>
                <w:sz w:val="22"/>
                <w:szCs w:val="22"/>
                <w:highlight w:val="none"/>
                <w:lang w:val="en-US" w:eastAsia="zh-CN"/>
              </w:rPr>
              <w:t>提供</w:t>
            </w:r>
            <w:r>
              <w:rPr>
                <w:rFonts w:cs="宋体"/>
                <w:color w:val="auto"/>
                <w:kern w:val="0"/>
                <w:sz w:val="22"/>
                <w:szCs w:val="22"/>
                <w:highlight w:val="none"/>
              </w:rPr>
              <w:t>相关的职称证</w:t>
            </w:r>
            <w:r>
              <w:rPr>
                <w:rFonts w:hint="eastAsia" w:cs="宋体"/>
                <w:color w:val="auto"/>
                <w:kern w:val="0"/>
                <w:sz w:val="22"/>
                <w:szCs w:val="22"/>
                <w:highlight w:val="none"/>
                <w:lang w:val="en-US" w:eastAsia="zh-CN"/>
              </w:rPr>
              <w:t>书、“全国技术能手”证书和“</w:t>
            </w:r>
            <w:r>
              <w:rPr>
                <w:rFonts w:hint="eastAsia" w:hAnsi="宋体" w:cs="宋体"/>
                <w:color w:val="0000FF"/>
                <w:kern w:val="0"/>
                <w:sz w:val="22"/>
                <w:szCs w:val="22"/>
                <w:highlight w:val="none"/>
                <w:lang w:val="en-US" w:eastAsia="zh-CN"/>
              </w:rPr>
              <w:t>省级</w:t>
            </w:r>
            <w:r>
              <w:rPr>
                <w:rFonts w:hint="eastAsia" w:cs="宋体"/>
                <w:color w:val="auto"/>
                <w:kern w:val="0"/>
                <w:sz w:val="22"/>
                <w:szCs w:val="22"/>
                <w:highlight w:val="none"/>
                <w:lang w:val="en-US" w:eastAsia="zh-CN"/>
              </w:rPr>
              <w:t>技术能手”证书</w:t>
            </w:r>
            <w:r>
              <w:rPr>
                <w:rFonts w:hint="eastAsia" w:hAnsi="宋体" w:cs="宋体"/>
                <w:color w:val="auto"/>
                <w:kern w:val="0"/>
                <w:sz w:val="22"/>
                <w:szCs w:val="22"/>
                <w:highlight w:val="none"/>
              </w:rPr>
              <w:t>，得</w:t>
            </w:r>
            <w:r>
              <w:rPr>
                <w:rFonts w:hint="eastAsia" w:hAnsi="宋体" w:cs="宋体"/>
                <w:color w:val="auto"/>
                <w:kern w:val="0"/>
                <w:sz w:val="22"/>
                <w:szCs w:val="22"/>
                <w:highlight w:val="none"/>
                <w:lang w:val="en-US" w:eastAsia="zh-CN"/>
              </w:rPr>
              <w:t>20</w:t>
            </w:r>
            <w:r>
              <w:rPr>
                <w:rFonts w:hint="eastAsia" w:hAnsi="宋体" w:cs="宋体"/>
                <w:color w:val="auto"/>
                <w:kern w:val="0"/>
                <w:sz w:val="22"/>
                <w:szCs w:val="22"/>
                <w:highlight w:val="none"/>
              </w:rPr>
              <w:t>分；</w:t>
            </w:r>
          </w:p>
          <w:p w14:paraId="58AFAB63">
            <w:pPr>
              <w:pStyle w:val="12"/>
              <w:keepNext w:val="0"/>
              <w:keepLines w:val="0"/>
              <w:pageBreakBefore w:val="0"/>
              <w:kinsoku/>
              <w:wordWrap/>
              <w:overflowPunct/>
              <w:topLinePunct w:val="0"/>
              <w:autoSpaceDE/>
              <w:autoSpaceDN/>
              <w:bidi w:val="0"/>
              <w:adjustRightInd/>
              <w:snapToGrid/>
              <w:spacing w:line="430" w:lineRule="exact"/>
              <w:ind w:firstLine="450"/>
              <w:jc w:val="left"/>
              <w:textAlignment w:val="auto"/>
              <w:rPr>
                <w:rFonts w:hint="eastAsia" w:hAnsi="宋体" w:cs="宋体"/>
                <w:color w:val="auto"/>
                <w:kern w:val="0"/>
                <w:sz w:val="22"/>
                <w:szCs w:val="22"/>
                <w:highlight w:val="none"/>
              </w:rPr>
            </w:pPr>
            <w:r>
              <w:rPr>
                <w:rFonts w:hint="eastAsia" w:hAnsi="宋体" w:cs="宋体"/>
                <w:color w:val="auto"/>
                <w:kern w:val="0"/>
                <w:sz w:val="22"/>
                <w:szCs w:val="22"/>
                <w:highlight w:val="none"/>
                <w:lang w:val="en-US" w:eastAsia="zh-CN"/>
              </w:rPr>
              <w:t>2.良（15分）：</w:t>
            </w:r>
            <w:r>
              <w:rPr>
                <w:rFonts w:hint="eastAsia" w:hAnsi="宋体" w:cs="宋体"/>
                <w:color w:val="auto"/>
                <w:kern w:val="0"/>
                <w:sz w:val="22"/>
                <w:szCs w:val="22"/>
                <w:highlight w:val="none"/>
              </w:rPr>
              <w:t>项目实施团队成员</w:t>
            </w:r>
            <w:r>
              <w:rPr>
                <w:rFonts w:hint="eastAsia" w:hAnsi="宋体" w:cs="宋体"/>
                <w:color w:val="auto"/>
                <w:kern w:val="0"/>
                <w:sz w:val="22"/>
                <w:szCs w:val="22"/>
                <w:highlight w:val="none"/>
                <w:lang w:val="en-US" w:eastAsia="zh-CN"/>
              </w:rPr>
              <w:t>具有“</w:t>
            </w:r>
            <w:r>
              <w:rPr>
                <w:rFonts w:hint="eastAsia" w:hAnsi="宋体" w:cs="宋体"/>
                <w:color w:val="0000FF"/>
                <w:kern w:val="0"/>
                <w:sz w:val="22"/>
                <w:szCs w:val="22"/>
                <w:highlight w:val="none"/>
                <w:lang w:val="en-US" w:eastAsia="zh-CN"/>
              </w:rPr>
              <w:t>省级</w:t>
            </w:r>
            <w:r>
              <w:rPr>
                <w:rFonts w:hint="eastAsia" w:hAnsi="宋体" w:cs="宋体"/>
                <w:color w:val="auto"/>
                <w:kern w:val="0"/>
                <w:sz w:val="22"/>
                <w:szCs w:val="22"/>
                <w:highlight w:val="none"/>
                <w:lang w:val="en-US" w:eastAsia="zh-CN"/>
              </w:rPr>
              <w:t>技术能手”</w:t>
            </w:r>
            <w:r>
              <w:rPr>
                <w:rFonts w:hint="eastAsia" w:hAnsi="宋体" w:cs="宋体"/>
                <w:color w:val="auto"/>
                <w:kern w:val="0"/>
                <w:sz w:val="22"/>
                <w:szCs w:val="22"/>
                <w:highlight w:val="none"/>
              </w:rPr>
              <w:t>≥</w:t>
            </w:r>
            <w:r>
              <w:rPr>
                <w:rFonts w:hint="eastAsia" w:hAnsi="宋体" w:cs="宋体"/>
                <w:color w:val="auto"/>
                <w:kern w:val="0"/>
                <w:sz w:val="22"/>
                <w:szCs w:val="22"/>
                <w:highlight w:val="none"/>
                <w:lang w:val="en-US" w:eastAsia="zh-CN"/>
              </w:rPr>
              <w:t>2人（必须为计算机或电子信息类或数控类相关），正高级职称</w:t>
            </w:r>
            <w:r>
              <w:rPr>
                <w:rFonts w:hint="eastAsia" w:hAnsi="宋体" w:cs="宋体"/>
                <w:color w:val="auto"/>
                <w:kern w:val="0"/>
                <w:sz w:val="22"/>
                <w:szCs w:val="22"/>
                <w:highlight w:val="none"/>
              </w:rPr>
              <w:t>≥</w:t>
            </w:r>
            <w:r>
              <w:rPr>
                <w:rFonts w:hint="eastAsia" w:hAnsi="宋体" w:cs="宋体"/>
                <w:color w:val="auto"/>
                <w:kern w:val="0"/>
                <w:sz w:val="22"/>
                <w:szCs w:val="22"/>
                <w:highlight w:val="none"/>
                <w:lang w:val="en-US" w:eastAsia="zh-CN"/>
              </w:rPr>
              <w:t>3</w:t>
            </w:r>
            <w:r>
              <w:rPr>
                <w:rFonts w:hint="eastAsia" w:hAnsi="宋体" w:cs="宋体"/>
                <w:color w:val="auto"/>
                <w:kern w:val="0"/>
                <w:sz w:val="22"/>
                <w:szCs w:val="22"/>
                <w:highlight w:val="none"/>
              </w:rPr>
              <w:t>人，</w:t>
            </w:r>
            <w:r>
              <w:rPr>
                <w:rFonts w:hint="eastAsia" w:hAnsi="宋体" w:cs="宋体"/>
                <w:color w:val="auto"/>
                <w:kern w:val="0"/>
                <w:sz w:val="22"/>
                <w:szCs w:val="22"/>
                <w:highlight w:val="none"/>
                <w:lang w:val="en-US" w:eastAsia="zh-CN"/>
              </w:rPr>
              <w:t>副高级职称</w:t>
            </w:r>
            <w:r>
              <w:rPr>
                <w:rFonts w:hint="eastAsia" w:hAnsi="宋体" w:cs="宋体"/>
                <w:color w:val="auto"/>
                <w:kern w:val="0"/>
                <w:sz w:val="22"/>
                <w:szCs w:val="22"/>
                <w:highlight w:val="none"/>
              </w:rPr>
              <w:t>≥</w:t>
            </w:r>
            <w:r>
              <w:rPr>
                <w:rFonts w:hint="eastAsia" w:hAnsi="宋体" w:cs="宋体"/>
                <w:color w:val="auto"/>
                <w:kern w:val="0"/>
                <w:sz w:val="22"/>
                <w:szCs w:val="22"/>
                <w:highlight w:val="none"/>
                <w:lang w:val="en-US" w:eastAsia="zh-CN"/>
              </w:rPr>
              <w:t>3人，</w:t>
            </w:r>
            <w:r>
              <w:rPr>
                <w:rFonts w:hint="eastAsia" w:hAnsi="宋体" w:cs="宋体"/>
                <w:color w:val="auto"/>
                <w:kern w:val="0"/>
                <w:sz w:val="22"/>
                <w:szCs w:val="22"/>
                <w:highlight w:val="none"/>
              </w:rPr>
              <w:t>需</w:t>
            </w:r>
            <w:r>
              <w:rPr>
                <w:rFonts w:hint="eastAsia" w:hAnsi="宋体" w:cs="宋体"/>
                <w:color w:val="auto"/>
                <w:kern w:val="0"/>
                <w:sz w:val="22"/>
                <w:szCs w:val="22"/>
                <w:highlight w:val="none"/>
                <w:lang w:val="en-US" w:eastAsia="zh-CN"/>
              </w:rPr>
              <w:t>提供</w:t>
            </w:r>
            <w:r>
              <w:rPr>
                <w:rFonts w:cs="宋体"/>
                <w:color w:val="auto"/>
                <w:kern w:val="0"/>
                <w:sz w:val="22"/>
                <w:szCs w:val="22"/>
                <w:highlight w:val="none"/>
              </w:rPr>
              <w:t>相关的职称证</w:t>
            </w:r>
            <w:r>
              <w:rPr>
                <w:rFonts w:hint="eastAsia" w:cs="宋体"/>
                <w:color w:val="auto"/>
                <w:kern w:val="0"/>
                <w:sz w:val="22"/>
                <w:szCs w:val="22"/>
                <w:highlight w:val="none"/>
                <w:lang w:val="en-US" w:eastAsia="zh-CN"/>
              </w:rPr>
              <w:t>书和“</w:t>
            </w:r>
            <w:r>
              <w:rPr>
                <w:rFonts w:hint="eastAsia" w:hAnsi="宋体" w:cs="宋体"/>
                <w:color w:val="0000FF"/>
                <w:kern w:val="0"/>
                <w:sz w:val="22"/>
                <w:szCs w:val="22"/>
                <w:highlight w:val="none"/>
                <w:lang w:val="en-US" w:eastAsia="zh-CN"/>
              </w:rPr>
              <w:t>省级</w:t>
            </w:r>
            <w:r>
              <w:rPr>
                <w:rFonts w:hint="eastAsia" w:cs="宋体"/>
                <w:color w:val="auto"/>
                <w:kern w:val="0"/>
                <w:sz w:val="22"/>
                <w:szCs w:val="22"/>
                <w:highlight w:val="none"/>
                <w:lang w:val="en-US" w:eastAsia="zh-CN"/>
              </w:rPr>
              <w:t>技术能手”证书</w:t>
            </w:r>
            <w:r>
              <w:rPr>
                <w:rFonts w:hint="eastAsia" w:hAnsi="宋体" w:cs="宋体"/>
                <w:color w:val="auto"/>
                <w:kern w:val="0"/>
                <w:sz w:val="22"/>
                <w:szCs w:val="22"/>
                <w:highlight w:val="none"/>
              </w:rPr>
              <w:t>，得</w:t>
            </w:r>
            <w:r>
              <w:rPr>
                <w:rFonts w:hint="eastAsia" w:hAnsi="宋体" w:cs="宋体"/>
                <w:color w:val="auto"/>
                <w:kern w:val="0"/>
                <w:sz w:val="22"/>
                <w:szCs w:val="22"/>
                <w:highlight w:val="none"/>
                <w:lang w:val="en-US" w:eastAsia="zh-CN"/>
              </w:rPr>
              <w:t>15</w:t>
            </w:r>
            <w:r>
              <w:rPr>
                <w:rFonts w:hint="eastAsia" w:hAnsi="宋体" w:cs="宋体"/>
                <w:color w:val="auto"/>
                <w:kern w:val="0"/>
                <w:sz w:val="22"/>
                <w:szCs w:val="22"/>
                <w:highlight w:val="none"/>
              </w:rPr>
              <w:t>分；</w:t>
            </w:r>
          </w:p>
          <w:p w14:paraId="255DD85C">
            <w:pPr>
              <w:pStyle w:val="12"/>
              <w:keepNext w:val="0"/>
              <w:keepLines w:val="0"/>
              <w:pageBreakBefore w:val="0"/>
              <w:kinsoku/>
              <w:wordWrap/>
              <w:overflowPunct/>
              <w:topLinePunct w:val="0"/>
              <w:autoSpaceDE/>
              <w:autoSpaceDN/>
              <w:bidi w:val="0"/>
              <w:adjustRightInd/>
              <w:snapToGrid/>
              <w:spacing w:line="430" w:lineRule="exact"/>
              <w:ind w:firstLine="450"/>
              <w:jc w:val="left"/>
              <w:textAlignment w:val="auto"/>
              <w:rPr>
                <w:rFonts w:hint="eastAsia" w:hAnsi="宋体" w:cs="宋体"/>
                <w:color w:val="auto"/>
                <w:kern w:val="0"/>
                <w:sz w:val="22"/>
                <w:szCs w:val="22"/>
                <w:highlight w:val="none"/>
              </w:rPr>
            </w:pPr>
            <w:r>
              <w:rPr>
                <w:rFonts w:hint="eastAsia" w:hAnsi="宋体" w:cs="宋体"/>
                <w:color w:val="auto"/>
                <w:kern w:val="0"/>
                <w:sz w:val="22"/>
                <w:szCs w:val="22"/>
                <w:highlight w:val="none"/>
                <w:lang w:val="en-US" w:eastAsia="zh-CN"/>
              </w:rPr>
              <w:t>3.中（10分）：</w:t>
            </w:r>
            <w:r>
              <w:rPr>
                <w:rFonts w:hint="eastAsia" w:hAnsi="宋体" w:cs="宋体"/>
                <w:color w:val="auto"/>
                <w:kern w:val="0"/>
                <w:sz w:val="22"/>
                <w:szCs w:val="22"/>
                <w:highlight w:val="none"/>
              </w:rPr>
              <w:t>项目实施团队成员</w:t>
            </w:r>
            <w:r>
              <w:rPr>
                <w:rFonts w:hint="eastAsia" w:hAnsi="宋体" w:cs="宋体"/>
                <w:color w:val="auto"/>
                <w:kern w:val="0"/>
                <w:sz w:val="22"/>
                <w:szCs w:val="22"/>
                <w:highlight w:val="none"/>
                <w:lang w:val="en-US" w:eastAsia="zh-CN"/>
              </w:rPr>
              <w:t>具有“</w:t>
            </w:r>
            <w:r>
              <w:rPr>
                <w:rFonts w:hint="eastAsia" w:hAnsi="宋体" w:cs="宋体"/>
                <w:color w:val="0000FF"/>
                <w:kern w:val="0"/>
                <w:sz w:val="22"/>
                <w:szCs w:val="22"/>
                <w:highlight w:val="none"/>
                <w:lang w:val="en-US" w:eastAsia="zh-CN"/>
              </w:rPr>
              <w:t>省级</w:t>
            </w:r>
            <w:r>
              <w:rPr>
                <w:rFonts w:hint="eastAsia" w:hAnsi="宋体" w:cs="宋体"/>
                <w:color w:val="auto"/>
                <w:kern w:val="0"/>
                <w:sz w:val="22"/>
                <w:szCs w:val="22"/>
                <w:highlight w:val="none"/>
                <w:lang w:val="en-US" w:eastAsia="zh-CN"/>
              </w:rPr>
              <w:t>技术能手”</w:t>
            </w:r>
            <w:r>
              <w:rPr>
                <w:rFonts w:hint="eastAsia" w:hAnsi="宋体" w:cs="宋体"/>
                <w:color w:val="auto"/>
                <w:kern w:val="0"/>
                <w:sz w:val="22"/>
                <w:szCs w:val="22"/>
                <w:highlight w:val="none"/>
              </w:rPr>
              <w:t>≥</w:t>
            </w:r>
            <w:r>
              <w:rPr>
                <w:rFonts w:hint="eastAsia" w:hAnsi="宋体" w:cs="宋体"/>
                <w:color w:val="auto"/>
                <w:kern w:val="0"/>
                <w:sz w:val="22"/>
                <w:szCs w:val="22"/>
                <w:highlight w:val="none"/>
                <w:lang w:val="en-US" w:eastAsia="zh-CN"/>
              </w:rPr>
              <w:t>1人（必须为计算机或电子信息类或数控类相关），正高级职称</w:t>
            </w:r>
            <w:r>
              <w:rPr>
                <w:rFonts w:hint="eastAsia" w:hAnsi="宋体" w:cs="宋体"/>
                <w:color w:val="auto"/>
                <w:kern w:val="0"/>
                <w:sz w:val="22"/>
                <w:szCs w:val="22"/>
                <w:highlight w:val="none"/>
              </w:rPr>
              <w:t>≥</w:t>
            </w:r>
            <w:r>
              <w:rPr>
                <w:rFonts w:hint="eastAsia" w:hAnsi="宋体" w:cs="宋体"/>
                <w:color w:val="auto"/>
                <w:kern w:val="0"/>
                <w:sz w:val="22"/>
                <w:szCs w:val="22"/>
                <w:highlight w:val="none"/>
                <w:lang w:val="en-US" w:eastAsia="zh-CN"/>
              </w:rPr>
              <w:t>2</w:t>
            </w:r>
            <w:r>
              <w:rPr>
                <w:rFonts w:hint="eastAsia" w:hAnsi="宋体" w:cs="宋体"/>
                <w:color w:val="auto"/>
                <w:kern w:val="0"/>
                <w:sz w:val="22"/>
                <w:szCs w:val="22"/>
                <w:highlight w:val="none"/>
              </w:rPr>
              <w:t>人，</w:t>
            </w:r>
            <w:r>
              <w:rPr>
                <w:rFonts w:hint="eastAsia" w:hAnsi="宋体" w:cs="宋体"/>
                <w:color w:val="auto"/>
                <w:kern w:val="0"/>
                <w:sz w:val="22"/>
                <w:szCs w:val="22"/>
                <w:highlight w:val="none"/>
                <w:lang w:val="en-US" w:eastAsia="zh-CN"/>
              </w:rPr>
              <w:t>副高级职称</w:t>
            </w:r>
            <w:r>
              <w:rPr>
                <w:rFonts w:hint="eastAsia" w:hAnsi="宋体" w:cs="宋体"/>
                <w:color w:val="auto"/>
                <w:kern w:val="0"/>
                <w:sz w:val="22"/>
                <w:szCs w:val="22"/>
                <w:highlight w:val="none"/>
              </w:rPr>
              <w:t>≥</w:t>
            </w:r>
            <w:r>
              <w:rPr>
                <w:rFonts w:hint="eastAsia" w:hAnsi="宋体" w:cs="宋体"/>
                <w:color w:val="auto"/>
                <w:kern w:val="0"/>
                <w:sz w:val="22"/>
                <w:szCs w:val="22"/>
                <w:highlight w:val="none"/>
                <w:lang w:val="en-US" w:eastAsia="zh-CN"/>
              </w:rPr>
              <w:t>2人，</w:t>
            </w:r>
            <w:r>
              <w:rPr>
                <w:rFonts w:hint="eastAsia" w:hAnsi="宋体" w:cs="宋体"/>
                <w:color w:val="auto"/>
                <w:kern w:val="0"/>
                <w:sz w:val="22"/>
                <w:szCs w:val="22"/>
                <w:highlight w:val="none"/>
              </w:rPr>
              <w:t>需</w:t>
            </w:r>
            <w:r>
              <w:rPr>
                <w:rFonts w:hint="eastAsia" w:hAnsi="宋体" w:cs="宋体"/>
                <w:color w:val="auto"/>
                <w:kern w:val="0"/>
                <w:sz w:val="22"/>
                <w:szCs w:val="22"/>
                <w:highlight w:val="none"/>
                <w:lang w:val="en-US" w:eastAsia="zh-CN"/>
              </w:rPr>
              <w:t>提供</w:t>
            </w:r>
            <w:r>
              <w:rPr>
                <w:rFonts w:cs="宋体"/>
                <w:color w:val="auto"/>
                <w:kern w:val="0"/>
                <w:sz w:val="22"/>
                <w:szCs w:val="22"/>
                <w:highlight w:val="none"/>
              </w:rPr>
              <w:t>相关的职称证</w:t>
            </w:r>
            <w:r>
              <w:rPr>
                <w:rFonts w:hint="eastAsia" w:cs="宋体"/>
                <w:color w:val="auto"/>
                <w:kern w:val="0"/>
                <w:sz w:val="22"/>
                <w:szCs w:val="22"/>
                <w:highlight w:val="none"/>
                <w:lang w:val="en-US" w:eastAsia="zh-CN"/>
              </w:rPr>
              <w:t>书和“</w:t>
            </w:r>
            <w:r>
              <w:rPr>
                <w:rFonts w:hint="eastAsia" w:hAnsi="宋体" w:cs="宋体"/>
                <w:color w:val="0000FF"/>
                <w:kern w:val="0"/>
                <w:sz w:val="22"/>
                <w:szCs w:val="22"/>
                <w:highlight w:val="none"/>
                <w:lang w:val="en-US" w:eastAsia="zh-CN"/>
              </w:rPr>
              <w:t>省级</w:t>
            </w:r>
            <w:r>
              <w:rPr>
                <w:rFonts w:hint="eastAsia" w:cs="宋体"/>
                <w:color w:val="auto"/>
                <w:kern w:val="0"/>
                <w:sz w:val="22"/>
                <w:szCs w:val="22"/>
                <w:highlight w:val="none"/>
                <w:lang w:val="en-US" w:eastAsia="zh-CN"/>
              </w:rPr>
              <w:t>技术能手”证书</w:t>
            </w:r>
            <w:r>
              <w:rPr>
                <w:rFonts w:hint="eastAsia" w:hAnsi="宋体" w:cs="宋体"/>
                <w:color w:val="auto"/>
                <w:kern w:val="0"/>
                <w:sz w:val="22"/>
                <w:szCs w:val="22"/>
                <w:highlight w:val="none"/>
              </w:rPr>
              <w:t>，得</w:t>
            </w:r>
            <w:r>
              <w:rPr>
                <w:rFonts w:hint="eastAsia" w:hAnsi="宋体" w:cs="宋体"/>
                <w:color w:val="auto"/>
                <w:kern w:val="0"/>
                <w:sz w:val="22"/>
                <w:szCs w:val="22"/>
                <w:highlight w:val="none"/>
                <w:lang w:val="en-US" w:eastAsia="zh-CN"/>
              </w:rPr>
              <w:t>10</w:t>
            </w:r>
            <w:r>
              <w:rPr>
                <w:rFonts w:hint="eastAsia" w:hAnsi="宋体" w:cs="宋体"/>
                <w:color w:val="auto"/>
                <w:kern w:val="0"/>
                <w:sz w:val="22"/>
                <w:szCs w:val="22"/>
                <w:highlight w:val="none"/>
              </w:rPr>
              <w:t>分；</w:t>
            </w:r>
          </w:p>
          <w:p w14:paraId="6DF1C15B">
            <w:pPr>
              <w:pStyle w:val="12"/>
              <w:keepNext w:val="0"/>
              <w:keepLines w:val="0"/>
              <w:pageBreakBefore w:val="0"/>
              <w:kinsoku/>
              <w:wordWrap/>
              <w:overflowPunct/>
              <w:topLinePunct w:val="0"/>
              <w:autoSpaceDE/>
              <w:autoSpaceDN/>
              <w:bidi w:val="0"/>
              <w:adjustRightInd/>
              <w:snapToGrid/>
              <w:spacing w:line="430" w:lineRule="exact"/>
              <w:ind w:firstLine="450"/>
              <w:jc w:val="left"/>
              <w:textAlignment w:val="auto"/>
              <w:rPr>
                <w:rFonts w:hint="eastAsia" w:hAnsi="宋体" w:cs="宋体"/>
                <w:color w:val="auto"/>
                <w:kern w:val="0"/>
                <w:sz w:val="22"/>
                <w:szCs w:val="22"/>
                <w:highlight w:val="none"/>
              </w:rPr>
            </w:pPr>
            <w:r>
              <w:rPr>
                <w:rFonts w:hint="eastAsia" w:hAnsi="宋体" w:cs="宋体"/>
                <w:color w:val="auto"/>
                <w:kern w:val="0"/>
                <w:sz w:val="22"/>
                <w:szCs w:val="22"/>
                <w:highlight w:val="none"/>
                <w:lang w:val="en-US" w:eastAsia="zh-CN"/>
              </w:rPr>
              <w:t>4.差（5分）：</w:t>
            </w:r>
            <w:r>
              <w:rPr>
                <w:rFonts w:hint="eastAsia" w:hAnsi="宋体" w:cs="宋体"/>
                <w:color w:val="auto"/>
                <w:kern w:val="0"/>
                <w:sz w:val="22"/>
                <w:szCs w:val="22"/>
                <w:highlight w:val="none"/>
              </w:rPr>
              <w:t>项目实施团队成员</w:t>
            </w:r>
            <w:r>
              <w:rPr>
                <w:rFonts w:hint="eastAsia" w:hAnsi="宋体" w:cs="宋体"/>
                <w:color w:val="auto"/>
                <w:kern w:val="0"/>
                <w:sz w:val="22"/>
                <w:szCs w:val="22"/>
                <w:highlight w:val="none"/>
                <w:lang w:val="en-US" w:eastAsia="zh-CN"/>
              </w:rPr>
              <w:t>具有正高级职称</w:t>
            </w:r>
            <w:r>
              <w:rPr>
                <w:rFonts w:hint="eastAsia" w:hAnsi="宋体" w:cs="宋体"/>
                <w:color w:val="auto"/>
                <w:kern w:val="0"/>
                <w:sz w:val="22"/>
                <w:szCs w:val="22"/>
                <w:highlight w:val="none"/>
              </w:rPr>
              <w:t>≥</w:t>
            </w:r>
            <w:r>
              <w:rPr>
                <w:rFonts w:hint="eastAsia" w:hAnsi="宋体" w:cs="宋体"/>
                <w:color w:val="auto"/>
                <w:kern w:val="0"/>
                <w:sz w:val="22"/>
                <w:szCs w:val="22"/>
                <w:highlight w:val="none"/>
                <w:lang w:val="en-US" w:eastAsia="zh-CN"/>
              </w:rPr>
              <w:t>1</w:t>
            </w:r>
            <w:r>
              <w:rPr>
                <w:rFonts w:hint="eastAsia" w:hAnsi="宋体" w:cs="宋体"/>
                <w:color w:val="auto"/>
                <w:kern w:val="0"/>
                <w:sz w:val="22"/>
                <w:szCs w:val="22"/>
                <w:highlight w:val="none"/>
              </w:rPr>
              <w:t>人，</w:t>
            </w:r>
            <w:r>
              <w:rPr>
                <w:rFonts w:hint="eastAsia" w:hAnsi="宋体" w:cs="宋体"/>
                <w:color w:val="auto"/>
                <w:kern w:val="0"/>
                <w:sz w:val="22"/>
                <w:szCs w:val="22"/>
                <w:highlight w:val="none"/>
                <w:lang w:val="en-US" w:eastAsia="zh-CN"/>
              </w:rPr>
              <w:t>副高级职称</w:t>
            </w:r>
            <w:r>
              <w:rPr>
                <w:rFonts w:hint="eastAsia" w:hAnsi="宋体" w:cs="宋体"/>
                <w:color w:val="auto"/>
                <w:kern w:val="0"/>
                <w:sz w:val="22"/>
                <w:szCs w:val="22"/>
                <w:highlight w:val="none"/>
              </w:rPr>
              <w:t>≥</w:t>
            </w:r>
            <w:r>
              <w:rPr>
                <w:rFonts w:hint="eastAsia" w:hAnsi="宋体" w:cs="宋体"/>
                <w:color w:val="auto"/>
                <w:kern w:val="0"/>
                <w:sz w:val="22"/>
                <w:szCs w:val="22"/>
                <w:highlight w:val="none"/>
                <w:lang w:val="en-US" w:eastAsia="zh-CN"/>
              </w:rPr>
              <w:t>1人，无职称</w:t>
            </w:r>
            <w:r>
              <w:rPr>
                <w:rFonts w:hint="eastAsia" w:hAnsi="宋体" w:cs="宋体"/>
                <w:color w:val="auto"/>
                <w:kern w:val="0"/>
                <w:sz w:val="22"/>
                <w:szCs w:val="22"/>
                <w:highlight w:val="none"/>
              </w:rPr>
              <w:t>管理人员≥</w:t>
            </w:r>
            <w:r>
              <w:rPr>
                <w:rFonts w:hint="eastAsia" w:hAnsi="宋体" w:cs="宋体"/>
                <w:color w:val="auto"/>
                <w:kern w:val="0"/>
                <w:sz w:val="22"/>
                <w:szCs w:val="22"/>
                <w:highlight w:val="none"/>
                <w:lang w:val="en-US" w:eastAsia="zh-CN"/>
              </w:rPr>
              <w:t>2</w:t>
            </w:r>
            <w:r>
              <w:rPr>
                <w:rFonts w:hint="eastAsia" w:hAnsi="宋体" w:cs="宋体"/>
                <w:color w:val="auto"/>
                <w:kern w:val="0"/>
                <w:sz w:val="22"/>
                <w:szCs w:val="22"/>
                <w:highlight w:val="none"/>
              </w:rPr>
              <w:t>人，需</w:t>
            </w:r>
            <w:r>
              <w:rPr>
                <w:rFonts w:hint="eastAsia" w:hAnsi="宋体" w:cs="宋体"/>
                <w:color w:val="auto"/>
                <w:kern w:val="0"/>
                <w:sz w:val="22"/>
                <w:szCs w:val="22"/>
                <w:highlight w:val="none"/>
                <w:lang w:val="en-US" w:eastAsia="zh-CN"/>
              </w:rPr>
              <w:t>提供</w:t>
            </w:r>
            <w:r>
              <w:rPr>
                <w:rFonts w:cs="宋体"/>
                <w:color w:val="auto"/>
                <w:kern w:val="0"/>
                <w:sz w:val="22"/>
                <w:szCs w:val="22"/>
                <w:highlight w:val="none"/>
              </w:rPr>
              <w:t>相关的职称证</w:t>
            </w:r>
            <w:r>
              <w:rPr>
                <w:rFonts w:hint="eastAsia" w:cs="宋体"/>
                <w:color w:val="auto"/>
                <w:kern w:val="0"/>
                <w:sz w:val="22"/>
                <w:szCs w:val="22"/>
                <w:highlight w:val="none"/>
                <w:lang w:val="en-US" w:eastAsia="zh-CN"/>
              </w:rPr>
              <w:t>书</w:t>
            </w:r>
            <w:r>
              <w:rPr>
                <w:rFonts w:hint="eastAsia" w:hAnsi="宋体" w:cs="宋体"/>
                <w:color w:val="auto"/>
                <w:kern w:val="0"/>
                <w:sz w:val="22"/>
                <w:szCs w:val="22"/>
                <w:highlight w:val="none"/>
              </w:rPr>
              <w:t>，得</w:t>
            </w:r>
            <w:r>
              <w:rPr>
                <w:rFonts w:hint="eastAsia" w:hAnsi="宋体" w:cs="宋体"/>
                <w:color w:val="auto"/>
                <w:kern w:val="0"/>
                <w:sz w:val="22"/>
                <w:szCs w:val="22"/>
                <w:highlight w:val="none"/>
                <w:lang w:val="en-US" w:eastAsia="zh-CN"/>
              </w:rPr>
              <w:t>5</w:t>
            </w:r>
            <w:r>
              <w:rPr>
                <w:rFonts w:hint="eastAsia" w:hAnsi="宋体" w:cs="宋体"/>
                <w:color w:val="auto"/>
                <w:kern w:val="0"/>
                <w:sz w:val="22"/>
                <w:szCs w:val="22"/>
                <w:highlight w:val="none"/>
              </w:rPr>
              <w:t>分；</w:t>
            </w:r>
          </w:p>
          <w:p w14:paraId="448C7B95">
            <w:pPr>
              <w:rPr>
                <w:rFonts w:hint="default" w:eastAsia="宋体"/>
                <w:color w:val="auto"/>
                <w:highlight w:val="none"/>
                <w:lang w:val="en-US" w:eastAsia="zh-CN"/>
              </w:rPr>
            </w:pPr>
            <w:r>
              <w:rPr>
                <w:rFonts w:hint="eastAsia" w:hAnsi="宋体" w:cs="宋体"/>
                <w:color w:val="auto"/>
                <w:kern w:val="0"/>
                <w:sz w:val="22"/>
                <w:szCs w:val="22"/>
                <w:highlight w:val="none"/>
                <w:lang w:val="en-US" w:eastAsia="zh-CN"/>
              </w:rPr>
              <w:t xml:space="preserve">    5.以上都不满足，得0分。</w:t>
            </w:r>
          </w:p>
        </w:tc>
        <w:tc>
          <w:tcPr>
            <w:tcW w:w="814" w:type="dxa"/>
            <w:noWrap w:val="0"/>
            <w:vAlign w:val="center"/>
          </w:tcPr>
          <w:p w14:paraId="29168A0D">
            <w:pPr>
              <w:snapToGrid w:val="0"/>
              <w:spacing w:line="400" w:lineRule="exact"/>
              <w:jc w:val="left"/>
              <w:rPr>
                <w:rFonts w:hint="default" w:ascii="宋体" w:hAnsi="宋体" w:eastAsia="宋体" w:cs="宋体"/>
                <w:b w:val="0"/>
                <w:bCs w:val="0"/>
                <w:color w:val="auto"/>
                <w:sz w:val="22"/>
                <w:szCs w:val="22"/>
                <w:highlight w:val="none"/>
                <w:lang w:val="en-US" w:eastAsia="zh-CN"/>
              </w:rPr>
            </w:pPr>
            <w:r>
              <w:rPr>
                <w:rFonts w:hint="eastAsia" w:ascii="宋体" w:hAnsi="宋体" w:cs="宋体"/>
                <w:b w:val="0"/>
                <w:bCs w:val="0"/>
                <w:color w:val="auto"/>
                <w:sz w:val="22"/>
                <w:szCs w:val="22"/>
                <w:highlight w:val="none"/>
                <w:lang w:val="en-US" w:eastAsia="zh-CN"/>
              </w:rPr>
              <w:t xml:space="preserve"> 30分</w:t>
            </w:r>
          </w:p>
        </w:tc>
      </w:tr>
      <w:tr w14:paraId="333078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1" w:hRule="atLeast"/>
          <w:jc w:val="center"/>
        </w:trPr>
        <w:tc>
          <w:tcPr>
            <w:tcW w:w="721" w:type="dxa"/>
            <w:noWrap w:val="0"/>
            <w:vAlign w:val="center"/>
          </w:tcPr>
          <w:p w14:paraId="2D625A0B">
            <w:pPr>
              <w:widowControl/>
              <w:spacing w:line="400" w:lineRule="exact"/>
              <w:jc w:val="center"/>
              <w:rPr>
                <w:rFonts w:hint="eastAsia" w:ascii="宋体" w:hAnsi="宋体" w:eastAsia="宋体" w:cs="宋体"/>
                <w:b/>
                <w:bCs/>
                <w:color w:val="auto"/>
                <w:kern w:val="0"/>
                <w:sz w:val="22"/>
                <w:szCs w:val="22"/>
                <w:highlight w:val="none"/>
                <w:lang w:val="en-US" w:eastAsia="zh-CN"/>
              </w:rPr>
            </w:pPr>
            <w:r>
              <w:rPr>
                <w:rFonts w:hint="eastAsia" w:ascii="宋体" w:hAnsi="宋体" w:eastAsia="宋体" w:cs="宋体"/>
                <w:b/>
                <w:bCs/>
                <w:color w:val="auto"/>
                <w:kern w:val="0"/>
                <w:sz w:val="22"/>
                <w:szCs w:val="22"/>
                <w:highlight w:val="none"/>
                <w:lang w:val="en-US" w:eastAsia="zh-CN"/>
              </w:rPr>
              <w:t>3</w:t>
            </w:r>
          </w:p>
        </w:tc>
        <w:tc>
          <w:tcPr>
            <w:tcW w:w="1327" w:type="dxa"/>
            <w:noWrap w:val="0"/>
            <w:vAlign w:val="center"/>
          </w:tcPr>
          <w:p w14:paraId="347F3296">
            <w:pPr>
              <w:widowControl/>
              <w:spacing w:line="400" w:lineRule="exact"/>
              <w:jc w:val="center"/>
              <w:rPr>
                <w:rFonts w:hint="eastAsia" w:ascii="宋体" w:hAnsi="宋体" w:eastAsia="宋体" w:cs="宋体"/>
                <w:b/>
                <w:bCs/>
                <w:color w:val="auto"/>
                <w:kern w:val="0"/>
                <w:sz w:val="22"/>
                <w:szCs w:val="22"/>
                <w:highlight w:val="none"/>
                <w:lang w:eastAsia="zh-CN"/>
              </w:rPr>
            </w:pPr>
            <w:r>
              <w:rPr>
                <w:rFonts w:hint="eastAsia" w:ascii="宋体" w:hAnsi="宋体" w:eastAsia="宋体" w:cs="宋体"/>
                <w:b/>
                <w:bCs/>
                <w:color w:val="auto"/>
                <w:kern w:val="0"/>
                <w:sz w:val="22"/>
                <w:szCs w:val="22"/>
                <w:highlight w:val="none"/>
                <w:lang w:val="en-US" w:eastAsia="zh-CN"/>
              </w:rPr>
              <w:t xml:space="preserve"> 商务分</w:t>
            </w:r>
          </w:p>
        </w:tc>
        <w:tc>
          <w:tcPr>
            <w:tcW w:w="6915" w:type="dxa"/>
            <w:noWrap w:val="0"/>
            <w:vAlign w:val="center"/>
          </w:tcPr>
          <w:p w14:paraId="2EABB384">
            <w:pPr>
              <w:widowControl/>
              <w:spacing w:line="400" w:lineRule="exact"/>
              <w:jc w:val="center"/>
              <w:rPr>
                <w:rFonts w:hint="eastAsia" w:ascii="宋体" w:hAnsi="宋体" w:eastAsia="宋体" w:cs="宋体"/>
                <w:b/>
                <w:bCs/>
                <w:color w:val="auto"/>
                <w:kern w:val="0"/>
                <w:sz w:val="22"/>
                <w:szCs w:val="22"/>
                <w:highlight w:val="none"/>
                <w:lang w:eastAsia="zh-CN"/>
              </w:rPr>
            </w:pPr>
            <w:r>
              <w:rPr>
                <w:rFonts w:hint="eastAsia" w:ascii="宋体" w:hAnsi="宋体" w:eastAsia="宋体" w:cs="宋体"/>
                <w:b/>
                <w:bCs/>
                <w:color w:val="auto"/>
                <w:kern w:val="0"/>
                <w:sz w:val="22"/>
                <w:szCs w:val="22"/>
                <w:highlight w:val="none"/>
              </w:rPr>
              <w:t>评审因素</w:t>
            </w:r>
          </w:p>
        </w:tc>
        <w:tc>
          <w:tcPr>
            <w:tcW w:w="814" w:type="dxa"/>
            <w:noWrap w:val="0"/>
            <w:vAlign w:val="center"/>
          </w:tcPr>
          <w:p w14:paraId="77727BC0">
            <w:pPr>
              <w:widowControl/>
              <w:spacing w:line="400" w:lineRule="exact"/>
              <w:jc w:val="center"/>
              <w:rPr>
                <w:rFonts w:hint="eastAsia" w:ascii="宋体" w:hAnsi="宋体" w:eastAsia="宋体" w:cs="宋体"/>
                <w:b/>
                <w:bCs/>
                <w:color w:val="auto"/>
                <w:kern w:val="0"/>
                <w:sz w:val="22"/>
                <w:szCs w:val="22"/>
                <w:highlight w:val="none"/>
                <w:lang w:val="en-US" w:eastAsia="zh-CN"/>
              </w:rPr>
            </w:pPr>
            <w:r>
              <w:rPr>
                <w:rFonts w:hint="eastAsia" w:ascii="宋体" w:hAnsi="宋体" w:cs="宋体"/>
                <w:b/>
                <w:bCs/>
                <w:color w:val="auto"/>
                <w:kern w:val="0"/>
                <w:sz w:val="22"/>
                <w:szCs w:val="22"/>
                <w:highlight w:val="none"/>
                <w:lang w:val="en-US" w:eastAsia="zh-CN"/>
              </w:rPr>
              <w:t>15</w:t>
            </w:r>
            <w:r>
              <w:rPr>
                <w:rFonts w:hint="eastAsia" w:ascii="宋体" w:hAnsi="宋体" w:eastAsia="宋体" w:cs="宋体"/>
                <w:b/>
                <w:bCs/>
                <w:color w:val="auto"/>
                <w:kern w:val="0"/>
                <w:sz w:val="22"/>
                <w:szCs w:val="22"/>
                <w:highlight w:val="none"/>
                <w:lang w:val="en-US" w:eastAsia="zh-CN"/>
              </w:rPr>
              <w:t xml:space="preserve">分 </w:t>
            </w:r>
          </w:p>
        </w:tc>
      </w:tr>
      <w:tr w14:paraId="5F172E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4" w:hRule="atLeast"/>
          <w:jc w:val="center"/>
        </w:trPr>
        <w:tc>
          <w:tcPr>
            <w:tcW w:w="721" w:type="dxa"/>
            <w:noWrap w:val="0"/>
            <w:vAlign w:val="center"/>
          </w:tcPr>
          <w:p w14:paraId="6E211C62">
            <w:pPr>
              <w:snapToGrid w:val="0"/>
              <w:spacing w:line="400" w:lineRule="exact"/>
              <w:jc w:val="left"/>
              <w:rPr>
                <w:rFonts w:hint="eastAsia" w:ascii="宋体" w:hAnsi="宋体" w:eastAsia="宋体" w:cs="宋体"/>
                <w:b w:val="0"/>
                <w:bCs w:val="0"/>
                <w:color w:val="auto"/>
                <w:sz w:val="22"/>
                <w:szCs w:val="22"/>
                <w:highlight w:val="none"/>
                <w:lang w:val="en-US" w:eastAsia="zh-CN"/>
              </w:rPr>
            </w:pPr>
            <w:r>
              <w:rPr>
                <w:rFonts w:hint="eastAsia" w:ascii="宋体" w:hAnsi="宋体" w:eastAsia="宋体" w:cs="宋体"/>
                <w:b w:val="0"/>
                <w:bCs w:val="0"/>
                <w:color w:val="auto"/>
                <w:sz w:val="22"/>
                <w:szCs w:val="22"/>
                <w:highlight w:val="none"/>
                <w:lang w:val="en-US" w:eastAsia="zh-CN"/>
              </w:rPr>
              <w:t>3.1</w:t>
            </w:r>
          </w:p>
        </w:tc>
        <w:tc>
          <w:tcPr>
            <w:tcW w:w="1327" w:type="dxa"/>
            <w:noWrap w:val="0"/>
            <w:vAlign w:val="center"/>
          </w:tcPr>
          <w:p w14:paraId="58F73607">
            <w:pPr>
              <w:snapToGrid w:val="0"/>
              <w:spacing w:line="400" w:lineRule="exact"/>
              <w:jc w:val="center"/>
              <w:rPr>
                <w:rFonts w:hint="eastAsia" w:ascii="宋体" w:hAnsi="宋体" w:eastAsia="宋体" w:cs="宋体"/>
                <w:b w:val="0"/>
                <w:bCs w:val="0"/>
                <w:color w:val="auto"/>
                <w:sz w:val="22"/>
                <w:szCs w:val="22"/>
                <w:highlight w:val="none"/>
                <w:lang w:eastAsia="zh-CN"/>
              </w:rPr>
            </w:pPr>
            <w:r>
              <w:rPr>
                <w:rFonts w:hint="eastAsia" w:ascii="宋体" w:hAnsi="宋体" w:cs="宋体"/>
                <w:b w:val="0"/>
                <w:bCs w:val="0"/>
                <w:color w:val="auto"/>
                <w:sz w:val="22"/>
                <w:szCs w:val="22"/>
                <w:highlight w:val="none"/>
                <w:lang w:val="en-US" w:eastAsia="zh-CN"/>
              </w:rPr>
              <w:t xml:space="preserve"> </w:t>
            </w:r>
            <w:r>
              <w:rPr>
                <w:rFonts w:hint="eastAsia" w:ascii="宋体" w:hAnsi="宋体"/>
                <w:b/>
                <w:bCs/>
                <w:color w:val="auto"/>
                <w:sz w:val="22"/>
                <w:szCs w:val="22"/>
                <w:highlight w:val="none"/>
              </w:rPr>
              <w:t>综合实力分</w:t>
            </w:r>
          </w:p>
        </w:tc>
        <w:tc>
          <w:tcPr>
            <w:tcW w:w="6915" w:type="dxa"/>
            <w:noWrap w:val="0"/>
            <w:vAlign w:val="center"/>
          </w:tcPr>
          <w:p w14:paraId="7674C712">
            <w:pPr>
              <w:keepNext w:val="0"/>
              <w:keepLines w:val="0"/>
              <w:pageBreakBefore w:val="0"/>
              <w:kinsoku/>
              <w:wordWrap/>
              <w:overflowPunct/>
              <w:topLinePunct w:val="0"/>
              <w:autoSpaceDE/>
              <w:autoSpaceDN/>
              <w:bidi w:val="0"/>
              <w:adjustRightInd/>
              <w:spacing w:line="380" w:lineRule="exact"/>
              <w:ind w:firstLine="440" w:firstLineChars="200"/>
              <w:jc w:val="left"/>
              <w:textAlignment w:val="auto"/>
              <w:rPr>
                <w:rStyle w:val="37"/>
                <w:rFonts w:hint="eastAsia" w:ascii="宋体" w:hAnsi="宋体" w:eastAsia="宋体" w:cs="宋体"/>
                <w:b w:val="0"/>
                <w:bCs w:val="0"/>
                <w:color w:val="auto"/>
                <w:sz w:val="22"/>
                <w:szCs w:val="22"/>
                <w:highlight w:val="none"/>
              </w:rPr>
            </w:pPr>
            <w:r>
              <w:rPr>
                <w:rFonts w:hint="eastAsia" w:ascii="宋体" w:hAnsi="宋体" w:cs="宋体"/>
                <w:color w:val="auto"/>
                <w:sz w:val="22"/>
                <w:szCs w:val="22"/>
                <w:highlight w:val="none"/>
              </w:rPr>
              <w:t>（1）</w:t>
            </w:r>
            <w:r>
              <w:rPr>
                <w:rFonts w:hint="eastAsia" w:ascii="宋体" w:hAnsi="宋体" w:cs="宋体"/>
                <w:color w:val="auto"/>
                <w:sz w:val="22"/>
                <w:szCs w:val="22"/>
                <w:highlight w:val="none"/>
                <w:lang w:eastAsia="zh-CN"/>
              </w:rPr>
              <w:t>投标人</w:t>
            </w:r>
            <w:r>
              <w:rPr>
                <w:rFonts w:hint="eastAsia" w:hAnsi="宋体" w:cs="宋体"/>
                <w:color w:val="auto"/>
                <w:sz w:val="22"/>
                <w:szCs w:val="22"/>
                <w:highlight w:val="none"/>
                <w:lang w:val="en-US" w:eastAsia="zh-CN"/>
              </w:rPr>
              <w:t>服务团队成员获得职业教育教师教学创新团队立项</w:t>
            </w:r>
            <w:r>
              <w:rPr>
                <w:rFonts w:hint="eastAsia" w:ascii="宋体" w:hAnsi="宋体" w:eastAsia="宋体" w:cs="宋体"/>
                <w:color w:val="auto"/>
                <w:kern w:val="0"/>
                <w:sz w:val="22"/>
                <w:szCs w:val="22"/>
                <w:highlight w:val="none"/>
                <w:lang w:eastAsia="zh-CN"/>
              </w:rPr>
              <w:t>的</w:t>
            </w:r>
            <w:r>
              <w:rPr>
                <w:rFonts w:hint="eastAsia" w:ascii="宋体" w:hAnsi="宋体" w:eastAsia="宋体" w:cs="宋体"/>
                <w:color w:val="auto"/>
                <w:kern w:val="0"/>
                <w:sz w:val="22"/>
                <w:szCs w:val="22"/>
                <w:highlight w:val="none"/>
              </w:rPr>
              <w:t>，提供国家级教育部门</w:t>
            </w:r>
            <w:r>
              <w:rPr>
                <w:rFonts w:hint="eastAsia" w:hAnsi="宋体" w:cs="宋体"/>
                <w:color w:val="auto"/>
                <w:sz w:val="22"/>
                <w:szCs w:val="22"/>
                <w:highlight w:val="none"/>
                <w:lang w:val="en-US" w:eastAsia="zh-CN"/>
              </w:rPr>
              <w:t>职业教育教师教学创新团队立项证明</w:t>
            </w:r>
            <w:r>
              <w:rPr>
                <w:rFonts w:hint="eastAsia" w:ascii="宋体" w:hAnsi="宋体" w:eastAsia="宋体" w:cs="宋体"/>
                <w:color w:val="auto"/>
                <w:kern w:val="0"/>
                <w:sz w:val="22"/>
                <w:szCs w:val="22"/>
                <w:highlight w:val="none"/>
              </w:rPr>
              <w:t>得</w:t>
            </w:r>
            <w:r>
              <w:rPr>
                <w:rFonts w:hint="eastAsia" w:hAnsi="宋体" w:cs="宋体"/>
                <w:color w:val="auto"/>
                <w:kern w:val="0"/>
                <w:sz w:val="22"/>
                <w:szCs w:val="22"/>
                <w:highlight w:val="none"/>
                <w:lang w:val="en-US" w:eastAsia="zh-CN"/>
              </w:rPr>
              <w:t>5</w:t>
            </w:r>
            <w:r>
              <w:rPr>
                <w:rFonts w:hint="eastAsia" w:ascii="宋体" w:hAnsi="宋体" w:eastAsia="宋体" w:cs="宋体"/>
                <w:color w:val="auto"/>
                <w:kern w:val="0"/>
                <w:sz w:val="22"/>
                <w:szCs w:val="22"/>
                <w:highlight w:val="none"/>
              </w:rPr>
              <w:t>分</w:t>
            </w:r>
            <w:r>
              <w:rPr>
                <w:rFonts w:hint="eastAsia" w:ascii="宋体" w:hAnsi="宋体" w:eastAsia="宋体" w:cs="宋体"/>
                <w:color w:val="auto"/>
                <w:kern w:val="0"/>
                <w:sz w:val="22"/>
                <w:szCs w:val="22"/>
                <w:highlight w:val="none"/>
                <w:lang w:eastAsia="zh-CN"/>
              </w:rPr>
              <w:t>；</w:t>
            </w:r>
            <w:r>
              <w:rPr>
                <w:rFonts w:hint="eastAsia" w:ascii="宋体" w:hAnsi="宋体" w:eastAsia="宋体" w:cs="宋体"/>
                <w:color w:val="auto"/>
                <w:kern w:val="0"/>
                <w:sz w:val="22"/>
                <w:szCs w:val="22"/>
                <w:highlight w:val="none"/>
              </w:rPr>
              <w:t>提供省级教育部门</w:t>
            </w:r>
            <w:r>
              <w:rPr>
                <w:rFonts w:hint="eastAsia" w:hAnsi="宋体" w:cs="宋体"/>
                <w:color w:val="auto"/>
                <w:sz w:val="22"/>
                <w:szCs w:val="22"/>
                <w:highlight w:val="none"/>
                <w:lang w:val="en-US" w:eastAsia="zh-CN"/>
              </w:rPr>
              <w:t>职业教育教师教学创新团队立项证明</w:t>
            </w:r>
            <w:r>
              <w:rPr>
                <w:rFonts w:hint="eastAsia" w:ascii="宋体" w:hAnsi="宋体" w:eastAsia="宋体" w:cs="宋体"/>
                <w:color w:val="auto"/>
                <w:kern w:val="0"/>
                <w:sz w:val="22"/>
                <w:szCs w:val="22"/>
                <w:highlight w:val="none"/>
              </w:rPr>
              <w:t>得</w:t>
            </w:r>
            <w:r>
              <w:rPr>
                <w:rFonts w:hint="eastAsia" w:hAnsi="宋体" w:cs="宋体"/>
                <w:color w:val="auto"/>
                <w:kern w:val="0"/>
                <w:sz w:val="22"/>
                <w:szCs w:val="22"/>
                <w:highlight w:val="none"/>
                <w:lang w:val="en-US" w:eastAsia="zh-CN"/>
              </w:rPr>
              <w:t>3</w:t>
            </w:r>
            <w:r>
              <w:rPr>
                <w:rFonts w:hint="eastAsia" w:ascii="宋体" w:hAnsi="宋体" w:eastAsia="宋体" w:cs="宋体"/>
                <w:color w:val="auto"/>
                <w:kern w:val="0"/>
                <w:sz w:val="22"/>
                <w:szCs w:val="22"/>
                <w:highlight w:val="none"/>
              </w:rPr>
              <w:t>分</w:t>
            </w:r>
            <w:r>
              <w:rPr>
                <w:rFonts w:hint="eastAsia" w:ascii="宋体" w:hAnsi="宋体" w:eastAsia="宋体" w:cs="宋体"/>
                <w:color w:val="auto"/>
                <w:kern w:val="0"/>
                <w:sz w:val="22"/>
                <w:szCs w:val="22"/>
                <w:highlight w:val="none"/>
                <w:lang w:eastAsia="zh-CN"/>
              </w:rPr>
              <w:t>；</w:t>
            </w:r>
            <w:r>
              <w:rPr>
                <w:rFonts w:hint="eastAsia" w:ascii="宋体" w:hAnsi="宋体" w:eastAsia="宋体" w:cs="宋体"/>
                <w:color w:val="auto"/>
                <w:kern w:val="0"/>
                <w:sz w:val="22"/>
                <w:szCs w:val="22"/>
                <w:highlight w:val="none"/>
              </w:rPr>
              <w:t>本项最高得</w:t>
            </w:r>
            <w:r>
              <w:rPr>
                <w:rFonts w:hint="eastAsia" w:hAnsi="宋体" w:cs="宋体"/>
                <w:color w:val="auto"/>
                <w:kern w:val="0"/>
                <w:sz w:val="22"/>
                <w:szCs w:val="22"/>
                <w:highlight w:val="none"/>
                <w:lang w:val="en-US" w:eastAsia="zh-CN"/>
              </w:rPr>
              <w:t>5</w:t>
            </w:r>
            <w:r>
              <w:rPr>
                <w:rFonts w:hint="eastAsia" w:ascii="宋体" w:hAnsi="宋体" w:eastAsia="宋体" w:cs="宋体"/>
                <w:color w:val="auto"/>
                <w:kern w:val="0"/>
                <w:sz w:val="22"/>
                <w:szCs w:val="22"/>
                <w:highlight w:val="none"/>
              </w:rPr>
              <w:t>分，不累计加分。</w:t>
            </w:r>
            <w:r>
              <w:rPr>
                <w:rFonts w:hint="eastAsia" w:ascii="宋体" w:hAnsi="宋体" w:cs="宋体"/>
                <w:color w:val="auto"/>
                <w:kern w:val="0"/>
                <w:sz w:val="22"/>
                <w:szCs w:val="22"/>
                <w:highlight w:val="none"/>
                <w:lang w:eastAsia="zh-CN"/>
              </w:rPr>
              <w:t>（</w:t>
            </w:r>
            <w:r>
              <w:rPr>
                <w:rFonts w:hint="eastAsia" w:ascii="宋体" w:hAnsi="宋体" w:cs="宋体"/>
                <w:color w:val="auto"/>
                <w:kern w:val="0"/>
                <w:sz w:val="22"/>
                <w:szCs w:val="22"/>
                <w:highlight w:val="none"/>
                <w:lang w:val="en-US" w:eastAsia="zh-CN"/>
              </w:rPr>
              <w:t>服务团队成员中至少有1人为所获创新团队第一负责人并</w:t>
            </w:r>
            <w:r>
              <w:rPr>
                <w:rFonts w:hint="eastAsia" w:ascii="宋体" w:hAnsi="宋体" w:eastAsia="宋体" w:cs="宋体"/>
                <w:color w:val="auto"/>
                <w:kern w:val="0"/>
                <w:sz w:val="22"/>
                <w:szCs w:val="22"/>
                <w:highlight w:val="none"/>
                <w:lang w:eastAsia="zh-CN"/>
              </w:rPr>
              <w:t>提供证明复印件并加盖</w:t>
            </w:r>
            <w:r>
              <w:rPr>
                <w:rFonts w:hint="eastAsia" w:ascii="宋体" w:hAnsi="宋体" w:cs="宋体"/>
                <w:color w:val="auto"/>
                <w:kern w:val="0"/>
                <w:sz w:val="22"/>
                <w:szCs w:val="22"/>
                <w:highlight w:val="none"/>
                <w:lang w:eastAsia="zh-CN"/>
              </w:rPr>
              <w:t>投标人</w:t>
            </w:r>
            <w:r>
              <w:rPr>
                <w:rFonts w:hint="eastAsia" w:ascii="宋体" w:hAnsi="宋体" w:eastAsia="宋体" w:cs="宋体"/>
                <w:color w:val="auto"/>
                <w:kern w:val="0"/>
                <w:sz w:val="22"/>
                <w:szCs w:val="22"/>
                <w:highlight w:val="none"/>
                <w:lang w:eastAsia="zh-CN"/>
              </w:rPr>
              <w:t>公章，</w:t>
            </w:r>
            <w:r>
              <w:rPr>
                <w:rFonts w:hint="eastAsia" w:ascii="宋体" w:hAnsi="宋体" w:cs="宋体"/>
                <w:color w:val="auto"/>
                <w:kern w:val="0"/>
                <w:sz w:val="22"/>
                <w:szCs w:val="22"/>
                <w:highlight w:val="none"/>
                <w:lang w:val="en-US" w:eastAsia="zh-CN"/>
              </w:rPr>
              <w:t>非第一负责人或</w:t>
            </w:r>
            <w:r>
              <w:rPr>
                <w:rFonts w:hint="eastAsia" w:hAnsi="宋体" w:cs="宋体"/>
                <w:color w:val="auto"/>
                <w:kern w:val="0"/>
                <w:sz w:val="22"/>
                <w:szCs w:val="22"/>
                <w:highlight w:val="none"/>
                <w:lang w:val="en-US" w:eastAsia="zh-CN"/>
              </w:rPr>
              <w:t>未提供证明不得分）</w:t>
            </w:r>
          </w:p>
          <w:p w14:paraId="2E61EF23">
            <w:pPr>
              <w:pStyle w:val="12"/>
              <w:keepNext w:val="0"/>
              <w:keepLines w:val="0"/>
              <w:pageBreakBefore w:val="0"/>
              <w:kinsoku/>
              <w:wordWrap/>
              <w:overflowPunct/>
              <w:topLinePunct w:val="0"/>
              <w:autoSpaceDE/>
              <w:autoSpaceDN/>
              <w:bidi w:val="0"/>
              <w:adjustRightInd/>
              <w:spacing w:line="380" w:lineRule="exact"/>
              <w:ind w:right="267" w:rightChars="127" w:firstLine="440" w:firstLineChars="200"/>
              <w:textAlignment w:val="auto"/>
              <w:outlineLvl w:val="0"/>
              <w:rPr>
                <w:rFonts w:hint="eastAsia" w:ascii="宋体" w:hAnsi="宋体" w:eastAsia="宋体" w:cs="宋体"/>
                <w:color w:val="auto"/>
                <w:kern w:val="0"/>
                <w:sz w:val="22"/>
                <w:szCs w:val="22"/>
                <w:highlight w:val="none"/>
                <w:lang w:eastAsia="zh-CN"/>
              </w:rPr>
            </w:pPr>
            <w:r>
              <w:rPr>
                <w:rFonts w:hint="eastAsia" w:ascii="宋体" w:hAnsi="宋体" w:eastAsia="宋体" w:cs="宋体"/>
                <w:b w:val="0"/>
                <w:bCs w:val="0"/>
                <w:color w:val="auto"/>
                <w:kern w:val="0"/>
                <w:sz w:val="22"/>
                <w:szCs w:val="22"/>
                <w:highlight w:val="none"/>
              </w:rPr>
              <w:t>（2）</w:t>
            </w:r>
            <w:r>
              <w:rPr>
                <w:rFonts w:hint="eastAsia" w:hAnsi="宋体" w:cs="宋体"/>
                <w:color w:val="auto"/>
                <w:sz w:val="22"/>
                <w:szCs w:val="22"/>
                <w:highlight w:val="none"/>
                <w:lang w:eastAsia="zh-CN"/>
              </w:rPr>
              <w:t>投标人</w:t>
            </w:r>
            <w:r>
              <w:rPr>
                <w:rFonts w:hint="eastAsia" w:hAnsi="宋体" w:cs="宋体"/>
                <w:color w:val="auto"/>
                <w:sz w:val="22"/>
                <w:szCs w:val="22"/>
                <w:highlight w:val="none"/>
                <w:lang w:val="en-US" w:eastAsia="zh-CN"/>
              </w:rPr>
              <w:t>服务团队</w:t>
            </w:r>
            <w:r>
              <w:rPr>
                <w:rFonts w:hint="eastAsia" w:ascii="宋体" w:hAnsi="宋体" w:eastAsia="宋体" w:cs="宋体"/>
                <w:color w:val="auto"/>
                <w:kern w:val="0"/>
                <w:sz w:val="22"/>
                <w:szCs w:val="22"/>
                <w:highlight w:val="none"/>
              </w:rPr>
              <w:t>具有职业教育相关教学成果证书</w:t>
            </w:r>
            <w:r>
              <w:rPr>
                <w:rFonts w:hint="eastAsia" w:ascii="宋体" w:hAnsi="宋体" w:eastAsia="宋体" w:cs="宋体"/>
                <w:color w:val="auto"/>
                <w:kern w:val="0"/>
                <w:sz w:val="22"/>
                <w:szCs w:val="22"/>
                <w:highlight w:val="none"/>
                <w:lang w:eastAsia="zh-CN"/>
              </w:rPr>
              <w:t>的</w:t>
            </w:r>
            <w:r>
              <w:rPr>
                <w:rFonts w:hint="eastAsia" w:ascii="宋体" w:hAnsi="宋体" w:eastAsia="宋体" w:cs="宋体"/>
                <w:color w:val="auto"/>
                <w:kern w:val="0"/>
                <w:sz w:val="22"/>
                <w:szCs w:val="22"/>
                <w:highlight w:val="none"/>
              </w:rPr>
              <w:t>，提供国家级教育部门颁发的教学成果证书得</w:t>
            </w:r>
            <w:r>
              <w:rPr>
                <w:rFonts w:hint="eastAsia" w:hAnsi="宋体" w:cs="宋体"/>
                <w:color w:val="auto"/>
                <w:kern w:val="0"/>
                <w:sz w:val="22"/>
                <w:szCs w:val="22"/>
                <w:highlight w:val="none"/>
                <w:lang w:val="en-US" w:eastAsia="zh-CN"/>
              </w:rPr>
              <w:t>5</w:t>
            </w:r>
            <w:r>
              <w:rPr>
                <w:rFonts w:hint="eastAsia" w:ascii="宋体" w:hAnsi="宋体" w:eastAsia="宋体" w:cs="宋体"/>
                <w:color w:val="auto"/>
                <w:kern w:val="0"/>
                <w:sz w:val="22"/>
                <w:szCs w:val="22"/>
                <w:highlight w:val="none"/>
              </w:rPr>
              <w:t>分</w:t>
            </w:r>
            <w:r>
              <w:rPr>
                <w:rFonts w:hint="eastAsia" w:ascii="宋体" w:hAnsi="宋体" w:eastAsia="宋体" w:cs="宋体"/>
                <w:color w:val="auto"/>
                <w:kern w:val="0"/>
                <w:sz w:val="22"/>
                <w:szCs w:val="22"/>
                <w:highlight w:val="none"/>
                <w:lang w:eastAsia="zh-CN"/>
              </w:rPr>
              <w:t>；</w:t>
            </w:r>
            <w:r>
              <w:rPr>
                <w:rFonts w:hint="eastAsia" w:ascii="宋体" w:hAnsi="宋体" w:eastAsia="宋体" w:cs="宋体"/>
                <w:color w:val="auto"/>
                <w:kern w:val="0"/>
                <w:sz w:val="22"/>
                <w:szCs w:val="22"/>
                <w:highlight w:val="none"/>
              </w:rPr>
              <w:t>提供省级教育部门颁发的教学成果证书得</w:t>
            </w:r>
            <w:r>
              <w:rPr>
                <w:rFonts w:hint="eastAsia" w:hAnsi="宋体" w:cs="宋体"/>
                <w:color w:val="auto"/>
                <w:kern w:val="0"/>
                <w:sz w:val="22"/>
                <w:szCs w:val="22"/>
                <w:highlight w:val="none"/>
                <w:lang w:val="en-US" w:eastAsia="zh-CN"/>
              </w:rPr>
              <w:t>3</w:t>
            </w:r>
            <w:r>
              <w:rPr>
                <w:rFonts w:hint="eastAsia" w:ascii="宋体" w:hAnsi="宋体" w:eastAsia="宋体" w:cs="宋体"/>
                <w:color w:val="auto"/>
                <w:kern w:val="0"/>
                <w:sz w:val="22"/>
                <w:szCs w:val="22"/>
                <w:highlight w:val="none"/>
              </w:rPr>
              <w:t>分</w:t>
            </w:r>
            <w:r>
              <w:rPr>
                <w:rFonts w:hint="eastAsia" w:ascii="宋体" w:hAnsi="宋体" w:eastAsia="宋体" w:cs="宋体"/>
                <w:color w:val="auto"/>
                <w:kern w:val="0"/>
                <w:sz w:val="22"/>
                <w:szCs w:val="22"/>
                <w:highlight w:val="none"/>
                <w:lang w:eastAsia="zh-CN"/>
              </w:rPr>
              <w:t>；</w:t>
            </w:r>
            <w:r>
              <w:rPr>
                <w:rFonts w:hint="eastAsia" w:ascii="宋体" w:hAnsi="宋体" w:eastAsia="宋体" w:cs="宋体"/>
                <w:color w:val="auto"/>
                <w:kern w:val="0"/>
                <w:sz w:val="22"/>
                <w:szCs w:val="22"/>
                <w:highlight w:val="none"/>
              </w:rPr>
              <w:t>本项最高得</w:t>
            </w:r>
            <w:r>
              <w:rPr>
                <w:rFonts w:hint="eastAsia" w:hAnsi="宋体" w:cs="宋体"/>
                <w:color w:val="auto"/>
                <w:kern w:val="0"/>
                <w:sz w:val="22"/>
                <w:szCs w:val="22"/>
                <w:highlight w:val="none"/>
                <w:lang w:val="en-US" w:eastAsia="zh-CN"/>
              </w:rPr>
              <w:t>5</w:t>
            </w:r>
            <w:r>
              <w:rPr>
                <w:rFonts w:hint="eastAsia" w:ascii="宋体" w:hAnsi="宋体" w:eastAsia="宋体" w:cs="宋体"/>
                <w:color w:val="auto"/>
                <w:kern w:val="0"/>
                <w:sz w:val="22"/>
                <w:szCs w:val="22"/>
                <w:highlight w:val="none"/>
              </w:rPr>
              <w:t>分，不累计加分。</w:t>
            </w:r>
            <w:r>
              <w:rPr>
                <w:rFonts w:hint="eastAsia" w:ascii="宋体" w:hAnsi="宋体" w:cs="宋体"/>
                <w:color w:val="auto"/>
                <w:kern w:val="0"/>
                <w:sz w:val="22"/>
                <w:szCs w:val="22"/>
                <w:highlight w:val="none"/>
                <w:lang w:eastAsia="zh-CN"/>
              </w:rPr>
              <w:t>（</w:t>
            </w:r>
            <w:r>
              <w:rPr>
                <w:rFonts w:hint="eastAsia" w:ascii="宋体" w:hAnsi="宋体" w:cs="宋体"/>
                <w:color w:val="auto"/>
                <w:kern w:val="0"/>
                <w:sz w:val="22"/>
                <w:szCs w:val="22"/>
                <w:highlight w:val="none"/>
                <w:lang w:val="en-US" w:eastAsia="zh-CN"/>
              </w:rPr>
              <w:t>服务团队成员中至少</w:t>
            </w:r>
            <w:r>
              <w:rPr>
                <w:rFonts w:hint="eastAsia" w:hAnsi="宋体" w:cs="宋体"/>
                <w:color w:val="auto"/>
                <w:kern w:val="0"/>
                <w:sz w:val="22"/>
                <w:szCs w:val="22"/>
                <w:highlight w:val="none"/>
                <w:lang w:val="en-US" w:eastAsia="zh-CN"/>
              </w:rPr>
              <w:t>有</w:t>
            </w:r>
            <w:r>
              <w:rPr>
                <w:rFonts w:hint="eastAsia" w:ascii="宋体" w:hAnsi="宋体" w:cs="宋体"/>
                <w:color w:val="auto"/>
                <w:kern w:val="0"/>
                <w:sz w:val="22"/>
                <w:szCs w:val="22"/>
                <w:highlight w:val="none"/>
                <w:lang w:val="en-US" w:eastAsia="zh-CN"/>
              </w:rPr>
              <w:t>1人为</w:t>
            </w:r>
            <w:r>
              <w:rPr>
                <w:rFonts w:hint="eastAsia" w:hAnsi="宋体" w:cs="宋体"/>
                <w:color w:val="auto"/>
                <w:kern w:val="0"/>
                <w:sz w:val="22"/>
                <w:szCs w:val="22"/>
                <w:highlight w:val="none"/>
                <w:lang w:val="en-US" w:eastAsia="zh-CN"/>
              </w:rPr>
              <w:t>所获教学成果奖</w:t>
            </w:r>
            <w:r>
              <w:rPr>
                <w:rFonts w:hint="eastAsia" w:ascii="宋体" w:hAnsi="宋体" w:cs="宋体"/>
                <w:color w:val="auto"/>
                <w:kern w:val="0"/>
                <w:sz w:val="22"/>
                <w:szCs w:val="22"/>
                <w:highlight w:val="none"/>
                <w:lang w:val="en-US" w:eastAsia="zh-CN"/>
              </w:rPr>
              <w:t>第一负责人并</w:t>
            </w:r>
            <w:r>
              <w:rPr>
                <w:rFonts w:hint="eastAsia" w:ascii="宋体" w:hAnsi="宋体" w:eastAsia="宋体" w:cs="宋体"/>
                <w:color w:val="auto"/>
                <w:kern w:val="0"/>
                <w:sz w:val="22"/>
                <w:szCs w:val="22"/>
                <w:highlight w:val="none"/>
                <w:lang w:eastAsia="zh-CN"/>
              </w:rPr>
              <w:t>提供证明复印件并加盖</w:t>
            </w:r>
            <w:r>
              <w:rPr>
                <w:rFonts w:hint="eastAsia" w:ascii="宋体" w:hAnsi="宋体" w:cs="宋体"/>
                <w:color w:val="auto"/>
                <w:kern w:val="0"/>
                <w:sz w:val="22"/>
                <w:szCs w:val="22"/>
                <w:highlight w:val="none"/>
                <w:lang w:eastAsia="zh-CN"/>
              </w:rPr>
              <w:t>投标人</w:t>
            </w:r>
            <w:r>
              <w:rPr>
                <w:rFonts w:hint="eastAsia" w:ascii="宋体" w:hAnsi="宋体" w:eastAsia="宋体" w:cs="宋体"/>
                <w:color w:val="auto"/>
                <w:kern w:val="0"/>
                <w:sz w:val="22"/>
                <w:szCs w:val="22"/>
                <w:highlight w:val="none"/>
                <w:lang w:eastAsia="zh-CN"/>
              </w:rPr>
              <w:t>公章，</w:t>
            </w:r>
            <w:r>
              <w:rPr>
                <w:rFonts w:hint="eastAsia" w:ascii="宋体" w:hAnsi="宋体" w:cs="宋体"/>
                <w:color w:val="auto"/>
                <w:kern w:val="0"/>
                <w:sz w:val="22"/>
                <w:szCs w:val="22"/>
                <w:highlight w:val="none"/>
                <w:lang w:val="en-US" w:eastAsia="zh-CN"/>
              </w:rPr>
              <w:t>非第一负责人或</w:t>
            </w:r>
            <w:r>
              <w:rPr>
                <w:rFonts w:hint="eastAsia" w:hAnsi="宋体" w:cs="宋体"/>
                <w:color w:val="auto"/>
                <w:kern w:val="0"/>
                <w:sz w:val="22"/>
                <w:szCs w:val="22"/>
                <w:highlight w:val="none"/>
                <w:lang w:val="en-US" w:eastAsia="zh-CN"/>
              </w:rPr>
              <w:t>未提供证明不得分）</w:t>
            </w:r>
          </w:p>
          <w:p w14:paraId="5EADEDDE">
            <w:pPr>
              <w:keepNext w:val="0"/>
              <w:keepLines w:val="0"/>
              <w:pageBreakBefore w:val="0"/>
              <w:tabs>
                <w:tab w:val="left" w:pos="1302"/>
              </w:tabs>
              <w:kinsoku/>
              <w:wordWrap/>
              <w:overflowPunct/>
              <w:topLinePunct w:val="0"/>
              <w:autoSpaceDE/>
              <w:autoSpaceDN/>
              <w:bidi w:val="0"/>
              <w:adjustRightInd/>
              <w:snapToGrid w:val="0"/>
              <w:spacing w:line="380" w:lineRule="exact"/>
              <w:ind w:firstLine="440" w:firstLineChars="200"/>
              <w:textAlignment w:val="auto"/>
              <w:rPr>
                <w:rFonts w:hint="eastAsia" w:ascii="宋体" w:hAnsi="宋体" w:eastAsia="宋体" w:cs="宋体"/>
                <w:b w:val="0"/>
                <w:bCs w:val="0"/>
                <w:color w:val="auto"/>
                <w:sz w:val="22"/>
                <w:szCs w:val="22"/>
                <w:highlight w:val="none"/>
                <w:lang w:eastAsia="zh-CN"/>
              </w:rPr>
            </w:pPr>
            <w:r>
              <w:rPr>
                <w:rFonts w:hint="eastAsia" w:ascii="宋体" w:hAnsi="宋体" w:eastAsia="宋体" w:cs="宋体"/>
                <w:bCs/>
                <w:color w:val="auto"/>
                <w:sz w:val="22"/>
                <w:szCs w:val="22"/>
                <w:highlight w:val="none"/>
              </w:rPr>
              <w:t>（</w:t>
            </w:r>
            <w:r>
              <w:rPr>
                <w:rFonts w:hint="eastAsia" w:ascii="宋体" w:hAnsi="宋体" w:cs="宋体"/>
                <w:bCs/>
                <w:color w:val="auto"/>
                <w:sz w:val="22"/>
                <w:szCs w:val="22"/>
                <w:highlight w:val="none"/>
                <w:lang w:val="en-US" w:eastAsia="zh-CN"/>
              </w:rPr>
              <w:t>3</w:t>
            </w:r>
            <w:r>
              <w:rPr>
                <w:rFonts w:hint="eastAsia" w:ascii="宋体" w:hAnsi="宋体" w:eastAsia="宋体" w:cs="宋体"/>
                <w:bCs/>
                <w:color w:val="auto"/>
                <w:sz w:val="22"/>
                <w:szCs w:val="22"/>
                <w:highlight w:val="none"/>
              </w:rPr>
              <w:t>）</w:t>
            </w:r>
            <w:r>
              <w:rPr>
                <w:rFonts w:hint="eastAsia" w:ascii="宋体" w:hAnsi="宋体" w:cs="宋体"/>
                <w:color w:val="auto"/>
                <w:kern w:val="0"/>
                <w:sz w:val="22"/>
                <w:szCs w:val="22"/>
                <w:highlight w:val="none"/>
                <w:lang w:eastAsia="zh-CN"/>
              </w:rPr>
              <w:t>投标人</w:t>
            </w:r>
            <w:r>
              <w:rPr>
                <w:rFonts w:hint="eastAsia" w:ascii="宋体" w:hAnsi="宋体" w:eastAsia="宋体" w:cs="宋体"/>
                <w:color w:val="auto"/>
                <w:kern w:val="0"/>
                <w:sz w:val="22"/>
                <w:szCs w:val="22"/>
                <w:highlight w:val="none"/>
                <w:lang w:eastAsia="zh-CN"/>
              </w:rPr>
              <w:t>能</w:t>
            </w:r>
            <w:r>
              <w:rPr>
                <w:rFonts w:hint="eastAsia" w:ascii="宋体" w:hAnsi="宋体" w:eastAsia="宋体" w:cs="宋体"/>
                <w:color w:val="auto"/>
                <w:kern w:val="0"/>
                <w:sz w:val="22"/>
                <w:szCs w:val="22"/>
                <w:highlight w:val="none"/>
              </w:rPr>
              <w:t>提供国家级教师培养培训基地合作证明的得</w:t>
            </w:r>
            <w:r>
              <w:rPr>
                <w:rFonts w:hint="eastAsia" w:ascii="宋体" w:hAnsi="宋体" w:cs="宋体"/>
                <w:color w:val="auto"/>
                <w:kern w:val="0"/>
                <w:sz w:val="22"/>
                <w:szCs w:val="22"/>
                <w:highlight w:val="none"/>
                <w:lang w:val="en-US" w:eastAsia="zh-CN"/>
              </w:rPr>
              <w:t>5</w:t>
            </w:r>
            <w:r>
              <w:rPr>
                <w:rFonts w:hint="eastAsia" w:ascii="宋体" w:hAnsi="宋体" w:eastAsia="宋体" w:cs="宋体"/>
                <w:color w:val="auto"/>
                <w:kern w:val="0"/>
                <w:sz w:val="22"/>
                <w:szCs w:val="22"/>
                <w:highlight w:val="none"/>
              </w:rPr>
              <w:t>分</w:t>
            </w:r>
            <w:r>
              <w:rPr>
                <w:rFonts w:hint="eastAsia" w:ascii="宋体" w:hAnsi="宋体" w:cs="宋体"/>
                <w:color w:val="auto"/>
                <w:kern w:val="0"/>
                <w:sz w:val="22"/>
                <w:szCs w:val="22"/>
                <w:highlight w:val="none"/>
                <w:lang w:eastAsia="zh-CN"/>
              </w:rPr>
              <w:t>；投标人</w:t>
            </w:r>
            <w:r>
              <w:rPr>
                <w:rFonts w:hint="eastAsia" w:ascii="宋体" w:hAnsi="宋体" w:eastAsia="宋体" w:cs="宋体"/>
                <w:color w:val="auto"/>
                <w:kern w:val="0"/>
                <w:sz w:val="22"/>
                <w:szCs w:val="22"/>
                <w:highlight w:val="none"/>
                <w:lang w:eastAsia="zh-CN"/>
              </w:rPr>
              <w:t>能</w:t>
            </w:r>
            <w:r>
              <w:rPr>
                <w:rFonts w:hint="eastAsia" w:ascii="宋体" w:hAnsi="宋体" w:eastAsia="宋体" w:cs="宋体"/>
                <w:color w:val="auto"/>
                <w:kern w:val="0"/>
                <w:sz w:val="22"/>
                <w:szCs w:val="22"/>
                <w:highlight w:val="none"/>
              </w:rPr>
              <w:t>提供</w:t>
            </w:r>
            <w:r>
              <w:rPr>
                <w:rFonts w:hint="eastAsia" w:ascii="宋体" w:hAnsi="宋体" w:eastAsia="宋体" w:cs="宋体"/>
                <w:color w:val="auto"/>
                <w:kern w:val="0"/>
                <w:sz w:val="22"/>
                <w:szCs w:val="22"/>
                <w:highlight w:val="none"/>
                <w:lang w:val="en-US" w:eastAsia="zh-CN"/>
              </w:rPr>
              <w:t>省</w:t>
            </w:r>
            <w:r>
              <w:rPr>
                <w:rFonts w:hint="eastAsia" w:ascii="宋体" w:hAnsi="宋体" w:eastAsia="宋体" w:cs="宋体"/>
                <w:color w:val="auto"/>
                <w:kern w:val="0"/>
                <w:sz w:val="22"/>
                <w:szCs w:val="22"/>
                <w:highlight w:val="none"/>
              </w:rPr>
              <w:t>级教师培养培训基地合作证明的得</w:t>
            </w:r>
            <w:r>
              <w:rPr>
                <w:rFonts w:hint="eastAsia" w:ascii="宋体" w:hAnsi="宋体" w:cs="宋体"/>
                <w:color w:val="auto"/>
                <w:kern w:val="0"/>
                <w:sz w:val="22"/>
                <w:szCs w:val="22"/>
                <w:highlight w:val="none"/>
                <w:lang w:val="en-US" w:eastAsia="zh-CN"/>
              </w:rPr>
              <w:t>3</w:t>
            </w:r>
            <w:r>
              <w:rPr>
                <w:rFonts w:hint="eastAsia" w:ascii="宋体" w:hAnsi="宋体" w:eastAsia="宋体" w:cs="宋体"/>
                <w:color w:val="auto"/>
                <w:kern w:val="0"/>
                <w:sz w:val="22"/>
                <w:szCs w:val="22"/>
                <w:highlight w:val="none"/>
              </w:rPr>
              <w:t>分</w:t>
            </w:r>
            <w:r>
              <w:rPr>
                <w:rFonts w:hint="eastAsia" w:ascii="宋体" w:hAnsi="宋体" w:cs="宋体"/>
                <w:color w:val="auto"/>
                <w:kern w:val="0"/>
                <w:sz w:val="22"/>
                <w:szCs w:val="22"/>
                <w:highlight w:val="none"/>
                <w:lang w:eastAsia="zh-CN"/>
              </w:rPr>
              <w:t>；</w:t>
            </w:r>
            <w:r>
              <w:rPr>
                <w:rFonts w:hint="eastAsia" w:ascii="宋体" w:hAnsi="宋体" w:eastAsia="宋体" w:cs="宋体"/>
                <w:color w:val="auto"/>
                <w:kern w:val="0"/>
                <w:sz w:val="22"/>
                <w:szCs w:val="22"/>
                <w:highlight w:val="none"/>
              </w:rPr>
              <w:t>本项最高得</w:t>
            </w:r>
            <w:r>
              <w:rPr>
                <w:rFonts w:hint="eastAsia" w:hAnsi="宋体" w:cs="宋体"/>
                <w:color w:val="auto"/>
                <w:kern w:val="0"/>
                <w:sz w:val="22"/>
                <w:szCs w:val="22"/>
                <w:highlight w:val="none"/>
                <w:lang w:val="en-US" w:eastAsia="zh-CN"/>
              </w:rPr>
              <w:t>5</w:t>
            </w:r>
            <w:r>
              <w:rPr>
                <w:rFonts w:hint="eastAsia" w:ascii="宋体" w:hAnsi="宋体" w:eastAsia="宋体" w:cs="宋体"/>
                <w:color w:val="auto"/>
                <w:kern w:val="0"/>
                <w:sz w:val="22"/>
                <w:szCs w:val="22"/>
                <w:highlight w:val="none"/>
              </w:rPr>
              <w:t>分，不累计加分。</w:t>
            </w:r>
            <w:r>
              <w:rPr>
                <w:rFonts w:hint="eastAsia" w:ascii="宋体" w:hAnsi="宋体" w:eastAsia="宋体" w:cs="宋体"/>
                <w:color w:val="auto"/>
                <w:kern w:val="0"/>
                <w:sz w:val="22"/>
                <w:szCs w:val="22"/>
                <w:highlight w:val="none"/>
                <w:lang w:val="en-US" w:eastAsia="zh-CN"/>
              </w:rPr>
              <w:t>[</w:t>
            </w:r>
            <w:r>
              <w:rPr>
                <w:rFonts w:hint="eastAsia" w:ascii="宋体" w:hAnsi="宋体" w:eastAsia="宋体" w:cs="宋体"/>
                <w:color w:val="auto"/>
                <w:kern w:val="0"/>
                <w:sz w:val="22"/>
                <w:szCs w:val="22"/>
                <w:highlight w:val="none"/>
                <w:lang w:eastAsia="zh-CN"/>
              </w:rPr>
              <w:t>须提供</w:t>
            </w:r>
            <w:r>
              <w:rPr>
                <w:rFonts w:hint="eastAsia" w:ascii="宋体" w:hAnsi="宋体" w:cs="宋体"/>
                <w:color w:val="auto"/>
                <w:kern w:val="0"/>
                <w:sz w:val="22"/>
                <w:szCs w:val="22"/>
                <w:highlight w:val="none"/>
                <w:lang w:val="en-US" w:eastAsia="zh-CN"/>
              </w:rPr>
              <w:t>合作</w:t>
            </w:r>
            <w:r>
              <w:rPr>
                <w:rFonts w:hint="default" w:ascii="宋体" w:hAnsi="宋体" w:eastAsia="宋体" w:cs="宋体"/>
                <w:color w:val="auto"/>
                <w:kern w:val="0"/>
                <w:sz w:val="22"/>
                <w:szCs w:val="22"/>
                <w:highlight w:val="none"/>
                <w:lang w:val="en-US" w:eastAsia="zh-CN"/>
              </w:rPr>
              <w:t>证明复印件</w:t>
            </w:r>
            <w:r>
              <w:rPr>
                <w:rFonts w:hint="eastAsia" w:ascii="宋体" w:hAnsi="宋体" w:eastAsia="宋体" w:cs="宋体"/>
                <w:color w:val="auto"/>
                <w:kern w:val="0"/>
                <w:sz w:val="22"/>
                <w:szCs w:val="22"/>
                <w:highlight w:val="none"/>
                <w:lang w:eastAsia="zh-CN"/>
              </w:rPr>
              <w:t>及与其合作的</w:t>
            </w:r>
            <w:r>
              <w:rPr>
                <w:rFonts w:hint="eastAsia" w:ascii="宋体" w:hAnsi="宋体" w:eastAsia="宋体" w:cs="宋体"/>
                <w:color w:val="auto"/>
                <w:kern w:val="0"/>
                <w:sz w:val="22"/>
                <w:szCs w:val="22"/>
                <w:highlight w:val="none"/>
              </w:rPr>
              <w:t>国家级</w:t>
            </w:r>
            <w:r>
              <w:rPr>
                <w:rFonts w:hint="eastAsia" w:ascii="宋体" w:hAnsi="宋体" w:cs="宋体"/>
                <w:color w:val="auto"/>
                <w:kern w:val="0"/>
                <w:sz w:val="22"/>
                <w:szCs w:val="22"/>
                <w:highlight w:val="none"/>
                <w:lang w:eastAsia="zh-CN"/>
              </w:rPr>
              <w:t>（</w:t>
            </w:r>
            <w:r>
              <w:rPr>
                <w:rFonts w:hint="eastAsia" w:ascii="宋体" w:hAnsi="宋体" w:cs="宋体"/>
                <w:color w:val="auto"/>
                <w:kern w:val="0"/>
                <w:sz w:val="22"/>
                <w:szCs w:val="22"/>
                <w:highlight w:val="none"/>
                <w:lang w:val="en-US" w:eastAsia="zh-CN"/>
              </w:rPr>
              <w:t>或省级）</w:t>
            </w:r>
            <w:r>
              <w:rPr>
                <w:rFonts w:hint="eastAsia" w:ascii="宋体" w:hAnsi="宋体" w:eastAsia="宋体" w:cs="宋体"/>
                <w:color w:val="auto"/>
                <w:kern w:val="0"/>
                <w:sz w:val="22"/>
                <w:szCs w:val="22"/>
                <w:highlight w:val="none"/>
              </w:rPr>
              <w:t>教师培养培训基地</w:t>
            </w:r>
            <w:r>
              <w:rPr>
                <w:rFonts w:hint="eastAsia" w:ascii="宋体" w:hAnsi="宋体" w:eastAsia="宋体" w:cs="宋体"/>
                <w:color w:val="auto"/>
                <w:kern w:val="0"/>
                <w:sz w:val="22"/>
                <w:szCs w:val="22"/>
                <w:highlight w:val="none"/>
                <w:lang w:eastAsia="zh-CN"/>
              </w:rPr>
              <w:t>的</w:t>
            </w:r>
            <w:r>
              <w:rPr>
                <w:rFonts w:hint="eastAsia" w:ascii="宋体" w:hAnsi="宋体" w:eastAsia="宋体" w:cs="宋体"/>
                <w:color w:val="auto"/>
                <w:kern w:val="0"/>
                <w:sz w:val="22"/>
                <w:szCs w:val="22"/>
                <w:highlight w:val="none"/>
              </w:rPr>
              <w:t>资质证明文件</w:t>
            </w:r>
            <w:r>
              <w:rPr>
                <w:rFonts w:hint="eastAsia" w:ascii="宋体" w:hAnsi="宋体" w:cs="宋体"/>
                <w:color w:val="auto"/>
                <w:kern w:val="0"/>
                <w:sz w:val="22"/>
                <w:szCs w:val="22"/>
                <w:highlight w:val="none"/>
                <w:lang w:val="en-US" w:eastAsia="zh-CN"/>
              </w:rPr>
              <w:t>；或曾与</w:t>
            </w:r>
            <w:r>
              <w:rPr>
                <w:rFonts w:hint="eastAsia" w:ascii="宋体" w:hAnsi="宋体" w:eastAsia="宋体" w:cs="宋体"/>
                <w:color w:val="auto"/>
                <w:kern w:val="0"/>
                <w:sz w:val="22"/>
                <w:szCs w:val="22"/>
                <w:highlight w:val="none"/>
              </w:rPr>
              <w:t>国家级</w:t>
            </w:r>
            <w:r>
              <w:rPr>
                <w:rFonts w:hint="eastAsia" w:ascii="宋体" w:hAnsi="宋体" w:cs="宋体"/>
                <w:color w:val="auto"/>
                <w:kern w:val="0"/>
                <w:sz w:val="22"/>
                <w:szCs w:val="22"/>
                <w:highlight w:val="none"/>
                <w:lang w:eastAsia="zh-CN"/>
              </w:rPr>
              <w:t>（</w:t>
            </w:r>
            <w:r>
              <w:rPr>
                <w:rFonts w:hint="eastAsia" w:ascii="宋体" w:hAnsi="宋体" w:cs="宋体"/>
                <w:color w:val="auto"/>
                <w:kern w:val="0"/>
                <w:sz w:val="22"/>
                <w:szCs w:val="22"/>
                <w:highlight w:val="none"/>
                <w:lang w:val="en-US" w:eastAsia="zh-CN"/>
              </w:rPr>
              <w:t>或省级）</w:t>
            </w:r>
            <w:r>
              <w:rPr>
                <w:rFonts w:hint="eastAsia" w:ascii="宋体" w:hAnsi="宋体" w:eastAsia="宋体" w:cs="宋体"/>
                <w:color w:val="auto"/>
                <w:kern w:val="0"/>
                <w:sz w:val="22"/>
                <w:szCs w:val="22"/>
                <w:highlight w:val="none"/>
              </w:rPr>
              <w:t>教师培养培训基地</w:t>
            </w:r>
            <w:r>
              <w:rPr>
                <w:rFonts w:hint="eastAsia" w:ascii="宋体" w:hAnsi="宋体" w:cs="宋体"/>
                <w:color w:val="auto"/>
                <w:kern w:val="0"/>
                <w:sz w:val="22"/>
                <w:szCs w:val="22"/>
                <w:highlight w:val="none"/>
                <w:lang w:val="en-US" w:eastAsia="zh-CN"/>
              </w:rPr>
              <w:t>合作并签订过培训协议，须</w:t>
            </w:r>
            <w:r>
              <w:rPr>
                <w:rFonts w:hint="default" w:ascii="宋体" w:hAnsi="宋体" w:eastAsia="宋体" w:cs="宋体"/>
                <w:color w:val="auto"/>
                <w:kern w:val="0"/>
                <w:sz w:val="22"/>
                <w:szCs w:val="22"/>
                <w:highlight w:val="none"/>
                <w:lang w:val="en-US" w:eastAsia="zh-CN"/>
              </w:rPr>
              <w:t>加盖</w:t>
            </w:r>
            <w:r>
              <w:rPr>
                <w:rFonts w:hint="eastAsia" w:ascii="宋体" w:hAnsi="宋体" w:cs="宋体"/>
                <w:color w:val="auto"/>
                <w:kern w:val="0"/>
                <w:sz w:val="22"/>
                <w:szCs w:val="22"/>
                <w:highlight w:val="none"/>
                <w:lang w:val="en-US" w:eastAsia="zh-CN"/>
              </w:rPr>
              <w:t>投标人</w:t>
            </w:r>
            <w:r>
              <w:rPr>
                <w:rFonts w:hint="default" w:ascii="宋体" w:hAnsi="宋体" w:eastAsia="宋体" w:cs="宋体"/>
                <w:color w:val="auto"/>
                <w:kern w:val="0"/>
                <w:sz w:val="22"/>
                <w:szCs w:val="22"/>
                <w:highlight w:val="none"/>
                <w:lang w:val="en-US" w:eastAsia="zh-CN"/>
              </w:rPr>
              <w:t>公</w:t>
            </w:r>
            <w:r>
              <w:rPr>
                <w:rFonts w:hint="eastAsia" w:ascii="宋体" w:hAnsi="宋体" w:eastAsia="宋体" w:cs="宋体"/>
                <w:color w:val="auto"/>
                <w:kern w:val="0"/>
                <w:sz w:val="22"/>
                <w:szCs w:val="22"/>
                <w:highlight w:val="none"/>
                <w:lang w:eastAsia="zh-CN"/>
              </w:rPr>
              <w:t>章</w:t>
            </w:r>
            <w:r>
              <w:rPr>
                <w:rFonts w:hint="eastAsia" w:ascii="宋体" w:hAnsi="宋体" w:eastAsia="宋体" w:cs="宋体"/>
                <w:color w:val="auto"/>
                <w:kern w:val="0"/>
                <w:sz w:val="22"/>
                <w:szCs w:val="22"/>
                <w:highlight w:val="none"/>
              </w:rPr>
              <w:t>，未提供不得分</w:t>
            </w:r>
            <w:r>
              <w:rPr>
                <w:rStyle w:val="37"/>
                <w:rFonts w:hint="eastAsia" w:ascii="宋体" w:hAnsi="宋体" w:cs="宋体"/>
                <w:color w:val="auto"/>
                <w:sz w:val="22"/>
                <w:szCs w:val="22"/>
                <w:highlight w:val="none"/>
                <w:lang w:val="en-US" w:eastAsia="zh-CN"/>
              </w:rPr>
              <w:t>]</w:t>
            </w:r>
          </w:p>
        </w:tc>
        <w:tc>
          <w:tcPr>
            <w:tcW w:w="814" w:type="dxa"/>
            <w:noWrap w:val="0"/>
            <w:vAlign w:val="center"/>
          </w:tcPr>
          <w:p w14:paraId="69E06BA1">
            <w:pPr>
              <w:snapToGrid w:val="0"/>
              <w:spacing w:line="400" w:lineRule="exact"/>
              <w:jc w:val="center"/>
              <w:rPr>
                <w:rFonts w:hint="eastAsia" w:ascii="宋体" w:hAnsi="宋体" w:eastAsia="宋体" w:cs="宋体"/>
                <w:b w:val="0"/>
                <w:bCs w:val="0"/>
                <w:color w:val="auto"/>
                <w:sz w:val="22"/>
                <w:szCs w:val="22"/>
                <w:highlight w:val="none"/>
                <w:lang w:val="en-US" w:eastAsia="zh-CN"/>
              </w:rPr>
            </w:pPr>
            <w:r>
              <w:rPr>
                <w:rFonts w:hint="eastAsia" w:ascii="宋体" w:hAnsi="宋体" w:cs="宋体"/>
                <w:b w:val="0"/>
                <w:bCs w:val="0"/>
                <w:color w:val="auto"/>
                <w:sz w:val="22"/>
                <w:szCs w:val="22"/>
                <w:highlight w:val="none"/>
                <w:lang w:val="en-US" w:eastAsia="zh-CN"/>
              </w:rPr>
              <w:t xml:space="preserve">15分 </w:t>
            </w:r>
          </w:p>
        </w:tc>
      </w:tr>
      <w:tr w14:paraId="4B3A5A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jc w:val="center"/>
        </w:trPr>
        <w:tc>
          <w:tcPr>
            <w:tcW w:w="8963" w:type="dxa"/>
            <w:gridSpan w:val="3"/>
            <w:noWrap w:val="0"/>
            <w:vAlign w:val="top"/>
          </w:tcPr>
          <w:p w14:paraId="276023CD">
            <w:pPr>
              <w:pStyle w:val="12"/>
              <w:spacing w:line="400" w:lineRule="exact"/>
              <w:ind w:firstLine="440" w:firstLineChars="200"/>
              <w:rPr>
                <w:rFonts w:hint="eastAsia" w:ascii="宋体" w:hAnsi="宋体" w:eastAsia="宋体" w:cs="宋体"/>
                <w:bCs/>
                <w:color w:val="auto"/>
                <w:kern w:val="2"/>
                <w:sz w:val="22"/>
                <w:szCs w:val="22"/>
                <w:highlight w:val="none"/>
                <w:lang w:val="en-US" w:eastAsia="zh-CN"/>
              </w:rPr>
            </w:pPr>
            <w:r>
              <w:rPr>
                <w:rFonts w:hint="eastAsia" w:ascii="宋体" w:hAnsi="宋体" w:eastAsia="宋体" w:cs="宋体"/>
                <w:bCs/>
                <w:color w:val="auto"/>
                <w:kern w:val="2"/>
                <w:sz w:val="22"/>
                <w:szCs w:val="22"/>
                <w:highlight w:val="none"/>
              </w:rPr>
              <w:t>总得分＝1+2</w:t>
            </w:r>
            <w:r>
              <w:rPr>
                <w:rFonts w:hint="eastAsia" w:ascii="宋体" w:hAnsi="宋体" w:eastAsia="宋体" w:cs="宋体"/>
                <w:bCs/>
                <w:color w:val="auto"/>
                <w:kern w:val="2"/>
                <w:sz w:val="22"/>
                <w:szCs w:val="22"/>
                <w:highlight w:val="none"/>
                <w:lang w:val="en-US" w:eastAsia="zh-CN"/>
              </w:rPr>
              <w:t>+3</w:t>
            </w:r>
          </w:p>
        </w:tc>
        <w:tc>
          <w:tcPr>
            <w:tcW w:w="814" w:type="dxa"/>
            <w:noWrap w:val="0"/>
            <w:vAlign w:val="center"/>
          </w:tcPr>
          <w:p w14:paraId="4C00E917">
            <w:pPr>
              <w:pStyle w:val="12"/>
              <w:spacing w:line="400" w:lineRule="exact"/>
              <w:ind w:firstLine="440" w:firstLineChars="200"/>
              <w:jc w:val="center"/>
              <w:rPr>
                <w:rFonts w:hint="eastAsia" w:ascii="宋体" w:hAnsi="宋体" w:eastAsia="宋体" w:cs="宋体"/>
                <w:bCs/>
                <w:color w:val="auto"/>
                <w:kern w:val="2"/>
                <w:sz w:val="22"/>
                <w:szCs w:val="22"/>
                <w:highlight w:val="none"/>
              </w:rPr>
            </w:pPr>
          </w:p>
        </w:tc>
      </w:tr>
    </w:tbl>
    <w:p w14:paraId="1EDA6624">
      <w:pPr>
        <w:spacing w:line="400" w:lineRule="exact"/>
        <w:ind w:firstLine="440" w:firstLineChars="200"/>
        <w:rPr>
          <w:rFonts w:hint="eastAsia" w:ascii="宋体" w:hAnsi="宋体" w:cs="宋体"/>
          <w:bCs/>
          <w:color w:val="auto"/>
          <w:sz w:val="22"/>
          <w:szCs w:val="22"/>
          <w:highlight w:val="none"/>
        </w:rPr>
      </w:pPr>
    </w:p>
    <w:p w14:paraId="1AC5FBC2">
      <w:pPr>
        <w:spacing w:line="400" w:lineRule="exact"/>
        <w:ind w:firstLine="440" w:firstLineChars="200"/>
        <w:rPr>
          <w:rFonts w:hint="eastAsia" w:ascii="宋体" w:hAnsi="宋体" w:cs="宋体"/>
          <w:bCs/>
          <w:color w:val="auto"/>
          <w:sz w:val="22"/>
          <w:szCs w:val="22"/>
          <w:highlight w:val="none"/>
        </w:rPr>
      </w:pPr>
    </w:p>
    <w:p w14:paraId="3E146DE8">
      <w:pPr>
        <w:pStyle w:val="2"/>
        <w:shd w:val="clear"/>
        <w:jc w:val="center"/>
        <w:rPr>
          <w:rFonts w:hint="eastAsia" w:ascii="宋体" w:hAnsi="宋体" w:eastAsia="宋体" w:cs="宋体"/>
          <w:b w:val="0"/>
          <w:color w:val="auto"/>
          <w:sz w:val="30"/>
          <w:szCs w:val="30"/>
          <w:highlight w:val="none"/>
        </w:rPr>
      </w:pPr>
      <w:bookmarkStart w:id="303" w:name="_Toc18582"/>
      <w:bookmarkStart w:id="304" w:name="_Toc12855"/>
      <w:bookmarkStart w:id="305" w:name="_Toc23906"/>
      <w:bookmarkStart w:id="306" w:name="_Toc20313"/>
      <w:bookmarkStart w:id="307" w:name="_Toc15061"/>
      <w:bookmarkStart w:id="308" w:name="_Toc11083"/>
      <w:bookmarkStart w:id="309" w:name="_Toc16466"/>
      <w:bookmarkStart w:id="310" w:name="_Toc2202"/>
      <w:bookmarkStart w:id="311" w:name="_Toc10751"/>
      <w:bookmarkStart w:id="312" w:name="_Toc9480"/>
      <w:r>
        <w:rPr>
          <w:rFonts w:hint="eastAsia" w:ascii="宋体" w:hAnsi="宋体" w:eastAsia="宋体" w:cs="宋体"/>
          <w:b w:val="0"/>
          <w:color w:val="auto"/>
          <w:sz w:val="30"/>
          <w:szCs w:val="30"/>
          <w:highlight w:val="none"/>
        </w:rPr>
        <w:t>第四节 中标候选人推荐原则</w:t>
      </w:r>
      <w:bookmarkEnd w:id="303"/>
      <w:bookmarkEnd w:id="304"/>
      <w:bookmarkEnd w:id="305"/>
      <w:bookmarkEnd w:id="306"/>
      <w:bookmarkEnd w:id="307"/>
      <w:bookmarkEnd w:id="308"/>
      <w:bookmarkEnd w:id="309"/>
      <w:bookmarkEnd w:id="310"/>
      <w:bookmarkEnd w:id="311"/>
      <w:bookmarkEnd w:id="312"/>
    </w:p>
    <w:p w14:paraId="1FA7F4A1">
      <w:pPr>
        <w:pStyle w:val="12"/>
        <w:shd w:val="clea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评标委员会将根据评审后总得分由高到低排列次序并推荐中标候选人。总得分相同的，以投标</w:t>
      </w:r>
      <w:r>
        <w:rPr>
          <w:rFonts w:hint="eastAsia" w:hAnsi="宋体" w:cs="宋体"/>
          <w:color w:val="auto"/>
          <w:highlight w:val="none"/>
          <w:lang w:val="en-US" w:eastAsia="zh-CN"/>
        </w:rPr>
        <w:t>报价</w:t>
      </w:r>
      <w:r>
        <w:rPr>
          <w:rFonts w:hint="eastAsia" w:ascii="宋体" w:hAnsi="宋体" w:eastAsia="宋体" w:cs="宋体"/>
          <w:color w:val="auto"/>
          <w:highlight w:val="none"/>
        </w:rPr>
        <w:t>由</w:t>
      </w:r>
      <w:r>
        <w:rPr>
          <w:rFonts w:hint="eastAsia" w:hAnsi="宋体" w:cs="宋体"/>
          <w:color w:val="auto"/>
          <w:highlight w:val="none"/>
          <w:lang w:val="en-US" w:eastAsia="zh-CN"/>
        </w:rPr>
        <w:t>低</w:t>
      </w:r>
      <w:r>
        <w:rPr>
          <w:rFonts w:hint="eastAsia" w:ascii="宋体" w:hAnsi="宋体" w:eastAsia="宋体" w:cs="宋体"/>
          <w:color w:val="auto"/>
          <w:highlight w:val="none"/>
        </w:rPr>
        <w:t>到</w:t>
      </w:r>
      <w:r>
        <w:rPr>
          <w:rFonts w:hint="eastAsia" w:hAnsi="宋体" w:cs="宋体"/>
          <w:color w:val="auto"/>
          <w:highlight w:val="none"/>
          <w:lang w:val="en-US" w:eastAsia="zh-CN"/>
        </w:rPr>
        <w:t>高</w:t>
      </w:r>
      <w:r>
        <w:rPr>
          <w:rFonts w:hint="eastAsia" w:ascii="宋体" w:hAnsi="宋体" w:eastAsia="宋体" w:cs="宋体"/>
          <w:color w:val="auto"/>
          <w:highlight w:val="none"/>
        </w:rPr>
        <w:t>顺序排列</w:t>
      </w:r>
      <w:r>
        <w:rPr>
          <w:rFonts w:hint="eastAsia" w:ascii="宋体" w:hAnsi="宋体" w:eastAsia="宋体" w:cs="宋体"/>
          <w:color w:val="auto"/>
          <w:highlight w:val="none"/>
          <w:lang w:eastAsia="zh-CN"/>
        </w:rPr>
        <w:t>，</w:t>
      </w:r>
      <w:r>
        <w:rPr>
          <w:rFonts w:hint="eastAsia" w:ascii="宋体" w:hAnsi="宋体" w:eastAsia="宋体" w:cs="宋体"/>
          <w:color w:val="auto"/>
          <w:highlight w:val="none"/>
        </w:rPr>
        <w:t>得分相同且投标报价相同的并列</w:t>
      </w:r>
      <w:r>
        <w:rPr>
          <w:rFonts w:hint="eastAsia" w:ascii="宋体" w:hAnsi="宋体" w:eastAsia="宋体" w:cs="宋体"/>
          <w:color w:val="auto"/>
          <w:highlight w:val="none"/>
          <w:lang w:eastAsia="zh-CN"/>
        </w:rPr>
        <w:t>。</w:t>
      </w:r>
      <w:r>
        <w:rPr>
          <w:rFonts w:hint="eastAsia" w:ascii="宋体" w:hAnsi="宋体" w:eastAsia="宋体" w:cs="宋体"/>
          <w:color w:val="auto"/>
          <w:highlight w:val="none"/>
        </w:rPr>
        <w:t>投标文件满足招标文件全部实质性要求，且按照评审因素的量化指标评审得分最高的投标人为排名第一的中标候选人。</w:t>
      </w:r>
    </w:p>
    <w:p w14:paraId="6D316A31">
      <w:pPr>
        <w:pStyle w:val="12"/>
        <w:shd w:val="clear"/>
        <w:spacing w:line="360" w:lineRule="auto"/>
        <w:ind w:firstLine="420" w:firstLineChars="200"/>
        <w:rPr>
          <w:rFonts w:hint="eastAsia" w:ascii="宋体" w:hAnsi="宋体" w:eastAsia="宋体" w:cs="宋体"/>
          <w:b/>
          <w:bCs/>
          <w:color w:val="auto"/>
          <w:sz w:val="24"/>
          <w:szCs w:val="24"/>
          <w:highlight w:val="none"/>
        </w:rPr>
      </w:pPr>
      <w:r>
        <w:rPr>
          <w:rFonts w:hint="eastAsia" w:ascii="宋体" w:hAnsi="宋体" w:eastAsia="宋体" w:cs="宋体"/>
          <w:color w:val="auto"/>
          <w:sz w:val="21"/>
          <w:highlight w:val="none"/>
          <w:lang w:val="en-US" w:eastAsia="zh-CN"/>
        </w:rPr>
        <w:t>投标人可以对所有分标进行投标，也可以选择某个分标或某几个分标进行投标并报价。为保证履约质量，一个投标人只能中1、2、3、4分标其中</w:t>
      </w:r>
      <w:r>
        <w:rPr>
          <w:rFonts w:hint="eastAsia" w:hAnsi="宋体" w:cs="宋体"/>
          <w:color w:val="auto"/>
          <w:sz w:val="21"/>
          <w:highlight w:val="none"/>
          <w:lang w:val="en-US" w:eastAsia="zh-CN"/>
        </w:rPr>
        <w:t>两</w:t>
      </w:r>
      <w:r>
        <w:rPr>
          <w:rFonts w:hint="eastAsia" w:ascii="宋体" w:hAnsi="宋体" w:eastAsia="宋体" w:cs="宋体"/>
          <w:color w:val="auto"/>
          <w:sz w:val="21"/>
          <w:highlight w:val="none"/>
          <w:lang w:val="en-US" w:eastAsia="zh-CN"/>
        </w:rPr>
        <w:t>个分标。评标/中标顺序按1→2→3→4分标顺推。（即中1</w:t>
      </w:r>
      <w:r>
        <w:rPr>
          <w:rFonts w:hint="eastAsia" w:hAnsi="宋体" w:cs="宋体"/>
          <w:color w:val="auto"/>
          <w:sz w:val="21"/>
          <w:highlight w:val="none"/>
          <w:lang w:val="en-US" w:eastAsia="zh-CN"/>
        </w:rPr>
        <w:t>、2</w:t>
      </w:r>
      <w:r>
        <w:rPr>
          <w:rFonts w:hint="eastAsia" w:ascii="宋体" w:hAnsi="宋体" w:eastAsia="宋体" w:cs="宋体"/>
          <w:color w:val="auto"/>
          <w:sz w:val="21"/>
          <w:highlight w:val="none"/>
          <w:lang w:val="en-US" w:eastAsia="zh-CN"/>
        </w:rPr>
        <w:t>分标后不能再中3、4分标；中2</w:t>
      </w:r>
      <w:r>
        <w:rPr>
          <w:rFonts w:hint="eastAsia" w:hAnsi="宋体" w:cs="宋体"/>
          <w:color w:val="auto"/>
          <w:sz w:val="21"/>
          <w:highlight w:val="none"/>
          <w:lang w:val="en-US" w:eastAsia="zh-CN"/>
        </w:rPr>
        <w:t>、3</w:t>
      </w:r>
      <w:r>
        <w:rPr>
          <w:rFonts w:hint="eastAsia" w:ascii="宋体" w:hAnsi="宋体" w:eastAsia="宋体" w:cs="宋体"/>
          <w:color w:val="auto"/>
          <w:sz w:val="21"/>
          <w:highlight w:val="none"/>
          <w:lang w:val="en-US" w:eastAsia="zh-CN"/>
        </w:rPr>
        <w:t>分标后不能再中4分标）。采购人应当按评审委员会推荐的排名顺序，按前述原则确定中标候选人作为中标人。</w:t>
      </w:r>
    </w:p>
    <w:p w14:paraId="58A2DAA3">
      <w:pPr>
        <w:pStyle w:val="2"/>
        <w:shd w:val="clear"/>
        <w:spacing w:before="0" w:after="0" w:line="360" w:lineRule="auto"/>
        <w:ind w:firstLine="600" w:firstLineChars="200"/>
        <w:jc w:val="center"/>
        <w:rPr>
          <w:rFonts w:hint="eastAsia" w:ascii="宋体" w:hAnsi="宋体" w:eastAsia="宋体" w:cs="宋体"/>
          <w:b w:val="0"/>
          <w:color w:val="auto"/>
          <w:sz w:val="30"/>
          <w:szCs w:val="30"/>
          <w:highlight w:val="none"/>
        </w:rPr>
      </w:pPr>
      <w:bookmarkStart w:id="313" w:name="_Toc11545"/>
      <w:bookmarkStart w:id="314" w:name="_Toc13808"/>
      <w:bookmarkStart w:id="315" w:name="_Toc7971"/>
      <w:bookmarkStart w:id="316" w:name="_Toc22384"/>
      <w:bookmarkStart w:id="317" w:name="_Toc13625"/>
      <w:bookmarkStart w:id="318" w:name="_Toc11073"/>
      <w:bookmarkStart w:id="319" w:name="_Toc29218"/>
      <w:bookmarkStart w:id="320" w:name="_Toc27419"/>
      <w:bookmarkStart w:id="321" w:name="_Toc11695"/>
      <w:bookmarkStart w:id="322" w:name="_Toc9602"/>
    </w:p>
    <w:p w14:paraId="295C5E87">
      <w:pPr>
        <w:pStyle w:val="2"/>
        <w:shd w:val="clear"/>
        <w:spacing w:before="0" w:after="0" w:line="360" w:lineRule="auto"/>
        <w:ind w:firstLine="600" w:firstLineChars="200"/>
        <w:jc w:val="center"/>
        <w:rPr>
          <w:rFonts w:hint="eastAsia" w:ascii="宋体" w:hAnsi="宋体" w:eastAsia="宋体" w:cs="宋体"/>
          <w:b w:val="0"/>
          <w:color w:val="auto"/>
          <w:sz w:val="30"/>
          <w:szCs w:val="30"/>
          <w:highlight w:val="none"/>
        </w:rPr>
      </w:pPr>
      <w:r>
        <w:rPr>
          <w:rFonts w:hint="eastAsia" w:ascii="宋体" w:hAnsi="宋体" w:eastAsia="宋体" w:cs="宋体"/>
          <w:b w:val="0"/>
          <w:color w:val="auto"/>
          <w:sz w:val="30"/>
          <w:szCs w:val="30"/>
          <w:highlight w:val="none"/>
        </w:rPr>
        <w:t>第五节 评标报告</w:t>
      </w:r>
      <w:bookmarkEnd w:id="313"/>
      <w:bookmarkEnd w:id="314"/>
      <w:bookmarkEnd w:id="315"/>
      <w:bookmarkEnd w:id="316"/>
      <w:bookmarkEnd w:id="317"/>
      <w:bookmarkEnd w:id="318"/>
      <w:bookmarkEnd w:id="319"/>
      <w:bookmarkEnd w:id="320"/>
      <w:bookmarkEnd w:id="321"/>
      <w:bookmarkEnd w:id="322"/>
    </w:p>
    <w:p w14:paraId="2A2E171A">
      <w:pPr>
        <w:pStyle w:val="36"/>
        <w:shd w:val="clear"/>
        <w:spacing w:before="0"/>
        <w:ind w:firstLine="482"/>
        <w:rPr>
          <w:rFonts w:hint="eastAsia" w:ascii="宋体" w:hAnsi="宋体" w:eastAsia="宋体" w:cs="宋体"/>
          <w:b/>
          <w:bCs/>
          <w:color w:val="auto"/>
          <w:szCs w:val="24"/>
          <w:highlight w:val="none"/>
        </w:rPr>
      </w:pPr>
      <w:r>
        <w:rPr>
          <w:rFonts w:hint="eastAsia" w:ascii="宋体" w:hAnsi="宋体" w:eastAsia="宋体" w:cs="宋体"/>
          <w:b/>
          <w:bCs/>
          <w:color w:val="auto"/>
          <w:szCs w:val="24"/>
          <w:highlight w:val="none"/>
        </w:rPr>
        <w:t>（一）评标报告与推荐中标候选人</w:t>
      </w:r>
    </w:p>
    <w:p w14:paraId="64572279">
      <w:pPr>
        <w:pStyle w:val="12"/>
        <w:shd w:val="clear"/>
        <w:tabs>
          <w:tab w:val="left" w:pos="2472"/>
        </w:tabs>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评标委员会根据原始评标记录和评标结果编写评标报告，并通过电子交易平台向采购人、采购代理机构提交。</w:t>
      </w:r>
    </w:p>
    <w:p w14:paraId="575AA52C">
      <w:pPr>
        <w:widowControl/>
        <w:shd w:val="clear"/>
        <w:spacing w:line="360" w:lineRule="auto"/>
        <w:ind w:firstLine="482" w:firstLineChars="200"/>
        <w:jc w:val="left"/>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（二）评标争议事项处理</w:t>
      </w:r>
    </w:p>
    <w:p w14:paraId="7C67831F">
      <w:pPr>
        <w:pStyle w:val="12"/>
        <w:shd w:val="clear"/>
        <w:tabs>
          <w:tab w:val="left" w:pos="2472"/>
        </w:tabs>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评标委员会成员对需要共同认定的事项存在争议的，应当按照少数服从多数的原则作出结论。持不同意见的评标委员会成员应当在评标报告上签署不同意见及理由，否则视为同意评标报告。</w:t>
      </w:r>
    </w:p>
    <w:p w14:paraId="6A76588D">
      <w:pPr>
        <w:widowControl/>
        <w:shd w:val="clear"/>
        <w:jc w:val="left"/>
        <w:rPr>
          <w:rFonts w:hint="eastAsia" w:ascii="宋体" w:hAnsi="宋体" w:eastAsia="宋体" w:cs="宋体"/>
          <w:b/>
          <w:color w:val="auto"/>
          <w:sz w:val="36"/>
          <w:szCs w:val="20"/>
          <w:highlight w:val="none"/>
        </w:rPr>
        <w:sectPr>
          <w:pgSz w:w="11905" w:h="16838"/>
          <w:pgMar w:top="1134" w:right="1134" w:bottom="1134" w:left="1134" w:header="850" w:footer="850" w:gutter="0"/>
          <w:pgNumType w:fmt="decimal"/>
          <w:cols w:space="0" w:num="1"/>
          <w:titlePg/>
          <w:rtlGutter w:val="0"/>
          <w:docGrid w:linePitch="331" w:charSpace="0"/>
        </w:sectPr>
      </w:pPr>
    </w:p>
    <w:p w14:paraId="3D6CF824">
      <w:pPr>
        <w:pStyle w:val="12"/>
        <w:shd w:val="clear"/>
        <w:tabs>
          <w:tab w:val="left" w:pos="2472"/>
        </w:tabs>
        <w:spacing w:line="460" w:lineRule="exact"/>
        <w:jc w:val="center"/>
        <w:rPr>
          <w:rFonts w:hint="eastAsia" w:ascii="宋体" w:hAnsi="宋体" w:eastAsia="宋体" w:cs="宋体"/>
          <w:b/>
          <w:color w:val="auto"/>
          <w:sz w:val="36"/>
          <w:highlight w:val="none"/>
        </w:rPr>
      </w:pPr>
    </w:p>
    <w:p w14:paraId="304EA605">
      <w:pPr>
        <w:pStyle w:val="12"/>
        <w:shd w:val="clear"/>
        <w:tabs>
          <w:tab w:val="left" w:pos="2472"/>
        </w:tabs>
        <w:spacing w:line="460" w:lineRule="exact"/>
        <w:jc w:val="center"/>
        <w:rPr>
          <w:rFonts w:hint="eastAsia" w:ascii="宋体" w:hAnsi="宋体" w:eastAsia="宋体" w:cs="宋体"/>
          <w:b/>
          <w:color w:val="auto"/>
          <w:sz w:val="36"/>
          <w:highlight w:val="none"/>
        </w:rPr>
      </w:pPr>
    </w:p>
    <w:p w14:paraId="4BF4AFFD">
      <w:pPr>
        <w:pStyle w:val="12"/>
        <w:shd w:val="clear"/>
        <w:tabs>
          <w:tab w:val="left" w:pos="2472"/>
        </w:tabs>
        <w:spacing w:line="460" w:lineRule="exact"/>
        <w:jc w:val="center"/>
        <w:rPr>
          <w:rFonts w:hint="eastAsia" w:ascii="宋体" w:hAnsi="宋体" w:eastAsia="宋体" w:cs="宋体"/>
          <w:b/>
          <w:color w:val="auto"/>
          <w:sz w:val="36"/>
          <w:highlight w:val="none"/>
        </w:rPr>
      </w:pPr>
    </w:p>
    <w:p w14:paraId="532BE307">
      <w:pPr>
        <w:pStyle w:val="12"/>
        <w:shd w:val="clear"/>
        <w:tabs>
          <w:tab w:val="left" w:pos="2472"/>
        </w:tabs>
        <w:spacing w:line="460" w:lineRule="exact"/>
        <w:jc w:val="center"/>
        <w:rPr>
          <w:rFonts w:hint="eastAsia" w:ascii="宋体" w:hAnsi="宋体" w:eastAsia="宋体" w:cs="宋体"/>
          <w:b/>
          <w:color w:val="auto"/>
          <w:sz w:val="36"/>
          <w:highlight w:val="none"/>
        </w:rPr>
      </w:pPr>
    </w:p>
    <w:p w14:paraId="66A7AA25">
      <w:pPr>
        <w:pStyle w:val="12"/>
        <w:shd w:val="clear"/>
        <w:tabs>
          <w:tab w:val="left" w:pos="2472"/>
        </w:tabs>
        <w:spacing w:line="460" w:lineRule="exact"/>
        <w:jc w:val="center"/>
        <w:rPr>
          <w:rFonts w:hint="eastAsia" w:ascii="宋体" w:hAnsi="宋体" w:eastAsia="宋体" w:cs="宋体"/>
          <w:b/>
          <w:color w:val="auto"/>
          <w:sz w:val="36"/>
          <w:highlight w:val="none"/>
        </w:rPr>
      </w:pPr>
    </w:p>
    <w:p w14:paraId="6669DCA0">
      <w:pPr>
        <w:pStyle w:val="12"/>
        <w:shd w:val="clear"/>
        <w:tabs>
          <w:tab w:val="left" w:pos="2472"/>
        </w:tabs>
        <w:spacing w:line="460" w:lineRule="exact"/>
        <w:jc w:val="center"/>
        <w:rPr>
          <w:rFonts w:hint="eastAsia" w:ascii="宋体" w:hAnsi="宋体" w:eastAsia="宋体" w:cs="宋体"/>
          <w:b/>
          <w:color w:val="auto"/>
          <w:sz w:val="36"/>
          <w:highlight w:val="none"/>
        </w:rPr>
      </w:pPr>
    </w:p>
    <w:p w14:paraId="6F2F6AC9">
      <w:pPr>
        <w:pStyle w:val="12"/>
        <w:shd w:val="clear"/>
        <w:tabs>
          <w:tab w:val="left" w:pos="2472"/>
        </w:tabs>
        <w:spacing w:line="460" w:lineRule="exact"/>
        <w:jc w:val="center"/>
        <w:rPr>
          <w:rFonts w:hint="eastAsia" w:ascii="宋体" w:hAnsi="宋体" w:eastAsia="宋体" w:cs="宋体"/>
          <w:b/>
          <w:color w:val="auto"/>
          <w:sz w:val="36"/>
          <w:highlight w:val="none"/>
        </w:rPr>
      </w:pPr>
    </w:p>
    <w:p w14:paraId="71AF7A01">
      <w:pPr>
        <w:pStyle w:val="12"/>
        <w:shd w:val="clear"/>
        <w:tabs>
          <w:tab w:val="left" w:pos="2472"/>
        </w:tabs>
        <w:spacing w:line="460" w:lineRule="exact"/>
        <w:jc w:val="center"/>
        <w:rPr>
          <w:rFonts w:hint="eastAsia" w:ascii="宋体" w:hAnsi="宋体" w:eastAsia="宋体" w:cs="宋体"/>
          <w:b/>
          <w:color w:val="auto"/>
          <w:sz w:val="36"/>
          <w:highlight w:val="none"/>
        </w:rPr>
      </w:pPr>
    </w:p>
    <w:p w14:paraId="34956629">
      <w:pPr>
        <w:pStyle w:val="12"/>
        <w:shd w:val="clear"/>
        <w:tabs>
          <w:tab w:val="left" w:pos="2472"/>
        </w:tabs>
        <w:spacing w:line="460" w:lineRule="exact"/>
        <w:jc w:val="center"/>
        <w:rPr>
          <w:rFonts w:hint="eastAsia" w:ascii="宋体" w:hAnsi="宋体" w:eastAsia="宋体" w:cs="宋体"/>
          <w:b/>
          <w:color w:val="auto"/>
          <w:sz w:val="36"/>
          <w:highlight w:val="none"/>
        </w:rPr>
      </w:pPr>
    </w:p>
    <w:p w14:paraId="5A3AF59B">
      <w:pPr>
        <w:pStyle w:val="12"/>
        <w:shd w:val="clear"/>
        <w:tabs>
          <w:tab w:val="left" w:pos="2472"/>
        </w:tabs>
        <w:spacing w:line="460" w:lineRule="exact"/>
        <w:jc w:val="center"/>
        <w:rPr>
          <w:rFonts w:hint="eastAsia" w:ascii="宋体" w:hAnsi="宋体" w:eastAsia="宋体" w:cs="宋体"/>
          <w:b/>
          <w:color w:val="auto"/>
          <w:sz w:val="36"/>
          <w:highlight w:val="none"/>
        </w:rPr>
      </w:pPr>
    </w:p>
    <w:p w14:paraId="392A5EBE">
      <w:pPr>
        <w:pStyle w:val="12"/>
        <w:shd w:val="clear"/>
        <w:tabs>
          <w:tab w:val="left" w:pos="2472"/>
        </w:tabs>
        <w:spacing w:line="460" w:lineRule="exact"/>
        <w:jc w:val="center"/>
        <w:rPr>
          <w:rFonts w:hint="eastAsia" w:ascii="宋体" w:hAnsi="宋体" w:eastAsia="宋体" w:cs="宋体"/>
          <w:b/>
          <w:color w:val="auto"/>
          <w:sz w:val="36"/>
          <w:highlight w:val="none"/>
        </w:rPr>
      </w:pPr>
    </w:p>
    <w:p w14:paraId="6210B3F2">
      <w:pPr>
        <w:pStyle w:val="12"/>
        <w:shd w:val="clear"/>
        <w:tabs>
          <w:tab w:val="left" w:pos="2472"/>
        </w:tabs>
        <w:spacing w:line="460" w:lineRule="exact"/>
        <w:jc w:val="center"/>
        <w:rPr>
          <w:rFonts w:hint="eastAsia" w:ascii="宋体" w:hAnsi="宋体" w:eastAsia="宋体" w:cs="宋体"/>
          <w:b/>
          <w:color w:val="auto"/>
          <w:sz w:val="36"/>
          <w:highlight w:val="none"/>
        </w:rPr>
      </w:pPr>
    </w:p>
    <w:p w14:paraId="49014F7A">
      <w:pPr>
        <w:pStyle w:val="12"/>
        <w:shd w:val="clear"/>
        <w:tabs>
          <w:tab w:val="left" w:pos="2472"/>
        </w:tabs>
        <w:spacing w:line="460" w:lineRule="exact"/>
        <w:jc w:val="center"/>
        <w:rPr>
          <w:rFonts w:hint="eastAsia" w:ascii="宋体" w:hAnsi="宋体" w:eastAsia="宋体" w:cs="宋体"/>
          <w:b/>
          <w:color w:val="auto"/>
          <w:sz w:val="36"/>
          <w:highlight w:val="none"/>
        </w:rPr>
      </w:pPr>
    </w:p>
    <w:p w14:paraId="056689D6">
      <w:pPr>
        <w:pStyle w:val="12"/>
        <w:shd w:val="clear"/>
        <w:tabs>
          <w:tab w:val="left" w:pos="2472"/>
        </w:tabs>
        <w:spacing w:line="460" w:lineRule="exact"/>
        <w:jc w:val="center"/>
        <w:outlineLvl w:val="0"/>
        <w:rPr>
          <w:rFonts w:hint="eastAsia" w:ascii="宋体" w:hAnsi="宋体" w:eastAsia="宋体" w:cs="宋体"/>
          <w:b/>
          <w:color w:val="auto"/>
          <w:sz w:val="36"/>
          <w:highlight w:val="none"/>
        </w:rPr>
      </w:pPr>
      <w:bookmarkStart w:id="323" w:name="_Toc29347"/>
      <w:bookmarkStart w:id="324" w:name="_Toc3422"/>
      <w:bookmarkStart w:id="325" w:name="_Toc7167"/>
      <w:bookmarkStart w:id="326" w:name="_Toc31791"/>
      <w:bookmarkStart w:id="327" w:name="_Toc17049"/>
      <w:bookmarkStart w:id="328" w:name="_Toc9058"/>
      <w:bookmarkStart w:id="329" w:name="_Toc27014"/>
      <w:bookmarkStart w:id="330" w:name="_Toc32021"/>
      <w:bookmarkStart w:id="331" w:name="_Toc26262"/>
      <w:bookmarkStart w:id="332" w:name="_Toc20993"/>
      <w:bookmarkStart w:id="333" w:name="_Toc9012"/>
      <w:bookmarkStart w:id="334" w:name="_Toc25572"/>
      <w:bookmarkStart w:id="335" w:name="_Toc3838"/>
      <w:r>
        <w:rPr>
          <w:rFonts w:hint="eastAsia" w:ascii="宋体" w:hAnsi="宋体" w:eastAsia="宋体" w:cs="宋体"/>
          <w:b/>
          <w:color w:val="auto"/>
          <w:sz w:val="36"/>
          <w:highlight w:val="none"/>
        </w:rPr>
        <w:t>第五章 拟签订的合同文本</w:t>
      </w:r>
      <w:bookmarkEnd w:id="323"/>
      <w:bookmarkEnd w:id="324"/>
      <w:bookmarkEnd w:id="325"/>
      <w:bookmarkEnd w:id="326"/>
      <w:bookmarkEnd w:id="327"/>
      <w:bookmarkEnd w:id="328"/>
      <w:bookmarkEnd w:id="329"/>
      <w:bookmarkEnd w:id="330"/>
      <w:bookmarkEnd w:id="331"/>
      <w:bookmarkEnd w:id="332"/>
      <w:bookmarkEnd w:id="333"/>
      <w:bookmarkEnd w:id="334"/>
      <w:bookmarkEnd w:id="335"/>
    </w:p>
    <w:p w14:paraId="0EB74EDE">
      <w:pPr>
        <w:widowControl/>
        <w:shd w:val="clear"/>
        <w:jc w:val="left"/>
        <w:rPr>
          <w:rFonts w:hint="eastAsia" w:ascii="宋体" w:hAnsi="宋体" w:eastAsia="宋体" w:cs="宋体"/>
          <w:bCs/>
          <w:color w:val="auto"/>
          <w:szCs w:val="20"/>
          <w:highlight w:val="none"/>
        </w:rPr>
        <w:sectPr>
          <w:pgSz w:w="11905" w:h="16838"/>
          <w:pgMar w:top="1134" w:right="1134" w:bottom="1134" w:left="1134" w:header="850" w:footer="850" w:gutter="0"/>
          <w:pgNumType w:fmt="decimal"/>
          <w:cols w:space="0" w:num="1"/>
          <w:titlePg/>
          <w:rtlGutter w:val="0"/>
          <w:docGrid w:linePitch="331" w:charSpace="0"/>
        </w:sectPr>
      </w:pPr>
    </w:p>
    <w:p w14:paraId="77E6EC68">
      <w:pPr>
        <w:shd w:val="clear"/>
        <w:spacing w:line="360" w:lineRule="auto"/>
        <w:rPr>
          <w:rFonts w:hint="eastAsia" w:ascii="宋体" w:hAnsi="宋体" w:eastAsia="宋体" w:cs="宋体"/>
          <w:color w:val="auto"/>
          <w:sz w:val="24"/>
          <w:highlight w:val="none"/>
        </w:rPr>
      </w:pPr>
    </w:p>
    <w:p w14:paraId="4328CFF9">
      <w:pPr>
        <w:keepNext w:val="0"/>
        <w:keepLines w:val="0"/>
        <w:pageBreakBefore w:val="0"/>
        <w:widowControl w:val="0"/>
        <w:kinsoku/>
        <w:wordWrap/>
        <w:overflowPunct/>
        <w:topLinePunct w:val="0"/>
        <w:autoSpaceDE/>
        <w:autoSpaceDN/>
        <w:bidi w:val="0"/>
        <w:adjustRightInd/>
        <w:snapToGrid/>
        <w:jc w:val="center"/>
        <w:textAlignment w:val="auto"/>
        <w:outlineLvl w:val="9"/>
        <w:rPr>
          <w:rFonts w:hint="eastAsia" w:ascii="宋体" w:hAnsi="宋体" w:cs="宋体"/>
          <w:b/>
          <w:color w:val="auto"/>
          <w:kern w:val="0"/>
          <w:sz w:val="52"/>
          <w:szCs w:val="52"/>
          <w:highlight w:val="none"/>
        </w:rPr>
      </w:pPr>
      <w:r>
        <w:rPr>
          <w:rFonts w:hint="eastAsia" w:ascii="宋体" w:hAnsi="宋体" w:cs="宋体"/>
          <w:b/>
          <w:color w:val="auto"/>
          <w:sz w:val="36"/>
          <w:szCs w:val="36"/>
          <w:highlight w:val="none"/>
          <w:lang w:bidi="ar"/>
        </w:rPr>
        <w:t>政府采购合同</w:t>
      </w:r>
    </w:p>
    <w:p w14:paraId="21BFD34E">
      <w:pPr>
        <w:spacing w:line="360" w:lineRule="auto"/>
        <w:jc w:val="right"/>
        <w:rPr>
          <w:rFonts w:hint="eastAsia" w:ascii="宋体" w:hAnsi="宋体" w:cs="宋体"/>
          <w:color w:val="auto"/>
          <w:sz w:val="32"/>
          <w:szCs w:val="32"/>
          <w:highlight w:val="none"/>
        </w:rPr>
      </w:pPr>
    </w:p>
    <w:p w14:paraId="79BA744E">
      <w:pPr>
        <w:spacing w:line="360" w:lineRule="auto"/>
        <w:rPr>
          <w:rFonts w:hint="eastAsia" w:ascii="宋体" w:hAnsi="宋体" w:cs="宋体"/>
          <w:color w:val="auto"/>
          <w:kern w:val="0"/>
          <w:sz w:val="32"/>
          <w:szCs w:val="32"/>
          <w:highlight w:val="none"/>
        </w:rPr>
      </w:pPr>
    </w:p>
    <w:p w14:paraId="34D9F10B">
      <w:pPr>
        <w:spacing w:line="360" w:lineRule="auto"/>
        <w:rPr>
          <w:rFonts w:hint="eastAsia" w:ascii="宋体" w:hAnsi="宋体" w:cs="宋体"/>
          <w:color w:val="auto"/>
          <w:kern w:val="0"/>
          <w:sz w:val="32"/>
          <w:szCs w:val="32"/>
          <w:highlight w:val="none"/>
        </w:rPr>
      </w:pPr>
    </w:p>
    <w:p w14:paraId="6F11D08B">
      <w:pPr>
        <w:spacing w:line="600" w:lineRule="auto"/>
        <w:ind w:firstLine="1590" w:firstLineChars="495"/>
        <w:rPr>
          <w:rFonts w:hint="eastAsia" w:ascii="宋体" w:hAnsi="宋体" w:cs="宋体"/>
          <w:b/>
          <w:color w:val="auto"/>
          <w:kern w:val="0"/>
          <w:sz w:val="32"/>
          <w:szCs w:val="32"/>
          <w:highlight w:val="none"/>
          <w:u w:val="single"/>
        </w:rPr>
      </w:pPr>
      <w:r>
        <w:rPr>
          <w:rFonts w:hint="eastAsia" w:ascii="宋体" w:hAnsi="宋体" w:cs="宋体"/>
          <w:b/>
          <w:color w:val="auto"/>
          <w:sz w:val="32"/>
          <w:szCs w:val="32"/>
          <w:highlight w:val="none"/>
          <w:lang w:bidi="ar"/>
        </w:rPr>
        <w:t>合同名称：</w:t>
      </w:r>
      <w:r>
        <w:rPr>
          <w:rFonts w:hint="eastAsia" w:ascii="宋体" w:hAnsi="宋体" w:cs="宋体"/>
          <w:b/>
          <w:color w:val="auto"/>
          <w:sz w:val="32"/>
          <w:szCs w:val="32"/>
          <w:highlight w:val="none"/>
          <w:u w:val="single"/>
          <w:lang w:bidi="ar"/>
        </w:rPr>
        <w:t xml:space="preserve">                              </w:t>
      </w:r>
    </w:p>
    <w:p w14:paraId="1C4ABDB7">
      <w:pPr>
        <w:spacing w:line="600" w:lineRule="auto"/>
        <w:ind w:firstLine="1590" w:firstLineChars="495"/>
        <w:rPr>
          <w:rFonts w:hint="eastAsia" w:ascii="宋体" w:hAnsi="宋体" w:cs="宋体"/>
          <w:b/>
          <w:color w:val="auto"/>
          <w:sz w:val="32"/>
          <w:szCs w:val="32"/>
          <w:highlight w:val="none"/>
          <w:u w:val="single"/>
          <w:lang w:bidi="ar"/>
        </w:rPr>
      </w:pPr>
      <w:r>
        <w:rPr>
          <w:rFonts w:hint="eastAsia" w:ascii="宋体" w:hAnsi="宋体" w:cs="宋体"/>
          <w:b/>
          <w:color w:val="auto"/>
          <w:sz w:val="32"/>
          <w:szCs w:val="32"/>
          <w:highlight w:val="none"/>
          <w:lang w:bidi="ar"/>
        </w:rPr>
        <w:t>合同编号：</w:t>
      </w:r>
      <w:r>
        <w:rPr>
          <w:rFonts w:hint="eastAsia" w:ascii="宋体" w:hAnsi="宋体" w:cs="宋体"/>
          <w:b/>
          <w:color w:val="auto"/>
          <w:sz w:val="32"/>
          <w:szCs w:val="32"/>
          <w:highlight w:val="none"/>
          <w:u w:val="single"/>
          <w:lang w:bidi="ar"/>
        </w:rPr>
        <w:t xml:space="preserve">                              </w:t>
      </w:r>
    </w:p>
    <w:p w14:paraId="14C9B642">
      <w:pPr>
        <w:spacing w:line="600" w:lineRule="auto"/>
        <w:ind w:firstLine="1590" w:firstLineChars="495"/>
        <w:rPr>
          <w:rFonts w:hint="eastAsia" w:ascii="宋体" w:hAnsi="宋体" w:cs="宋体"/>
          <w:b/>
          <w:color w:val="auto"/>
          <w:kern w:val="0"/>
          <w:sz w:val="32"/>
          <w:szCs w:val="32"/>
          <w:highlight w:val="none"/>
        </w:rPr>
      </w:pPr>
      <w:r>
        <w:rPr>
          <w:rFonts w:hint="eastAsia" w:ascii="宋体" w:hAnsi="宋体" w:cs="宋体"/>
          <w:b/>
          <w:color w:val="auto"/>
          <w:sz w:val="32"/>
          <w:szCs w:val="32"/>
          <w:highlight w:val="none"/>
          <w:lang w:bidi="ar"/>
        </w:rPr>
        <w:t>分    标：</w:t>
      </w:r>
      <w:r>
        <w:rPr>
          <w:rFonts w:hint="eastAsia" w:ascii="宋体" w:hAnsi="宋体" w:cs="宋体"/>
          <w:b/>
          <w:color w:val="auto"/>
          <w:sz w:val="32"/>
          <w:szCs w:val="32"/>
          <w:highlight w:val="none"/>
          <w:u w:val="single"/>
          <w:lang w:bidi="ar"/>
        </w:rPr>
        <w:t xml:space="preserve">         </w:t>
      </w:r>
      <w:r>
        <w:rPr>
          <w:rFonts w:hint="eastAsia" w:ascii="宋体" w:hAnsi="宋体" w:cs="宋体"/>
          <w:b/>
          <w:color w:val="auto"/>
          <w:sz w:val="32"/>
          <w:szCs w:val="32"/>
          <w:highlight w:val="none"/>
          <w:u w:val="single"/>
          <w:lang w:val="en-US" w:eastAsia="zh-CN" w:bidi="ar"/>
        </w:rPr>
        <w:t xml:space="preserve">      </w:t>
      </w:r>
      <w:r>
        <w:rPr>
          <w:rFonts w:hint="eastAsia" w:ascii="宋体" w:hAnsi="宋体" w:cs="宋体"/>
          <w:b/>
          <w:color w:val="auto"/>
          <w:sz w:val="32"/>
          <w:szCs w:val="32"/>
          <w:highlight w:val="none"/>
          <w:u w:val="single"/>
          <w:lang w:bidi="ar"/>
        </w:rPr>
        <w:t xml:space="preserve">              </w:t>
      </w:r>
      <w:r>
        <w:rPr>
          <w:rFonts w:hint="eastAsia" w:ascii="宋体" w:hAnsi="宋体" w:cs="宋体"/>
          <w:b/>
          <w:color w:val="auto"/>
          <w:sz w:val="32"/>
          <w:szCs w:val="32"/>
          <w:highlight w:val="none"/>
          <w:lang w:bidi="ar"/>
        </w:rPr>
        <w:t xml:space="preserve"> </w:t>
      </w:r>
    </w:p>
    <w:p w14:paraId="6274629D">
      <w:pPr>
        <w:spacing w:line="600" w:lineRule="auto"/>
        <w:ind w:firstLine="1590" w:firstLineChars="495"/>
        <w:rPr>
          <w:rFonts w:hint="eastAsia" w:ascii="宋体" w:hAnsi="宋体" w:cs="宋体"/>
          <w:b/>
          <w:color w:val="auto"/>
          <w:kern w:val="0"/>
          <w:sz w:val="32"/>
          <w:szCs w:val="32"/>
          <w:highlight w:val="none"/>
        </w:rPr>
      </w:pPr>
      <w:r>
        <w:rPr>
          <w:rFonts w:hint="eastAsia" w:ascii="宋体" w:hAnsi="宋体" w:cs="宋体"/>
          <w:b/>
          <w:color w:val="auto"/>
          <w:sz w:val="32"/>
          <w:szCs w:val="32"/>
          <w:highlight w:val="none"/>
          <w:lang w:bidi="ar"/>
        </w:rPr>
        <w:t>采购单位（甲方）：</w:t>
      </w:r>
      <w:r>
        <w:rPr>
          <w:rFonts w:hint="eastAsia" w:ascii="宋体" w:hAnsi="宋体" w:cs="宋体"/>
          <w:b/>
          <w:color w:val="auto"/>
          <w:sz w:val="32"/>
          <w:szCs w:val="32"/>
          <w:highlight w:val="none"/>
          <w:u w:val="single"/>
          <w:lang w:bidi="ar"/>
        </w:rPr>
        <w:t xml:space="preserve">                      </w:t>
      </w:r>
    </w:p>
    <w:p w14:paraId="1DE4D49F">
      <w:pPr>
        <w:spacing w:line="600" w:lineRule="auto"/>
        <w:ind w:firstLine="1590" w:firstLineChars="495"/>
        <w:rPr>
          <w:rFonts w:hint="eastAsia" w:ascii="宋体" w:hAnsi="宋体" w:cs="宋体"/>
          <w:b/>
          <w:color w:val="auto"/>
          <w:kern w:val="0"/>
          <w:sz w:val="32"/>
          <w:szCs w:val="32"/>
          <w:highlight w:val="none"/>
        </w:rPr>
      </w:pPr>
      <w:r>
        <w:rPr>
          <w:rFonts w:hint="eastAsia" w:ascii="宋体" w:hAnsi="宋体" w:cs="宋体"/>
          <w:b/>
          <w:color w:val="auto"/>
          <w:sz w:val="32"/>
          <w:szCs w:val="32"/>
          <w:highlight w:val="none"/>
          <w:lang w:bidi="ar"/>
        </w:rPr>
        <w:t>供应商（乙方）：</w:t>
      </w:r>
      <w:r>
        <w:rPr>
          <w:rFonts w:hint="eastAsia" w:ascii="宋体" w:hAnsi="宋体" w:cs="宋体"/>
          <w:b/>
          <w:color w:val="auto"/>
          <w:sz w:val="32"/>
          <w:szCs w:val="32"/>
          <w:highlight w:val="none"/>
          <w:u w:val="single"/>
          <w:lang w:bidi="ar"/>
        </w:rPr>
        <w:t xml:space="preserve">                       </w:t>
      </w:r>
    </w:p>
    <w:p w14:paraId="0A6928C0">
      <w:pPr>
        <w:spacing w:line="600" w:lineRule="auto"/>
        <w:ind w:firstLine="1590" w:firstLineChars="495"/>
        <w:rPr>
          <w:rFonts w:hint="eastAsia" w:ascii="宋体" w:hAnsi="宋体" w:cs="宋体"/>
          <w:b/>
          <w:color w:val="auto"/>
          <w:kern w:val="0"/>
          <w:sz w:val="32"/>
          <w:szCs w:val="32"/>
          <w:highlight w:val="none"/>
          <w:u w:val="single"/>
        </w:rPr>
      </w:pPr>
      <w:r>
        <w:rPr>
          <w:rFonts w:hint="eastAsia" w:ascii="宋体" w:hAnsi="宋体" w:cs="宋体"/>
          <w:b/>
          <w:color w:val="auto"/>
          <w:sz w:val="32"/>
          <w:szCs w:val="32"/>
          <w:highlight w:val="none"/>
          <w:lang w:bidi="ar"/>
        </w:rPr>
        <w:t>签订合同地点：</w:t>
      </w:r>
      <w:r>
        <w:rPr>
          <w:rFonts w:hint="eastAsia" w:ascii="宋体" w:hAnsi="宋体" w:cs="宋体"/>
          <w:b/>
          <w:color w:val="auto"/>
          <w:sz w:val="32"/>
          <w:szCs w:val="32"/>
          <w:highlight w:val="none"/>
          <w:u w:val="single"/>
          <w:lang w:bidi="ar"/>
        </w:rPr>
        <w:t xml:space="preserve">                          </w:t>
      </w:r>
    </w:p>
    <w:p w14:paraId="77BDE2D7">
      <w:pPr>
        <w:spacing w:line="600" w:lineRule="auto"/>
        <w:ind w:firstLine="1590" w:firstLineChars="495"/>
        <w:rPr>
          <w:rFonts w:hint="eastAsia" w:ascii="宋体" w:hAnsi="宋体" w:cs="宋体"/>
          <w:b/>
          <w:color w:val="auto"/>
          <w:kern w:val="0"/>
          <w:sz w:val="32"/>
          <w:szCs w:val="32"/>
          <w:highlight w:val="none"/>
        </w:rPr>
      </w:pPr>
      <w:r>
        <w:rPr>
          <w:rFonts w:hint="eastAsia" w:ascii="宋体" w:hAnsi="宋体" w:cs="宋体"/>
          <w:b/>
          <w:color w:val="auto"/>
          <w:sz w:val="32"/>
          <w:szCs w:val="32"/>
          <w:highlight w:val="none"/>
          <w:lang w:bidi="ar"/>
        </w:rPr>
        <w:t>签订合同时间：</w:t>
      </w:r>
      <w:r>
        <w:rPr>
          <w:rFonts w:hint="eastAsia" w:ascii="宋体" w:hAnsi="宋体" w:cs="宋体"/>
          <w:b/>
          <w:color w:val="auto"/>
          <w:sz w:val="32"/>
          <w:szCs w:val="32"/>
          <w:highlight w:val="none"/>
          <w:u w:val="single"/>
          <w:lang w:bidi="ar"/>
        </w:rPr>
        <w:t xml:space="preserve">                          </w:t>
      </w:r>
    </w:p>
    <w:p w14:paraId="4643F58B">
      <w:pPr>
        <w:pStyle w:val="12"/>
        <w:spacing w:line="500" w:lineRule="exact"/>
        <w:rPr>
          <w:rFonts w:hint="eastAsia" w:hAnsi="宋体" w:cs="宋体"/>
          <w:color w:val="auto"/>
          <w:highlight w:val="none"/>
        </w:rPr>
      </w:pPr>
    </w:p>
    <w:p w14:paraId="3A259E32">
      <w:pPr>
        <w:pStyle w:val="12"/>
        <w:spacing w:line="500" w:lineRule="exact"/>
        <w:rPr>
          <w:rFonts w:hint="eastAsia" w:hAnsi="宋体" w:cs="宋体"/>
          <w:color w:val="auto"/>
          <w:sz w:val="21"/>
          <w:highlight w:val="none"/>
        </w:rPr>
      </w:pPr>
    </w:p>
    <w:p w14:paraId="5763EE3D">
      <w:pPr>
        <w:spacing w:line="500" w:lineRule="exact"/>
        <w:jc w:val="center"/>
        <w:rPr>
          <w:rFonts w:hint="eastAsia" w:ascii="宋体" w:hAnsi="宋体" w:cs="宋体"/>
          <w:b/>
          <w:color w:val="auto"/>
          <w:sz w:val="32"/>
          <w:szCs w:val="32"/>
          <w:highlight w:val="none"/>
        </w:rPr>
      </w:pPr>
      <w:r>
        <w:rPr>
          <w:rFonts w:hint="eastAsia" w:ascii="宋体" w:hAnsi="宋体" w:cs="宋体"/>
          <w:color w:val="auto"/>
          <w:highlight w:val="none"/>
        </w:rPr>
        <w:br w:type="page"/>
      </w:r>
      <w:r>
        <w:rPr>
          <w:rFonts w:hint="eastAsia" w:ascii="宋体" w:hAnsi="宋体" w:cs="宋体"/>
          <w:color w:val="auto"/>
          <w:highlight w:val="none"/>
          <w:u w:val="single"/>
        </w:rPr>
        <w:t xml:space="preserve">                                           </w:t>
      </w:r>
      <w:r>
        <w:rPr>
          <w:rFonts w:hint="eastAsia" w:ascii="宋体" w:hAnsi="宋体" w:cs="宋体"/>
          <w:b/>
          <w:color w:val="auto"/>
          <w:sz w:val="32"/>
          <w:szCs w:val="32"/>
          <w:highlight w:val="none"/>
        </w:rPr>
        <w:t>采购合同</w:t>
      </w:r>
    </w:p>
    <w:p w14:paraId="73DB8C1D">
      <w:pPr>
        <w:spacing w:line="500" w:lineRule="exact"/>
        <w:ind w:right="800"/>
        <w:rPr>
          <w:rFonts w:hint="eastAsia" w:ascii="宋体" w:hAnsi="宋体" w:cs="宋体"/>
          <w:color w:val="auto"/>
          <w:szCs w:val="21"/>
          <w:highlight w:val="none"/>
        </w:rPr>
      </w:pPr>
    </w:p>
    <w:p w14:paraId="749042DB">
      <w:pPr>
        <w:spacing w:line="500" w:lineRule="exact"/>
        <w:jc w:val="center"/>
        <w:rPr>
          <w:rFonts w:hint="eastAsia" w:ascii="宋体" w:hAnsi="宋体" w:eastAsia="宋体" w:cs="宋体"/>
          <w:b/>
          <w:color w:val="auto"/>
          <w:sz w:val="32"/>
          <w:szCs w:val="32"/>
          <w:highlight w:val="none"/>
        </w:rPr>
      </w:pPr>
      <w:bookmarkStart w:id="336" w:name="_Toc5873"/>
      <w:bookmarkStart w:id="337" w:name="_Toc3333"/>
      <w:r>
        <w:rPr>
          <w:rFonts w:hint="eastAsia" w:ascii="宋体" w:hAnsi="宋体" w:eastAsia="宋体" w:cs="宋体"/>
          <w:b/>
          <w:color w:val="auto"/>
          <w:sz w:val="32"/>
          <w:szCs w:val="32"/>
          <w:highlight w:val="none"/>
        </w:rPr>
        <w:t>合同文本</w:t>
      </w:r>
      <w:bookmarkEnd w:id="336"/>
      <w:bookmarkEnd w:id="337"/>
    </w:p>
    <w:p w14:paraId="56F253F7">
      <w:pPr>
        <w:spacing w:line="500" w:lineRule="exact"/>
        <w:ind w:right="800"/>
        <w:rPr>
          <w:rFonts w:ascii="宋体" w:hAnsi="宋体" w:cs="宋体"/>
          <w:bCs/>
          <w:color w:val="auto"/>
          <w:szCs w:val="21"/>
          <w:highlight w:val="none"/>
          <w:u w:val="single"/>
        </w:rPr>
      </w:pPr>
      <w:r>
        <w:rPr>
          <w:rFonts w:hint="eastAsia" w:ascii="宋体" w:hAnsi="宋体" w:cs="宋体"/>
          <w:color w:val="auto"/>
          <w:szCs w:val="21"/>
          <w:highlight w:val="none"/>
        </w:rPr>
        <w:t>采购计划号：</w:t>
      </w:r>
      <w:r>
        <w:rPr>
          <w:rFonts w:hint="eastAsia" w:ascii="宋体" w:hAnsi="宋体" w:cs="宋体"/>
          <w:color w:val="auto"/>
          <w:szCs w:val="21"/>
          <w:highlight w:val="none"/>
          <w:u w:val="single"/>
        </w:rPr>
        <w:t xml:space="preserve"> </w:t>
      </w:r>
      <w:r>
        <w:rPr>
          <w:rFonts w:ascii="宋体" w:hAnsi="宋体" w:cs="宋体"/>
          <w:color w:val="auto"/>
          <w:szCs w:val="21"/>
          <w:highlight w:val="none"/>
          <w:u w:val="single"/>
        </w:rPr>
        <w:t xml:space="preserve">                        </w:t>
      </w:r>
      <w:r>
        <w:rPr>
          <w:rFonts w:ascii="宋体" w:hAnsi="宋体" w:cs="宋体"/>
          <w:color w:val="auto"/>
          <w:szCs w:val="21"/>
          <w:highlight w:val="none"/>
        </w:rPr>
        <w:t xml:space="preserve">   </w:t>
      </w:r>
      <w:r>
        <w:rPr>
          <w:rFonts w:hint="eastAsia" w:ascii="宋体" w:hAnsi="宋体" w:cs="宋体"/>
          <w:bCs/>
          <w:color w:val="auto"/>
          <w:szCs w:val="21"/>
          <w:highlight w:val="none"/>
        </w:rPr>
        <w:t>合同编号：</w:t>
      </w:r>
      <w:r>
        <w:rPr>
          <w:rFonts w:ascii="宋体" w:hAnsi="宋体" w:cs="宋体"/>
          <w:color w:val="auto"/>
          <w:szCs w:val="21"/>
          <w:highlight w:val="none"/>
          <w:u w:val="single"/>
        </w:rPr>
        <w:t xml:space="preserve">                </w:t>
      </w:r>
      <w:r>
        <w:rPr>
          <w:rFonts w:hint="eastAsia" w:ascii="宋体" w:hAnsi="宋体" w:cs="宋体"/>
          <w:color w:val="auto"/>
          <w:szCs w:val="21"/>
          <w:highlight w:val="none"/>
          <w:u w:val="single"/>
        </w:rPr>
        <w:t xml:space="preserve">  </w:t>
      </w:r>
    </w:p>
    <w:p w14:paraId="545A6FE1">
      <w:pPr>
        <w:spacing w:line="500" w:lineRule="exact"/>
        <w:rPr>
          <w:rFonts w:ascii="宋体" w:hAnsi="宋体" w:cs="宋体"/>
          <w:color w:val="auto"/>
          <w:szCs w:val="21"/>
          <w:highlight w:val="none"/>
          <w:u w:val="single"/>
        </w:rPr>
      </w:pPr>
      <w:r>
        <w:rPr>
          <w:rFonts w:hint="eastAsia" w:ascii="宋体" w:hAnsi="宋体" w:cs="宋体"/>
          <w:color w:val="auto"/>
          <w:szCs w:val="21"/>
          <w:highlight w:val="none"/>
        </w:rPr>
        <w:t>采购人（甲方）：</w:t>
      </w:r>
      <w:r>
        <w:rPr>
          <w:rFonts w:hint="eastAsia" w:ascii="宋体" w:hAnsi="宋体" w:cs="宋体"/>
          <w:color w:val="auto"/>
          <w:szCs w:val="21"/>
          <w:highlight w:val="none"/>
          <w:u w:val="single"/>
        </w:rPr>
        <w:t xml:space="preserve"> </w:t>
      </w:r>
      <w:r>
        <w:rPr>
          <w:rFonts w:ascii="宋体" w:hAnsi="宋体" w:cs="宋体"/>
          <w:color w:val="auto"/>
          <w:szCs w:val="21"/>
          <w:highlight w:val="none"/>
          <w:u w:val="single"/>
        </w:rPr>
        <w:t xml:space="preserve">                 </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 xml:space="preserve">   供应商（乙方）：</w:t>
      </w:r>
      <w:r>
        <w:rPr>
          <w:rFonts w:ascii="宋体" w:hAnsi="宋体" w:cs="宋体"/>
          <w:color w:val="auto"/>
          <w:szCs w:val="21"/>
          <w:highlight w:val="none"/>
          <w:u w:val="single"/>
        </w:rPr>
        <w:t xml:space="preserve">                    </w:t>
      </w:r>
      <w:r>
        <w:rPr>
          <w:rFonts w:hint="eastAsia" w:ascii="宋体" w:hAnsi="宋体" w:cs="宋体"/>
          <w:color w:val="auto"/>
          <w:szCs w:val="21"/>
          <w:highlight w:val="none"/>
        </w:rPr>
        <w:t xml:space="preserve">    </w:t>
      </w:r>
    </w:p>
    <w:p w14:paraId="150C1FF6">
      <w:pPr>
        <w:spacing w:line="500" w:lineRule="exact"/>
        <w:rPr>
          <w:rFonts w:hint="eastAsia" w:ascii="宋体" w:hAnsi="宋体" w:cs="宋体"/>
          <w:color w:val="auto"/>
          <w:szCs w:val="21"/>
          <w:highlight w:val="none"/>
          <w:u w:val="single"/>
        </w:rPr>
      </w:pPr>
      <w:r>
        <w:rPr>
          <w:rFonts w:hint="eastAsia" w:ascii="宋体" w:hAnsi="宋体" w:cs="宋体"/>
          <w:color w:val="auto"/>
          <w:szCs w:val="21"/>
          <w:highlight w:val="none"/>
        </w:rPr>
        <w:t>项目名称：</w:t>
      </w:r>
      <w:r>
        <w:rPr>
          <w:rFonts w:ascii="宋体" w:hAnsi="宋体" w:cs="宋体"/>
          <w:color w:val="auto"/>
          <w:szCs w:val="21"/>
          <w:highlight w:val="none"/>
          <w:u w:val="single"/>
        </w:rPr>
        <w:t xml:space="preserve">                       </w:t>
      </w:r>
      <w:r>
        <w:rPr>
          <w:rFonts w:hint="eastAsia" w:ascii="宋体" w:hAnsi="宋体" w:cs="宋体"/>
          <w:color w:val="auto"/>
          <w:szCs w:val="21"/>
          <w:highlight w:val="none"/>
          <w:u w:val="single"/>
        </w:rPr>
        <w:t xml:space="preserve">  </w:t>
      </w:r>
      <w:r>
        <w:rPr>
          <w:rFonts w:ascii="宋体" w:hAnsi="宋体" w:cs="宋体"/>
          <w:color w:val="auto"/>
          <w:szCs w:val="21"/>
          <w:highlight w:val="none"/>
          <w:u w:val="single"/>
        </w:rPr>
        <w:t xml:space="preserve">  </w:t>
      </w:r>
      <w:r>
        <w:rPr>
          <w:rFonts w:ascii="宋体" w:hAnsi="宋体" w:cs="宋体"/>
          <w:color w:val="auto"/>
          <w:szCs w:val="21"/>
          <w:highlight w:val="none"/>
        </w:rPr>
        <w:t xml:space="preserve">   </w:t>
      </w:r>
      <w:r>
        <w:rPr>
          <w:rFonts w:hint="eastAsia" w:ascii="宋体" w:hAnsi="宋体" w:cs="宋体"/>
          <w:color w:val="auto"/>
          <w:szCs w:val="21"/>
          <w:highlight w:val="none"/>
        </w:rPr>
        <w:t>项目编号：</w:t>
      </w:r>
      <w:r>
        <w:rPr>
          <w:rFonts w:ascii="宋体" w:hAnsi="宋体" w:cs="宋体"/>
          <w:color w:val="auto"/>
          <w:szCs w:val="21"/>
          <w:highlight w:val="none"/>
          <w:u w:val="single"/>
        </w:rPr>
        <w:t xml:space="preserve">                          </w:t>
      </w:r>
    </w:p>
    <w:p w14:paraId="2FC199DF">
      <w:pPr>
        <w:spacing w:line="500" w:lineRule="exact"/>
        <w:rPr>
          <w:rFonts w:hint="eastAsia" w:ascii="宋体" w:hAnsi="宋体" w:cs="宋体"/>
          <w:color w:val="auto"/>
          <w:szCs w:val="21"/>
          <w:highlight w:val="none"/>
          <w:u w:val="single"/>
        </w:rPr>
      </w:pPr>
      <w:r>
        <w:rPr>
          <w:rFonts w:hint="eastAsia" w:ascii="宋体" w:hAnsi="宋体" w:cs="宋体"/>
          <w:color w:val="auto"/>
          <w:szCs w:val="21"/>
          <w:highlight w:val="none"/>
        </w:rPr>
        <w:t>签订地点：</w:t>
      </w:r>
      <w:r>
        <w:rPr>
          <w:rFonts w:hint="eastAsia" w:ascii="宋体" w:hAnsi="宋体" w:cs="宋体"/>
          <w:color w:val="auto"/>
          <w:szCs w:val="21"/>
          <w:highlight w:val="none"/>
          <w:u w:val="single"/>
        </w:rPr>
        <w:t xml:space="preserve"> </w:t>
      </w:r>
      <w:r>
        <w:rPr>
          <w:rFonts w:ascii="宋体" w:hAnsi="宋体" w:cs="宋体"/>
          <w:color w:val="auto"/>
          <w:szCs w:val="21"/>
          <w:highlight w:val="none"/>
          <w:u w:val="single"/>
        </w:rPr>
        <w:t xml:space="preserve">                    </w:t>
      </w:r>
      <w:r>
        <w:rPr>
          <w:rFonts w:hint="eastAsia" w:ascii="宋体" w:hAnsi="宋体" w:cs="宋体"/>
          <w:color w:val="auto"/>
          <w:szCs w:val="21"/>
          <w:highlight w:val="none"/>
          <w:u w:val="single"/>
        </w:rPr>
        <w:t xml:space="preserve">  </w:t>
      </w:r>
      <w:r>
        <w:rPr>
          <w:rFonts w:ascii="宋体" w:hAnsi="宋体" w:cs="宋体"/>
          <w:color w:val="auto"/>
          <w:szCs w:val="21"/>
          <w:highlight w:val="none"/>
          <w:u w:val="single"/>
        </w:rPr>
        <w:t xml:space="preserve">   </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 xml:space="preserve">   签订时间：</w:t>
      </w:r>
      <w:r>
        <w:rPr>
          <w:rFonts w:hint="eastAsia" w:ascii="宋体" w:hAnsi="宋体" w:cs="宋体"/>
          <w:color w:val="auto"/>
          <w:szCs w:val="21"/>
          <w:highlight w:val="none"/>
          <w:u w:val="single"/>
        </w:rPr>
        <w:t xml:space="preserve">        </w:t>
      </w:r>
      <w:r>
        <w:rPr>
          <w:rFonts w:ascii="宋体" w:hAnsi="宋体" w:cs="宋体"/>
          <w:color w:val="auto"/>
          <w:szCs w:val="21"/>
          <w:highlight w:val="none"/>
          <w:u w:val="single"/>
        </w:rPr>
        <w:t xml:space="preserve">           </w:t>
      </w:r>
      <w:r>
        <w:rPr>
          <w:rFonts w:hint="eastAsia" w:ascii="宋体" w:hAnsi="宋体" w:cs="宋体"/>
          <w:color w:val="auto"/>
          <w:szCs w:val="21"/>
          <w:highlight w:val="none"/>
          <w:u w:val="single"/>
        </w:rPr>
        <w:t xml:space="preserve">     </w:t>
      </w:r>
    </w:p>
    <w:p w14:paraId="7D5A95D4">
      <w:pPr>
        <w:spacing w:line="50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根据《中华人民共和国政府采购法》、《中华人民共和国民法典》等法律、法规规定，按照</w:t>
      </w:r>
      <w:r>
        <w:rPr>
          <w:rFonts w:hint="eastAsia" w:ascii="宋体" w:hAnsi="宋体"/>
          <w:color w:val="auto"/>
          <w:szCs w:val="21"/>
          <w:highlight w:val="none"/>
        </w:rPr>
        <w:t>招标文件规定条款和乙方投标文件及其承诺，甲乙双方签订本合同。</w:t>
      </w:r>
    </w:p>
    <w:p w14:paraId="27C6B0E6">
      <w:pPr>
        <w:spacing w:line="500" w:lineRule="exact"/>
        <w:ind w:firstLine="422" w:firstLineChars="200"/>
        <w:rPr>
          <w:rFonts w:hint="eastAsia" w:ascii="宋体" w:hAnsi="宋体" w:cs="宋体"/>
          <w:b/>
          <w:color w:val="auto"/>
          <w:szCs w:val="21"/>
          <w:highlight w:val="none"/>
        </w:rPr>
      </w:pPr>
      <w:r>
        <w:rPr>
          <w:rFonts w:hint="eastAsia" w:ascii="宋体" w:hAnsi="宋体" w:cs="宋体"/>
          <w:b/>
          <w:color w:val="auto"/>
          <w:szCs w:val="21"/>
          <w:highlight w:val="none"/>
        </w:rPr>
        <w:t>第一条　合同标的</w:t>
      </w:r>
    </w:p>
    <w:p w14:paraId="2F05F33C">
      <w:pPr>
        <w:spacing w:line="50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1、项目一览表</w:t>
      </w:r>
    </w:p>
    <w:tbl>
      <w:tblPr>
        <w:tblStyle w:val="18"/>
        <w:tblW w:w="9360" w:type="dxa"/>
        <w:tblInd w:w="-7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0"/>
        <w:gridCol w:w="1213"/>
        <w:gridCol w:w="2400"/>
        <w:gridCol w:w="1320"/>
        <w:gridCol w:w="1200"/>
        <w:gridCol w:w="1300"/>
        <w:gridCol w:w="1207"/>
      </w:tblGrid>
      <w:tr w14:paraId="42353E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20" w:hRule="atLeast"/>
        </w:trPr>
        <w:tc>
          <w:tcPr>
            <w:tcW w:w="720" w:type="dxa"/>
            <w:tcBorders>
              <w:top w:val="single" w:color="auto" w:sz="4" w:space="0"/>
              <w:left w:val="single" w:color="auto" w:sz="4" w:space="0"/>
              <w:bottom w:val="single" w:color="auto" w:sz="4" w:space="0"/>
              <w:right w:val="single" w:color="auto" w:sz="4" w:space="0"/>
            </w:tcBorders>
            <w:noWrap w:val="0"/>
            <w:vAlign w:val="center"/>
          </w:tcPr>
          <w:p w14:paraId="614AEC5B">
            <w:pPr>
              <w:spacing w:line="500" w:lineRule="exact"/>
              <w:jc w:val="center"/>
              <w:rPr>
                <w:rFonts w:ascii="宋体" w:hAnsi="宋体" w:cs="宋体"/>
                <w:color w:val="auto"/>
                <w:szCs w:val="21"/>
                <w:highlight w:val="none"/>
              </w:rPr>
            </w:pPr>
            <w:r>
              <w:rPr>
                <w:rFonts w:hint="eastAsia" w:ascii="宋体" w:hAnsi="宋体" w:cs="宋体"/>
                <w:color w:val="auto"/>
                <w:szCs w:val="21"/>
                <w:highlight w:val="none"/>
              </w:rPr>
              <w:t>序号</w:t>
            </w:r>
          </w:p>
        </w:tc>
        <w:tc>
          <w:tcPr>
            <w:tcW w:w="1213" w:type="dxa"/>
            <w:tcBorders>
              <w:top w:val="single" w:color="auto" w:sz="4" w:space="0"/>
              <w:left w:val="single" w:color="auto" w:sz="4" w:space="0"/>
              <w:bottom w:val="single" w:color="auto" w:sz="4" w:space="0"/>
              <w:right w:val="single" w:color="auto" w:sz="4" w:space="0"/>
            </w:tcBorders>
            <w:noWrap w:val="0"/>
            <w:vAlign w:val="center"/>
          </w:tcPr>
          <w:p w14:paraId="373B80A4">
            <w:pPr>
              <w:spacing w:line="500" w:lineRule="exact"/>
              <w:jc w:val="center"/>
              <w:rPr>
                <w:rFonts w:ascii="宋体" w:hAnsi="宋体" w:cs="宋体"/>
                <w:color w:val="auto"/>
                <w:szCs w:val="21"/>
                <w:highlight w:val="none"/>
              </w:rPr>
            </w:pPr>
            <w:r>
              <w:rPr>
                <w:rFonts w:hint="eastAsia" w:ascii="宋体" w:hAnsi="宋体" w:cs="宋体"/>
                <w:color w:val="auto"/>
                <w:szCs w:val="21"/>
                <w:highlight w:val="none"/>
              </w:rPr>
              <w:t>名称</w:t>
            </w:r>
          </w:p>
        </w:tc>
        <w:tc>
          <w:tcPr>
            <w:tcW w:w="2400" w:type="dxa"/>
            <w:tcBorders>
              <w:top w:val="single" w:color="auto" w:sz="4" w:space="0"/>
              <w:left w:val="single" w:color="auto" w:sz="4" w:space="0"/>
              <w:bottom w:val="single" w:color="auto" w:sz="4" w:space="0"/>
              <w:right w:val="single" w:color="auto" w:sz="4" w:space="0"/>
            </w:tcBorders>
            <w:noWrap w:val="0"/>
            <w:vAlign w:val="center"/>
          </w:tcPr>
          <w:p w14:paraId="01B72CAA">
            <w:pPr>
              <w:spacing w:line="500" w:lineRule="exact"/>
              <w:jc w:val="center"/>
              <w:rPr>
                <w:rFonts w:ascii="宋体" w:hAnsi="宋体" w:cs="宋体"/>
                <w:color w:val="auto"/>
                <w:szCs w:val="21"/>
                <w:highlight w:val="none"/>
              </w:rPr>
            </w:pPr>
            <w:r>
              <w:rPr>
                <w:rFonts w:hint="eastAsia" w:ascii="宋体" w:hAnsi="宋体" w:cs="宋体"/>
                <w:color w:val="auto"/>
                <w:szCs w:val="21"/>
                <w:highlight w:val="none"/>
              </w:rPr>
              <w:t>服务内容</w:t>
            </w:r>
          </w:p>
        </w:tc>
        <w:tc>
          <w:tcPr>
            <w:tcW w:w="1320" w:type="dxa"/>
            <w:tcBorders>
              <w:top w:val="single" w:color="auto" w:sz="4" w:space="0"/>
              <w:left w:val="single" w:color="auto" w:sz="4" w:space="0"/>
              <w:bottom w:val="single" w:color="auto" w:sz="4" w:space="0"/>
              <w:right w:val="single" w:color="auto" w:sz="4" w:space="0"/>
            </w:tcBorders>
            <w:noWrap w:val="0"/>
            <w:vAlign w:val="center"/>
          </w:tcPr>
          <w:p w14:paraId="4E09A2EC">
            <w:pPr>
              <w:spacing w:line="500" w:lineRule="exact"/>
              <w:jc w:val="center"/>
              <w:rPr>
                <w:rFonts w:ascii="宋体" w:hAnsi="宋体" w:cs="宋体"/>
                <w:color w:val="auto"/>
                <w:szCs w:val="21"/>
                <w:highlight w:val="none"/>
              </w:rPr>
            </w:pPr>
            <w:r>
              <w:rPr>
                <w:rFonts w:hint="eastAsia" w:ascii="宋体" w:hAnsi="宋体" w:cs="宋体"/>
                <w:color w:val="auto"/>
                <w:szCs w:val="21"/>
                <w:highlight w:val="none"/>
              </w:rPr>
              <w:t>数量</w:t>
            </w:r>
          </w:p>
        </w:tc>
        <w:tc>
          <w:tcPr>
            <w:tcW w:w="1200" w:type="dxa"/>
            <w:tcBorders>
              <w:top w:val="single" w:color="auto" w:sz="4" w:space="0"/>
              <w:left w:val="single" w:color="auto" w:sz="4" w:space="0"/>
              <w:bottom w:val="single" w:color="auto" w:sz="4" w:space="0"/>
              <w:right w:val="single" w:color="auto" w:sz="4" w:space="0"/>
            </w:tcBorders>
            <w:noWrap w:val="0"/>
            <w:vAlign w:val="center"/>
          </w:tcPr>
          <w:p w14:paraId="34E73FD8">
            <w:pPr>
              <w:spacing w:line="500" w:lineRule="exact"/>
              <w:jc w:val="center"/>
              <w:rPr>
                <w:rFonts w:ascii="宋体" w:hAnsi="宋体" w:cs="宋体"/>
                <w:color w:val="auto"/>
                <w:szCs w:val="21"/>
                <w:highlight w:val="none"/>
              </w:rPr>
            </w:pPr>
            <w:r>
              <w:rPr>
                <w:rFonts w:hint="eastAsia" w:ascii="宋体" w:hAnsi="宋体" w:cs="宋体"/>
                <w:color w:val="auto"/>
                <w:szCs w:val="21"/>
                <w:highlight w:val="none"/>
              </w:rPr>
              <w:t>单位</w:t>
            </w:r>
          </w:p>
        </w:tc>
        <w:tc>
          <w:tcPr>
            <w:tcW w:w="1300" w:type="dxa"/>
            <w:tcBorders>
              <w:top w:val="single" w:color="auto" w:sz="4" w:space="0"/>
              <w:left w:val="single" w:color="auto" w:sz="4" w:space="0"/>
              <w:bottom w:val="single" w:color="auto" w:sz="4" w:space="0"/>
              <w:right w:val="single" w:color="auto" w:sz="4" w:space="0"/>
            </w:tcBorders>
            <w:noWrap w:val="0"/>
            <w:vAlign w:val="center"/>
          </w:tcPr>
          <w:p w14:paraId="289A44BE">
            <w:pPr>
              <w:spacing w:line="500" w:lineRule="exact"/>
              <w:jc w:val="center"/>
              <w:rPr>
                <w:rFonts w:ascii="宋体" w:hAnsi="宋体" w:cs="宋体"/>
                <w:color w:val="auto"/>
                <w:szCs w:val="21"/>
                <w:highlight w:val="none"/>
              </w:rPr>
            </w:pPr>
            <w:r>
              <w:rPr>
                <w:rFonts w:hint="eastAsia" w:ascii="宋体" w:hAnsi="宋体" w:cs="宋体"/>
                <w:color w:val="auto"/>
                <w:szCs w:val="21"/>
                <w:highlight w:val="none"/>
              </w:rPr>
              <w:t>单价（元）</w:t>
            </w:r>
          </w:p>
        </w:tc>
        <w:tc>
          <w:tcPr>
            <w:tcW w:w="1207" w:type="dxa"/>
            <w:tcBorders>
              <w:top w:val="single" w:color="auto" w:sz="4" w:space="0"/>
              <w:left w:val="single" w:color="auto" w:sz="4" w:space="0"/>
              <w:bottom w:val="single" w:color="auto" w:sz="4" w:space="0"/>
              <w:right w:val="single" w:color="auto" w:sz="4" w:space="0"/>
            </w:tcBorders>
            <w:noWrap w:val="0"/>
            <w:vAlign w:val="center"/>
          </w:tcPr>
          <w:p w14:paraId="611B079B">
            <w:pPr>
              <w:spacing w:line="500" w:lineRule="exact"/>
              <w:jc w:val="center"/>
              <w:rPr>
                <w:rFonts w:ascii="宋体" w:hAnsi="宋体" w:cs="宋体"/>
                <w:color w:val="auto"/>
                <w:szCs w:val="21"/>
                <w:highlight w:val="none"/>
              </w:rPr>
            </w:pPr>
            <w:r>
              <w:rPr>
                <w:rFonts w:hint="eastAsia" w:ascii="宋体" w:hAnsi="宋体" w:cs="宋体"/>
                <w:color w:val="auto"/>
                <w:szCs w:val="21"/>
                <w:highlight w:val="none"/>
              </w:rPr>
              <w:t>总价（元）</w:t>
            </w:r>
          </w:p>
        </w:tc>
      </w:tr>
      <w:tr w14:paraId="27F8C8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20" w:hRule="atLeast"/>
        </w:trPr>
        <w:tc>
          <w:tcPr>
            <w:tcW w:w="720" w:type="dxa"/>
            <w:tcBorders>
              <w:top w:val="single" w:color="auto" w:sz="4" w:space="0"/>
              <w:left w:val="single" w:color="auto" w:sz="4" w:space="0"/>
              <w:bottom w:val="single" w:color="auto" w:sz="4" w:space="0"/>
              <w:right w:val="single" w:color="auto" w:sz="4" w:space="0"/>
            </w:tcBorders>
            <w:noWrap w:val="0"/>
            <w:vAlign w:val="center"/>
          </w:tcPr>
          <w:p w14:paraId="2CD97EB2">
            <w:pPr>
              <w:spacing w:line="500" w:lineRule="exact"/>
              <w:jc w:val="center"/>
              <w:rPr>
                <w:rFonts w:hint="eastAsia" w:ascii="宋体" w:hAnsi="宋体" w:cs="宋体"/>
                <w:color w:val="auto"/>
                <w:szCs w:val="21"/>
                <w:highlight w:val="none"/>
              </w:rPr>
            </w:pPr>
          </w:p>
        </w:tc>
        <w:tc>
          <w:tcPr>
            <w:tcW w:w="1213" w:type="dxa"/>
            <w:tcBorders>
              <w:top w:val="single" w:color="auto" w:sz="4" w:space="0"/>
              <w:left w:val="single" w:color="auto" w:sz="4" w:space="0"/>
              <w:bottom w:val="single" w:color="auto" w:sz="4" w:space="0"/>
              <w:right w:val="single" w:color="auto" w:sz="4" w:space="0"/>
            </w:tcBorders>
            <w:noWrap w:val="0"/>
            <w:vAlign w:val="center"/>
          </w:tcPr>
          <w:p w14:paraId="53E97EEC">
            <w:pPr>
              <w:spacing w:line="500" w:lineRule="exact"/>
              <w:jc w:val="center"/>
              <w:rPr>
                <w:rFonts w:hint="eastAsia" w:ascii="宋体" w:hAnsi="宋体" w:cs="宋体"/>
                <w:color w:val="auto"/>
                <w:szCs w:val="21"/>
                <w:highlight w:val="none"/>
              </w:rPr>
            </w:pPr>
          </w:p>
        </w:tc>
        <w:tc>
          <w:tcPr>
            <w:tcW w:w="2400" w:type="dxa"/>
            <w:tcBorders>
              <w:top w:val="single" w:color="auto" w:sz="4" w:space="0"/>
              <w:left w:val="single" w:color="auto" w:sz="4" w:space="0"/>
              <w:bottom w:val="single" w:color="auto" w:sz="4" w:space="0"/>
              <w:right w:val="single" w:color="auto" w:sz="4" w:space="0"/>
            </w:tcBorders>
            <w:noWrap w:val="0"/>
            <w:vAlign w:val="center"/>
          </w:tcPr>
          <w:p w14:paraId="008F767D">
            <w:pPr>
              <w:spacing w:line="500" w:lineRule="exact"/>
              <w:jc w:val="center"/>
              <w:rPr>
                <w:rFonts w:hint="eastAsia" w:ascii="宋体" w:hAnsi="宋体" w:cs="宋体"/>
                <w:color w:val="auto"/>
                <w:szCs w:val="21"/>
                <w:highlight w:val="none"/>
              </w:rPr>
            </w:pPr>
          </w:p>
        </w:tc>
        <w:tc>
          <w:tcPr>
            <w:tcW w:w="1320" w:type="dxa"/>
            <w:tcBorders>
              <w:top w:val="single" w:color="auto" w:sz="4" w:space="0"/>
              <w:left w:val="single" w:color="auto" w:sz="4" w:space="0"/>
              <w:bottom w:val="single" w:color="auto" w:sz="4" w:space="0"/>
              <w:right w:val="single" w:color="auto" w:sz="4" w:space="0"/>
            </w:tcBorders>
            <w:noWrap w:val="0"/>
            <w:vAlign w:val="center"/>
          </w:tcPr>
          <w:p w14:paraId="0F33814A">
            <w:pPr>
              <w:spacing w:line="500" w:lineRule="exact"/>
              <w:jc w:val="center"/>
              <w:rPr>
                <w:rFonts w:hint="eastAsia" w:ascii="宋体" w:hAnsi="宋体" w:cs="宋体"/>
                <w:color w:val="auto"/>
                <w:szCs w:val="21"/>
                <w:highlight w:val="none"/>
              </w:rPr>
            </w:pPr>
          </w:p>
        </w:tc>
        <w:tc>
          <w:tcPr>
            <w:tcW w:w="1200" w:type="dxa"/>
            <w:tcBorders>
              <w:top w:val="single" w:color="auto" w:sz="4" w:space="0"/>
              <w:left w:val="single" w:color="auto" w:sz="4" w:space="0"/>
              <w:bottom w:val="single" w:color="auto" w:sz="4" w:space="0"/>
              <w:right w:val="single" w:color="auto" w:sz="4" w:space="0"/>
            </w:tcBorders>
            <w:noWrap w:val="0"/>
            <w:vAlign w:val="center"/>
          </w:tcPr>
          <w:p w14:paraId="6561A523">
            <w:pPr>
              <w:spacing w:line="500" w:lineRule="exact"/>
              <w:jc w:val="center"/>
              <w:rPr>
                <w:rFonts w:hint="eastAsia" w:ascii="宋体" w:hAnsi="宋体" w:cs="宋体"/>
                <w:color w:val="auto"/>
                <w:szCs w:val="21"/>
                <w:highlight w:val="none"/>
              </w:rPr>
            </w:pPr>
          </w:p>
        </w:tc>
        <w:tc>
          <w:tcPr>
            <w:tcW w:w="1300" w:type="dxa"/>
            <w:tcBorders>
              <w:top w:val="single" w:color="auto" w:sz="4" w:space="0"/>
              <w:left w:val="single" w:color="auto" w:sz="4" w:space="0"/>
              <w:bottom w:val="single" w:color="auto" w:sz="4" w:space="0"/>
              <w:right w:val="single" w:color="auto" w:sz="4" w:space="0"/>
            </w:tcBorders>
            <w:noWrap w:val="0"/>
            <w:vAlign w:val="center"/>
          </w:tcPr>
          <w:p w14:paraId="6E1ED0DB">
            <w:pPr>
              <w:spacing w:line="500" w:lineRule="exact"/>
              <w:jc w:val="center"/>
              <w:rPr>
                <w:rFonts w:hint="eastAsia" w:ascii="宋体" w:hAnsi="宋体" w:cs="宋体"/>
                <w:color w:val="auto"/>
                <w:szCs w:val="21"/>
                <w:highlight w:val="none"/>
              </w:rPr>
            </w:pPr>
          </w:p>
        </w:tc>
        <w:tc>
          <w:tcPr>
            <w:tcW w:w="1207" w:type="dxa"/>
            <w:tcBorders>
              <w:top w:val="single" w:color="auto" w:sz="4" w:space="0"/>
              <w:left w:val="single" w:color="auto" w:sz="4" w:space="0"/>
              <w:bottom w:val="single" w:color="auto" w:sz="4" w:space="0"/>
              <w:right w:val="single" w:color="auto" w:sz="4" w:space="0"/>
            </w:tcBorders>
            <w:noWrap w:val="0"/>
            <w:vAlign w:val="center"/>
          </w:tcPr>
          <w:p w14:paraId="701831FF">
            <w:pPr>
              <w:spacing w:line="500" w:lineRule="exact"/>
              <w:jc w:val="center"/>
              <w:rPr>
                <w:rFonts w:hint="eastAsia" w:ascii="宋体" w:hAnsi="宋体" w:cs="宋体"/>
                <w:color w:val="auto"/>
                <w:szCs w:val="21"/>
                <w:highlight w:val="none"/>
              </w:rPr>
            </w:pPr>
          </w:p>
        </w:tc>
      </w:tr>
      <w:tr w14:paraId="7C0B9D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5" w:hRule="atLeast"/>
        </w:trPr>
        <w:tc>
          <w:tcPr>
            <w:tcW w:w="9360" w:type="dxa"/>
            <w:gridSpan w:val="7"/>
            <w:tcBorders>
              <w:top w:val="single" w:color="auto" w:sz="4" w:space="0"/>
              <w:left w:val="single" w:color="auto" w:sz="4" w:space="0"/>
              <w:bottom w:val="single" w:color="auto" w:sz="4" w:space="0"/>
              <w:right w:val="single" w:color="auto" w:sz="4" w:space="0"/>
            </w:tcBorders>
            <w:noWrap w:val="0"/>
            <w:vAlign w:val="center"/>
          </w:tcPr>
          <w:p w14:paraId="6C203E41">
            <w:pPr>
              <w:spacing w:line="500" w:lineRule="exact"/>
              <w:rPr>
                <w:rFonts w:ascii="宋体" w:hAnsi="宋体" w:cs="宋体"/>
                <w:color w:val="auto"/>
                <w:szCs w:val="21"/>
                <w:highlight w:val="none"/>
              </w:rPr>
            </w:pPr>
            <w:r>
              <w:rPr>
                <w:rFonts w:hint="eastAsia" w:ascii="宋体" w:hAnsi="宋体" w:cs="宋体"/>
                <w:color w:val="auto"/>
                <w:szCs w:val="21"/>
                <w:highlight w:val="none"/>
              </w:rPr>
              <w:t>人民币合计金额（大写）：</w:t>
            </w:r>
            <w:r>
              <w:rPr>
                <w:rFonts w:ascii="宋体" w:hAnsi="宋体" w:cs="宋体"/>
                <w:color w:val="auto"/>
                <w:szCs w:val="21"/>
                <w:highlight w:val="none"/>
                <w:u w:val="single"/>
              </w:rPr>
              <w:t xml:space="preserve">      </w:t>
            </w:r>
            <w:r>
              <w:rPr>
                <w:rFonts w:hint="eastAsia" w:ascii="宋体" w:hAnsi="宋体" w:cs="宋体"/>
                <w:color w:val="auto"/>
                <w:szCs w:val="21"/>
                <w:highlight w:val="none"/>
                <w:u w:val="single"/>
              </w:rPr>
              <w:t xml:space="preserve">                      </w:t>
            </w:r>
            <w:r>
              <w:rPr>
                <w:rFonts w:ascii="宋体" w:hAnsi="宋体" w:cs="宋体"/>
                <w:color w:val="auto"/>
                <w:szCs w:val="21"/>
                <w:highlight w:val="none"/>
                <w:u w:val="single"/>
              </w:rPr>
              <w:t xml:space="preserve">  </w:t>
            </w:r>
            <w:r>
              <w:rPr>
                <w:rFonts w:hint="eastAsia" w:ascii="宋体" w:hAnsi="宋体" w:cs="宋体"/>
                <w:color w:val="auto"/>
                <w:szCs w:val="21"/>
                <w:highlight w:val="none"/>
              </w:rPr>
              <w:t>元整（¥</w:t>
            </w:r>
            <w:r>
              <w:rPr>
                <w:rFonts w:ascii="宋体" w:hAnsi="宋体" w:cs="宋体"/>
                <w:color w:val="auto"/>
                <w:szCs w:val="21"/>
                <w:highlight w:val="none"/>
                <w:u w:val="single"/>
              </w:rPr>
              <w:t xml:space="preserve">           </w:t>
            </w:r>
            <w:r>
              <w:rPr>
                <w:rFonts w:hint="eastAsia" w:ascii="宋体" w:hAnsi="宋体" w:cs="宋体"/>
                <w:color w:val="auto"/>
                <w:szCs w:val="21"/>
                <w:highlight w:val="none"/>
              </w:rPr>
              <w:t xml:space="preserve">）              </w:t>
            </w:r>
          </w:p>
        </w:tc>
      </w:tr>
    </w:tbl>
    <w:p w14:paraId="6FAF0C4C">
      <w:pPr>
        <w:spacing w:line="50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合同合计金额包括但不限于满足本次投标全部采购需求所应提供的服务，以及专家指导费、课程研究、技术处理、培训、售后服务、税金、保险、招标代理服务费等相关的费用。如招标文件对其另有规定的，从其规定。</w:t>
      </w:r>
    </w:p>
    <w:p w14:paraId="4F5387BE">
      <w:pPr>
        <w:spacing w:line="500" w:lineRule="exact"/>
        <w:ind w:firstLine="422" w:firstLineChars="200"/>
        <w:rPr>
          <w:rFonts w:hint="eastAsia" w:ascii="宋体" w:hAnsi="宋体" w:cs="宋体"/>
          <w:b/>
          <w:color w:val="auto"/>
          <w:szCs w:val="21"/>
          <w:highlight w:val="none"/>
        </w:rPr>
      </w:pPr>
      <w:r>
        <w:rPr>
          <w:rFonts w:hint="eastAsia" w:ascii="宋体" w:hAnsi="宋体" w:cs="宋体"/>
          <w:b/>
          <w:color w:val="auto"/>
          <w:szCs w:val="21"/>
          <w:highlight w:val="none"/>
        </w:rPr>
        <w:t>第二条　质量保证</w:t>
      </w:r>
    </w:p>
    <w:p w14:paraId="4A5C0DE3">
      <w:pPr>
        <w:snapToGrid w:val="0"/>
        <w:spacing w:line="50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乙方所提供的服务及服务内容必须与投标文件承诺相一致，有国家强制性标准的，还必须符合国家强制性标准的规定，没有国家强制性标准但有其他强制性标准的，必须符合其他强制性标准的规定。</w:t>
      </w:r>
    </w:p>
    <w:p w14:paraId="579F89B6">
      <w:pPr>
        <w:spacing w:line="500" w:lineRule="exact"/>
        <w:ind w:firstLine="422" w:firstLineChars="200"/>
        <w:rPr>
          <w:rFonts w:hint="eastAsia" w:ascii="宋体" w:hAnsi="宋体" w:cs="宋体"/>
          <w:color w:val="auto"/>
          <w:szCs w:val="21"/>
          <w:highlight w:val="none"/>
        </w:rPr>
      </w:pPr>
      <w:r>
        <w:rPr>
          <w:rFonts w:hint="eastAsia" w:ascii="宋体" w:hAnsi="宋体" w:cs="宋体"/>
          <w:b/>
          <w:color w:val="auto"/>
          <w:szCs w:val="21"/>
          <w:highlight w:val="none"/>
        </w:rPr>
        <w:t>第三条　权利保证</w:t>
      </w:r>
    </w:p>
    <w:p w14:paraId="444D18BF">
      <w:pPr>
        <w:snapToGrid w:val="0"/>
        <w:spacing w:line="50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1、乙方应保证所提供服务在使用时不会侵犯任何第三方的专利权、商标权、工业设计权等知识产权及其他合法权利，且所有权、处分权等没有受到任何限制。</w:t>
      </w:r>
    </w:p>
    <w:p w14:paraId="402CA434">
      <w:pPr>
        <w:snapToGrid w:val="0"/>
        <w:spacing w:line="50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没有甲方事先书面同意，乙方不得将由甲方提供的有关合同或者任何合同条文、规格、计划、图纸、样品或者资料提供给予履行本合同无关的任何其他人。即使向履行本合同有关的人员提供，也应注意保密并限于履行合同的必需范围。乙方的保密义务持续有效，不因为本合同履行终止、解除或者无效而解除。</w:t>
      </w:r>
    </w:p>
    <w:p w14:paraId="322F3B88">
      <w:pPr>
        <w:spacing w:line="500" w:lineRule="exact"/>
        <w:ind w:firstLine="422" w:firstLineChars="200"/>
        <w:rPr>
          <w:rFonts w:hint="eastAsia" w:ascii="宋体" w:hAnsi="宋体" w:cs="宋体"/>
          <w:color w:val="auto"/>
          <w:szCs w:val="21"/>
          <w:highlight w:val="none"/>
        </w:rPr>
      </w:pPr>
      <w:r>
        <w:rPr>
          <w:rFonts w:hint="eastAsia" w:ascii="宋体" w:hAnsi="宋体" w:cs="宋体"/>
          <w:b/>
          <w:color w:val="auto"/>
          <w:szCs w:val="21"/>
          <w:highlight w:val="none"/>
        </w:rPr>
        <w:t>第四条　交付和验收</w:t>
      </w:r>
    </w:p>
    <w:p w14:paraId="3E5AA9A9">
      <w:pPr>
        <w:shd w:val="clear" w:color="auto" w:fill="auto"/>
        <w:spacing w:line="50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w:t>
      </w:r>
      <w:r>
        <w:rPr>
          <w:rFonts w:hint="eastAsia" w:ascii="宋体" w:hAnsi="宋体" w:cs="宋体"/>
          <w:color w:val="auto"/>
          <w:szCs w:val="21"/>
          <w:highlight w:val="none"/>
          <w:lang w:eastAsia="zh-CN"/>
        </w:rPr>
        <w:t>提交服务成果时间</w:t>
      </w:r>
      <w:r>
        <w:rPr>
          <w:rFonts w:hint="eastAsia" w:ascii="宋体" w:hAnsi="宋体" w:cs="宋体"/>
          <w:color w:val="auto"/>
          <w:szCs w:val="21"/>
          <w:highlight w:val="none"/>
        </w:rPr>
        <w:t>：</w:t>
      </w:r>
      <w:r>
        <w:rPr>
          <w:rFonts w:hint="eastAsia" w:ascii="宋体" w:hAnsi="宋体" w:cs="宋体"/>
          <w:color w:val="auto"/>
          <w:szCs w:val="21"/>
          <w:highlight w:val="none"/>
          <w:u w:val="single"/>
          <w:lang w:val="en-US" w:eastAsia="zh-CN"/>
        </w:rPr>
        <w:t xml:space="preserve">                         </w:t>
      </w:r>
      <w:r>
        <w:rPr>
          <w:rFonts w:hint="eastAsia" w:ascii="宋体" w:hAnsi="宋体" w:cs="宋体"/>
          <w:color w:val="auto"/>
          <w:szCs w:val="21"/>
          <w:highlight w:val="none"/>
          <w:u w:val="none"/>
        </w:rPr>
        <w:t>。</w:t>
      </w:r>
      <w:r>
        <w:rPr>
          <w:rFonts w:hint="eastAsia" w:ascii="宋体" w:hAnsi="宋体" w:cs="宋体"/>
          <w:color w:val="auto"/>
          <w:szCs w:val="21"/>
          <w:highlight w:val="none"/>
        </w:rPr>
        <w:t>服务地点：</w:t>
      </w:r>
      <w:r>
        <w:rPr>
          <w:rFonts w:hint="eastAsia" w:ascii="宋体" w:hAnsi="宋体" w:cs="宋体"/>
          <w:color w:val="auto"/>
          <w:szCs w:val="21"/>
          <w:highlight w:val="none"/>
          <w:u w:val="single"/>
          <w:lang w:val="en-US" w:eastAsia="zh-CN"/>
        </w:rPr>
        <w:t xml:space="preserve">                </w:t>
      </w:r>
      <w:r>
        <w:rPr>
          <w:rFonts w:hint="eastAsia" w:ascii="宋体" w:hAnsi="宋体" w:cs="宋体"/>
          <w:color w:val="auto"/>
          <w:szCs w:val="21"/>
          <w:highlight w:val="none"/>
        </w:rPr>
        <w:t>。</w:t>
      </w:r>
    </w:p>
    <w:p w14:paraId="79B8CE28">
      <w:pPr>
        <w:shd w:val="clear" w:color="auto" w:fill="auto"/>
        <w:snapToGrid w:val="0"/>
        <w:spacing w:line="50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2、乙方应按投标文件的承诺向甲方提供相应的服务，并提供所服务内容的相关技术资料。</w:t>
      </w:r>
    </w:p>
    <w:p w14:paraId="360F497D">
      <w:pPr>
        <w:spacing w:line="50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3、乙方提供不符合投标文件和本合同规定的服务成果，甲方有权拒绝接受。</w:t>
      </w:r>
    </w:p>
    <w:p w14:paraId="3B53F882">
      <w:pPr>
        <w:spacing w:line="500" w:lineRule="exact"/>
        <w:ind w:firstLine="420" w:firstLineChars="200"/>
        <w:rPr>
          <w:rFonts w:hint="eastAsia" w:ascii="宋体" w:hAnsi="宋体"/>
          <w:color w:val="auto"/>
          <w:szCs w:val="21"/>
          <w:highlight w:val="none"/>
        </w:rPr>
      </w:pPr>
      <w:r>
        <w:rPr>
          <w:rFonts w:hint="eastAsia" w:ascii="宋体" w:hAnsi="宋体"/>
          <w:color w:val="auto"/>
          <w:szCs w:val="21"/>
          <w:highlight w:val="none"/>
        </w:rPr>
        <w:t>4、乙方完成服务后应及时书面通知甲方进行验收，甲方应在收到通知，</w:t>
      </w:r>
      <w:r>
        <w:rPr>
          <w:rFonts w:hint="eastAsia" w:ascii="宋体" w:hAnsi="宋体" w:cs="宋体"/>
          <w:color w:val="auto"/>
          <w:szCs w:val="21"/>
          <w:highlight w:val="none"/>
        </w:rPr>
        <w:t>且乙方履行完合同义务之日起七个工作日内组织最终验收</w:t>
      </w:r>
      <w:r>
        <w:rPr>
          <w:rFonts w:hint="eastAsia" w:ascii="宋体" w:hAnsi="宋体"/>
          <w:color w:val="auto"/>
          <w:szCs w:val="21"/>
          <w:highlight w:val="none"/>
        </w:rPr>
        <w:t>，逾期不开始验收</w:t>
      </w:r>
      <w:r>
        <w:rPr>
          <w:rFonts w:hint="eastAsia" w:ascii="宋体" w:hAnsi="宋体" w:eastAsia="宋体"/>
          <w:color w:val="auto"/>
          <w:highlight w:val="none"/>
        </w:rPr>
        <w:t>、未告知乙方验收成果或已使用产品</w:t>
      </w:r>
      <w:r>
        <w:rPr>
          <w:rFonts w:hint="eastAsia" w:ascii="宋体" w:hAnsi="宋体"/>
          <w:color w:val="auto"/>
          <w:szCs w:val="21"/>
          <w:highlight w:val="none"/>
        </w:rPr>
        <w:t>的，乙方可视同验收合格。验收合格后由甲乙双方签署验收单并加盖甲乙双方单位公章，甲乙双方各执一份。</w:t>
      </w:r>
    </w:p>
    <w:p w14:paraId="5E6A351E">
      <w:pPr>
        <w:spacing w:line="500" w:lineRule="exact"/>
        <w:ind w:firstLine="420" w:firstLineChars="200"/>
        <w:rPr>
          <w:rFonts w:hint="eastAsia" w:ascii="宋体" w:hAnsi="宋体"/>
          <w:color w:val="auto"/>
          <w:szCs w:val="21"/>
          <w:highlight w:val="none"/>
        </w:rPr>
      </w:pPr>
      <w:r>
        <w:rPr>
          <w:rFonts w:hint="eastAsia" w:ascii="宋体" w:hAnsi="宋体" w:cs="宋体"/>
          <w:color w:val="auto"/>
          <w:szCs w:val="21"/>
          <w:highlight w:val="none"/>
        </w:rPr>
        <w:t>5、甲乙双方应按照《</w:t>
      </w:r>
      <w:r>
        <w:rPr>
          <w:rFonts w:ascii="宋体" w:hAnsi="宋体" w:cs="宋体"/>
          <w:color w:val="auto"/>
          <w:szCs w:val="21"/>
          <w:highlight w:val="none"/>
        </w:rPr>
        <w:t>广西壮族自治区政府采购项目履约验收管理办法</w:t>
      </w:r>
      <w:r>
        <w:rPr>
          <w:rFonts w:hint="eastAsia" w:ascii="宋体" w:hAnsi="宋体" w:cs="宋体"/>
          <w:color w:val="auto"/>
          <w:szCs w:val="21"/>
          <w:highlight w:val="none"/>
        </w:rPr>
        <w:t>》、双方合同、投标文件验收。</w:t>
      </w:r>
    </w:p>
    <w:p w14:paraId="336016BA">
      <w:pPr>
        <w:spacing w:line="50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6、甲方在最终验收过程中如发现乙方提供的服务成果不满足投标文件及本合同规定的，可暂缓向乙方付款，直到乙方及时完善并提交相应的服务成果且经甲方验收合格后，方可办理付款。</w:t>
      </w:r>
    </w:p>
    <w:p w14:paraId="7F42EAED">
      <w:pPr>
        <w:spacing w:line="50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7、若甲方委托第三方组织的验收项目，其验收时间以该项目验收方案确定的验收时间为准，验收结果以该项目验收报告结论为准，验收所产生的费用由乙方负责。</w:t>
      </w:r>
    </w:p>
    <w:p w14:paraId="6D1284B4">
      <w:pPr>
        <w:spacing w:line="50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8、甲方验收时以书面形式提出异议的，乙方应自收到甲方书面异议后五个工作日内及时予以解决，否则甲方有权不出具服务验收合格单。</w:t>
      </w:r>
    </w:p>
    <w:p w14:paraId="7EE16582">
      <w:pPr>
        <w:snapToGrid w:val="0"/>
        <w:spacing w:line="500" w:lineRule="exact"/>
        <w:ind w:firstLine="422" w:firstLineChars="200"/>
        <w:rPr>
          <w:rFonts w:hint="eastAsia" w:ascii="宋体" w:hAnsi="宋体" w:cs="宋体"/>
          <w:b/>
          <w:color w:val="auto"/>
          <w:szCs w:val="21"/>
          <w:highlight w:val="none"/>
        </w:rPr>
      </w:pPr>
      <w:r>
        <w:rPr>
          <w:rFonts w:hint="eastAsia" w:ascii="宋体" w:hAnsi="宋体" w:cs="宋体"/>
          <w:b/>
          <w:color w:val="auto"/>
          <w:szCs w:val="21"/>
          <w:highlight w:val="none"/>
        </w:rPr>
        <w:t>第五条  售后服务及培训</w:t>
      </w:r>
    </w:p>
    <w:p w14:paraId="37EF104D">
      <w:pPr>
        <w:snapToGrid w:val="0"/>
        <w:spacing w:line="50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1、乙方应按照国家有关法律法规和本合同所附的《售后服务承诺》要求为甲方提供相应的售后服务。</w:t>
      </w:r>
    </w:p>
    <w:p w14:paraId="32C158C8">
      <w:pPr>
        <w:spacing w:line="50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2、甲方应提供必要测试条件（如场地、电源、水源等）。</w:t>
      </w:r>
    </w:p>
    <w:p w14:paraId="24D727CC">
      <w:pPr>
        <w:snapToGrid w:val="0"/>
        <w:spacing w:line="50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3、乙方负责甲方有关人员的培训。培训时间、地点：</w:t>
      </w:r>
      <w:r>
        <w:rPr>
          <w:rFonts w:hint="eastAsia" w:ascii="宋体" w:hAnsi="宋体" w:cs="宋体"/>
          <w:color w:val="auto"/>
          <w:szCs w:val="21"/>
          <w:highlight w:val="none"/>
          <w:u w:val="single"/>
        </w:rPr>
        <w:t>具体培训、服务时间由双方协商。（如因不可抗力和学习需求实际需要对培训时间进行调整的，可由双方另行约定一致）</w:t>
      </w:r>
      <w:r>
        <w:rPr>
          <w:rFonts w:hint="eastAsia" w:ascii="宋体" w:hAnsi="宋体" w:cs="宋体"/>
          <w:color w:val="auto"/>
          <w:szCs w:val="21"/>
          <w:highlight w:val="none"/>
        </w:rPr>
        <w:t>。</w:t>
      </w:r>
    </w:p>
    <w:p w14:paraId="50DE95CE">
      <w:pPr>
        <w:snapToGrid w:val="0"/>
        <w:spacing w:line="500" w:lineRule="exact"/>
        <w:ind w:firstLine="422" w:firstLineChars="200"/>
        <w:rPr>
          <w:rFonts w:hint="eastAsia" w:ascii="宋体" w:hAnsi="宋体" w:cs="宋体"/>
          <w:color w:val="auto"/>
          <w:szCs w:val="21"/>
          <w:highlight w:val="none"/>
        </w:rPr>
      </w:pPr>
      <w:r>
        <w:rPr>
          <w:rFonts w:hint="eastAsia" w:ascii="宋体" w:hAnsi="宋体" w:cs="宋体"/>
          <w:b/>
          <w:color w:val="auto"/>
          <w:szCs w:val="21"/>
          <w:highlight w:val="none"/>
        </w:rPr>
        <w:t>第六条　付款方式</w:t>
      </w:r>
    </w:p>
    <w:p w14:paraId="69F42967">
      <w:pPr>
        <w:snapToGrid w:val="0"/>
        <w:spacing w:line="500" w:lineRule="exact"/>
        <w:ind w:left="-61" w:leftChars="-29" w:firstLine="514" w:firstLineChars="245"/>
        <w:rPr>
          <w:rFonts w:hint="eastAsia" w:ascii="宋体" w:hAnsi="宋体" w:cs="宋体"/>
          <w:color w:val="auto"/>
          <w:szCs w:val="21"/>
          <w:highlight w:val="none"/>
        </w:rPr>
      </w:pPr>
      <w:r>
        <w:rPr>
          <w:rFonts w:hint="eastAsia" w:ascii="宋体" w:hAnsi="宋体" w:cs="宋体"/>
          <w:color w:val="auto"/>
          <w:szCs w:val="21"/>
          <w:highlight w:val="none"/>
        </w:rPr>
        <w:t xml:space="preserve">1、资金性质：  </w:t>
      </w:r>
      <w:r>
        <w:rPr>
          <w:rFonts w:hint="eastAsia" w:ascii="宋体" w:hAnsi="宋体" w:cs="宋体"/>
          <w:color w:val="auto"/>
          <w:szCs w:val="21"/>
          <w:highlight w:val="none"/>
          <w:u w:val="single"/>
        </w:rPr>
        <w:t xml:space="preserve">财政性资金 </w:t>
      </w:r>
      <w:r>
        <w:rPr>
          <w:rFonts w:hint="eastAsia" w:ascii="宋体" w:hAnsi="宋体" w:cs="宋体"/>
          <w:color w:val="auto"/>
          <w:szCs w:val="21"/>
          <w:highlight w:val="none"/>
        </w:rPr>
        <w:t>。</w:t>
      </w:r>
    </w:p>
    <w:p w14:paraId="2C2AF69C">
      <w:pPr>
        <w:snapToGrid w:val="0"/>
        <w:spacing w:line="50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2、付款方式：</w:t>
      </w:r>
    </w:p>
    <w:p w14:paraId="5E82F669">
      <w:pPr>
        <w:snapToGrid w:val="0"/>
        <w:spacing w:line="500" w:lineRule="exact"/>
        <w:ind w:left="-61" w:leftChars="-29" w:firstLine="514" w:firstLineChars="245"/>
        <w:rPr>
          <w:rFonts w:hint="eastAsia" w:ascii="宋体" w:hAnsi="宋体" w:cs="宋体"/>
          <w:color w:val="auto"/>
          <w:szCs w:val="21"/>
          <w:highlight w:val="none"/>
        </w:rPr>
      </w:pPr>
      <w:r>
        <w:rPr>
          <w:rFonts w:hint="eastAsia" w:ascii="宋体" w:hAnsi="宋体" w:cs="宋体"/>
          <w:color w:val="auto"/>
          <w:szCs w:val="21"/>
          <w:highlight w:val="none"/>
        </w:rPr>
        <w:t>（1）合同生效以及具备实施条件后15日内甲方向乙方预付合同金额的30％。</w:t>
      </w:r>
    </w:p>
    <w:p w14:paraId="16A56720">
      <w:pPr>
        <w:snapToGrid w:val="0"/>
        <w:spacing w:line="500" w:lineRule="exact"/>
        <w:ind w:left="-61" w:leftChars="-29" w:firstLine="514" w:firstLineChars="245"/>
        <w:rPr>
          <w:rFonts w:hint="eastAsia" w:ascii="宋体" w:hAnsi="宋体" w:cs="宋体"/>
          <w:color w:val="auto"/>
          <w:szCs w:val="21"/>
          <w:highlight w:val="none"/>
        </w:rPr>
      </w:pPr>
      <w:r>
        <w:rPr>
          <w:rFonts w:hint="eastAsia" w:ascii="宋体" w:hAnsi="宋体" w:cs="宋体"/>
          <w:color w:val="auto"/>
          <w:szCs w:val="21"/>
          <w:highlight w:val="none"/>
        </w:rPr>
        <w:t>（2）项目验收合格后30日内甲方向乙方支付剩余合同款。</w:t>
      </w:r>
    </w:p>
    <w:p w14:paraId="403DE1E6">
      <w:pPr>
        <w:snapToGrid w:val="0"/>
        <w:spacing w:line="500" w:lineRule="exact"/>
        <w:ind w:left="-61" w:leftChars="-29" w:firstLine="514" w:firstLineChars="245"/>
        <w:rPr>
          <w:rFonts w:hint="eastAsia" w:ascii="宋体" w:hAnsi="宋体" w:cs="宋体"/>
          <w:color w:val="auto"/>
          <w:szCs w:val="21"/>
          <w:highlight w:val="none"/>
        </w:rPr>
      </w:pPr>
      <w:r>
        <w:rPr>
          <w:rFonts w:hint="eastAsia" w:ascii="宋体" w:hAnsi="宋体" w:cs="宋体"/>
          <w:color w:val="auto"/>
          <w:szCs w:val="21"/>
          <w:highlight w:val="none"/>
        </w:rPr>
        <w:t>（3）甲方每次支付前，乙方应当为甲方开具当次支付等额发票。</w:t>
      </w:r>
    </w:p>
    <w:p w14:paraId="216996BF">
      <w:pPr>
        <w:snapToGrid w:val="0"/>
        <w:spacing w:line="500" w:lineRule="exact"/>
        <w:ind w:left="-61" w:leftChars="-29" w:firstLine="514" w:firstLineChars="245"/>
        <w:rPr>
          <w:rFonts w:hint="eastAsia" w:ascii="宋体" w:hAnsi="宋体" w:cs="宋体"/>
          <w:color w:val="auto"/>
          <w:szCs w:val="21"/>
          <w:highlight w:val="none"/>
        </w:rPr>
      </w:pPr>
      <w:r>
        <w:rPr>
          <w:rFonts w:hint="eastAsia" w:ascii="宋体" w:hAnsi="宋体" w:cs="宋体"/>
          <w:color w:val="auto"/>
          <w:szCs w:val="21"/>
          <w:highlight w:val="none"/>
        </w:rPr>
        <w:t>（4）甲方不得以机构变动、人员更替、政策调整等为由延迟付款，不得将采购文件和合同中未规定的义务作为向乙方付款的条件。</w:t>
      </w:r>
    </w:p>
    <w:p w14:paraId="630B6098">
      <w:pPr>
        <w:snapToGrid w:val="0"/>
        <w:spacing w:line="500" w:lineRule="exact"/>
        <w:ind w:firstLine="422" w:firstLineChars="200"/>
        <w:rPr>
          <w:rFonts w:hint="default" w:ascii="宋体" w:hAnsi="宋体" w:eastAsia="宋体" w:cs="宋体"/>
          <w:b/>
          <w:color w:val="auto"/>
          <w:szCs w:val="21"/>
          <w:highlight w:val="none"/>
          <w:lang w:val="en-US" w:eastAsia="zh-CN"/>
        </w:rPr>
      </w:pPr>
      <w:r>
        <w:rPr>
          <w:rFonts w:hint="eastAsia" w:ascii="宋体" w:hAnsi="宋体" w:cs="宋体"/>
          <w:b/>
          <w:color w:val="auto"/>
          <w:szCs w:val="21"/>
          <w:highlight w:val="none"/>
        </w:rPr>
        <w:t>第七条　履约保证金</w:t>
      </w:r>
      <w:r>
        <w:rPr>
          <w:rFonts w:hint="eastAsia"/>
          <w:color w:val="auto"/>
          <w:highlight w:val="none"/>
          <w:lang w:eastAsia="zh-CN"/>
        </w:rPr>
        <w:t>：</w:t>
      </w:r>
      <w:r>
        <w:rPr>
          <w:rFonts w:hint="eastAsia"/>
          <w:b/>
          <w:bCs/>
          <w:color w:val="auto"/>
          <w:highlight w:val="none"/>
          <w:lang w:val="en-US" w:eastAsia="zh-CN"/>
        </w:rPr>
        <w:t>无</w:t>
      </w:r>
    </w:p>
    <w:p w14:paraId="152D146E">
      <w:pPr>
        <w:spacing w:line="500" w:lineRule="exact"/>
        <w:ind w:firstLine="422" w:firstLineChars="200"/>
        <w:rPr>
          <w:rFonts w:hint="eastAsia" w:ascii="宋体" w:hAnsi="宋体" w:cs="宋体"/>
          <w:b/>
          <w:color w:val="auto"/>
          <w:szCs w:val="21"/>
          <w:highlight w:val="none"/>
        </w:rPr>
      </w:pPr>
      <w:r>
        <w:rPr>
          <w:rFonts w:hint="eastAsia" w:ascii="宋体" w:hAnsi="宋体" w:cs="宋体"/>
          <w:b/>
          <w:color w:val="auto"/>
          <w:szCs w:val="21"/>
          <w:highlight w:val="none"/>
        </w:rPr>
        <w:t>第八条  税费</w:t>
      </w:r>
    </w:p>
    <w:p w14:paraId="0F7205FB">
      <w:pPr>
        <w:spacing w:line="50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本合同执行中相关的一切税费均由乙方负担，合同另有约定的除外。</w:t>
      </w:r>
    </w:p>
    <w:p w14:paraId="2E5C54DA">
      <w:pPr>
        <w:spacing w:line="500" w:lineRule="exact"/>
        <w:ind w:firstLine="422" w:firstLineChars="200"/>
        <w:rPr>
          <w:rFonts w:hint="eastAsia" w:ascii="宋体" w:hAnsi="宋体" w:cs="宋体"/>
          <w:b/>
          <w:color w:val="auto"/>
          <w:szCs w:val="21"/>
          <w:highlight w:val="none"/>
        </w:rPr>
      </w:pPr>
      <w:r>
        <w:rPr>
          <w:rFonts w:hint="eastAsia" w:ascii="宋体" w:hAnsi="宋体" w:cs="宋体"/>
          <w:b/>
          <w:color w:val="auto"/>
          <w:szCs w:val="21"/>
          <w:highlight w:val="none"/>
        </w:rPr>
        <w:t>第九条　违约责任</w:t>
      </w:r>
    </w:p>
    <w:p w14:paraId="7284589D">
      <w:pPr>
        <w:snapToGrid w:val="0"/>
        <w:spacing w:line="50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1、除不可抗力原因外，乙方没有按照合同规定的时间提供服务的，甲方可要求乙方支付违约金。每推迟一天按合同金额的3‰支付违约金，该违约金累计不超过合同金额的10%。</w:t>
      </w:r>
    </w:p>
    <w:p w14:paraId="1AC7F428">
      <w:pPr>
        <w:snapToGrid w:val="0"/>
        <w:spacing w:line="50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2、乙方提供的服务如侵犯了第三方合法权益而引发的任何纠纷或者诉讼，均由乙方负责交涉并承担全部责任。</w:t>
      </w:r>
    </w:p>
    <w:p w14:paraId="23C0C202">
      <w:pPr>
        <w:snapToGrid w:val="0"/>
        <w:spacing w:line="50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3、甲方</w:t>
      </w:r>
      <w:r>
        <w:rPr>
          <w:rFonts w:hint="eastAsia" w:ascii="宋体" w:hAnsi="宋体" w:cs="宋体"/>
          <w:color w:val="auto"/>
          <w:szCs w:val="21"/>
          <w:highlight w:val="none"/>
          <w:lang w:val="en-US" w:eastAsia="zh-CN"/>
        </w:rPr>
        <w:t>逾期</w:t>
      </w:r>
      <w:r>
        <w:rPr>
          <w:rFonts w:hint="eastAsia" w:ascii="宋体" w:hAnsi="宋体" w:cs="宋体"/>
          <w:color w:val="auto"/>
          <w:szCs w:val="21"/>
          <w:highlight w:val="none"/>
        </w:rPr>
        <w:t>付款的，每天向乙方偿付</w:t>
      </w:r>
      <w:r>
        <w:rPr>
          <w:rFonts w:hint="eastAsia" w:ascii="宋体" w:hAnsi="宋体" w:cs="宋体"/>
          <w:color w:val="auto"/>
          <w:szCs w:val="21"/>
          <w:highlight w:val="none"/>
          <w:lang w:val="en-US" w:eastAsia="zh-CN"/>
        </w:rPr>
        <w:t>逾期</w:t>
      </w:r>
      <w:r>
        <w:rPr>
          <w:rFonts w:hint="eastAsia" w:ascii="宋体" w:hAnsi="宋体" w:cs="宋体"/>
          <w:color w:val="auto"/>
          <w:szCs w:val="21"/>
          <w:highlight w:val="none"/>
        </w:rPr>
        <w:t>款额0.3‰</w:t>
      </w:r>
      <w:r>
        <w:rPr>
          <w:rFonts w:hint="eastAsia" w:ascii="宋体" w:hAnsi="宋体" w:cs="宋体"/>
          <w:color w:val="auto"/>
          <w:szCs w:val="21"/>
          <w:highlight w:val="none"/>
          <w:lang w:val="en-US" w:eastAsia="zh-CN"/>
        </w:rPr>
        <w:t>违约金</w:t>
      </w:r>
      <w:r>
        <w:rPr>
          <w:rFonts w:hint="eastAsia" w:ascii="宋体" w:hAnsi="宋体" w:cs="宋体"/>
          <w:color w:val="auto"/>
          <w:szCs w:val="21"/>
          <w:highlight w:val="none"/>
        </w:rPr>
        <w:t>。</w:t>
      </w:r>
    </w:p>
    <w:p w14:paraId="7AF43785">
      <w:pPr>
        <w:snapToGrid w:val="0"/>
        <w:spacing w:line="50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4、</w:t>
      </w:r>
      <w:r>
        <w:rPr>
          <w:rFonts w:hint="eastAsia" w:ascii="宋体" w:hAnsi="宋体" w:cs="宋体"/>
          <w:color w:val="auto"/>
          <w:szCs w:val="21"/>
          <w:highlight w:val="none"/>
          <w:lang w:val="en-US" w:eastAsia="zh-CN"/>
        </w:rPr>
        <w:t>一</w:t>
      </w:r>
      <w:r>
        <w:rPr>
          <w:rFonts w:hint="eastAsia" w:ascii="宋体" w:hAnsi="宋体" w:cs="宋体"/>
          <w:color w:val="auto"/>
          <w:szCs w:val="21"/>
          <w:highlight w:val="none"/>
        </w:rPr>
        <w:t>方支付的违约金不足以弥补</w:t>
      </w:r>
      <w:r>
        <w:rPr>
          <w:rFonts w:hint="eastAsia" w:ascii="宋体" w:hAnsi="宋体" w:cs="宋体"/>
          <w:color w:val="auto"/>
          <w:szCs w:val="21"/>
          <w:highlight w:val="none"/>
          <w:lang w:val="en-US" w:eastAsia="zh-CN"/>
        </w:rPr>
        <w:t>对</w:t>
      </w:r>
      <w:r>
        <w:rPr>
          <w:rFonts w:hint="eastAsia" w:ascii="宋体" w:hAnsi="宋体" w:cs="宋体"/>
          <w:color w:val="auto"/>
          <w:szCs w:val="21"/>
          <w:highlight w:val="none"/>
        </w:rPr>
        <w:t>方损失的，还应承担赔偿责任，</w:t>
      </w:r>
      <w:r>
        <w:rPr>
          <w:rFonts w:hint="eastAsia" w:ascii="宋体" w:hAnsi="宋体" w:cs="宋体"/>
          <w:color w:val="auto"/>
          <w:szCs w:val="21"/>
          <w:highlight w:val="none"/>
          <w:lang w:val="en-US" w:eastAsia="zh-CN"/>
        </w:rPr>
        <w:t>守约</w:t>
      </w:r>
      <w:r>
        <w:rPr>
          <w:rFonts w:hint="eastAsia" w:ascii="宋体" w:hAnsi="宋体" w:cs="宋体"/>
          <w:color w:val="auto"/>
          <w:szCs w:val="21"/>
          <w:highlight w:val="none"/>
        </w:rPr>
        <w:t>方有权继续向</w:t>
      </w:r>
      <w:r>
        <w:rPr>
          <w:rFonts w:hint="eastAsia" w:ascii="宋体" w:hAnsi="宋体" w:cs="宋体"/>
          <w:color w:val="auto"/>
          <w:szCs w:val="21"/>
          <w:highlight w:val="none"/>
          <w:lang w:val="en-US" w:eastAsia="zh-CN"/>
        </w:rPr>
        <w:t>违约</w:t>
      </w:r>
      <w:r>
        <w:rPr>
          <w:rFonts w:hint="eastAsia" w:ascii="宋体" w:hAnsi="宋体" w:cs="宋体"/>
          <w:color w:val="auto"/>
          <w:szCs w:val="21"/>
          <w:highlight w:val="none"/>
        </w:rPr>
        <w:t>方追偿。乙方应支付给甲方的任何款项，甲方有权从任何应支付未支付给乙方的款项中直接抵扣。</w:t>
      </w:r>
    </w:p>
    <w:p w14:paraId="0E5384FA">
      <w:pPr>
        <w:pStyle w:val="12"/>
        <w:snapToGrid w:val="0"/>
        <w:spacing w:line="500" w:lineRule="exact"/>
        <w:ind w:firstLine="420" w:firstLineChars="200"/>
        <w:rPr>
          <w:rFonts w:hint="eastAsia" w:hAnsi="宋体" w:cs="宋体"/>
          <w:bCs/>
          <w:color w:val="auto"/>
          <w:sz w:val="21"/>
          <w:highlight w:val="none"/>
        </w:rPr>
      </w:pPr>
      <w:r>
        <w:rPr>
          <w:rFonts w:hint="eastAsia" w:hAnsi="宋体" w:cs="宋体"/>
          <w:color w:val="auto"/>
          <w:sz w:val="21"/>
          <w:highlight w:val="none"/>
        </w:rPr>
        <w:t xml:space="preserve"> 5、</w:t>
      </w:r>
      <w:r>
        <w:rPr>
          <w:rFonts w:hint="eastAsia" w:hAnsi="宋体" w:cs="宋体"/>
          <w:bCs/>
          <w:color w:val="auto"/>
          <w:sz w:val="21"/>
          <w:highlight w:val="none"/>
        </w:rPr>
        <w:t>未经甲方书面许可，乙方擅自将本合同项下义务交由第三方完成的，视为乙方根本违约，甲方有权单方面解除本合同，乙方应按本合同价款的20%支付违约金，由此造成甲方经济损失的，还应承担全部赔偿责任。</w:t>
      </w:r>
    </w:p>
    <w:p w14:paraId="0304ABDA">
      <w:pPr>
        <w:spacing w:line="500" w:lineRule="exact"/>
        <w:ind w:firstLine="422" w:firstLineChars="200"/>
        <w:rPr>
          <w:rFonts w:hint="eastAsia" w:ascii="宋体" w:hAnsi="宋体" w:cs="宋体"/>
          <w:b/>
          <w:color w:val="auto"/>
          <w:szCs w:val="21"/>
          <w:highlight w:val="none"/>
        </w:rPr>
      </w:pPr>
      <w:r>
        <w:rPr>
          <w:rFonts w:hint="eastAsia" w:ascii="宋体" w:hAnsi="宋体" w:cs="宋体"/>
          <w:b/>
          <w:color w:val="auto"/>
          <w:szCs w:val="21"/>
          <w:highlight w:val="none"/>
        </w:rPr>
        <w:t>第十条  不可抗力事件处理</w:t>
      </w:r>
    </w:p>
    <w:p w14:paraId="5837B609">
      <w:pPr>
        <w:spacing w:line="50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1、在合同有效期内，任何一方因不可抗力事件导致不能履行合同，则合同履行期可延长，其延长期与不可抗力影响期相同。</w:t>
      </w:r>
    </w:p>
    <w:p w14:paraId="1D315241">
      <w:pPr>
        <w:spacing w:line="50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2、不可抗力事件发生后，应立即通知对方，并寄送有关权威机构出具的证明。</w:t>
      </w:r>
    </w:p>
    <w:p w14:paraId="2E843F3F">
      <w:pPr>
        <w:spacing w:line="50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3、不可抗力事件延续一百二十天以上，双方应通过友好协商，确定是否继续履行合同。</w:t>
      </w:r>
    </w:p>
    <w:p w14:paraId="4B0F0405">
      <w:pPr>
        <w:spacing w:line="500" w:lineRule="exact"/>
        <w:ind w:firstLine="422" w:firstLineChars="200"/>
        <w:rPr>
          <w:rFonts w:hint="eastAsia" w:ascii="宋体" w:hAnsi="宋体" w:cs="宋体"/>
          <w:color w:val="auto"/>
          <w:szCs w:val="21"/>
          <w:highlight w:val="none"/>
        </w:rPr>
      </w:pPr>
      <w:r>
        <w:rPr>
          <w:rFonts w:hint="eastAsia" w:ascii="宋体" w:hAnsi="宋体" w:cs="宋体"/>
          <w:b/>
          <w:color w:val="auto"/>
          <w:szCs w:val="21"/>
          <w:highlight w:val="none"/>
        </w:rPr>
        <w:t>第十一条  合同争议解决</w:t>
      </w:r>
    </w:p>
    <w:p w14:paraId="1E0514DB">
      <w:pPr>
        <w:snapToGrid w:val="0"/>
        <w:spacing w:line="50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1、因服务质量问题发生争议的，应邀请国家认可的质量检测机构进行鉴定。服务符合标准的，鉴定费由甲方承担；服务不符合标准的，鉴定费由乙方承担。</w:t>
      </w:r>
    </w:p>
    <w:p w14:paraId="710CA2BD">
      <w:pPr>
        <w:snapToGrid w:val="0"/>
        <w:spacing w:line="50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2、因履行本合同引起的或者与本合同有关的争议，甲乙双方应首先通过友好协商解决，如果协商不能解决，可向甲方所在地有管辖权人民法院提起诉讼。</w:t>
      </w:r>
    </w:p>
    <w:p w14:paraId="5F239A60">
      <w:pPr>
        <w:snapToGrid w:val="0"/>
        <w:spacing w:line="50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3、诉讼期间，本合同继续履行。</w:t>
      </w:r>
    </w:p>
    <w:p w14:paraId="282F8408">
      <w:pPr>
        <w:spacing w:line="500" w:lineRule="exact"/>
        <w:ind w:firstLine="422" w:firstLineChars="200"/>
        <w:rPr>
          <w:rFonts w:hint="eastAsia" w:ascii="宋体" w:hAnsi="宋体" w:cs="宋体"/>
          <w:b/>
          <w:color w:val="auto"/>
          <w:szCs w:val="21"/>
          <w:highlight w:val="none"/>
        </w:rPr>
      </w:pPr>
      <w:r>
        <w:rPr>
          <w:rFonts w:hint="eastAsia" w:ascii="宋体" w:hAnsi="宋体" w:cs="宋体"/>
          <w:b/>
          <w:color w:val="auto"/>
          <w:szCs w:val="21"/>
          <w:highlight w:val="none"/>
        </w:rPr>
        <w:t>第十二条  合同生效及其他</w:t>
      </w:r>
    </w:p>
    <w:p w14:paraId="08F868F1">
      <w:pPr>
        <w:spacing w:line="50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1、合同经双方法定代表人或者授权代表签字并加盖单位公章后生效。</w:t>
      </w:r>
    </w:p>
    <w:p w14:paraId="6E3F78FC">
      <w:pPr>
        <w:spacing w:line="50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2、合同执行中涉及采购资金和采购内容修改或者补充的，须经财政部门审批，并签书面补充协议报财政部门备案，方可作为主合同不可分割的一部分。</w:t>
      </w:r>
    </w:p>
    <w:p w14:paraId="453F220D">
      <w:pPr>
        <w:spacing w:line="50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3、本合同未尽事宜，遵照《</w:t>
      </w:r>
      <w:r>
        <w:rPr>
          <w:rFonts w:hint="eastAsia" w:hAnsi="宋体"/>
          <w:b/>
          <w:color w:val="auto"/>
          <w:szCs w:val="21"/>
          <w:highlight w:val="none"/>
        </w:rPr>
        <w:t>中华人民共和国民法典</w:t>
      </w:r>
      <w:r>
        <w:rPr>
          <w:rFonts w:hint="eastAsia" w:ascii="宋体" w:hAnsi="宋体" w:cs="宋体"/>
          <w:color w:val="auto"/>
          <w:szCs w:val="21"/>
          <w:highlight w:val="none"/>
        </w:rPr>
        <w:t>》有关条文执行。</w:t>
      </w:r>
    </w:p>
    <w:p w14:paraId="5D329A8B">
      <w:pPr>
        <w:spacing w:line="500" w:lineRule="exact"/>
        <w:ind w:firstLine="422" w:firstLineChars="200"/>
        <w:rPr>
          <w:rFonts w:hint="eastAsia" w:ascii="宋体" w:hAnsi="宋体" w:cs="宋体"/>
          <w:b/>
          <w:color w:val="auto"/>
          <w:szCs w:val="21"/>
          <w:highlight w:val="none"/>
        </w:rPr>
      </w:pPr>
      <w:r>
        <w:rPr>
          <w:rFonts w:hint="eastAsia" w:ascii="宋体" w:hAnsi="宋体" w:cs="宋体"/>
          <w:b/>
          <w:color w:val="auto"/>
          <w:szCs w:val="21"/>
          <w:highlight w:val="none"/>
        </w:rPr>
        <w:t>第十三条　合同的变更、终止与转让</w:t>
      </w:r>
    </w:p>
    <w:p w14:paraId="60C1E5AE">
      <w:pPr>
        <w:spacing w:line="50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1、除《中华人民共和国政府采购法》第五十条规定的情形外，本合同一经签订，甲乙双方不得擅自变更、中止或者终止。</w:t>
      </w:r>
    </w:p>
    <w:p w14:paraId="32234CD5">
      <w:pPr>
        <w:spacing w:line="50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2、乙方不得擅自转让其应履行的合同义务。</w:t>
      </w:r>
    </w:p>
    <w:p w14:paraId="42D10903">
      <w:pPr>
        <w:spacing w:line="500" w:lineRule="exact"/>
        <w:ind w:firstLine="422" w:firstLineChars="200"/>
        <w:rPr>
          <w:rFonts w:hint="eastAsia" w:ascii="宋体" w:hAnsi="宋体" w:cs="宋体"/>
          <w:b/>
          <w:color w:val="auto"/>
          <w:szCs w:val="21"/>
          <w:highlight w:val="none"/>
        </w:rPr>
      </w:pPr>
      <w:r>
        <w:rPr>
          <w:rFonts w:hint="eastAsia" w:ascii="宋体" w:hAnsi="宋体" w:cs="宋体"/>
          <w:b/>
          <w:color w:val="auto"/>
          <w:szCs w:val="21"/>
          <w:highlight w:val="none"/>
        </w:rPr>
        <w:t>第十四条　签订本合同依据</w:t>
      </w:r>
    </w:p>
    <w:p w14:paraId="2F0758FE">
      <w:pPr>
        <w:spacing w:line="50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w:t>
      </w:r>
      <w:r>
        <w:rPr>
          <w:rFonts w:hint="eastAsia" w:ascii="宋体" w:hAnsi="宋体"/>
          <w:color w:val="auto"/>
          <w:szCs w:val="21"/>
          <w:highlight w:val="none"/>
        </w:rPr>
        <w:t>中标通知书</w:t>
      </w:r>
      <w:r>
        <w:rPr>
          <w:rFonts w:hint="eastAsia" w:ascii="宋体" w:hAnsi="宋体" w:cs="宋体"/>
          <w:color w:val="auto"/>
          <w:szCs w:val="21"/>
          <w:highlight w:val="none"/>
        </w:rPr>
        <w:t>；</w:t>
      </w:r>
    </w:p>
    <w:p w14:paraId="36DC653F">
      <w:pPr>
        <w:spacing w:line="50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2、开标一览表；</w:t>
      </w:r>
    </w:p>
    <w:p w14:paraId="170FA97E">
      <w:pPr>
        <w:spacing w:line="50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3、商务条款偏离表和技术需求偏离表；</w:t>
      </w:r>
    </w:p>
    <w:p w14:paraId="2413226A">
      <w:pPr>
        <w:spacing w:line="500" w:lineRule="exact"/>
        <w:ind w:firstLine="420" w:firstLineChars="200"/>
        <w:rPr>
          <w:rFonts w:ascii="宋体" w:hAnsi="宋体" w:cs="宋体"/>
          <w:color w:val="auto"/>
          <w:szCs w:val="21"/>
          <w:highlight w:val="none"/>
        </w:rPr>
      </w:pPr>
      <w:r>
        <w:rPr>
          <w:rFonts w:ascii="宋体" w:hAnsi="宋体" w:cs="宋体"/>
          <w:color w:val="auto"/>
          <w:szCs w:val="21"/>
          <w:highlight w:val="none"/>
        </w:rPr>
        <w:t>4</w:t>
      </w:r>
      <w:r>
        <w:rPr>
          <w:rFonts w:hint="eastAsia" w:ascii="宋体" w:hAnsi="宋体" w:cs="宋体"/>
          <w:color w:val="auto"/>
          <w:szCs w:val="21"/>
          <w:highlight w:val="none"/>
        </w:rPr>
        <w:t>、服务方案；</w:t>
      </w:r>
    </w:p>
    <w:p w14:paraId="0A5E6693">
      <w:pPr>
        <w:spacing w:line="50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5、投标文件中的其他相关文件。</w:t>
      </w:r>
    </w:p>
    <w:p w14:paraId="372F7BF4">
      <w:pPr>
        <w:spacing w:line="500" w:lineRule="exact"/>
        <w:ind w:firstLine="420" w:firstLineChars="200"/>
        <w:rPr>
          <w:rFonts w:hint="eastAsia" w:ascii="宋体" w:hAnsi="宋体" w:cs="宋体"/>
          <w:color w:val="auto"/>
          <w:szCs w:val="21"/>
          <w:highlight w:val="none"/>
        </w:rPr>
      </w:pPr>
      <w:r>
        <w:rPr>
          <w:rFonts w:ascii="宋体" w:hAnsi="宋体" w:cs="宋体"/>
          <w:color w:val="auto"/>
          <w:szCs w:val="21"/>
          <w:highlight w:val="none"/>
        </w:rPr>
        <w:t>6</w:t>
      </w:r>
      <w:r>
        <w:rPr>
          <w:rFonts w:hint="eastAsia" w:ascii="宋体" w:hAnsi="宋体" w:cs="宋体"/>
          <w:color w:val="auto"/>
          <w:szCs w:val="21"/>
          <w:highlight w:val="none"/>
        </w:rPr>
        <w:t>、上述合同文件互相补充和解释。如果合同文件之间存在矛盾或者不一致之处，以上述文件的排列顺序在先者为准。</w:t>
      </w:r>
    </w:p>
    <w:p w14:paraId="519E15F7">
      <w:pPr>
        <w:spacing w:line="500" w:lineRule="exact"/>
        <w:ind w:firstLine="422" w:firstLineChars="200"/>
        <w:rPr>
          <w:rFonts w:hint="eastAsia" w:ascii="宋体" w:hAnsi="宋体" w:cs="宋体"/>
          <w:color w:val="auto"/>
          <w:szCs w:val="21"/>
          <w:highlight w:val="none"/>
        </w:rPr>
      </w:pPr>
      <w:r>
        <w:rPr>
          <w:rFonts w:hint="eastAsia" w:ascii="宋体" w:hAnsi="宋体" w:cs="宋体"/>
          <w:b/>
          <w:color w:val="auto"/>
          <w:szCs w:val="21"/>
          <w:highlight w:val="none"/>
        </w:rPr>
        <w:t>第十五条　</w:t>
      </w:r>
      <w:r>
        <w:rPr>
          <w:rFonts w:hint="eastAsia" w:ascii="宋体" w:hAnsi="宋体" w:cs="宋体"/>
          <w:color w:val="auto"/>
          <w:szCs w:val="21"/>
          <w:highlight w:val="none"/>
        </w:rPr>
        <w:t>本合同一式</w:t>
      </w:r>
      <w:r>
        <w:rPr>
          <w:rFonts w:hint="eastAsia" w:ascii="宋体" w:hAnsi="宋体" w:cs="宋体"/>
          <w:color w:val="auto"/>
          <w:szCs w:val="21"/>
          <w:highlight w:val="none"/>
          <w:lang w:eastAsia="zh-CN"/>
        </w:rPr>
        <w:t>陆</w:t>
      </w:r>
      <w:r>
        <w:rPr>
          <w:rFonts w:hint="eastAsia" w:ascii="宋体" w:hAnsi="宋体" w:cs="宋体"/>
          <w:color w:val="auto"/>
          <w:szCs w:val="21"/>
          <w:highlight w:val="none"/>
        </w:rPr>
        <w:t>份，具有同等法律效力，采购代理机构执</w:t>
      </w:r>
      <w:r>
        <w:rPr>
          <w:rFonts w:hint="eastAsia" w:ascii="宋体" w:hAnsi="宋体" w:cs="宋体"/>
          <w:color w:val="auto"/>
          <w:szCs w:val="21"/>
          <w:highlight w:val="none"/>
          <w:lang w:eastAsia="zh-CN"/>
        </w:rPr>
        <w:t>贰</w:t>
      </w:r>
      <w:r>
        <w:rPr>
          <w:rFonts w:hint="eastAsia" w:ascii="宋体" w:hAnsi="宋体" w:cs="宋体"/>
          <w:color w:val="auto"/>
          <w:szCs w:val="21"/>
          <w:highlight w:val="none"/>
        </w:rPr>
        <w:t>份，甲方执</w:t>
      </w:r>
      <w:r>
        <w:rPr>
          <w:rFonts w:hint="eastAsia" w:ascii="宋体" w:hAnsi="宋体" w:cs="宋体"/>
          <w:color w:val="auto"/>
          <w:szCs w:val="21"/>
          <w:highlight w:val="none"/>
          <w:lang w:eastAsia="zh-CN"/>
        </w:rPr>
        <w:t>贰</w:t>
      </w:r>
      <w:r>
        <w:rPr>
          <w:rFonts w:hint="eastAsia" w:ascii="宋体" w:hAnsi="宋体" w:cs="宋体"/>
          <w:color w:val="auto"/>
          <w:szCs w:val="21"/>
          <w:highlight w:val="none"/>
        </w:rPr>
        <w:t>份，乙方执贰份。</w:t>
      </w:r>
    </w:p>
    <w:p w14:paraId="73A62A02">
      <w:pPr>
        <w:spacing w:line="50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本合同自签订之日起2个工作日内，甲方应当将采购合同在广西壮族自治区财政厅指定的媒体上公告。</w:t>
      </w:r>
    </w:p>
    <w:p w14:paraId="5485D6EB">
      <w:pPr>
        <w:spacing w:line="50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（以下无正文）</w:t>
      </w:r>
    </w:p>
    <w:tbl>
      <w:tblPr>
        <w:tblStyle w:val="18"/>
        <w:tblW w:w="4916"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843"/>
        <w:gridCol w:w="4844"/>
      </w:tblGrid>
      <w:tr w14:paraId="0C2684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05" w:hRule="atLeast"/>
        </w:trPr>
        <w:tc>
          <w:tcPr>
            <w:tcW w:w="2500" w:type="pct"/>
            <w:tcBorders>
              <w:top w:val="single" w:color="auto" w:sz="4" w:space="0"/>
              <w:left w:val="single" w:color="auto" w:sz="4" w:space="0"/>
              <w:bottom w:val="single" w:color="auto" w:sz="4" w:space="0"/>
              <w:right w:val="single" w:color="auto" w:sz="4" w:space="0"/>
            </w:tcBorders>
            <w:noWrap w:val="0"/>
            <w:vAlign w:val="center"/>
          </w:tcPr>
          <w:p w14:paraId="2A7829D5">
            <w:pPr>
              <w:snapToGrid w:val="0"/>
              <w:spacing w:line="500" w:lineRule="exact"/>
              <w:rPr>
                <w:rFonts w:hint="eastAsia" w:ascii="宋体" w:hAnsi="宋体" w:cs="宋体"/>
                <w:color w:val="auto"/>
                <w:szCs w:val="21"/>
                <w:highlight w:val="none"/>
              </w:rPr>
            </w:pPr>
            <w:r>
              <w:rPr>
                <w:rFonts w:hint="eastAsia" w:ascii="宋体" w:hAnsi="宋体" w:cs="宋体"/>
                <w:color w:val="auto"/>
                <w:szCs w:val="21"/>
                <w:highlight w:val="none"/>
              </w:rPr>
              <w:t xml:space="preserve">甲方（公章） </w:t>
            </w:r>
          </w:p>
          <w:p w14:paraId="25FAE522">
            <w:pPr>
              <w:snapToGrid w:val="0"/>
              <w:spacing w:line="500" w:lineRule="exact"/>
              <w:rPr>
                <w:rFonts w:hint="eastAsia" w:ascii="宋体" w:hAnsi="宋体" w:cs="宋体"/>
                <w:color w:val="auto"/>
                <w:szCs w:val="21"/>
                <w:highlight w:val="none"/>
              </w:rPr>
            </w:pPr>
            <w:r>
              <w:rPr>
                <w:rFonts w:hint="eastAsia" w:ascii="宋体" w:hAnsi="宋体" w:cs="宋体"/>
                <w:color w:val="auto"/>
                <w:szCs w:val="21"/>
                <w:highlight w:val="none"/>
              </w:rPr>
              <w:t xml:space="preserve"> </w:t>
            </w:r>
          </w:p>
          <w:p w14:paraId="203763AF">
            <w:pPr>
              <w:snapToGrid w:val="0"/>
              <w:spacing w:line="500" w:lineRule="exact"/>
              <w:ind w:firstLine="945" w:firstLineChars="450"/>
              <w:jc w:val="right"/>
              <w:rPr>
                <w:rFonts w:hint="eastAsia" w:ascii="宋体" w:hAnsi="宋体" w:cs="宋体"/>
                <w:color w:val="auto"/>
                <w:szCs w:val="21"/>
                <w:highlight w:val="none"/>
              </w:rPr>
            </w:pPr>
            <w:r>
              <w:rPr>
                <w:rFonts w:hint="eastAsia" w:ascii="宋体" w:hAnsi="宋体" w:cs="宋体"/>
                <w:color w:val="auto"/>
                <w:szCs w:val="21"/>
                <w:highlight w:val="none"/>
              </w:rPr>
              <w:t>年   月   日</w:t>
            </w:r>
          </w:p>
        </w:tc>
        <w:tc>
          <w:tcPr>
            <w:tcW w:w="2500" w:type="pct"/>
            <w:tcBorders>
              <w:top w:val="single" w:color="auto" w:sz="4" w:space="0"/>
              <w:left w:val="single" w:color="auto" w:sz="4" w:space="0"/>
              <w:bottom w:val="single" w:color="auto" w:sz="4" w:space="0"/>
              <w:right w:val="single" w:color="auto" w:sz="4" w:space="0"/>
            </w:tcBorders>
            <w:noWrap w:val="0"/>
            <w:vAlign w:val="center"/>
          </w:tcPr>
          <w:p w14:paraId="651740D0">
            <w:pPr>
              <w:snapToGrid w:val="0"/>
              <w:spacing w:line="500" w:lineRule="exact"/>
              <w:rPr>
                <w:rFonts w:hint="eastAsia" w:ascii="宋体" w:hAnsi="宋体" w:cs="宋体"/>
                <w:color w:val="auto"/>
                <w:szCs w:val="21"/>
                <w:highlight w:val="none"/>
              </w:rPr>
            </w:pPr>
            <w:r>
              <w:rPr>
                <w:rFonts w:hint="eastAsia" w:ascii="宋体" w:hAnsi="宋体" w:cs="宋体"/>
                <w:color w:val="auto"/>
                <w:szCs w:val="21"/>
                <w:highlight w:val="none"/>
              </w:rPr>
              <w:t xml:space="preserve">乙方（公章）              </w:t>
            </w:r>
          </w:p>
          <w:p w14:paraId="75E31DF7">
            <w:pPr>
              <w:snapToGrid w:val="0"/>
              <w:spacing w:line="500" w:lineRule="exact"/>
              <w:rPr>
                <w:rFonts w:hint="eastAsia" w:ascii="宋体" w:hAnsi="宋体" w:cs="宋体"/>
                <w:color w:val="auto"/>
                <w:szCs w:val="21"/>
                <w:highlight w:val="none"/>
              </w:rPr>
            </w:pPr>
          </w:p>
          <w:p w14:paraId="453D5DB0">
            <w:pPr>
              <w:snapToGrid w:val="0"/>
              <w:spacing w:line="500" w:lineRule="exact"/>
              <w:jc w:val="right"/>
              <w:rPr>
                <w:rFonts w:hint="eastAsia" w:ascii="宋体" w:hAnsi="宋体" w:cs="宋体"/>
                <w:color w:val="auto"/>
                <w:szCs w:val="21"/>
                <w:highlight w:val="none"/>
              </w:rPr>
            </w:pPr>
            <w:r>
              <w:rPr>
                <w:rFonts w:hint="eastAsia" w:ascii="宋体" w:hAnsi="宋体" w:cs="宋体"/>
                <w:color w:val="auto"/>
                <w:szCs w:val="21"/>
                <w:highlight w:val="none"/>
              </w:rPr>
              <w:t xml:space="preserve"> 年   月   日</w:t>
            </w:r>
          </w:p>
        </w:tc>
      </w:tr>
      <w:tr w14:paraId="707F44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rPr>
        <w:tc>
          <w:tcPr>
            <w:tcW w:w="2500" w:type="pct"/>
            <w:tcBorders>
              <w:top w:val="single" w:color="auto" w:sz="4" w:space="0"/>
              <w:left w:val="single" w:color="auto" w:sz="4" w:space="0"/>
              <w:bottom w:val="single" w:color="auto" w:sz="4" w:space="0"/>
              <w:right w:val="single" w:color="auto" w:sz="4" w:space="0"/>
            </w:tcBorders>
            <w:noWrap w:val="0"/>
            <w:vAlign w:val="center"/>
          </w:tcPr>
          <w:p w14:paraId="475ACAC8">
            <w:pPr>
              <w:snapToGrid w:val="0"/>
              <w:spacing w:line="500" w:lineRule="exact"/>
              <w:rPr>
                <w:rFonts w:hint="eastAsia" w:ascii="宋体" w:hAnsi="宋体" w:cs="宋体"/>
                <w:color w:val="auto"/>
                <w:szCs w:val="21"/>
                <w:highlight w:val="none"/>
              </w:rPr>
            </w:pPr>
            <w:r>
              <w:rPr>
                <w:rFonts w:hint="eastAsia" w:ascii="宋体" w:hAnsi="宋体" w:cs="宋体"/>
                <w:color w:val="auto"/>
                <w:szCs w:val="21"/>
                <w:highlight w:val="none"/>
              </w:rPr>
              <w:t>单位地址：</w:t>
            </w:r>
          </w:p>
        </w:tc>
        <w:tc>
          <w:tcPr>
            <w:tcW w:w="2500" w:type="pct"/>
            <w:tcBorders>
              <w:top w:val="single" w:color="auto" w:sz="4" w:space="0"/>
              <w:left w:val="single" w:color="auto" w:sz="4" w:space="0"/>
              <w:bottom w:val="single" w:color="auto" w:sz="4" w:space="0"/>
              <w:right w:val="single" w:color="auto" w:sz="4" w:space="0"/>
            </w:tcBorders>
            <w:noWrap w:val="0"/>
            <w:vAlign w:val="center"/>
          </w:tcPr>
          <w:p w14:paraId="2BE5DFD8">
            <w:pPr>
              <w:snapToGrid w:val="0"/>
              <w:spacing w:line="500" w:lineRule="exact"/>
              <w:rPr>
                <w:rFonts w:hint="eastAsia" w:ascii="宋体" w:hAnsi="宋体" w:cs="宋体"/>
                <w:color w:val="auto"/>
                <w:szCs w:val="21"/>
                <w:highlight w:val="none"/>
              </w:rPr>
            </w:pPr>
            <w:r>
              <w:rPr>
                <w:rFonts w:hint="eastAsia" w:ascii="宋体" w:hAnsi="宋体" w:cs="宋体"/>
                <w:color w:val="auto"/>
                <w:szCs w:val="21"/>
                <w:highlight w:val="none"/>
              </w:rPr>
              <w:t>单位地址：</w:t>
            </w:r>
          </w:p>
        </w:tc>
      </w:tr>
      <w:tr w14:paraId="0302E5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rPr>
        <w:tc>
          <w:tcPr>
            <w:tcW w:w="2500" w:type="pct"/>
            <w:tcBorders>
              <w:top w:val="single" w:color="auto" w:sz="4" w:space="0"/>
              <w:left w:val="single" w:color="auto" w:sz="4" w:space="0"/>
              <w:bottom w:val="single" w:color="auto" w:sz="4" w:space="0"/>
              <w:right w:val="single" w:color="auto" w:sz="4" w:space="0"/>
            </w:tcBorders>
            <w:noWrap w:val="0"/>
            <w:vAlign w:val="center"/>
          </w:tcPr>
          <w:p w14:paraId="4AF892AE">
            <w:pPr>
              <w:snapToGrid w:val="0"/>
              <w:spacing w:line="500" w:lineRule="exact"/>
              <w:rPr>
                <w:rFonts w:hint="eastAsia" w:ascii="宋体" w:hAnsi="宋体" w:cs="宋体"/>
                <w:color w:val="auto"/>
                <w:szCs w:val="21"/>
                <w:highlight w:val="none"/>
              </w:rPr>
            </w:pPr>
            <w:r>
              <w:rPr>
                <w:rFonts w:hint="eastAsia" w:ascii="宋体" w:hAnsi="宋体" w:cs="宋体"/>
                <w:color w:val="auto"/>
                <w:szCs w:val="21"/>
                <w:highlight w:val="none"/>
              </w:rPr>
              <w:t>法定代表人：</w:t>
            </w:r>
          </w:p>
        </w:tc>
        <w:tc>
          <w:tcPr>
            <w:tcW w:w="2500" w:type="pct"/>
            <w:tcBorders>
              <w:top w:val="single" w:color="auto" w:sz="4" w:space="0"/>
              <w:left w:val="single" w:color="auto" w:sz="4" w:space="0"/>
              <w:bottom w:val="single" w:color="auto" w:sz="4" w:space="0"/>
              <w:right w:val="single" w:color="auto" w:sz="4" w:space="0"/>
            </w:tcBorders>
            <w:noWrap w:val="0"/>
            <w:vAlign w:val="center"/>
          </w:tcPr>
          <w:p w14:paraId="5800739E">
            <w:pPr>
              <w:snapToGrid w:val="0"/>
              <w:spacing w:line="500" w:lineRule="exact"/>
              <w:rPr>
                <w:rFonts w:hint="eastAsia" w:ascii="宋体" w:hAnsi="宋体" w:cs="宋体"/>
                <w:color w:val="auto"/>
                <w:szCs w:val="21"/>
                <w:highlight w:val="none"/>
              </w:rPr>
            </w:pPr>
            <w:r>
              <w:rPr>
                <w:rFonts w:hint="eastAsia" w:ascii="宋体" w:hAnsi="宋体" w:cs="宋体"/>
                <w:color w:val="auto"/>
                <w:szCs w:val="21"/>
                <w:highlight w:val="none"/>
              </w:rPr>
              <w:t>法定代表人：</w:t>
            </w:r>
          </w:p>
        </w:tc>
      </w:tr>
      <w:tr w14:paraId="40E0C4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rPr>
        <w:tc>
          <w:tcPr>
            <w:tcW w:w="2500" w:type="pct"/>
            <w:tcBorders>
              <w:top w:val="single" w:color="auto" w:sz="4" w:space="0"/>
              <w:left w:val="single" w:color="auto" w:sz="4" w:space="0"/>
              <w:bottom w:val="single" w:color="auto" w:sz="4" w:space="0"/>
              <w:right w:val="single" w:color="auto" w:sz="4" w:space="0"/>
            </w:tcBorders>
            <w:noWrap w:val="0"/>
            <w:vAlign w:val="center"/>
          </w:tcPr>
          <w:p w14:paraId="124F69B9">
            <w:pPr>
              <w:snapToGrid w:val="0"/>
              <w:spacing w:line="500" w:lineRule="exact"/>
              <w:rPr>
                <w:rFonts w:hint="eastAsia" w:ascii="宋体" w:hAnsi="宋体" w:cs="宋体"/>
                <w:color w:val="auto"/>
                <w:szCs w:val="21"/>
                <w:highlight w:val="none"/>
              </w:rPr>
            </w:pPr>
            <w:r>
              <w:rPr>
                <w:rFonts w:hint="eastAsia" w:ascii="宋体" w:hAnsi="宋体" w:cs="宋体"/>
                <w:color w:val="auto"/>
                <w:szCs w:val="21"/>
                <w:highlight w:val="none"/>
              </w:rPr>
              <w:t>委托代理人：</w:t>
            </w:r>
          </w:p>
        </w:tc>
        <w:tc>
          <w:tcPr>
            <w:tcW w:w="2500" w:type="pct"/>
            <w:tcBorders>
              <w:top w:val="single" w:color="auto" w:sz="4" w:space="0"/>
              <w:left w:val="single" w:color="auto" w:sz="4" w:space="0"/>
              <w:bottom w:val="single" w:color="auto" w:sz="4" w:space="0"/>
              <w:right w:val="single" w:color="auto" w:sz="4" w:space="0"/>
            </w:tcBorders>
            <w:noWrap w:val="0"/>
            <w:vAlign w:val="center"/>
          </w:tcPr>
          <w:p w14:paraId="767DFB7E">
            <w:pPr>
              <w:snapToGrid w:val="0"/>
              <w:spacing w:line="500" w:lineRule="exact"/>
              <w:rPr>
                <w:rFonts w:hint="eastAsia" w:ascii="宋体" w:hAnsi="宋体" w:cs="宋体"/>
                <w:color w:val="auto"/>
                <w:szCs w:val="21"/>
                <w:highlight w:val="none"/>
              </w:rPr>
            </w:pPr>
            <w:r>
              <w:rPr>
                <w:rFonts w:hint="eastAsia" w:ascii="宋体" w:hAnsi="宋体" w:cs="宋体"/>
                <w:color w:val="auto"/>
                <w:szCs w:val="21"/>
                <w:highlight w:val="none"/>
              </w:rPr>
              <w:t>委托代理人：</w:t>
            </w:r>
          </w:p>
        </w:tc>
      </w:tr>
      <w:tr w14:paraId="777218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rPr>
        <w:tc>
          <w:tcPr>
            <w:tcW w:w="2500" w:type="pct"/>
            <w:tcBorders>
              <w:top w:val="single" w:color="auto" w:sz="4" w:space="0"/>
              <w:left w:val="single" w:color="auto" w:sz="4" w:space="0"/>
              <w:bottom w:val="single" w:color="auto" w:sz="4" w:space="0"/>
              <w:right w:val="single" w:color="auto" w:sz="4" w:space="0"/>
            </w:tcBorders>
            <w:noWrap w:val="0"/>
            <w:vAlign w:val="center"/>
          </w:tcPr>
          <w:p w14:paraId="53941539">
            <w:pPr>
              <w:snapToGrid w:val="0"/>
              <w:spacing w:line="500" w:lineRule="exact"/>
              <w:rPr>
                <w:rFonts w:hint="eastAsia" w:ascii="宋体" w:hAnsi="宋体" w:cs="宋体"/>
                <w:color w:val="auto"/>
                <w:szCs w:val="21"/>
                <w:highlight w:val="none"/>
              </w:rPr>
            </w:pPr>
            <w:r>
              <w:rPr>
                <w:rFonts w:hint="eastAsia" w:ascii="宋体" w:hAnsi="宋体" w:cs="宋体"/>
                <w:color w:val="auto"/>
                <w:szCs w:val="21"/>
                <w:highlight w:val="none"/>
              </w:rPr>
              <w:t>电话：</w:t>
            </w:r>
          </w:p>
        </w:tc>
        <w:tc>
          <w:tcPr>
            <w:tcW w:w="2500" w:type="pct"/>
            <w:tcBorders>
              <w:top w:val="single" w:color="auto" w:sz="4" w:space="0"/>
              <w:left w:val="single" w:color="auto" w:sz="4" w:space="0"/>
              <w:bottom w:val="single" w:color="auto" w:sz="4" w:space="0"/>
              <w:right w:val="single" w:color="auto" w:sz="4" w:space="0"/>
            </w:tcBorders>
            <w:noWrap w:val="0"/>
            <w:vAlign w:val="center"/>
          </w:tcPr>
          <w:p w14:paraId="4FC49D75">
            <w:pPr>
              <w:snapToGrid w:val="0"/>
              <w:spacing w:line="500" w:lineRule="exact"/>
              <w:rPr>
                <w:rFonts w:hint="eastAsia" w:ascii="宋体" w:hAnsi="宋体" w:cs="宋体"/>
                <w:color w:val="auto"/>
                <w:szCs w:val="21"/>
                <w:highlight w:val="none"/>
              </w:rPr>
            </w:pPr>
            <w:r>
              <w:rPr>
                <w:rFonts w:hint="eastAsia" w:ascii="宋体" w:hAnsi="宋体" w:cs="宋体"/>
                <w:color w:val="auto"/>
                <w:szCs w:val="21"/>
                <w:highlight w:val="none"/>
              </w:rPr>
              <w:t>电话：</w:t>
            </w:r>
          </w:p>
        </w:tc>
      </w:tr>
      <w:tr w14:paraId="3B546A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rPr>
        <w:tc>
          <w:tcPr>
            <w:tcW w:w="2500" w:type="pct"/>
            <w:tcBorders>
              <w:top w:val="single" w:color="auto" w:sz="4" w:space="0"/>
              <w:left w:val="single" w:color="auto" w:sz="4" w:space="0"/>
              <w:bottom w:val="single" w:color="auto" w:sz="4" w:space="0"/>
              <w:right w:val="single" w:color="auto" w:sz="4" w:space="0"/>
            </w:tcBorders>
            <w:noWrap w:val="0"/>
            <w:vAlign w:val="center"/>
          </w:tcPr>
          <w:p w14:paraId="24152CF6">
            <w:pPr>
              <w:snapToGrid w:val="0"/>
              <w:spacing w:line="500" w:lineRule="exact"/>
              <w:rPr>
                <w:rFonts w:hint="eastAsia" w:ascii="宋体" w:hAnsi="宋体" w:cs="宋体"/>
                <w:color w:val="auto"/>
                <w:szCs w:val="21"/>
                <w:highlight w:val="none"/>
              </w:rPr>
            </w:pPr>
            <w:r>
              <w:rPr>
                <w:rFonts w:hint="eastAsia" w:ascii="宋体" w:hAnsi="宋体" w:cs="宋体"/>
                <w:color w:val="auto"/>
                <w:szCs w:val="21"/>
                <w:highlight w:val="none"/>
              </w:rPr>
              <w:t>电子邮箱：</w:t>
            </w:r>
          </w:p>
        </w:tc>
        <w:tc>
          <w:tcPr>
            <w:tcW w:w="2500" w:type="pct"/>
            <w:tcBorders>
              <w:top w:val="single" w:color="auto" w:sz="4" w:space="0"/>
              <w:left w:val="single" w:color="auto" w:sz="4" w:space="0"/>
              <w:bottom w:val="single" w:color="auto" w:sz="4" w:space="0"/>
              <w:right w:val="single" w:color="auto" w:sz="4" w:space="0"/>
            </w:tcBorders>
            <w:noWrap w:val="0"/>
            <w:vAlign w:val="center"/>
          </w:tcPr>
          <w:p w14:paraId="53E0B20D">
            <w:pPr>
              <w:snapToGrid w:val="0"/>
              <w:spacing w:line="500" w:lineRule="exact"/>
              <w:rPr>
                <w:rFonts w:hint="eastAsia" w:ascii="宋体" w:hAnsi="宋体" w:cs="宋体"/>
                <w:color w:val="auto"/>
                <w:szCs w:val="21"/>
                <w:highlight w:val="none"/>
              </w:rPr>
            </w:pPr>
            <w:r>
              <w:rPr>
                <w:rFonts w:hint="eastAsia" w:ascii="宋体" w:hAnsi="宋体" w:cs="宋体"/>
                <w:color w:val="auto"/>
                <w:szCs w:val="21"/>
                <w:highlight w:val="none"/>
              </w:rPr>
              <w:t>电子邮箱：</w:t>
            </w:r>
          </w:p>
        </w:tc>
      </w:tr>
      <w:tr w14:paraId="72CD5C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rPr>
        <w:tc>
          <w:tcPr>
            <w:tcW w:w="2500" w:type="pct"/>
            <w:tcBorders>
              <w:top w:val="single" w:color="auto" w:sz="4" w:space="0"/>
              <w:left w:val="single" w:color="auto" w:sz="4" w:space="0"/>
              <w:bottom w:val="single" w:color="auto" w:sz="4" w:space="0"/>
              <w:right w:val="single" w:color="auto" w:sz="4" w:space="0"/>
            </w:tcBorders>
            <w:noWrap w:val="0"/>
            <w:vAlign w:val="center"/>
          </w:tcPr>
          <w:p w14:paraId="4AA988C5">
            <w:pPr>
              <w:snapToGrid w:val="0"/>
              <w:spacing w:line="500" w:lineRule="exact"/>
              <w:rPr>
                <w:rFonts w:hint="eastAsia" w:ascii="宋体" w:hAnsi="宋体" w:cs="宋体"/>
                <w:color w:val="auto"/>
                <w:szCs w:val="21"/>
                <w:highlight w:val="none"/>
              </w:rPr>
            </w:pPr>
            <w:r>
              <w:rPr>
                <w:rFonts w:hint="eastAsia" w:ascii="宋体" w:hAnsi="宋体" w:cs="宋体"/>
                <w:color w:val="auto"/>
                <w:szCs w:val="21"/>
                <w:highlight w:val="none"/>
              </w:rPr>
              <w:t>开户银行：</w:t>
            </w:r>
          </w:p>
        </w:tc>
        <w:tc>
          <w:tcPr>
            <w:tcW w:w="2500" w:type="pct"/>
            <w:tcBorders>
              <w:top w:val="single" w:color="auto" w:sz="4" w:space="0"/>
              <w:left w:val="single" w:color="auto" w:sz="4" w:space="0"/>
              <w:bottom w:val="single" w:color="auto" w:sz="4" w:space="0"/>
              <w:right w:val="single" w:color="auto" w:sz="4" w:space="0"/>
            </w:tcBorders>
            <w:noWrap w:val="0"/>
            <w:vAlign w:val="center"/>
          </w:tcPr>
          <w:p w14:paraId="38FA69CF">
            <w:pPr>
              <w:snapToGrid w:val="0"/>
              <w:spacing w:line="500" w:lineRule="exact"/>
              <w:rPr>
                <w:rFonts w:hint="eastAsia" w:ascii="宋体" w:hAnsi="宋体" w:cs="宋体"/>
                <w:color w:val="auto"/>
                <w:szCs w:val="21"/>
                <w:highlight w:val="none"/>
              </w:rPr>
            </w:pPr>
            <w:r>
              <w:rPr>
                <w:rFonts w:hint="eastAsia" w:ascii="宋体" w:hAnsi="宋体" w:cs="宋体"/>
                <w:color w:val="auto"/>
                <w:szCs w:val="21"/>
                <w:highlight w:val="none"/>
              </w:rPr>
              <w:t>开户银行：</w:t>
            </w:r>
          </w:p>
        </w:tc>
      </w:tr>
      <w:tr w14:paraId="0E3334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rPr>
        <w:tc>
          <w:tcPr>
            <w:tcW w:w="2500" w:type="pct"/>
            <w:tcBorders>
              <w:top w:val="single" w:color="auto" w:sz="4" w:space="0"/>
              <w:left w:val="single" w:color="auto" w:sz="4" w:space="0"/>
              <w:bottom w:val="single" w:color="auto" w:sz="4" w:space="0"/>
              <w:right w:val="single" w:color="auto" w:sz="4" w:space="0"/>
            </w:tcBorders>
            <w:noWrap w:val="0"/>
            <w:vAlign w:val="center"/>
          </w:tcPr>
          <w:p w14:paraId="72FBD357">
            <w:pPr>
              <w:snapToGrid w:val="0"/>
              <w:spacing w:line="500" w:lineRule="exact"/>
              <w:rPr>
                <w:rFonts w:hint="eastAsia" w:ascii="宋体" w:hAnsi="宋体" w:cs="宋体"/>
                <w:color w:val="auto"/>
                <w:szCs w:val="21"/>
                <w:highlight w:val="none"/>
              </w:rPr>
            </w:pPr>
            <w:r>
              <w:rPr>
                <w:rFonts w:hint="eastAsia" w:ascii="宋体" w:hAnsi="宋体" w:cs="宋体"/>
                <w:color w:val="auto"/>
                <w:szCs w:val="21"/>
                <w:highlight w:val="none"/>
              </w:rPr>
              <w:t>账号：</w:t>
            </w:r>
          </w:p>
        </w:tc>
        <w:tc>
          <w:tcPr>
            <w:tcW w:w="2500" w:type="pct"/>
            <w:tcBorders>
              <w:top w:val="single" w:color="auto" w:sz="4" w:space="0"/>
              <w:left w:val="single" w:color="auto" w:sz="4" w:space="0"/>
              <w:bottom w:val="single" w:color="auto" w:sz="4" w:space="0"/>
              <w:right w:val="single" w:color="auto" w:sz="4" w:space="0"/>
            </w:tcBorders>
            <w:noWrap w:val="0"/>
            <w:vAlign w:val="center"/>
          </w:tcPr>
          <w:p w14:paraId="1A617557">
            <w:pPr>
              <w:snapToGrid w:val="0"/>
              <w:spacing w:line="500" w:lineRule="exact"/>
              <w:rPr>
                <w:rFonts w:hint="eastAsia" w:ascii="宋体" w:hAnsi="宋体" w:cs="宋体"/>
                <w:color w:val="auto"/>
                <w:szCs w:val="21"/>
                <w:highlight w:val="none"/>
              </w:rPr>
            </w:pPr>
            <w:r>
              <w:rPr>
                <w:rFonts w:hint="eastAsia" w:ascii="宋体" w:hAnsi="宋体" w:cs="宋体"/>
                <w:color w:val="auto"/>
                <w:szCs w:val="21"/>
                <w:highlight w:val="none"/>
              </w:rPr>
              <w:t>账号：</w:t>
            </w:r>
          </w:p>
        </w:tc>
      </w:tr>
      <w:tr w14:paraId="363B27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rPr>
        <w:tc>
          <w:tcPr>
            <w:tcW w:w="2500" w:type="pct"/>
            <w:tcBorders>
              <w:top w:val="single" w:color="auto" w:sz="4" w:space="0"/>
              <w:left w:val="single" w:color="auto" w:sz="4" w:space="0"/>
              <w:bottom w:val="single" w:color="auto" w:sz="4" w:space="0"/>
              <w:right w:val="single" w:color="auto" w:sz="4" w:space="0"/>
            </w:tcBorders>
            <w:noWrap w:val="0"/>
            <w:vAlign w:val="center"/>
          </w:tcPr>
          <w:p w14:paraId="4ED62217">
            <w:pPr>
              <w:snapToGrid w:val="0"/>
              <w:spacing w:line="500" w:lineRule="exact"/>
              <w:rPr>
                <w:rFonts w:hint="eastAsia" w:ascii="宋体" w:hAnsi="宋体" w:cs="宋体"/>
                <w:color w:val="auto"/>
                <w:szCs w:val="21"/>
                <w:highlight w:val="none"/>
              </w:rPr>
            </w:pPr>
            <w:r>
              <w:rPr>
                <w:rFonts w:hint="eastAsia" w:ascii="宋体" w:hAnsi="宋体" w:cs="宋体"/>
                <w:color w:val="auto"/>
                <w:szCs w:val="21"/>
                <w:highlight w:val="none"/>
              </w:rPr>
              <w:t>纳税人识别号或统一社会信用代码：</w:t>
            </w:r>
          </w:p>
        </w:tc>
        <w:tc>
          <w:tcPr>
            <w:tcW w:w="2500" w:type="pct"/>
            <w:tcBorders>
              <w:top w:val="single" w:color="auto" w:sz="4" w:space="0"/>
              <w:left w:val="single" w:color="auto" w:sz="4" w:space="0"/>
              <w:bottom w:val="single" w:color="auto" w:sz="4" w:space="0"/>
              <w:right w:val="single" w:color="auto" w:sz="4" w:space="0"/>
            </w:tcBorders>
            <w:noWrap w:val="0"/>
            <w:vAlign w:val="center"/>
          </w:tcPr>
          <w:p w14:paraId="46A5D36C">
            <w:pPr>
              <w:snapToGrid w:val="0"/>
              <w:spacing w:line="500" w:lineRule="exact"/>
              <w:rPr>
                <w:rFonts w:hint="eastAsia" w:ascii="宋体" w:hAnsi="宋体" w:cs="宋体"/>
                <w:color w:val="auto"/>
                <w:szCs w:val="21"/>
                <w:highlight w:val="none"/>
              </w:rPr>
            </w:pPr>
            <w:r>
              <w:rPr>
                <w:rFonts w:hint="eastAsia" w:ascii="宋体" w:hAnsi="宋体" w:cs="宋体"/>
                <w:color w:val="auto"/>
                <w:szCs w:val="21"/>
                <w:highlight w:val="none"/>
              </w:rPr>
              <w:t>纳税人识别号或统一社会信用代码：</w:t>
            </w:r>
          </w:p>
        </w:tc>
      </w:tr>
      <w:tr w14:paraId="021E01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rPr>
        <w:tc>
          <w:tcPr>
            <w:tcW w:w="2500" w:type="pct"/>
            <w:tcBorders>
              <w:top w:val="single" w:color="auto" w:sz="4" w:space="0"/>
              <w:left w:val="single" w:color="auto" w:sz="4" w:space="0"/>
              <w:bottom w:val="single" w:color="auto" w:sz="4" w:space="0"/>
              <w:right w:val="single" w:color="auto" w:sz="4" w:space="0"/>
            </w:tcBorders>
            <w:noWrap w:val="0"/>
            <w:vAlign w:val="center"/>
          </w:tcPr>
          <w:p w14:paraId="20886000">
            <w:pPr>
              <w:snapToGrid w:val="0"/>
              <w:spacing w:line="500" w:lineRule="exact"/>
              <w:rPr>
                <w:rFonts w:hint="eastAsia" w:ascii="宋体" w:hAnsi="宋体" w:cs="宋体"/>
                <w:color w:val="auto"/>
                <w:szCs w:val="21"/>
                <w:highlight w:val="none"/>
              </w:rPr>
            </w:pPr>
            <w:r>
              <w:rPr>
                <w:rFonts w:hint="eastAsia" w:ascii="宋体" w:hAnsi="宋体" w:cs="宋体"/>
                <w:color w:val="auto"/>
                <w:szCs w:val="21"/>
                <w:highlight w:val="none"/>
              </w:rPr>
              <w:t>邮政编码：</w:t>
            </w:r>
          </w:p>
        </w:tc>
        <w:tc>
          <w:tcPr>
            <w:tcW w:w="2500" w:type="pct"/>
            <w:tcBorders>
              <w:top w:val="single" w:color="auto" w:sz="4" w:space="0"/>
              <w:left w:val="single" w:color="auto" w:sz="4" w:space="0"/>
              <w:bottom w:val="single" w:color="auto" w:sz="4" w:space="0"/>
              <w:right w:val="single" w:color="auto" w:sz="4" w:space="0"/>
            </w:tcBorders>
            <w:noWrap w:val="0"/>
            <w:vAlign w:val="center"/>
          </w:tcPr>
          <w:p w14:paraId="6EF89C70">
            <w:pPr>
              <w:snapToGrid w:val="0"/>
              <w:spacing w:line="500" w:lineRule="exact"/>
              <w:rPr>
                <w:rFonts w:hint="eastAsia" w:ascii="宋体" w:hAnsi="宋体" w:cs="宋体"/>
                <w:color w:val="auto"/>
                <w:szCs w:val="21"/>
                <w:highlight w:val="none"/>
              </w:rPr>
            </w:pPr>
            <w:r>
              <w:rPr>
                <w:rFonts w:hint="eastAsia" w:ascii="宋体" w:hAnsi="宋体" w:cs="宋体"/>
                <w:color w:val="auto"/>
                <w:szCs w:val="21"/>
                <w:highlight w:val="none"/>
              </w:rPr>
              <w:t>邮政编码：</w:t>
            </w:r>
          </w:p>
        </w:tc>
      </w:tr>
    </w:tbl>
    <w:p w14:paraId="4019BDF3">
      <w:pPr>
        <w:shd w:val="clear"/>
        <w:spacing w:line="360" w:lineRule="auto"/>
        <w:jc w:val="both"/>
        <w:rPr>
          <w:rFonts w:hint="eastAsia" w:ascii="宋体" w:hAnsi="宋体" w:eastAsia="宋体" w:cs="宋体"/>
          <w:b/>
          <w:color w:val="auto"/>
          <w:sz w:val="36"/>
          <w:highlight w:val="none"/>
        </w:rPr>
      </w:pPr>
    </w:p>
    <w:p w14:paraId="33B7248B">
      <w:pPr>
        <w:pStyle w:val="12"/>
        <w:shd w:val="clear"/>
        <w:tabs>
          <w:tab w:val="left" w:pos="2472"/>
        </w:tabs>
        <w:spacing w:line="460" w:lineRule="exact"/>
        <w:jc w:val="center"/>
        <w:rPr>
          <w:rFonts w:hint="eastAsia" w:ascii="宋体" w:hAnsi="宋体" w:eastAsia="宋体" w:cs="宋体"/>
          <w:b/>
          <w:color w:val="auto"/>
          <w:sz w:val="36"/>
          <w:highlight w:val="none"/>
        </w:rPr>
      </w:pPr>
    </w:p>
    <w:p w14:paraId="7FF2A105">
      <w:pPr>
        <w:pStyle w:val="12"/>
        <w:shd w:val="clear"/>
        <w:tabs>
          <w:tab w:val="left" w:pos="2472"/>
        </w:tabs>
        <w:spacing w:line="460" w:lineRule="exact"/>
        <w:jc w:val="center"/>
        <w:rPr>
          <w:rFonts w:hint="eastAsia" w:ascii="宋体" w:hAnsi="宋体" w:eastAsia="宋体" w:cs="宋体"/>
          <w:b/>
          <w:color w:val="auto"/>
          <w:sz w:val="36"/>
          <w:highlight w:val="none"/>
        </w:rPr>
      </w:pPr>
    </w:p>
    <w:p w14:paraId="28856031">
      <w:pPr>
        <w:pStyle w:val="12"/>
        <w:shd w:val="clear"/>
        <w:tabs>
          <w:tab w:val="left" w:pos="2472"/>
        </w:tabs>
        <w:spacing w:line="460" w:lineRule="exact"/>
        <w:jc w:val="center"/>
        <w:rPr>
          <w:rFonts w:hint="eastAsia" w:ascii="宋体" w:hAnsi="宋体" w:eastAsia="宋体" w:cs="宋体"/>
          <w:b/>
          <w:color w:val="auto"/>
          <w:sz w:val="36"/>
          <w:highlight w:val="none"/>
        </w:rPr>
      </w:pPr>
    </w:p>
    <w:p w14:paraId="1CE7050C">
      <w:pPr>
        <w:pStyle w:val="12"/>
        <w:shd w:val="clear"/>
        <w:tabs>
          <w:tab w:val="left" w:pos="2472"/>
        </w:tabs>
        <w:spacing w:line="460" w:lineRule="exact"/>
        <w:jc w:val="center"/>
        <w:rPr>
          <w:rFonts w:hint="eastAsia" w:ascii="宋体" w:hAnsi="宋体" w:eastAsia="宋体" w:cs="宋体"/>
          <w:b/>
          <w:color w:val="auto"/>
          <w:sz w:val="36"/>
          <w:highlight w:val="none"/>
        </w:rPr>
      </w:pPr>
    </w:p>
    <w:p w14:paraId="58460ED8">
      <w:pPr>
        <w:pStyle w:val="12"/>
        <w:shd w:val="clear"/>
        <w:tabs>
          <w:tab w:val="left" w:pos="2472"/>
        </w:tabs>
        <w:spacing w:line="460" w:lineRule="exact"/>
        <w:jc w:val="center"/>
        <w:rPr>
          <w:rFonts w:hint="eastAsia" w:ascii="宋体" w:hAnsi="宋体" w:eastAsia="宋体" w:cs="宋体"/>
          <w:b/>
          <w:color w:val="auto"/>
          <w:sz w:val="36"/>
          <w:highlight w:val="none"/>
        </w:rPr>
      </w:pPr>
    </w:p>
    <w:p w14:paraId="5E54F807">
      <w:pPr>
        <w:pStyle w:val="12"/>
        <w:shd w:val="clear"/>
        <w:tabs>
          <w:tab w:val="left" w:pos="2472"/>
        </w:tabs>
        <w:spacing w:line="460" w:lineRule="exact"/>
        <w:jc w:val="center"/>
        <w:rPr>
          <w:rFonts w:hint="eastAsia" w:ascii="宋体" w:hAnsi="宋体" w:eastAsia="宋体" w:cs="宋体"/>
          <w:b/>
          <w:color w:val="auto"/>
          <w:sz w:val="36"/>
          <w:highlight w:val="none"/>
        </w:rPr>
      </w:pPr>
    </w:p>
    <w:p w14:paraId="13944B56">
      <w:pPr>
        <w:pStyle w:val="12"/>
        <w:shd w:val="clear"/>
        <w:tabs>
          <w:tab w:val="left" w:pos="2472"/>
        </w:tabs>
        <w:spacing w:line="460" w:lineRule="exact"/>
        <w:jc w:val="center"/>
        <w:rPr>
          <w:rFonts w:hint="eastAsia" w:ascii="宋体" w:hAnsi="宋体" w:eastAsia="宋体" w:cs="宋体"/>
          <w:b/>
          <w:color w:val="auto"/>
          <w:sz w:val="36"/>
          <w:highlight w:val="none"/>
        </w:rPr>
      </w:pPr>
    </w:p>
    <w:p w14:paraId="14EFC04D">
      <w:pPr>
        <w:pStyle w:val="12"/>
        <w:shd w:val="clear"/>
        <w:tabs>
          <w:tab w:val="left" w:pos="2472"/>
        </w:tabs>
        <w:spacing w:line="460" w:lineRule="exact"/>
        <w:jc w:val="center"/>
        <w:rPr>
          <w:rFonts w:hint="eastAsia" w:ascii="宋体" w:hAnsi="宋体" w:eastAsia="宋体" w:cs="宋体"/>
          <w:b/>
          <w:color w:val="auto"/>
          <w:sz w:val="36"/>
          <w:highlight w:val="none"/>
        </w:rPr>
      </w:pPr>
    </w:p>
    <w:p w14:paraId="2E150829">
      <w:pPr>
        <w:pStyle w:val="12"/>
        <w:shd w:val="clear"/>
        <w:tabs>
          <w:tab w:val="left" w:pos="2472"/>
        </w:tabs>
        <w:spacing w:line="460" w:lineRule="exact"/>
        <w:jc w:val="center"/>
        <w:rPr>
          <w:rFonts w:hint="eastAsia" w:ascii="宋体" w:hAnsi="宋体" w:eastAsia="宋体" w:cs="宋体"/>
          <w:b/>
          <w:color w:val="auto"/>
          <w:sz w:val="36"/>
          <w:highlight w:val="none"/>
        </w:rPr>
      </w:pPr>
    </w:p>
    <w:p w14:paraId="6A5AD877">
      <w:pPr>
        <w:pStyle w:val="12"/>
        <w:shd w:val="clear"/>
        <w:tabs>
          <w:tab w:val="left" w:pos="2472"/>
        </w:tabs>
        <w:spacing w:line="460" w:lineRule="exact"/>
        <w:jc w:val="center"/>
        <w:rPr>
          <w:rFonts w:hint="eastAsia" w:ascii="宋体" w:hAnsi="宋体" w:eastAsia="宋体" w:cs="宋体"/>
          <w:b/>
          <w:color w:val="auto"/>
          <w:sz w:val="36"/>
          <w:highlight w:val="none"/>
        </w:rPr>
      </w:pPr>
    </w:p>
    <w:p w14:paraId="40A71628">
      <w:pPr>
        <w:pStyle w:val="12"/>
        <w:shd w:val="clear"/>
        <w:tabs>
          <w:tab w:val="left" w:pos="2472"/>
        </w:tabs>
        <w:spacing w:line="460" w:lineRule="exact"/>
        <w:jc w:val="center"/>
        <w:rPr>
          <w:rFonts w:hint="eastAsia" w:ascii="宋体" w:hAnsi="宋体" w:eastAsia="宋体" w:cs="宋体"/>
          <w:b/>
          <w:color w:val="auto"/>
          <w:sz w:val="36"/>
          <w:highlight w:val="none"/>
        </w:rPr>
      </w:pPr>
    </w:p>
    <w:p w14:paraId="63FB2455">
      <w:pPr>
        <w:pStyle w:val="12"/>
        <w:shd w:val="clear"/>
        <w:tabs>
          <w:tab w:val="left" w:pos="2472"/>
        </w:tabs>
        <w:spacing w:line="460" w:lineRule="exact"/>
        <w:jc w:val="center"/>
        <w:outlineLvl w:val="0"/>
        <w:rPr>
          <w:rFonts w:hint="eastAsia" w:ascii="宋体" w:hAnsi="宋体" w:eastAsia="宋体" w:cs="宋体"/>
          <w:b/>
          <w:color w:val="auto"/>
          <w:sz w:val="36"/>
          <w:highlight w:val="none"/>
        </w:rPr>
      </w:pPr>
      <w:bookmarkStart w:id="338" w:name="_Toc2377"/>
      <w:bookmarkStart w:id="339" w:name="_Toc32149"/>
      <w:bookmarkStart w:id="340" w:name="_Toc11043"/>
      <w:bookmarkStart w:id="341" w:name="_Toc26390"/>
      <w:bookmarkStart w:id="342" w:name="_Toc26884"/>
      <w:bookmarkStart w:id="343" w:name="_Toc9123"/>
      <w:bookmarkStart w:id="344" w:name="_Toc20296"/>
      <w:bookmarkStart w:id="345" w:name="_Toc24704"/>
      <w:bookmarkStart w:id="346" w:name="_Toc5736"/>
      <w:bookmarkStart w:id="347" w:name="_Toc19350"/>
      <w:bookmarkStart w:id="348" w:name="_Toc2517"/>
      <w:bookmarkStart w:id="349" w:name="_Toc20832"/>
      <w:bookmarkStart w:id="350" w:name="_Toc19106"/>
    </w:p>
    <w:p w14:paraId="68968D47">
      <w:pPr>
        <w:pStyle w:val="12"/>
        <w:shd w:val="clear"/>
        <w:tabs>
          <w:tab w:val="left" w:pos="2472"/>
        </w:tabs>
        <w:spacing w:line="460" w:lineRule="exact"/>
        <w:jc w:val="center"/>
        <w:outlineLvl w:val="0"/>
        <w:rPr>
          <w:rFonts w:hint="eastAsia" w:ascii="宋体" w:hAnsi="宋体" w:eastAsia="宋体" w:cs="宋体"/>
          <w:b/>
          <w:color w:val="auto"/>
          <w:sz w:val="36"/>
          <w:highlight w:val="none"/>
        </w:rPr>
      </w:pPr>
    </w:p>
    <w:p w14:paraId="73234D3C">
      <w:pPr>
        <w:pStyle w:val="12"/>
        <w:shd w:val="clear"/>
        <w:tabs>
          <w:tab w:val="left" w:pos="2472"/>
        </w:tabs>
        <w:spacing w:line="460" w:lineRule="exact"/>
        <w:jc w:val="center"/>
        <w:outlineLvl w:val="0"/>
        <w:rPr>
          <w:rFonts w:hint="eastAsia" w:ascii="宋体" w:hAnsi="宋体" w:eastAsia="宋体" w:cs="宋体"/>
          <w:b/>
          <w:color w:val="auto"/>
          <w:sz w:val="36"/>
          <w:highlight w:val="none"/>
        </w:rPr>
      </w:pPr>
      <w:r>
        <w:rPr>
          <w:rFonts w:hint="eastAsia" w:ascii="宋体" w:hAnsi="宋体" w:eastAsia="宋体" w:cs="宋体"/>
          <w:b/>
          <w:color w:val="auto"/>
          <w:sz w:val="36"/>
          <w:highlight w:val="none"/>
        </w:rPr>
        <w:t>第六章 投标文件格式</w:t>
      </w:r>
      <w:bookmarkEnd w:id="338"/>
      <w:bookmarkEnd w:id="339"/>
      <w:bookmarkEnd w:id="340"/>
      <w:bookmarkEnd w:id="341"/>
      <w:bookmarkEnd w:id="342"/>
      <w:bookmarkEnd w:id="343"/>
      <w:bookmarkEnd w:id="344"/>
      <w:bookmarkEnd w:id="345"/>
      <w:bookmarkEnd w:id="346"/>
      <w:bookmarkEnd w:id="347"/>
      <w:bookmarkEnd w:id="348"/>
      <w:bookmarkEnd w:id="349"/>
      <w:bookmarkEnd w:id="350"/>
    </w:p>
    <w:p w14:paraId="3DA10CD2">
      <w:pPr>
        <w:widowControl/>
        <w:shd w:val="clear"/>
        <w:spacing w:beforeAutospacing="1" w:line="360" w:lineRule="auto"/>
        <w:jc w:val="left"/>
        <w:rPr>
          <w:rFonts w:hint="eastAsia" w:ascii="宋体" w:hAnsi="宋体" w:eastAsia="宋体" w:cs="宋体"/>
          <w:color w:val="auto"/>
          <w:szCs w:val="20"/>
          <w:highlight w:val="none"/>
        </w:rPr>
        <w:sectPr>
          <w:pgSz w:w="11905" w:h="16838"/>
          <w:pgMar w:top="1134" w:right="1134" w:bottom="1134" w:left="1134" w:header="850" w:footer="850" w:gutter="0"/>
          <w:pgNumType w:fmt="decimal"/>
          <w:cols w:space="0" w:num="1"/>
          <w:titlePg/>
          <w:rtlGutter w:val="0"/>
          <w:docGrid w:linePitch="331" w:charSpace="0"/>
        </w:sectPr>
      </w:pPr>
    </w:p>
    <w:p w14:paraId="219DD170">
      <w:pPr>
        <w:pStyle w:val="12"/>
        <w:shd w:val="clear"/>
        <w:jc w:val="center"/>
        <w:outlineLvl w:val="1"/>
        <w:rPr>
          <w:rFonts w:hint="eastAsia" w:ascii="宋体" w:hAnsi="宋体" w:eastAsia="宋体" w:cs="宋体"/>
          <w:b/>
          <w:bCs/>
          <w:color w:val="auto"/>
          <w:sz w:val="28"/>
          <w:szCs w:val="28"/>
          <w:highlight w:val="none"/>
        </w:rPr>
      </w:pPr>
      <w:bookmarkStart w:id="351" w:name="_Toc7817"/>
      <w:bookmarkStart w:id="352" w:name="_Toc16890"/>
      <w:bookmarkStart w:id="353" w:name="_Toc4270"/>
      <w:bookmarkStart w:id="354" w:name="_Toc21700"/>
      <w:bookmarkStart w:id="355" w:name="_Toc23486"/>
      <w:bookmarkStart w:id="356" w:name="_Toc11854"/>
      <w:bookmarkStart w:id="357" w:name="_Toc32508"/>
      <w:bookmarkStart w:id="358" w:name="_Toc32370"/>
      <w:bookmarkStart w:id="359" w:name="_Toc24486"/>
      <w:bookmarkStart w:id="360" w:name="_Toc20281"/>
      <w:r>
        <w:rPr>
          <w:rFonts w:hint="eastAsia" w:ascii="宋体" w:hAnsi="宋体" w:eastAsia="宋体" w:cs="宋体"/>
          <w:b/>
          <w:bCs/>
          <w:color w:val="auto"/>
          <w:sz w:val="28"/>
          <w:szCs w:val="28"/>
          <w:highlight w:val="none"/>
        </w:rPr>
        <w:t>第</w:t>
      </w:r>
      <w:r>
        <w:rPr>
          <w:rFonts w:hint="eastAsia" w:ascii="宋体" w:hAnsi="宋体" w:eastAsia="宋体" w:cs="宋体"/>
          <w:b/>
          <w:bCs/>
          <w:color w:val="auto"/>
          <w:sz w:val="28"/>
          <w:szCs w:val="28"/>
          <w:highlight w:val="none"/>
          <w:lang w:eastAsia="zh-CN"/>
        </w:rPr>
        <w:t>一</w:t>
      </w:r>
      <w:r>
        <w:rPr>
          <w:rFonts w:hint="eastAsia" w:ascii="宋体" w:hAnsi="宋体" w:eastAsia="宋体" w:cs="宋体"/>
          <w:b/>
          <w:bCs/>
          <w:color w:val="auto"/>
          <w:sz w:val="28"/>
          <w:szCs w:val="28"/>
          <w:highlight w:val="none"/>
        </w:rPr>
        <w:t>节 资格证明文件格式</w:t>
      </w:r>
      <w:bookmarkEnd w:id="351"/>
      <w:bookmarkEnd w:id="352"/>
      <w:bookmarkEnd w:id="353"/>
      <w:bookmarkEnd w:id="354"/>
      <w:bookmarkEnd w:id="355"/>
      <w:bookmarkEnd w:id="356"/>
      <w:bookmarkEnd w:id="357"/>
      <w:bookmarkEnd w:id="358"/>
      <w:bookmarkEnd w:id="359"/>
      <w:bookmarkEnd w:id="360"/>
    </w:p>
    <w:p w14:paraId="2FE981D9">
      <w:pPr>
        <w:pStyle w:val="12"/>
        <w:shd w:val="clear"/>
        <w:spacing w:line="360" w:lineRule="auto"/>
        <w:ind w:firstLine="420"/>
        <w:rPr>
          <w:rFonts w:hint="eastAsia" w:ascii="宋体" w:hAnsi="宋体" w:eastAsia="宋体" w:cs="宋体"/>
          <w:color w:val="auto"/>
          <w:sz w:val="30"/>
          <w:highlight w:val="none"/>
        </w:rPr>
      </w:pPr>
    </w:p>
    <w:p w14:paraId="733254F6">
      <w:pPr>
        <w:pStyle w:val="7"/>
        <w:shd w:val="clear"/>
        <w:ind w:left="0"/>
        <w:jc w:val="left"/>
        <w:rPr>
          <w:rFonts w:hint="eastAsia" w:ascii="宋体" w:hAnsi="宋体" w:eastAsia="宋体" w:cs="宋体"/>
          <w:color w:val="auto"/>
          <w:sz w:val="30"/>
          <w:highlight w:val="none"/>
        </w:rPr>
      </w:pPr>
      <w:r>
        <w:rPr>
          <w:rFonts w:hint="eastAsia" w:ascii="宋体" w:hAnsi="宋体" w:eastAsia="宋体" w:cs="宋体"/>
          <w:b/>
          <w:bCs/>
          <w:color w:val="auto"/>
          <w:sz w:val="28"/>
          <w:szCs w:val="28"/>
          <w:highlight w:val="none"/>
          <w:lang w:val="en-US" w:eastAsia="zh-CN"/>
        </w:rPr>
        <w:t>1.资格证明文件封面的格式（参照此格式自拟）：</w:t>
      </w:r>
    </w:p>
    <w:p w14:paraId="4FACA599">
      <w:pPr>
        <w:shd w:val="clear"/>
        <w:rPr>
          <w:rFonts w:hint="eastAsia" w:ascii="宋体" w:hAnsi="宋体" w:eastAsia="宋体" w:cs="宋体"/>
          <w:color w:val="auto"/>
          <w:highlight w:val="none"/>
        </w:rPr>
      </w:pPr>
    </w:p>
    <w:p w14:paraId="3A173495">
      <w:pPr>
        <w:shd w:val="clear"/>
        <w:snapToGrid w:val="0"/>
        <w:spacing w:before="165" w:beforeLines="50" w:after="50"/>
        <w:rPr>
          <w:rFonts w:hint="eastAsia" w:ascii="宋体" w:hAnsi="宋体" w:eastAsia="宋体" w:cs="宋体"/>
          <w:bCs/>
          <w:color w:val="auto"/>
          <w:sz w:val="32"/>
          <w:szCs w:val="20"/>
          <w:highlight w:val="none"/>
        </w:rPr>
      </w:pPr>
      <w:r>
        <w:rPr>
          <w:rFonts w:hint="eastAsia" w:ascii="宋体" w:hAnsi="宋体" w:eastAsia="宋体" w:cs="宋体"/>
          <w:color w:val="auto"/>
          <w:sz w:val="24"/>
          <w:highlight w:val="none"/>
        </w:rPr>
        <w:t xml:space="preserve">                                                         </w:t>
      </w:r>
      <w:r>
        <w:rPr>
          <w:rFonts w:hint="eastAsia" w:ascii="宋体" w:hAnsi="宋体" w:eastAsia="宋体" w:cs="宋体"/>
          <w:bCs/>
          <w:color w:val="auto"/>
          <w:highlight w:val="none"/>
        </w:rPr>
        <w:t>电子投标文件</w:t>
      </w:r>
    </w:p>
    <w:p w14:paraId="259FCE06">
      <w:pPr>
        <w:shd w:val="clear"/>
        <w:snapToGrid w:val="0"/>
        <w:spacing w:before="165" w:beforeLines="50" w:after="50"/>
        <w:rPr>
          <w:rFonts w:hint="eastAsia" w:ascii="宋体" w:hAnsi="宋体" w:eastAsia="宋体" w:cs="宋体"/>
          <w:color w:val="auto"/>
          <w:sz w:val="24"/>
          <w:szCs w:val="20"/>
          <w:highlight w:val="none"/>
        </w:rPr>
      </w:pPr>
    </w:p>
    <w:p w14:paraId="10E9F3C1">
      <w:pPr>
        <w:shd w:val="clear"/>
        <w:snapToGrid w:val="0"/>
        <w:spacing w:before="165" w:beforeLines="50" w:after="50"/>
        <w:jc w:val="center"/>
        <w:rPr>
          <w:rFonts w:hint="eastAsia" w:ascii="宋体" w:hAnsi="宋体" w:eastAsia="宋体" w:cs="宋体"/>
          <w:b/>
          <w:color w:val="auto"/>
          <w:sz w:val="24"/>
          <w:szCs w:val="20"/>
          <w:highlight w:val="none"/>
        </w:rPr>
      </w:pPr>
      <w:r>
        <w:rPr>
          <w:rFonts w:hint="eastAsia" w:ascii="宋体" w:hAnsi="宋体" w:eastAsia="宋体" w:cs="宋体"/>
          <w:b/>
          <w:color w:val="auto"/>
          <w:sz w:val="32"/>
          <w:szCs w:val="32"/>
          <w:highlight w:val="none"/>
        </w:rPr>
        <w:t>资格证明文件</w:t>
      </w:r>
    </w:p>
    <w:p w14:paraId="310558C2">
      <w:pPr>
        <w:shd w:val="clear"/>
        <w:snapToGrid w:val="0"/>
        <w:spacing w:before="165" w:beforeLines="50" w:after="50"/>
        <w:rPr>
          <w:rFonts w:hint="eastAsia" w:ascii="宋体" w:hAnsi="宋体" w:eastAsia="宋体" w:cs="宋体"/>
          <w:bCs/>
          <w:color w:val="auto"/>
          <w:sz w:val="24"/>
          <w:szCs w:val="20"/>
          <w:highlight w:val="none"/>
        </w:rPr>
      </w:pPr>
    </w:p>
    <w:p w14:paraId="52BFE01A">
      <w:pPr>
        <w:shd w:val="clear"/>
        <w:snapToGrid w:val="0"/>
        <w:spacing w:before="165" w:beforeLines="50" w:after="50"/>
        <w:rPr>
          <w:rFonts w:hint="eastAsia" w:ascii="宋体" w:hAnsi="宋体" w:eastAsia="宋体" w:cs="宋体"/>
          <w:bCs/>
          <w:color w:val="auto"/>
          <w:sz w:val="24"/>
          <w:szCs w:val="20"/>
          <w:highlight w:val="none"/>
        </w:rPr>
      </w:pPr>
    </w:p>
    <w:p w14:paraId="3AABF929">
      <w:pPr>
        <w:shd w:val="clear"/>
        <w:snapToGrid w:val="0"/>
        <w:spacing w:before="165" w:beforeLines="50" w:after="50"/>
        <w:rPr>
          <w:rFonts w:hint="eastAsia" w:ascii="宋体" w:hAnsi="宋体" w:eastAsia="宋体" w:cs="宋体"/>
          <w:bCs/>
          <w:color w:val="auto"/>
          <w:sz w:val="24"/>
          <w:szCs w:val="20"/>
          <w:highlight w:val="none"/>
        </w:rPr>
      </w:pPr>
    </w:p>
    <w:p w14:paraId="66D6F9DD">
      <w:pPr>
        <w:shd w:val="clear"/>
        <w:snapToGrid w:val="0"/>
        <w:spacing w:before="165" w:beforeLines="50" w:after="50"/>
        <w:rPr>
          <w:rFonts w:hint="eastAsia" w:ascii="宋体" w:hAnsi="宋体" w:eastAsia="宋体" w:cs="宋体"/>
          <w:bCs/>
          <w:color w:val="auto"/>
          <w:sz w:val="24"/>
          <w:szCs w:val="20"/>
          <w:highlight w:val="none"/>
        </w:rPr>
      </w:pPr>
    </w:p>
    <w:p w14:paraId="6DD2B45A">
      <w:pPr>
        <w:shd w:val="clear"/>
        <w:snapToGrid w:val="0"/>
        <w:spacing w:before="165" w:beforeLines="50" w:after="50"/>
        <w:rPr>
          <w:rFonts w:hint="eastAsia" w:ascii="宋体" w:hAnsi="宋体" w:eastAsia="宋体" w:cs="宋体"/>
          <w:bCs/>
          <w:color w:val="auto"/>
          <w:sz w:val="24"/>
          <w:szCs w:val="20"/>
          <w:highlight w:val="none"/>
        </w:rPr>
      </w:pPr>
    </w:p>
    <w:p w14:paraId="37B6F5CC">
      <w:pPr>
        <w:shd w:val="clear"/>
        <w:snapToGrid w:val="0"/>
        <w:spacing w:before="165" w:beforeLines="50" w:after="50"/>
        <w:rPr>
          <w:rFonts w:hint="eastAsia" w:ascii="宋体" w:hAnsi="宋体" w:eastAsia="宋体" w:cs="宋体"/>
          <w:bCs/>
          <w:color w:val="auto"/>
          <w:sz w:val="24"/>
          <w:szCs w:val="20"/>
          <w:highlight w:val="none"/>
        </w:rPr>
      </w:pPr>
    </w:p>
    <w:p w14:paraId="4C3B1874">
      <w:pPr>
        <w:shd w:val="clear"/>
        <w:snapToGrid w:val="0"/>
        <w:spacing w:before="165" w:beforeLines="50" w:after="50"/>
        <w:rPr>
          <w:rFonts w:hint="eastAsia" w:ascii="宋体" w:hAnsi="宋体" w:eastAsia="宋体" w:cs="宋体"/>
          <w:bCs/>
          <w:color w:val="auto"/>
          <w:sz w:val="24"/>
          <w:szCs w:val="20"/>
          <w:highlight w:val="none"/>
        </w:rPr>
      </w:pPr>
    </w:p>
    <w:p w14:paraId="698950AD">
      <w:pPr>
        <w:shd w:val="clear"/>
        <w:snapToGrid w:val="0"/>
        <w:spacing w:before="165" w:beforeLines="50" w:after="50"/>
        <w:ind w:firstLine="540" w:firstLineChars="225"/>
        <w:rPr>
          <w:rFonts w:hint="eastAsia" w:ascii="宋体" w:hAnsi="宋体" w:eastAsia="宋体" w:cs="宋体"/>
          <w:bCs/>
          <w:color w:val="auto"/>
          <w:sz w:val="24"/>
          <w:szCs w:val="20"/>
          <w:highlight w:val="none"/>
        </w:rPr>
      </w:pPr>
      <w:r>
        <w:rPr>
          <w:rFonts w:hint="eastAsia" w:ascii="宋体" w:hAnsi="宋体" w:eastAsia="宋体" w:cs="宋体"/>
          <w:bCs/>
          <w:color w:val="auto"/>
          <w:sz w:val="24"/>
          <w:highlight w:val="none"/>
        </w:rPr>
        <w:t>项目名称：</w:t>
      </w:r>
    </w:p>
    <w:p w14:paraId="167C25E5">
      <w:pPr>
        <w:shd w:val="clear"/>
        <w:snapToGrid w:val="0"/>
        <w:spacing w:before="165" w:beforeLines="50" w:after="50"/>
        <w:ind w:firstLine="540" w:firstLineChars="225"/>
        <w:rPr>
          <w:rFonts w:hint="eastAsia" w:ascii="宋体" w:hAnsi="宋体" w:eastAsia="宋体" w:cs="宋体"/>
          <w:bCs/>
          <w:color w:val="auto"/>
          <w:sz w:val="24"/>
          <w:highlight w:val="none"/>
          <w:lang w:eastAsia="zh-CN"/>
        </w:rPr>
      </w:pPr>
      <w:r>
        <w:rPr>
          <w:rFonts w:hint="eastAsia" w:ascii="宋体" w:hAnsi="宋体" w:eastAsia="宋体" w:cs="宋体"/>
          <w:bCs/>
          <w:color w:val="auto"/>
          <w:sz w:val="24"/>
          <w:highlight w:val="none"/>
        </w:rPr>
        <w:t>项目编号：</w:t>
      </w:r>
    </w:p>
    <w:p w14:paraId="1EA8D055">
      <w:pPr>
        <w:shd w:val="clear"/>
        <w:snapToGrid w:val="0"/>
        <w:spacing w:before="165" w:beforeLines="50" w:after="50"/>
        <w:ind w:firstLine="540" w:firstLineChars="225"/>
        <w:rPr>
          <w:rFonts w:hint="eastAsia" w:ascii="宋体" w:hAnsi="宋体" w:eastAsia="宋体" w:cs="宋体"/>
          <w:bCs/>
          <w:color w:val="auto"/>
          <w:sz w:val="24"/>
          <w:szCs w:val="20"/>
          <w:highlight w:val="none"/>
        </w:rPr>
      </w:pPr>
      <w:r>
        <w:rPr>
          <w:rFonts w:hint="eastAsia" w:ascii="宋体" w:hAnsi="宋体" w:eastAsia="宋体" w:cs="宋体"/>
          <w:bCs/>
          <w:color w:val="auto"/>
          <w:sz w:val="24"/>
          <w:highlight w:val="none"/>
        </w:rPr>
        <w:t xml:space="preserve"> </w:t>
      </w:r>
    </w:p>
    <w:p w14:paraId="7B886796">
      <w:pPr>
        <w:shd w:val="clear"/>
        <w:snapToGrid w:val="0"/>
        <w:spacing w:before="165" w:beforeLines="50" w:after="50"/>
        <w:ind w:firstLine="540" w:firstLineChars="225"/>
        <w:rPr>
          <w:rFonts w:hint="eastAsia" w:ascii="宋体" w:hAnsi="宋体" w:eastAsia="宋体" w:cs="宋体"/>
          <w:bCs/>
          <w:color w:val="auto"/>
          <w:sz w:val="24"/>
          <w:highlight w:val="none"/>
        </w:rPr>
      </w:pPr>
      <w:r>
        <w:rPr>
          <w:rFonts w:hint="eastAsia" w:ascii="宋体" w:hAnsi="宋体" w:eastAsia="宋体" w:cs="宋体"/>
          <w:bCs/>
          <w:color w:val="auto"/>
          <w:sz w:val="24"/>
          <w:highlight w:val="none"/>
        </w:rPr>
        <w:t>所投分标（如有则填写，无分标时填写“无”或者留空）：</w:t>
      </w:r>
    </w:p>
    <w:p w14:paraId="775B7149">
      <w:pPr>
        <w:pStyle w:val="6"/>
        <w:shd w:val="clear"/>
        <w:snapToGrid w:val="0"/>
        <w:spacing w:before="50" w:after="50"/>
        <w:ind w:firstLine="540" w:firstLineChars="225"/>
        <w:rPr>
          <w:rFonts w:hint="eastAsia" w:ascii="宋体" w:hAnsi="宋体" w:eastAsia="宋体" w:cs="宋体"/>
          <w:bCs/>
          <w:color w:val="auto"/>
          <w:sz w:val="24"/>
          <w:szCs w:val="24"/>
          <w:highlight w:val="none"/>
        </w:rPr>
      </w:pPr>
    </w:p>
    <w:p w14:paraId="5FE43ED5">
      <w:pPr>
        <w:pStyle w:val="6"/>
        <w:shd w:val="clear"/>
        <w:snapToGrid w:val="0"/>
        <w:spacing w:before="50" w:after="50"/>
        <w:ind w:firstLine="540" w:firstLineChars="225"/>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投标人名称：</w:t>
      </w:r>
    </w:p>
    <w:p w14:paraId="44BC9584">
      <w:pPr>
        <w:pStyle w:val="6"/>
        <w:shd w:val="clear"/>
        <w:snapToGrid w:val="0"/>
        <w:spacing w:before="50" w:after="50"/>
        <w:ind w:firstLine="540" w:firstLineChars="225"/>
        <w:rPr>
          <w:rFonts w:hint="eastAsia" w:ascii="宋体" w:hAnsi="宋体" w:eastAsia="宋体" w:cs="宋体"/>
          <w:bCs/>
          <w:color w:val="auto"/>
          <w:sz w:val="24"/>
          <w:szCs w:val="24"/>
          <w:highlight w:val="none"/>
        </w:rPr>
      </w:pPr>
    </w:p>
    <w:p w14:paraId="6CFCFC3F">
      <w:pPr>
        <w:pStyle w:val="6"/>
        <w:shd w:val="clear"/>
        <w:snapToGrid w:val="0"/>
        <w:spacing w:before="50" w:after="50"/>
        <w:ind w:firstLine="960" w:firstLineChars="400"/>
        <w:rPr>
          <w:rFonts w:hint="eastAsia" w:ascii="宋体" w:hAnsi="宋体" w:eastAsia="宋体" w:cs="宋体"/>
          <w:bCs/>
          <w:color w:val="auto"/>
          <w:sz w:val="24"/>
          <w:szCs w:val="24"/>
          <w:highlight w:val="none"/>
        </w:rPr>
      </w:pPr>
    </w:p>
    <w:p w14:paraId="67A59D3D">
      <w:pPr>
        <w:shd w:val="clear"/>
        <w:snapToGrid w:val="0"/>
        <w:spacing w:before="165" w:beforeLines="50" w:after="50"/>
        <w:ind w:firstLine="645"/>
        <w:jc w:val="center"/>
        <w:rPr>
          <w:rFonts w:hint="eastAsia" w:ascii="宋体" w:hAnsi="宋体" w:eastAsia="宋体" w:cs="宋体"/>
          <w:color w:val="auto"/>
          <w:sz w:val="24"/>
          <w:highlight w:val="none"/>
        </w:rPr>
      </w:pPr>
    </w:p>
    <w:p w14:paraId="48D23616">
      <w:pPr>
        <w:shd w:val="clear"/>
        <w:snapToGrid w:val="0"/>
        <w:spacing w:before="165" w:beforeLines="50" w:after="50"/>
        <w:ind w:firstLine="645"/>
        <w:jc w:val="center"/>
        <w:rPr>
          <w:rFonts w:hint="eastAsia" w:ascii="宋体" w:hAnsi="宋体" w:eastAsia="宋体" w:cs="宋体"/>
          <w:color w:val="auto"/>
          <w:sz w:val="24"/>
          <w:highlight w:val="none"/>
        </w:rPr>
      </w:pPr>
    </w:p>
    <w:p w14:paraId="70EEF304">
      <w:pPr>
        <w:shd w:val="clear"/>
        <w:snapToGrid w:val="0"/>
        <w:spacing w:before="165" w:beforeLines="50" w:after="50"/>
        <w:ind w:firstLine="645"/>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年  月  日</w:t>
      </w:r>
    </w:p>
    <w:p w14:paraId="4CFDB85A">
      <w:pPr>
        <w:widowControl/>
        <w:shd w:val="clear"/>
        <w:spacing w:line="360" w:lineRule="auto"/>
        <w:jc w:val="left"/>
        <w:rPr>
          <w:rFonts w:hint="eastAsia" w:ascii="宋体" w:hAnsi="宋体" w:eastAsia="宋体" w:cs="宋体"/>
          <w:color w:val="auto"/>
          <w:sz w:val="30"/>
          <w:szCs w:val="20"/>
          <w:highlight w:val="none"/>
        </w:rPr>
        <w:sectPr>
          <w:pgSz w:w="11905" w:h="16838"/>
          <w:pgMar w:top="1134" w:right="1134" w:bottom="1134" w:left="1134" w:header="850" w:footer="850" w:gutter="0"/>
          <w:pgNumType w:fmt="decimal"/>
          <w:cols w:space="0" w:num="1"/>
          <w:titlePg/>
          <w:rtlGutter w:val="0"/>
          <w:docGrid w:linePitch="331" w:charSpace="0"/>
        </w:sectPr>
      </w:pPr>
    </w:p>
    <w:p w14:paraId="06EF2167">
      <w:pPr>
        <w:shd w:val="clear"/>
        <w:jc w:val="both"/>
        <w:rPr>
          <w:rFonts w:hint="eastAsia" w:ascii="宋体" w:hAnsi="宋体" w:eastAsia="宋体" w:cs="宋体"/>
          <w:b/>
          <w:color w:val="auto"/>
          <w:kern w:val="0"/>
          <w:sz w:val="28"/>
          <w:szCs w:val="28"/>
          <w:highlight w:val="none"/>
        </w:rPr>
      </w:pPr>
      <w:r>
        <w:rPr>
          <w:rFonts w:hint="eastAsia" w:ascii="宋体" w:hAnsi="宋体" w:eastAsia="宋体" w:cs="宋体"/>
          <w:b/>
          <w:color w:val="auto"/>
          <w:kern w:val="0"/>
          <w:sz w:val="28"/>
          <w:szCs w:val="28"/>
          <w:highlight w:val="none"/>
          <w:lang w:val="en-US" w:eastAsia="zh-CN"/>
        </w:rPr>
        <w:t>2.</w:t>
      </w:r>
      <w:r>
        <w:rPr>
          <w:rFonts w:hint="eastAsia" w:ascii="宋体" w:hAnsi="宋体" w:eastAsia="宋体" w:cs="宋体"/>
          <w:b/>
          <w:color w:val="auto"/>
          <w:kern w:val="0"/>
          <w:sz w:val="28"/>
          <w:szCs w:val="28"/>
          <w:highlight w:val="none"/>
        </w:rPr>
        <w:t>资格证明文件目录</w:t>
      </w:r>
    </w:p>
    <w:p w14:paraId="22A68DCF">
      <w:pPr>
        <w:shd w:val="clear"/>
        <w:snapToGrid w:val="0"/>
        <w:spacing w:line="360" w:lineRule="auto"/>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根据招标文件规定及投标人提供的材料自行编写目录（部分格式后附）。</w:t>
      </w:r>
    </w:p>
    <w:p w14:paraId="0F7AAFC6">
      <w:pPr>
        <w:shd w:val="clear"/>
        <w:spacing w:line="360" w:lineRule="auto"/>
        <w:rPr>
          <w:rFonts w:hint="eastAsia" w:ascii="宋体" w:hAnsi="宋体" w:eastAsia="宋体" w:cs="宋体"/>
          <w:b/>
          <w:bCs/>
          <w:color w:val="auto"/>
          <w:sz w:val="24"/>
          <w:highlight w:val="none"/>
        </w:rPr>
      </w:pPr>
    </w:p>
    <w:p w14:paraId="51FFEA8F">
      <w:pPr>
        <w:shd w:val="clear"/>
        <w:snapToGrid w:val="0"/>
        <w:spacing w:line="360" w:lineRule="auto"/>
        <w:rPr>
          <w:rFonts w:hint="eastAsia" w:ascii="宋体" w:hAnsi="宋体" w:eastAsia="宋体" w:cs="宋体"/>
          <w:b/>
          <w:color w:val="auto"/>
          <w:kern w:val="0"/>
          <w:sz w:val="32"/>
          <w:szCs w:val="32"/>
          <w:highlight w:val="none"/>
          <w:lang w:val="zh-CN"/>
        </w:rPr>
      </w:pPr>
    </w:p>
    <w:p w14:paraId="3410B57A">
      <w:pPr>
        <w:rPr>
          <w:rFonts w:hint="eastAsia" w:ascii="宋体" w:hAnsi="宋体" w:eastAsia="宋体" w:cs="宋体"/>
          <w:b/>
          <w:color w:val="auto"/>
          <w:sz w:val="28"/>
          <w:szCs w:val="28"/>
          <w:highlight w:val="none"/>
          <w:lang w:val="en-US" w:eastAsia="zh-CN"/>
        </w:rPr>
      </w:pPr>
      <w:r>
        <w:rPr>
          <w:rFonts w:hint="eastAsia" w:ascii="宋体" w:hAnsi="宋体" w:eastAsia="宋体" w:cs="宋体"/>
          <w:b/>
          <w:color w:val="auto"/>
          <w:sz w:val="28"/>
          <w:szCs w:val="28"/>
          <w:highlight w:val="none"/>
          <w:lang w:val="en-US" w:eastAsia="zh-CN"/>
        </w:rPr>
        <w:br w:type="page"/>
      </w:r>
    </w:p>
    <w:p w14:paraId="13780617">
      <w:pPr>
        <w:pStyle w:val="12"/>
        <w:shd w:val="clear"/>
        <w:jc w:val="left"/>
        <w:rPr>
          <w:rFonts w:hint="eastAsia" w:ascii="宋体" w:hAnsi="宋体" w:eastAsia="宋体" w:cs="宋体"/>
          <w:b/>
          <w:color w:val="auto"/>
          <w:sz w:val="30"/>
          <w:szCs w:val="30"/>
          <w:highlight w:val="none"/>
        </w:rPr>
      </w:pPr>
      <w:r>
        <w:rPr>
          <w:rFonts w:hint="eastAsia" w:ascii="宋体" w:hAnsi="宋体" w:eastAsia="宋体" w:cs="宋体"/>
          <w:b/>
          <w:color w:val="auto"/>
          <w:sz w:val="28"/>
          <w:szCs w:val="28"/>
          <w:highlight w:val="none"/>
          <w:lang w:val="en-US" w:eastAsia="zh-CN"/>
        </w:rPr>
        <w:t>3.</w:t>
      </w:r>
      <w:r>
        <w:rPr>
          <w:rFonts w:hint="eastAsia" w:ascii="宋体" w:hAnsi="宋体" w:eastAsia="宋体" w:cs="宋体"/>
          <w:b/>
          <w:color w:val="auto"/>
          <w:sz w:val="28"/>
          <w:szCs w:val="28"/>
          <w:highlight w:val="none"/>
        </w:rPr>
        <w:t>中小企业声明函</w:t>
      </w:r>
      <w:r>
        <w:rPr>
          <w:rFonts w:hint="eastAsia" w:ascii="宋体" w:hAnsi="宋体" w:eastAsia="宋体" w:cs="宋体"/>
          <w:b/>
          <w:color w:val="auto"/>
          <w:sz w:val="28"/>
          <w:szCs w:val="28"/>
          <w:highlight w:val="none"/>
          <w:lang w:eastAsia="zh-CN"/>
        </w:rPr>
        <w:t>的格式：</w:t>
      </w:r>
    </w:p>
    <w:p w14:paraId="6C4F5419">
      <w:pPr>
        <w:pStyle w:val="12"/>
        <w:shd w:val="clear"/>
        <w:jc w:val="center"/>
        <w:rPr>
          <w:rFonts w:hint="eastAsia" w:ascii="宋体" w:hAnsi="宋体" w:eastAsia="宋体" w:cs="宋体"/>
          <w:b/>
          <w:color w:val="auto"/>
          <w:sz w:val="30"/>
          <w:szCs w:val="30"/>
          <w:highlight w:val="none"/>
        </w:rPr>
      </w:pPr>
    </w:p>
    <w:p w14:paraId="50960F0C">
      <w:pPr>
        <w:pStyle w:val="12"/>
        <w:shd w:val="clear"/>
        <w:jc w:val="center"/>
        <w:rPr>
          <w:rFonts w:hint="eastAsia" w:ascii="宋体" w:hAnsi="宋体" w:eastAsia="宋体" w:cs="宋体"/>
          <w:b/>
          <w:color w:val="auto"/>
          <w:sz w:val="30"/>
          <w:szCs w:val="30"/>
          <w:highlight w:val="none"/>
        </w:rPr>
      </w:pPr>
      <w:r>
        <w:rPr>
          <w:rFonts w:hint="eastAsia" w:ascii="宋体" w:hAnsi="宋体" w:eastAsia="宋体" w:cs="宋体"/>
          <w:b/>
          <w:color w:val="auto"/>
          <w:sz w:val="30"/>
          <w:szCs w:val="30"/>
          <w:highlight w:val="none"/>
        </w:rPr>
        <w:t>中小企业声明函</w:t>
      </w:r>
    </w:p>
    <w:p w14:paraId="54E2FD5C">
      <w:pPr>
        <w:pStyle w:val="10"/>
        <w:shd w:val="clear"/>
        <w:spacing w:line="240" w:lineRule="auto"/>
        <w:ind w:firstLine="404" w:firstLineChars="200"/>
        <w:rPr>
          <w:rFonts w:hint="eastAsia" w:ascii="宋体" w:hAnsi="宋体" w:eastAsia="宋体" w:cs="宋体"/>
          <w:color w:val="auto"/>
          <w:sz w:val="21"/>
          <w:szCs w:val="21"/>
          <w:highlight w:val="none"/>
        </w:rPr>
      </w:pPr>
    </w:p>
    <w:p w14:paraId="59FB19A5">
      <w:pPr>
        <w:shd w:val="clear"/>
        <w:autoSpaceDE w:val="0"/>
        <w:autoSpaceDN w:val="0"/>
        <w:adjustRightInd w:val="0"/>
        <w:spacing w:line="360" w:lineRule="auto"/>
        <w:ind w:firstLine="424" w:firstLineChars="202"/>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本公司（联合体）郑重声明，根据《政府采购促进中小企业发展管理办法》（财库﹝2020﹞46 号）的规定，本公司（联合体）参加</w:t>
      </w:r>
      <w:r>
        <w:rPr>
          <w:rFonts w:hint="eastAsia" w:ascii="宋体" w:hAnsi="宋体" w:eastAsia="宋体" w:cs="宋体"/>
          <w:i w:val="0"/>
          <w:iCs/>
          <w:color w:val="auto"/>
          <w:kern w:val="0"/>
          <w:sz w:val="21"/>
          <w:szCs w:val="21"/>
          <w:highlight w:val="none"/>
          <w:u w:val="single"/>
        </w:rPr>
        <w:t>（单位名称）</w:t>
      </w:r>
      <w:r>
        <w:rPr>
          <w:rFonts w:hint="eastAsia" w:ascii="宋体" w:hAnsi="宋体" w:eastAsia="宋体" w:cs="宋体"/>
          <w:i w:val="0"/>
          <w:iCs/>
          <w:color w:val="auto"/>
          <w:kern w:val="0"/>
          <w:sz w:val="21"/>
          <w:szCs w:val="21"/>
          <w:highlight w:val="none"/>
        </w:rPr>
        <w:t>的</w:t>
      </w:r>
      <w:r>
        <w:rPr>
          <w:rFonts w:hint="eastAsia" w:ascii="宋体" w:hAnsi="宋体" w:eastAsia="宋体" w:cs="宋体"/>
          <w:i w:val="0"/>
          <w:iCs/>
          <w:color w:val="auto"/>
          <w:kern w:val="0"/>
          <w:sz w:val="21"/>
          <w:szCs w:val="21"/>
          <w:highlight w:val="none"/>
          <w:u w:val="single"/>
        </w:rPr>
        <w:t>（项目名称）</w:t>
      </w:r>
      <w:r>
        <w:rPr>
          <w:rFonts w:hint="eastAsia" w:ascii="宋体" w:hAnsi="宋体" w:eastAsia="宋体" w:cs="宋体"/>
          <w:color w:val="auto"/>
          <w:kern w:val="0"/>
          <w:sz w:val="21"/>
          <w:szCs w:val="21"/>
          <w:highlight w:val="none"/>
        </w:rPr>
        <w:t>采购活动，服务全部由符合政策要求的中小企业承接。相关企业（含联合体中的中小企业、签订分包意向协议的中小企业）的具体情况如下：</w:t>
      </w:r>
    </w:p>
    <w:p w14:paraId="24ADC56D">
      <w:pPr>
        <w:shd w:val="clear"/>
        <w:autoSpaceDE w:val="0"/>
        <w:autoSpaceDN w:val="0"/>
        <w:adjustRightInd w:val="0"/>
        <w:spacing w:line="360" w:lineRule="auto"/>
        <w:ind w:firstLine="424" w:firstLineChars="202"/>
        <w:jc w:val="left"/>
        <w:rPr>
          <w:rFonts w:hint="eastAsia" w:ascii="宋体" w:hAnsi="宋体" w:eastAsia="宋体" w:cs="宋体"/>
          <w:i w:val="0"/>
          <w:iCs w:val="0"/>
          <w:color w:val="auto"/>
          <w:kern w:val="0"/>
          <w:sz w:val="21"/>
          <w:szCs w:val="21"/>
          <w:highlight w:val="none"/>
        </w:rPr>
      </w:pPr>
      <w:r>
        <w:rPr>
          <w:rFonts w:hint="eastAsia" w:ascii="宋体" w:hAnsi="宋体" w:eastAsia="宋体" w:cs="宋体"/>
          <w:i w:val="0"/>
          <w:iCs w:val="0"/>
          <w:color w:val="auto"/>
          <w:kern w:val="0"/>
          <w:sz w:val="21"/>
          <w:szCs w:val="21"/>
          <w:highlight w:val="none"/>
        </w:rPr>
        <w:t xml:space="preserve">1. </w:t>
      </w:r>
      <w:r>
        <w:rPr>
          <w:rFonts w:hint="eastAsia" w:ascii="宋体" w:hAnsi="宋体" w:eastAsia="宋体" w:cs="宋体"/>
          <w:i w:val="0"/>
          <w:iCs w:val="0"/>
          <w:color w:val="auto"/>
          <w:kern w:val="0"/>
          <w:sz w:val="21"/>
          <w:szCs w:val="21"/>
          <w:highlight w:val="none"/>
          <w:u w:val="single"/>
        </w:rPr>
        <w:t>（标的名称）</w:t>
      </w:r>
      <w:r>
        <w:rPr>
          <w:rFonts w:hint="eastAsia" w:ascii="宋体" w:hAnsi="宋体" w:eastAsia="宋体" w:cs="宋体"/>
          <w:i w:val="0"/>
          <w:iCs w:val="0"/>
          <w:color w:val="auto"/>
          <w:kern w:val="0"/>
          <w:sz w:val="21"/>
          <w:szCs w:val="21"/>
          <w:highlight w:val="none"/>
        </w:rPr>
        <w:t xml:space="preserve"> ，属于</w:t>
      </w:r>
      <w:r>
        <w:rPr>
          <w:rFonts w:hint="eastAsia" w:ascii="宋体" w:hAnsi="宋体" w:eastAsia="宋体" w:cs="宋体"/>
          <w:i w:val="0"/>
          <w:iCs w:val="0"/>
          <w:color w:val="auto"/>
          <w:kern w:val="0"/>
          <w:sz w:val="21"/>
          <w:szCs w:val="21"/>
          <w:highlight w:val="none"/>
          <w:u w:val="single"/>
        </w:rPr>
        <w:t>（</w:t>
      </w:r>
      <w:r>
        <w:rPr>
          <w:rFonts w:hint="eastAsia" w:ascii="宋体" w:hAnsi="宋体" w:eastAsia="宋体" w:cs="宋体"/>
          <w:i w:val="0"/>
          <w:iCs w:val="0"/>
          <w:color w:val="auto"/>
          <w:kern w:val="0"/>
          <w:sz w:val="21"/>
          <w:szCs w:val="21"/>
          <w:highlight w:val="none"/>
          <w:u w:val="single"/>
          <w:lang w:eastAsia="zh-CN"/>
        </w:rPr>
        <w:t>采购</w:t>
      </w:r>
      <w:r>
        <w:rPr>
          <w:rFonts w:hint="eastAsia" w:ascii="宋体" w:hAnsi="宋体" w:eastAsia="宋体" w:cs="宋体"/>
          <w:i w:val="0"/>
          <w:iCs w:val="0"/>
          <w:color w:val="auto"/>
          <w:kern w:val="0"/>
          <w:sz w:val="21"/>
          <w:szCs w:val="21"/>
          <w:highlight w:val="none"/>
          <w:u w:val="single"/>
        </w:rPr>
        <w:t>文件中明确的所属行业）</w:t>
      </w:r>
      <w:r>
        <w:rPr>
          <w:rFonts w:hint="eastAsia" w:ascii="宋体" w:hAnsi="宋体" w:eastAsia="宋体" w:cs="宋体"/>
          <w:i w:val="0"/>
          <w:iCs w:val="0"/>
          <w:color w:val="auto"/>
          <w:kern w:val="0"/>
          <w:sz w:val="21"/>
          <w:szCs w:val="21"/>
          <w:highlight w:val="none"/>
        </w:rPr>
        <w:t>；承接企业为</w:t>
      </w:r>
      <w:r>
        <w:rPr>
          <w:rFonts w:hint="eastAsia" w:ascii="宋体" w:hAnsi="宋体" w:eastAsia="宋体" w:cs="宋体"/>
          <w:i w:val="0"/>
          <w:iCs w:val="0"/>
          <w:color w:val="auto"/>
          <w:kern w:val="0"/>
          <w:sz w:val="21"/>
          <w:szCs w:val="21"/>
          <w:highlight w:val="none"/>
          <w:u w:val="single"/>
        </w:rPr>
        <w:t>（企业名称）</w:t>
      </w:r>
      <w:r>
        <w:rPr>
          <w:rFonts w:hint="eastAsia" w:ascii="宋体" w:hAnsi="宋体" w:eastAsia="宋体" w:cs="宋体"/>
          <w:i w:val="0"/>
          <w:iCs w:val="0"/>
          <w:color w:val="auto"/>
          <w:kern w:val="0"/>
          <w:sz w:val="21"/>
          <w:szCs w:val="21"/>
          <w:highlight w:val="none"/>
        </w:rPr>
        <w:t>，从业人员</w:t>
      </w:r>
      <w:r>
        <w:rPr>
          <w:rFonts w:hint="eastAsia" w:ascii="宋体" w:hAnsi="宋体" w:eastAsia="宋体" w:cs="宋体"/>
          <w:i w:val="0"/>
          <w:iCs w:val="0"/>
          <w:color w:val="auto"/>
          <w:kern w:val="0"/>
          <w:sz w:val="21"/>
          <w:szCs w:val="21"/>
          <w:highlight w:val="none"/>
          <w:u w:val="single"/>
        </w:rPr>
        <w:t xml:space="preserve">    </w:t>
      </w:r>
      <w:r>
        <w:rPr>
          <w:rFonts w:hint="eastAsia" w:ascii="宋体" w:hAnsi="宋体" w:eastAsia="宋体" w:cs="宋体"/>
          <w:i w:val="0"/>
          <w:iCs w:val="0"/>
          <w:color w:val="auto"/>
          <w:kern w:val="0"/>
          <w:sz w:val="21"/>
          <w:szCs w:val="21"/>
          <w:highlight w:val="none"/>
        </w:rPr>
        <w:t>人，营业收入为</w:t>
      </w:r>
      <w:r>
        <w:rPr>
          <w:rFonts w:hint="eastAsia" w:ascii="宋体" w:hAnsi="宋体" w:eastAsia="宋体" w:cs="宋体"/>
          <w:i w:val="0"/>
          <w:iCs w:val="0"/>
          <w:color w:val="auto"/>
          <w:kern w:val="0"/>
          <w:sz w:val="21"/>
          <w:szCs w:val="21"/>
          <w:highlight w:val="none"/>
          <w:u w:val="single"/>
        </w:rPr>
        <w:t xml:space="preserve">    </w:t>
      </w:r>
      <w:r>
        <w:rPr>
          <w:rFonts w:hint="eastAsia" w:ascii="宋体" w:hAnsi="宋体" w:eastAsia="宋体" w:cs="宋体"/>
          <w:i w:val="0"/>
          <w:iCs w:val="0"/>
          <w:color w:val="auto"/>
          <w:kern w:val="0"/>
          <w:sz w:val="21"/>
          <w:szCs w:val="21"/>
          <w:highlight w:val="none"/>
        </w:rPr>
        <w:t>万元，资产总额为</w:t>
      </w:r>
      <w:r>
        <w:rPr>
          <w:rFonts w:hint="eastAsia" w:ascii="宋体" w:hAnsi="宋体" w:eastAsia="宋体" w:cs="宋体"/>
          <w:i w:val="0"/>
          <w:iCs w:val="0"/>
          <w:color w:val="auto"/>
          <w:kern w:val="0"/>
          <w:sz w:val="21"/>
          <w:szCs w:val="21"/>
          <w:highlight w:val="none"/>
          <w:u w:val="single"/>
        </w:rPr>
        <w:t xml:space="preserve">    </w:t>
      </w:r>
      <w:r>
        <w:rPr>
          <w:rFonts w:hint="eastAsia" w:ascii="宋体" w:hAnsi="宋体" w:eastAsia="宋体" w:cs="宋体"/>
          <w:i w:val="0"/>
          <w:iCs w:val="0"/>
          <w:color w:val="auto"/>
          <w:kern w:val="0"/>
          <w:sz w:val="21"/>
          <w:szCs w:val="21"/>
          <w:highlight w:val="none"/>
        </w:rPr>
        <w:t>万元，属于</w:t>
      </w:r>
      <w:r>
        <w:rPr>
          <w:rFonts w:hint="eastAsia" w:ascii="宋体" w:hAnsi="宋体" w:eastAsia="宋体" w:cs="宋体"/>
          <w:i w:val="0"/>
          <w:iCs w:val="0"/>
          <w:color w:val="auto"/>
          <w:kern w:val="0"/>
          <w:sz w:val="21"/>
          <w:szCs w:val="21"/>
          <w:highlight w:val="none"/>
          <w:u w:val="single"/>
        </w:rPr>
        <w:t>（中型企业、小型企业、微型企业）</w:t>
      </w:r>
      <w:r>
        <w:rPr>
          <w:rFonts w:hint="eastAsia" w:ascii="宋体" w:hAnsi="宋体" w:eastAsia="宋体" w:cs="宋体"/>
          <w:i w:val="0"/>
          <w:iCs w:val="0"/>
          <w:color w:val="auto"/>
          <w:kern w:val="0"/>
          <w:sz w:val="21"/>
          <w:szCs w:val="21"/>
          <w:highlight w:val="none"/>
        </w:rPr>
        <w:t>；</w:t>
      </w:r>
    </w:p>
    <w:p w14:paraId="0841ECBB">
      <w:pPr>
        <w:shd w:val="clear"/>
        <w:autoSpaceDE w:val="0"/>
        <w:autoSpaceDN w:val="0"/>
        <w:adjustRightInd w:val="0"/>
        <w:spacing w:line="360" w:lineRule="auto"/>
        <w:ind w:firstLine="424" w:firstLineChars="202"/>
        <w:jc w:val="left"/>
        <w:rPr>
          <w:rFonts w:hint="eastAsia" w:ascii="宋体" w:hAnsi="宋体" w:eastAsia="宋体" w:cs="宋体"/>
          <w:i w:val="0"/>
          <w:iCs w:val="0"/>
          <w:color w:val="auto"/>
          <w:kern w:val="0"/>
          <w:sz w:val="21"/>
          <w:szCs w:val="21"/>
          <w:highlight w:val="none"/>
        </w:rPr>
      </w:pPr>
      <w:r>
        <w:rPr>
          <w:rFonts w:hint="eastAsia" w:ascii="宋体" w:hAnsi="宋体" w:eastAsia="宋体" w:cs="宋体"/>
          <w:i w:val="0"/>
          <w:iCs w:val="0"/>
          <w:color w:val="auto"/>
          <w:kern w:val="0"/>
          <w:sz w:val="21"/>
          <w:szCs w:val="21"/>
          <w:highlight w:val="none"/>
        </w:rPr>
        <w:t xml:space="preserve">2. </w:t>
      </w:r>
      <w:r>
        <w:rPr>
          <w:rFonts w:hint="eastAsia" w:ascii="宋体" w:hAnsi="宋体" w:eastAsia="宋体" w:cs="宋体"/>
          <w:i w:val="0"/>
          <w:iCs w:val="0"/>
          <w:color w:val="auto"/>
          <w:kern w:val="0"/>
          <w:sz w:val="21"/>
          <w:szCs w:val="21"/>
          <w:highlight w:val="none"/>
          <w:u w:val="single"/>
        </w:rPr>
        <w:t>（标的名称）</w:t>
      </w:r>
      <w:r>
        <w:rPr>
          <w:rFonts w:hint="eastAsia" w:ascii="宋体" w:hAnsi="宋体" w:eastAsia="宋体" w:cs="宋体"/>
          <w:i w:val="0"/>
          <w:iCs w:val="0"/>
          <w:color w:val="auto"/>
          <w:kern w:val="0"/>
          <w:sz w:val="21"/>
          <w:szCs w:val="21"/>
          <w:highlight w:val="none"/>
        </w:rPr>
        <w:t xml:space="preserve"> ，属于</w:t>
      </w:r>
      <w:r>
        <w:rPr>
          <w:rFonts w:hint="eastAsia" w:ascii="宋体" w:hAnsi="宋体" w:eastAsia="宋体" w:cs="宋体"/>
          <w:i w:val="0"/>
          <w:iCs w:val="0"/>
          <w:color w:val="auto"/>
          <w:kern w:val="0"/>
          <w:sz w:val="21"/>
          <w:szCs w:val="21"/>
          <w:highlight w:val="none"/>
          <w:u w:val="single"/>
        </w:rPr>
        <w:t>（</w:t>
      </w:r>
      <w:r>
        <w:rPr>
          <w:rFonts w:hint="eastAsia" w:ascii="宋体" w:hAnsi="宋体" w:eastAsia="宋体" w:cs="宋体"/>
          <w:i w:val="0"/>
          <w:iCs w:val="0"/>
          <w:color w:val="auto"/>
          <w:kern w:val="0"/>
          <w:sz w:val="21"/>
          <w:szCs w:val="21"/>
          <w:highlight w:val="none"/>
          <w:u w:val="single"/>
          <w:lang w:eastAsia="zh-CN"/>
        </w:rPr>
        <w:t>采购</w:t>
      </w:r>
      <w:r>
        <w:rPr>
          <w:rFonts w:hint="eastAsia" w:ascii="宋体" w:hAnsi="宋体" w:eastAsia="宋体" w:cs="宋体"/>
          <w:i w:val="0"/>
          <w:iCs w:val="0"/>
          <w:color w:val="auto"/>
          <w:kern w:val="0"/>
          <w:sz w:val="21"/>
          <w:szCs w:val="21"/>
          <w:highlight w:val="none"/>
          <w:u w:val="single"/>
        </w:rPr>
        <w:t>文件中明确的所属行业）</w:t>
      </w:r>
      <w:r>
        <w:rPr>
          <w:rFonts w:hint="eastAsia" w:ascii="宋体" w:hAnsi="宋体" w:eastAsia="宋体" w:cs="宋体"/>
          <w:i w:val="0"/>
          <w:iCs w:val="0"/>
          <w:color w:val="auto"/>
          <w:kern w:val="0"/>
          <w:sz w:val="21"/>
          <w:szCs w:val="21"/>
          <w:highlight w:val="none"/>
        </w:rPr>
        <w:t>；承接企业为</w:t>
      </w:r>
      <w:r>
        <w:rPr>
          <w:rFonts w:hint="eastAsia" w:ascii="宋体" w:hAnsi="宋体" w:eastAsia="宋体" w:cs="宋体"/>
          <w:i w:val="0"/>
          <w:iCs w:val="0"/>
          <w:color w:val="auto"/>
          <w:kern w:val="0"/>
          <w:sz w:val="21"/>
          <w:szCs w:val="21"/>
          <w:highlight w:val="none"/>
          <w:u w:val="single"/>
        </w:rPr>
        <w:t>（企业名称）</w:t>
      </w:r>
      <w:r>
        <w:rPr>
          <w:rFonts w:hint="eastAsia" w:ascii="宋体" w:hAnsi="宋体" w:eastAsia="宋体" w:cs="宋体"/>
          <w:i w:val="0"/>
          <w:iCs w:val="0"/>
          <w:color w:val="auto"/>
          <w:kern w:val="0"/>
          <w:sz w:val="21"/>
          <w:szCs w:val="21"/>
          <w:highlight w:val="none"/>
        </w:rPr>
        <w:t>，从业人员</w:t>
      </w:r>
      <w:r>
        <w:rPr>
          <w:rFonts w:hint="eastAsia" w:ascii="宋体" w:hAnsi="宋体" w:eastAsia="宋体" w:cs="宋体"/>
          <w:i w:val="0"/>
          <w:iCs w:val="0"/>
          <w:color w:val="auto"/>
          <w:kern w:val="0"/>
          <w:sz w:val="21"/>
          <w:szCs w:val="21"/>
          <w:highlight w:val="none"/>
          <w:u w:val="single"/>
        </w:rPr>
        <w:t xml:space="preserve">    </w:t>
      </w:r>
      <w:r>
        <w:rPr>
          <w:rFonts w:hint="eastAsia" w:ascii="宋体" w:hAnsi="宋体" w:eastAsia="宋体" w:cs="宋体"/>
          <w:i w:val="0"/>
          <w:iCs w:val="0"/>
          <w:color w:val="auto"/>
          <w:kern w:val="0"/>
          <w:sz w:val="21"/>
          <w:szCs w:val="21"/>
          <w:highlight w:val="none"/>
        </w:rPr>
        <w:t>人，营业收入为</w:t>
      </w:r>
      <w:r>
        <w:rPr>
          <w:rFonts w:hint="eastAsia" w:ascii="宋体" w:hAnsi="宋体" w:eastAsia="宋体" w:cs="宋体"/>
          <w:i w:val="0"/>
          <w:iCs w:val="0"/>
          <w:color w:val="auto"/>
          <w:kern w:val="0"/>
          <w:sz w:val="21"/>
          <w:szCs w:val="21"/>
          <w:highlight w:val="none"/>
          <w:u w:val="single"/>
        </w:rPr>
        <w:t xml:space="preserve">    </w:t>
      </w:r>
      <w:r>
        <w:rPr>
          <w:rFonts w:hint="eastAsia" w:ascii="宋体" w:hAnsi="宋体" w:eastAsia="宋体" w:cs="宋体"/>
          <w:i w:val="0"/>
          <w:iCs w:val="0"/>
          <w:color w:val="auto"/>
          <w:kern w:val="0"/>
          <w:sz w:val="21"/>
          <w:szCs w:val="21"/>
          <w:highlight w:val="none"/>
        </w:rPr>
        <w:t>万元，资产总额为</w:t>
      </w:r>
      <w:r>
        <w:rPr>
          <w:rFonts w:hint="eastAsia" w:ascii="宋体" w:hAnsi="宋体" w:eastAsia="宋体" w:cs="宋体"/>
          <w:i w:val="0"/>
          <w:iCs w:val="0"/>
          <w:color w:val="auto"/>
          <w:kern w:val="0"/>
          <w:sz w:val="21"/>
          <w:szCs w:val="21"/>
          <w:highlight w:val="none"/>
          <w:u w:val="single"/>
        </w:rPr>
        <w:t xml:space="preserve">    </w:t>
      </w:r>
      <w:r>
        <w:rPr>
          <w:rFonts w:hint="eastAsia" w:ascii="宋体" w:hAnsi="宋体" w:eastAsia="宋体" w:cs="宋体"/>
          <w:i w:val="0"/>
          <w:iCs w:val="0"/>
          <w:color w:val="auto"/>
          <w:kern w:val="0"/>
          <w:sz w:val="21"/>
          <w:szCs w:val="21"/>
          <w:highlight w:val="none"/>
        </w:rPr>
        <w:t>万元，属于</w:t>
      </w:r>
      <w:r>
        <w:rPr>
          <w:rFonts w:hint="eastAsia" w:ascii="宋体" w:hAnsi="宋体" w:eastAsia="宋体" w:cs="宋体"/>
          <w:i w:val="0"/>
          <w:iCs w:val="0"/>
          <w:color w:val="auto"/>
          <w:kern w:val="0"/>
          <w:sz w:val="21"/>
          <w:szCs w:val="21"/>
          <w:highlight w:val="none"/>
          <w:u w:val="single"/>
        </w:rPr>
        <w:t>（中型企业、小型企业、微型企业）</w:t>
      </w:r>
      <w:r>
        <w:rPr>
          <w:rFonts w:hint="eastAsia" w:ascii="宋体" w:hAnsi="宋体" w:eastAsia="宋体" w:cs="宋体"/>
          <w:i w:val="0"/>
          <w:iCs w:val="0"/>
          <w:color w:val="auto"/>
          <w:kern w:val="0"/>
          <w:sz w:val="21"/>
          <w:szCs w:val="21"/>
          <w:highlight w:val="none"/>
        </w:rPr>
        <w:t>；</w:t>
      </w:r>
    </w:p>
    <w:p w14:paraId="4587A539">
      <w:pPr>
        <w:shd w:val="clear"/>
        <w:autoSpaceDE w:val="0"/>
        <w:autoSpaceDN w:val="0"/>
        <w:adjustRightInd w:val="0"/>
        <w:spacing w:line="360" w:lineRule="auto"/>
        <w:ind w:firstLine="424" w:firstLineChars="202"/>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w:t>
      </w:r>
    </w:p>
    <w:p w14:paraId="2C90EA6A">
      <w:pPr>
        <w:shd w:val="clear"/>
        <w:autoSpaceDE w:val="0"/>
        <w:autoSpaceDN w:val="0"/>
        <w:adjustRightInd w:val="0"/>
        <w:spacing w:line="360" w:lineRule="auto"/>
        <w:ind w:firstLine="424" w:firstLineChars="202"/>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以上企业，不属于大企业的分支机构，不存在控股股东为大企业的情形，也不存在与大企业的负责人为同一人的情形。</w:t>
      </w:r>
    </w:p>
    <w:p w14:paraId="1B5BC2F9">
      <w:pPr>
        <w:shd w:val="clear"/>
        <w:autoSpaceDE w:val="0"/>
        <w:autoSpaceDN w:val="0"/>
        <w:adjustRightInd w:val="0"/>
        <w:spacing w:line="360" w:lineRule="auto"/>
        <w:ind w:firstLine="424" w:firstLineChars="202"/>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本企业对上述声明内容的真实性负责。如有虚假，将依法承担相应责任。</w:t>
      </w:r>
    </w:p>
    <w:p w14:paraId="100AD685">
      <w:pPr>
        <w:pStyle w:val="12"/>
        <w:shd w:val="clear"/>
        <w:spacing w:line="360" w:lineRule="auto"/>
        <w:ind w:firstLine="420" w:firstLineChars="200"/>
        <w:rPr>
          <w:rFonts w:hint="eastAsia" w:ascii="宋体" w:hAnsi="宋体" w:eastAsia="宋体" w:cs="宋体"/>
          <w:color w:val="auto"/>
          <w:szCs w:val="21"/>
          <w:highlight w:val="none"/>
        </w:rPr>
      </w:pPr>
    </w:p>
    <w:p w14:paraId="26652D53">
      <w:pPr>
        <w:pStyle w:val="12"/>
        <w:shd w:val="clear"/>
        <w:spacing w:line="360" w:lineRule="auto"/>
        <w:ind w:firstLine="420" w:firstLineChars="200"/>
        <w:rPr>
          <w:rFonts w:hint="eastAsia" w:ascii="宋体" w:hAnsi="宋体" w:eastAsia="宋体" w:cs="宋体"/>
          <w:color w:val="auto"/>
          <w:szCs w:val="21"/>
          <w:highlight w:val="none"/>
        </w:rPr>
      </w:pPr>
    </w:p>
    <w:p w14:paraId="055A32A3">
      <w:pPr>
        <w:shd w:val="clear"/>
        <w:snapToGrid w:val="0"/>
        <w:spacing w:line="360" w:lineRule="auto"/>
        <w:ind w:firstLine="5040" w:firstLineChars="2100"/>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lang w:val="zh-CN"/>
        </w:rPr>
        <w:t>投标人名称(盖公章)：</w:t>
      </w:r>
    </w:p>
    <w:p w14:paraId="110EE4F2">
      <w:pPr>
        <w:shd w:val="clear"/>
        <w:snapToGrid w:val="0"/>
        <w:spacing w:line="360" w:lineRule="auto"/>
        <w:ind w:firstLine="5160" w:firstLineChars="2150"/>
        <w:rPr>
          <w:rFonts w:hint="eastAsia" w:ascii="宋体" w:hAnsi="宋体" w:eastAsia="宋体" w:cs="宋体"/>
          <w:color w:val="auto"/>
          <w:kern w:val="0"/>
          <w:sz w:val="24"/>
          <w:highlight w:val="none"/>
          <w:lang w:val="zh-CN"/>
        </w:rPr>
      </w:pPr>
      <w:r>
        <w:rPr>
          <w:rFonts w:hint="eastAsia" w:ascii="宋体" w:hAnsi="宋体" w:eastAsia="宋体" w:cs="宋体"/>
          <w:color w:val="auto"/>
          <w:kern w:val="0"/>
          <w:sz w:val="24"/>
          <w:highlight w:val="none"/>
          <w:lang w:val="zh-CN"/>
        </w:rPr>
        <w:t>日期</w:t>
      </w:r>
      <w:r>
        <w:rPr>
          <w:rFonts w:hint="eastAsia" w:ascii="宋体" w:hAnsi="宋体" w:eastAsia="宋体" w:cs="宋体"/>
          <w:color w:val="auto"/>
          <w:kern w:val="0"/>
          <w:sz w:val="24"/>
          <w:highlight w:val="none"/>
        </w:rPr>
        <w:t xml:space="preserve">：  年  </w:t>
      </w:r>
      <w:r>
        <w:rPr>
          <w:rFonts w:hint="eastAsia" w:ascii="宋体" w:hAnsi="宋体" w:eastAsia="宋体" w:cs="宋体"/>
          <w:color w:val="auto"/>
          <w:kern w:val="0"/>
          <w:sz w:val="24"/>
          <w:highlight w:val="none"/>
          <w:lang w:val="zh-CN"/>
        </w:rPr>
        <w:t>月</w:t>
      </w:r>
      <w:r>
        <w:rPr>
          <w:rFonts w:hint="eastAsia" w:ascii="宋体" w:hAnsi="宋体" w:eastAsia="宋体" w:cs="宋体"/>
          <w:color w:val="auto"/>
          <w:kern w:val="0"/>
          <w:sz w:val="24"/>
          <w:highlight w:val="none"/>
        </w:rPr>
        <w:t xml:space="preserve">   </w:t>
      </w:r>
      <w:r>
        <w:rPr>
          <w:rFonts w:hint="eastAsia" w:ascii="宋体" w:hAnsi="宋体" w:eastAsia="宋体" w:cs="宋体"/>
          <w:color w:val="auto"/>
          <w:kern w:val="0"/>
          <w:sz w:val="24"/>
          <w:highlight w:val="none"/>
          <w:lang w:val="zh-CN"/>
        </w:rPr>
        <w:t>日</w:t>
      </w:r>
    </w:p>
    <w:p w14:paraId="23E6F4B3">
      <w:pPr>
        <w:pStyle w:val="12"/>
        <w:shd w:val="clear"/>
        <w:spacing w:line="360" w:lineRule="auto"/>
        <w:ind w:firstLine="420" w:firstLineChars="200"/>
        <w:rPr>
          <w:rFonts w:hint="eastAsia" w:ascii="宋体" w:hAnsi="宋体" w:eastAsia="宋体" w:cs="宋体"/>
          <w:color w:val="auto"/>
          <w:szCs w:val="21"/>
          <w:highlight w:val="none"/>
        </w:rPr>
      </w:pPr>
    </w:p>
    <w:p w14:paraId="4794E0EF">
      <w:pPr>
        <w:shd w:val="clear"/>
        <w:snapToGrid w:val="0"/>
        <w:spacing w:before="50" w:after="165" w:afterLines="50" w:line="360" w:lineRule="auto"/>
        <w:ind w:firstLine="210" w:firstLineChars="1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注：</w:t>
      </w:r>
    </w:p>
    <w:p w14:paraId="27A5BF81">
      <w:pPr>
        <w:numPr>
          <w:ilvl w:val="0"/>
          <w:numId w:val="7"/>
        </w:numPr>
        <w:shd w:val="clear"/>
        <w:snapToGrid w:val="0"/>
        <w:spacing w:before="50" w:after="165" w:afterLines="50" w:line="360" w:lineRule="auto"/>
        <w:ind w:left="660" w:hanging="36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从业人员、营业收入、资产总额填报上一年度数据，无上一年度数据的新成立企业可不填报。</w:t>
      </w:r>
    </w:p>
    <w:p w14:paraId="20394CED">
      <w:pPr>
        <w:shd w:val="clear"/>
        <w:snapToGrid w:val="0"/>
        <w:spacing w:before="50" w:after="165" w:afterLines="50" w:line="360" w:lineRule="auto"/>
        <w:ind w:firstLine="315" w:firstLineChars="15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2、请根据自己的真实情况出具《中小企业声明函》。依法享受中小企业</w:t>
      </w:r>
      <w:r>
        <w:rPr>
          <w:rFonts w:hint="eastAsia" w:ascii="宋体" w:hAnsi="宋体" w:eastAsia="宋体" w:cs="宋体"/>
          <w:color w:val="auto"/>
          <w:sz w:val="21"/>
          <w:szCs w:val="21"/>
          <w:highlight w:val="none"/>
          <w:lang w:eastAsia="zh-CN"/>
        </w:rPr>
        <w:t>扶持</w:t>
      </w:r>
      <w:r>
        <w:rPr>
          <w:rFonts w:hint="eastAsia" w:ascii="宋体" w:hAnsi="宋体" w:eastAsia="宋体" w:cs="宋体"/>
          <w:color w:val="auto"/>
          <w:sz w:val="21"/>
          <w:szCs w:val="21"/>
          <w:highlight w:val="none"/>
        </w:rPr>
        <w:t>政策的，采购人或者采购代理机构在公告中标结果时，同时公告其《中小企业声明函》，接受社会监督。</w:t>
      </w:r>
    </w:p>
    <w:p w14:paraId="2F8C6696">
      <w:pPr>
        <w:pStyle w:val="10"/>
        <w:shd w:val="clear"/>
        <w:spacing w:line="360" w:lineRule="auto"/>
        <w:ind w:firstLine="406" w:firstLineChars="200"/>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lang w:val="en-US" w:eastAsia="zh-CN"/>
        </w:rPr>
        <w:t>3</w:t>
      </w:r>
      <w:r>
        <w:rPr>
          <w:rFonts w:hint="eastAsia" w:ascii="宋体" w:hAnsi="宋体" w:eastAsia="宋体" w:cs="宋体"/>
          <w:b/>
          <w:bCs/>
          <w:color w:val="auto"/>
          <w:sz w:val="21"/>
          <w:szCs w:val="21"/>
          <w:highlight w:val="none"/>
        </w:rPr>
        <w:t>、本声明函主要供参加政府采购活动的中小企业填写，非中小企业无需填写。</w:t>
      </w:r>
    </w:p>
    <w:p w14:paraId="7FA3351F">
      <w:pPr>
        <w:pStyle w:val="10"/>
        <w:shd w:val="clear"/>
        <w:spacing w:line="360" w:lineRule="auto"/>
        <w:ind w:firstLine="406" w:firstLineChars="200"/>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lang w:val="en-US" w:eastAsia="zh-CN"/>
        </w:rPr>
        <w:t>4</w:t>
      </w:r>
      <w:r>
        <w:rPr>
          <w:rFonts w:hint="eastAsia" w:ascii="宋体" w:hAnsi="宋体" w:eastAsia="宋体" w:cs="宋体"/>
          <w:b/>
          <w:bCs/>
          <w:color w:val="auto"/>
          <w:sz w:val="21"/>
          <w:szCs w:val="21"/>
          <w:highlight w:val="none"/>
        </w:rPr>
        <w:t>、小型、微型企业提供中型企业提供的服务的，视同为中型企业。</w:t>
      </w:r>
    </w:p>
    <w:p w14:paraId="581BA0F6">
      <w:pPr>
        <w:pStyle w:val="13"/>
        <w:shd w:val="clear"/>
        <w:rPr>
          <w:rFonts w:hint="eastAsia" w:ascii="宋体" w:hAnsi="宋体" w:eastAsia="宋体" w:cs="宋体"/>
          <w:b/>
          <w:bCs/>
          <w:color w:val="auto"/>
          <w:highlight w:val="none"/>
        </w:rPr>
        <w:sectPr>
          <w:pgSz w:w="11905" w:h="16838"/>
          <w:pgMar w:top="1134" w:right="1134" w:bottom="1134" w:left="1134" w:header="850" w:footer="850" w:gutter="0"/>
          <w:pgNumType w:fmt="decimal"/>
          <w:cols w:space="0" w:num="1"/>
          <w:titlePg/>
          <w:rtlGutter w:val="0"/>
          <w:docGrid w:linePitch="331" w:charSpace="0"/>
        </w:sectPr>
      </w:pPr>
    </w:p>
    <w:p w14:paraId="0F15F845">
      <w:pPr>
        <w:shd w:val="clear"/>
        <w:jc w:val="left"/>
        <w:rPr>
          <w:rFonts w:hint="eastAsia" w:ascii="宋体" w:hAnsi="宋体" w:eastAsia="宋体" w:cs="宋体"/>
          <w:b/>
          <w:color w:val="auto"/>
          <w:sz w:val="28"/>
          <w:szCs w:val="28"/>
          <w:highlight w:val="none"/>
          <w:lang w:val="en-US" w:eastAsia="zh-CN"/>
        </w:rPr>
      </w:pPr>
      <w:r>
        <w:rPr>
          <w:rFonts w:hint="eastAsia" w:ascii="宋体" w:hAnsi="宋体" w:eastAsia="宋体" w:cs="宋体"/>
          <w:b/>
          <w:color w:val="auto"/>
          <w:sz w:val="28"/>
          <w:szCs w:val="28"/>
          <w:highlight w:val="none"/>
          <w:lang w:val="en-US" w:eastAsia="zh-CN"/>
        </w:rPr>
        <w:t>4.残疾人福利性单位声明函的格式：</w:t>
      </w:r>
    </w:p>
    <w:p w14:paraId="382C8208">
      <w:pPr>
        <w:shd w:val="clear"/>
        <w:jc w:val="left"/>
        <w:rPr>
          <w:rFonts w:hint="eastAsia" w:ascii="宋体" w:hAnsi="宋体" w:eastAsia="宋体" w:cs="宋体"/>
          <w:b/>
          <w:color w:val="auto"/>
          <w:sz w:val="28"/>
          <w:szCs w:val="28"/>
          <w:highlight w:val="none"/>
          <w:lang w:val="en-US" w:eastAsia="zh-CN"/>
        </w:rPr>
      </w:pPr>
    </w:p>
    <w:p w14:paraId="055AC9CE">
      <w:pPr>
        <w:shd w:val="clear"/>
        <w:jc w:val="left"/>
        <w:rPr>
          <w:rFonts w:hint="eastAsia" w:ascii="宋体" w:hAnsi="宋体" w:eastAsia="宋体" w:cs="宋体"/>
          <w:b/>
          <w:color w:val="auto"/>
          <w:sz w:val="28"/>
          <w:szCs w:val="28"/>
          <w:highlight w:val="none"/>
          <w:lang w:val="en" w:eastAsia="zh-CN"/>
        </w:rPr>
      </w:pPr>
    </w:p>
    <w:p w14:paraId="5B2E9BEE">
      <w:pPr>
        <w:pStyle w:val="12"/>
        <w:shd w:val="clear"/>
        <w:spacing w:line="360" w:lineRule="auto"/>
        <w:jc w:val="center"/>
        <w:rPr>
          <w:rFonts w:hint="eastAsia" w:ascii="宋体" w:hAnsi="宋体" w:eastAsia="宋体" w:cs="宋体"/>
          <w:b/>
          <w:color w:val="auto"/>
          <w:sz w:val="30"/>
          <w:szCs w:val="30"/>
          <w:highlight w:val="none"/>
        </w:rPr>
      </w:pPr>
      <w:r>
        <w:rPr>
          <w:rFonts w:hint="eastAsia" w:ascii="宋体" w:hAnsi="宋体" w:eastAsia="宋体" w:cs="宋体"/>
          <w:b/>
          <w:color w:val="auto"/>
          <w:sz w:val="30"/>
          <w:szCs w:val="30"/>
          <w:highlight w:val="none"/>
        </w:rPr>
        <w:t>残疾人福利性单位声明函</w:t>
      </w:r>
    </w:p>
    <w:p w14:paraId="38AB0BF2">
      <w:pPr>
        <w:pStyle w:val="12"/>
        <w:shd w:val="clear"/>
        <w:spacing w:line="360" w:lineRule="auto"/>
        <w:jc w:val="center"/>
        <w:rPr>
          <w:rFonts w:hint="eastAsia" w:ascii="宋体" w:hAnsi="宋体" w:eastAsia="宋体" w:cs="宋体"/>
          <w:b/>
          <w:color w:val="auto"/>
          <w:sz w:val="30"/>
          <w:szCs w:val="30"/>
          <w:highlight w:val="none"/>
        </w:rPr>
      </w:pPr>
    </w:p>
    <w:p w14:paraId="65FA2993">
      <w:pPr>
        <w:pStyle w:val="12"/>
        <w:shd w:val="clear"/>
        <w:spacing w:line="360" w:lineRule="auto"/>
        <w:jc w:val="left"/>
        <w:rPr>
          <w:rFonts w:hint="eastAsia" w:ascii="宋体" w:hAnsi="宋体" w:eastAsia="宋体" w:cs="宋体"/>
          <w:color w:val="auto"/>
          <w:sz w:val="24"/>
          <w:szCs w:val="24"/>
          <w:highlight w:val="none"/>
        </w:rPr>
      </w:pPr>
      <w:r>
        <w:rPr>
          <w:rFonts w:hint="eastAsia" w:ascii="宋体" w:hAnsi="宋体" w:eastAsia="宋体" w:cs="宋体"/>
          <w:color w:val="auto"/>
          <w:sz w:val="30"/>
          <w:szCs w:val="30"/>
          <w:highlight w:val="none"/>
        </w:rPr>
        <w:t xml:space="preserve">   </w:t>
      </w:r>
      <w:r>
        <w:rPr>
          <w:rFonts w:hint="eastAsia" w:ascii="宋体" w:hAnsi="宋体" w:eastAsia="宋体" w:cs="宋体"/>
          <w:color w:val="auto"/>
          <w:sz w:val="24"/>
          <w:szCs w:val="24"/>
          <w:highlight w:val="none"/>
        </w:rPr>
        <w:t>本单位郑重声明，根据《财政部 民政部 中国残疾人联合会关于促进残疾人就业政府采购政策的通知》（财库〔2017〕141号）的规定，本单位为符合条件的残疾人福利性单位，且本单位参加</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单位的</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rPr>
        <w:t>项目采购活动提供本单位制造的货物（由本单位承担工程/提供服务），或者提供其他残疾人福利性单位制造的货物（不包括使用非残疾人福利性单位注册商标的货物）。</w:t>
      </w:r>
    </w:p>
    <w:p w14:paraId="093CF2D3">
      <w:pPr>
        <w:pStyle w:val="12"/>
        <w:shd w:val="clear"/>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本</w:t>
      </w:r>
      <w:r>
        <w:rPr>
          <w:rFonts w:hint="eastAsia" w:ascii="宋体" w:hAnsi="宋体" w:eastAsia="宋体" w:cs="宋体"/>
          <w:color w:val="auto"/>
          <w:sz w:val="24"/>
          <w:szCs w:val="24"/>
          <w:highlight w:val="none"/>
          <w:lang w:eastAsia="zh-CN"/>
        </w:rPr>
        <w:t>单位</w:t>
      </w:r>
      <w:r>
        <w:rPr>
          <w:rFonts w:hint="eastAsia" w:ascii="宋体" w:hAnsi="宋体" w:eastAsia="宋体" w:cs="宋体"/>
          <w:color w:val="auto"/>
          <w:sz w:val="24"/>
          <w:szCs w:val="24"/>
          <w:highlight w:val="none"/>
        </w:rPr>
        <w:t>对上述声明的真实性负责。如有虚假，将依法承担相应责任。</w:t>
      </w:r>
    </w:p>
    <w:p w14:paraId="2EA83087">
      <w:pPr>
        <w:pStyle w:val="12"/>
        <w:shd w:val="clear"/>
        <w:spacing w:line="360" w:lineRule="auto"/>
        <w:jc w:val="left"/>
        <w:rPr>
          <w:rFonts w:hint="eastAsia" w:ascii="宋体" w:hAnsi="宋体" w:eastAsia="宋体" w:cs="宋体"/>
          <w:b/>
          <w:color w:val="auto"/>
          <w:szCs w:val="21"/>
          <w:highlight w:val="none"/>
        </w:rPr>
      </w:pPr>
    </w:p>
    <w:p w14:paraId="45A0522B">
      <w:pPr>
        <w:pStyle w:val="12"/>
        <w:shd w:val="clear"/>
        <w:spacing w:line="360" w:lineRule="auto"/>
        <w:jc w:val="left"/>
        <w:rPr>
          <w:rFonts w:hint="eastAsia" w:ascii="宋体" w:hAnsi="宋体" w:eastAsia="宋体" w:cs="宋体"/>
          <w:b/>
          <w:color w:val="auto"/>
          <w:szCs w:val="21"/>
          <w:highlight w:val="none"/>
        </w:rPr>
      </w:pPr>
    </w:p>
    <w:p w14:paraId="36F52521">
      <w:pPr>
        <w:shd w:val="clear"/>
        <w:snapToGrid w:val="0"/>
        <w:spacing w:line="360" w:lineRule="auto"/>
        <w:ind w:left="5137" w:leftChars="1736" w:hanging="1491" w:hangingChars="825"/>
        <w:rPr>
          <w:rFonts w:hint="eastAsia" w:ascii="宋体" w:hAnsi="宋体" w:eastAsia="宋体" w:cs="宋体"/>
          <w:color w:val="auto"/>
          <w:kern w:val="0"/>
          <w:sz w:val="24"/>
          <w:highlight w:val="none"/>
        </w:rPr>
      </w:pPr>
      <w:r>
        <w:rPr>
          <w:rFonts w:hint="eastAsia" w:ascii="宋体" w:hAnsi="宋体" w:eastAsia="宋体" w:cs="宋体"/>
          <w:b/>
          <w:color w:val="auto"/>
          <w:sz w:val="18"/>
          <w:szCs w:val="18"/>
          <w:highlight w:val="none"/>
        </w:rPr>
        <w:t xml:space="preserve">                                                                    </w:t>
      </w:r>
      <w:r>
        <w:rPr>
          <w:rFonts w:hint="eastAsia" w:ascii="宋体" w:hAnsi="宋体" w:eastAsia="宋体" w:cs="宋体"/>
          <w:color w:val="auto"/>
          <w:kern w:val="0"/>
          <w:sz w:val="24"/>
          <w:highlight w:val="none"/>
          <w:lang w:val="zh-CN"/>
        </w:rPr>
        <w:t>投标人名称(盖公章)：</w:t>
      </w:r>
    </w:p>
    <w:p w14:paraId="2C174421">
      <w:pPr>
        <w:shd w:val="clear"/>
        <w:snapToGrid w:val="0"/>
        <w:spacing w:line="360" w:lineRule="auto"/>
        <w:ind w:firstLine="5160" w:firstLineChars="2150"/>
        <w:rPr>
          <w:rFonts w:hint="eastAsia" w:ascii="宋体" w:hAnsi="宋体" w:eastAsia="宋体" w:cs="宋体"/>
          <w:color w:val="auto"/>
          <w:kern w:val="0"/>
          <w:sz w:val="24"/>
          <w:highlight w:val="none"/>
          <w:lang w:val="zh-CN"/>
        </w:rPr>
      </w:pPr>
      <w:r>
        <w:rPr>
          <w:rFonts w:hint="eastAsia" w:ascii="宋体" w:hAnsi="宋体" w:eastAsia="宋体" w:cs="宋体"/>
          <w:color w:val="auto"/>
          <w:kern w:val="0"/>
          <w:sz w:val="24"/>
          <w:highlight w:val="none"/>
          <w:lang w:val="zh-CN"/>
        </w:rPr>
        <w:t>日期</w:t>
      </w:r>
      <w:r>
        <w:rPr>
          <w:rFonts w:hint="eastAsia" w:ascii="宋体" w:hAnsi="宋体" w:eastAsia="宋体" w:cs="宋体"/>
          <w:color w:val="auto"/>
          <w:kern w:val="0"/>
          <w:sz w:val="24"/>
          <w:highlight w:val="none"/>
        </w:rPr>
        <w:t xml:space="preserve">：  年  </w:t>
      </w:r>
      <w:r>
        <w:rPr>
          <w:rFonts w:hint="eastAsia" w:ascii="宋体" w:hAnsi="宋体" w:eastAsia="宋体" w:cs="宋体"/>
          <w:color w:val="auto"/>
          <w:kern w:val="0"/>
          <w:sz w:val="24"/>
          <w:highlight w:val="none"/>
          <w:lang w:val="zh-CN"/>
        </w:rPr>
        <w:t>月</w:t>
      </w:r>
      <w:r>
        <w:rPr>
          <w:rFonts w:hint="eastAsia" w:ascii="宋体" w:hAnsi="宋体" w:eastAsia="宋体" w:cs="宋体"/>
          <w:color w:val="auto"/>
          <w:kern w:val="0"/>
          <w:sz w:val="24"/>
          <w:highlight w:val="none"/>
        </w:rPr>
        <w:t xml:space="preserve">   </w:t>
      </w:r>
      <w:r>
        <w:rPr>
          <w:rFonts w:hint="eastAsia" w:ascii="宋体" w:hAnsi="宋体" w:eastAsia="宋体" w:cs="宋体"/>
          <w:color w:val="auto"/>
          <w:kern w:val="0"/>
          <w:sz w:val="24"/>
          <w:highlight w:val="none"/>
          <w:lang w:val="zh-CN"/>
        </w:rPr>
        <w:t>日</w:t>
      </w:r>
    </w:p>
    <w:p w14:paraId="170F45B8">
      <w:pPr>
        <w:pStyle w:val="12"/>
        <w:shd w:val="clear"/>
        <w:spacing w:line="360" w:lineRule="auto"/>
        <w:ind w:left="5132" w:leftChars="1979" w:hanging="976" w:hangingChars="488"/>
        <w:rPr>
          <w:rFonts w:hint="eastAsia" w:ascii="宋体" w:hAnsi="宋体" w:eastAsia="宋体" w:cs="宋体"/>
          <w:color w:val="auto"/>
          <w:sz w:val="20"/>
          <w:highlight w:val="none"/>
        </w:rPr>
      </w:pPr>
    </w:p>
    <w:p w14:paraId="37C8B058">
      <w:pPr>
        <w:shd w:val="clear"/>
        <w:spacing w:line="360" w:lineRule="auto"/>
        <w:ind w:right="420" w:firstLine="480" w:firstLineChars="200"/>
        <w:rPr>
          <w:rFonts w:hint="eastAsia" w:ascii="宋体" w:hAnsi="宋体" w:eastAsia="宋体" w:cs="宋体"/>
          <w:color w:val="auto"/>
          <w:sz w:val="24"/>
          <w:highlight w:val="none"/>
        </w:rPr>
      </w:pPr>
    </w:p>
    <w:p w14:paraId="6B7A55D6">
      <w:pPr>
        <w:shd w:val="clear"/>
        <w:spacing w:line="360" w:lineRule="auto"/>
        <w:ind w:right="420" w:firstLine="480" w:firstLineChars="200"/>
        <w:rPr>
          <w:rFonts w:hint="eastAsia" w:ascii="宋体" w:hAnsi="宋体" w:eastAsia="宋体" w:cs="宋体"/>
          <w:color w:val="auto"/>
          <w:sz w:val="24"/>
          <w:highlight w:val="none"/>
        </w:rPr>
      </w:pPr>
    </w:p>
    <w:p w14:paraId="75D5CA5F">
      <w:pPr>
        <w:shd w:val="clear"/>
        <w:spacing w:line="360" w:lineRule="auto"/>
        <w:ind w:right="420"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注：请根据自己的真实情况出具《残疾人福利性单位声明函》。依法享受中小企业</w:t>
      </w:r>
      <w:r>
        <w:rPr>
          <w:rFonts w:hint="eastAsia" w:ascii="宋体" w:hAnsi="宋体" w:eastAsia="宋体" w:cs="宋体"/>
          <w:color w:val="auto"/>
          <w:sz w:val="21"/>
          <w:szCs w:val="21"/>
          <w:highlight w:val="none"/>
          <w:lang w:eastAsia="zh-CN"/>
        </w:rPr>
        <w:t>扶持</w:t>
      </w:r>
      <w:r>
        <w:rPr>
          <w:rFonts w:hint="eastAsia" w:ascii="宋体" w:hAnsi="宋体" w:eastAsia="宋体" w:cs="宋体"/>
          <w:color w:val="auto"/>
          <w:sz w:val="21"/>
          <w:szCs w:val="21"/>
          <w:highlight w:val="none"/>
        </w:rPr>
        <w:t>政策的，采购人或者采购代理机构在公告中标结果时，同时公告其《残疾人福利性单位声明函》，接受社会监督；根据《关于政府采购支持监狱企业发展有关问题的通知》（财库[2014]68号）的规定，投标人提供由省级以上监狱管理局、戒毒管理局（含新疆生产建设兵团）出具的属于监狱企业证明文件的，视同为小型和微型企业。</w:t>
      </w:r>
    </w:p>
    <w:p w14:paraId="4413CC9E">
      <w:pPr>
        <w:shd w:val="clear"/>
        <w:snapToGrid w:val="0"/>
        <w:spacing w:line="360" w:lineRule="auto"/>
        <w:ind w:firstLine="5160" w:firstLineChars="2150"/>
        <w:rPr>
          <w:rFonts w:hint="eastAsia" w:ascii="宋体" w:hAnsi="宋体" w:eastAsia="宋体" w:cs="宋体"/>
          <w:color w:val="auto"/>
          <w:kern w:val="0"/>
          <w:sz w:val="24"/>
          <w:highlight w:val="none"/>
          <w:lang w:val="zh-CN"/>
        </w:rPr>
      </w:pPr>
    </w:p>
    <w:p w14:paraId="538957B6">
      <w:pPr>
        <w:shd w:val="clear"/>
        <w:snapToGrid w:val="0"/>
        <w:spacing w:line="360" w:lineRule="auto"/>
        <w:ind w:right="480"/>
        <w:jc w:val="center"/>
        <w:rPr>
          <w:rFonts w:hint="eastAsia" w:ascii="宋体" w:hAnsi="宋体" w:eastAsia="宋体" w:cs="宋体"/>
          <w:b/>
          <w:color w:val="auto"/>
          <w:kern w:val="0"/>
          <w:sz w:val="32"/>
          <w:szCs w:val="32"/>
          <w:highlight w:val="none"/>
          <w:lang w:val="zh-CN"/>
        </w:rPr>
      </w:pPr>
    </w:p>
    <w:p w14:paraId="3441A1E4">
      <w:pPr>
        <w:shd w:val="clear"/>
        <w:snapToGrid w:val="0"/>
        <w:spacing w:line="360" w:lineRule="auto"/>
        <w:ind w:right="480"/>
        <w:jc w:val="center"/>
        <w:rPr>
          <w:rFonts w:hint="eastAsia" w:ascii="宋体" w:hAnsi="宋体" w:eastAsia="宋体" w:cs="宋体"/>
          <w:b/>
          <w:color w:val="auto"/>
          <w:sz w:val="28"/>
          <w:szCs w:val="28"/>
          <w:highlight w:val="none"/>
        </w:rPr>
      </w:pPr>
      <w:r>
        <w:rPr>
          <w:rFonts w:hint="eastAsia" w:ascii="宋体" w:hAnsi="宋体" w:eastAsia="宋体" w:cs="宋体"/>
          <w:b/>
          <w:color w:val="auto"/>
          <w:kern w:val="0"/>
          <w:sz w:val="32"/>
          <w:szCs w:val="32"/>
          <w:highlight w:val="none"/>
        </w:rPr>
        <w:br w:type="page"/>
      </w:r>
    </w:p>
    <w:p w14:paraId="52A317CA">
      <w:pPr>
        <w:pStyle w:val="9"/>
        <w:shd w:val="clear"/>
        <w:rPr>
          <w:rFonts w:hint="eastAsia" w:ascii="宋体" w:hAnsi="宋体" w:eastAsia="宋体" w:cs="宋体"/>
          <w:color w:val="auto"/>
          <w:highlight w:val="none"/>
        </w:rPr>
      </w:pPr>
      <w:r>
        <w:rPr>
          <w:rFonts w:hint="eastAsia" w:ascii="宋体" w:hAnsi="宋体" w:cs="宋体"/>
          <w:b/>
          <w:color w:val="auto"/>
          <w:kern w:val="0"/>
          <w:sz w:val="32"/>
          <w:szCs w:val="32"/>
          <w:highlight w:val="none"/>
          <w:lang w:val="en-US" w:eastAsia="zh-CN"/>
        </w:rPr>
        <w:t>5</w:t>
      </w:r>
      <w:r>
        <w:rPr>
          <w:rFonts w:hint="eastAsia" w:ascii="宋体" w:hAnsi="宋体" w:eastAsia="宋体" w:cs="宋体"/>
          <w:b/>
          <w:color w:val="auto"/>
          <w:kern w:val="0"/>
          <w:sz w:val="32"/>
          <w:szCs w:val="32"/>
          <w:highlight w:val="none"/>
          <w:lang w:val="en-US" w:eastAsia="zh-CN"/>
        </w:rPr>
        <w:t>.</w:t>
      </w:r>
      <w:r>
        <w:rPr>
          <w:rFonts w:hint="eastAsia" w:ascii="宋体" w:hAnsi="宋体" w:eastAsia="宋体" w:cs="宋体"/>
          <w:b/>
          <w:color w:val="auto"/>
          <w:sz w:val="28"/>
          <w:szCs w:val="28"/>
          <w:highlight w:val="none"/>
        </w:rPr>
        <w:t>声明函</w:t>
      </w:r>
      <w:r>
        <w:rPr>
          <w:rFonts w:hint="eastAsia" w:ascii="宋体" w:hAnsi="宋体" w:eastAsia="宋体" w:cs="宋体"/>
          <w:b/>
          <w:color w:val="auto"/>
          <w:sz w:val="28"/>
          <w:szCs w:val="28"/>
          <w:highlight w:val="none"/>
          <w:lang w:eastAsia="zh-CN"/>
        </w:rPr>
        <w:t>的格式</w:t>
      </w:r>
      <w:r>
        <w:rPr>
          <w:rFonts w:hint="eastAsia" w:ascii="宋体" w:hAnsi="宋体" w:eastAsia="宋体" w:cs="宋体"/>
          <w:color w:val="auto"/>
          <w:sz w:val="28"/>
          <w:szCs w:val="28"/>
          <w:highlight w:val="none"/>
          <w:lang w:eastAsia="zh-CN"/>
        </w:rPr>
        <w:t>：</w:t>
      </w:r>
    </w:p>
    <w:p w14:paraId="4E83364C">
      <w:pPr>
        <w:shd w:val="clear"/>
        <w:snapToGrid w:val="0"/>
        <w:spacing w:before="50" w:after="165" w:afterLines="50"/>
        <w:jc w:val="center"/>
        <w:rPr>
          <w:rFonts w:hint="eastAsia" w:ascii="宋体" w:hAnsi="宋体" w:eastAsia="宋体" w:cs="宋体"/>
          <w:b/>
          <w:color w:val="auto"/>
          <w:sz w:val="32"/>
          <w:szCs w:val="32"/>
          <w:highlight w:val="none"/>
        </w:rPr>
      </w:pPr>
      <w:r>
        <w:rPr>
          <w:rFonts w:hint="eastAsia" w:ascii="宋体" w:hAnsi="宋体" w:eastAsia="宋体" w:cs="宋体"/>
          <w:b/>
          <w:color w:val="auto"/>
          <w:sz w:val="32"/>
          <w:szCs w:val="32"/>
          <w:highlight w:val="none"/>
        </w:rPr>
        <w:t>声明函</w:t>
      </w:r>
    </w:p>
    <w:p w14:paraId="19B1869F">
      <w:pPr>
        <w:keepNext w:val="0"/>
        <w:keepLines w:val="0"/>
        <w:pageBreakBefore w:val="0"/>
        <w:widowControl w:val="0"/>
        <w:shd w:val="clear"/>
        <w:tabs>
          <w:tab w:val="left" w:pos="7200"/>
        </w:tabs>
        <w:kinsoku/>
        <w:wordWrap/>
        <w:overflowPunct/>
        <w:topLinePunct w:val="0"/>
        <w:autoSpaceDE/>
        <w:autoSpaceDN/>
        <w:bidi w:val="0"/>
        <w:adjustRightInd/>
        <w:spacing w:line="420" w:lineRule="exact"/>
        <w:textAlignment w:val="auto"/>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rPr>
        <w:t>致：</w:t>
      </w:r>
      <w:r>
        <w:rPr>
          <w:rFonts w:hint="eastAsia" w:ascii="宋体" w:hAnsi="宋体" w:eastAsia="宋体" w:cs="宋体"/>
          <w:color w:val="auto"/>
          <w:sz w:val="21"/>
          <w:szCs w:val="21"/>
          <w:highlight w:val="none"/>
          <w:u w:val="single"/>
          <w:lang w:eastAsia="zh-CN"/>
        </w:rPr>
        <w:t>广西至胜招标有限公司</w:t>
      </w:r>
      <w:r>
        <w:rPr>
          <w:rFonts w:hint="eastAsia" w:ascii="宋体" w:hAnsi="宋体" w:eastAsia="宋体" w:cs="宋体"/>
          <w:color w:val="auto"/>
          <w:sz w:val="21"/>
          <w:szCs w:val="21"/>
          <w:highlight w:val="none"/>
          <w:u w:val="single"/>
        </w:rPr>
        <w:t xml:space="preserve"> </w:t>
      </w:r>
    </w:p>
    <w:p w14:paraId="04743615">
      <w:pPr>
        <w:pStyle w:val="13"/>
        <w:keepNext w:val="0"/>
        <w:keepLines w:val="0"/>
        <w:pageBreakBefore w:val="0"/>
        <w:widowControl w:val="0"/>
        <w:shd w:val="clear"/>
        <w:kinsoku/>
        <w:wordWrap/>
        <w:overflowPunct/>
        <w:topLinePunct w:val="0"/>
        <w:autoSpaceDE/>
        <w:autoSpaceDN/>
        <w:bidi w:val="0"/>
        <w:adjustRightInd/>
        <w:spacing w:line="420" w:lineRule="exact"/>
        <w:ind w:firstLine="420" w:firstLineChars="200"/>
        <w:textAlignment w:val="auto"/>
        <w:rPr>
          <w:rFonts w:hint="eastAsia" w:ascii="宋体" w:hAnsi="宋体" w:eastAsia="宋体" w:cs="宋体"/>
          <w:i w:val="0"/>
          <w:iCs w:val="0"/>
          <w:color w:val="auto"/>
          <w:sz w:val="21"/>
          <w:szCs w:val="21"/>
          <w:highlight w:val="none"/>
        </w:rPr>
      </w:pPr>
      <w:r>
        <w:rPr>
          <w:rFonts w:hint="eastAsia" w:ascii="宋体" w:hAnsi="宋体" w:eastAsia="宋体" w:cs="宋体"/>
          <w:i w:val="0"/>
          <w:iCs w:val="0"/>
          <w:color w:val="auto"/>
          <w:sz w:val="21"/>
          <w:szCs w:val="21"/>
          <w:highlight w:val="none"/>
          <w:u w:val="single"/>
        </w:rPr>
        <w:t>（</w:t>
      </w:r>
      <w:r>
        <w:rPr>
          <w:rFonts w:hint="eastAsia" w:ascii="宋体" w:hAnsi="宋体" w:eastAsia="宋体" w:cs="宋体"/>
          <w:i w:val="0"/>
          <w:iCs w:val="0"/>
          <w:color w:val="auto"/>
          <w:sz w:val="21"/>
          <w:szCs w:val="21"/>
          <w:highlight w:val="none"/>
          <w:u w:val="single"/>
          <w:lang w:val="en-US" w:eastAsia="zh-CN"/>
        </w:rPr>
        <w:t>投标人</w:t>
      </w:r>
      <w:r>
        <w:rPr>
          <w:rFonts w:hint="eastAsia" w:ascii="宋体" w:hAnsi="宋体" w:eastAsia="宋体" w:cs="宋体"/>
          <w:i w:val="0"/>
          <w:iCs w:val="0"/>
          <w:color w:val="auto"/>
          <w:sz w:val="21"/>
          <w:szCs w:val="21"/>
          <w:highlight w:val="none"/>
          <w:u w:val="single"/>
        </w:rPr>
        <w:t>名称）</w:t>
      </w:r>
      <w:r>
        <w:rPr>
          <w:rFonts w:hint="eastAsia" w:ascii="宋体" w:hAnsi="宋体" w:eastAsia="宋体" w:cs="宋体"/>
          <w:i w:val="0"/>
          <w:iCs w:val="0"/>
          <w:color w:val="auto"/>
          <w:sz w:val="21"/>
          <w:szCs w:val="21"/>
          <w:highlight w:val="none"/>
        </w:rPr>
        <w:t>系中华人民共和国合法供应商，经营地址</w:t>
      </w:r>
      <w:r>
        <w:rPr>
          <w:rFonts w:hint="eastAsia" w:ascii="宋体" w:hAnsi="宋体" w:eastAsia="宋体" w:cs="宋体"/>
          <w:i w:val="0"/>
          <w:iCs w:val="0"/>
          <w:color w:val="auto"/>
          <w:sz w:val="21"/>
          <w:szCs w:val="21"/>
          <w:highlight w:val="none"/>
          <w:u w:val="single"/>
        </w:rPr>
        <w:t xml:space="preserve">                              </w:t>
      </w:r>
      <w:r>
        <w:rPr>
          <w:rFonts w:hint="eastAsia" w:ascii="宋体" w:hAnsi="宋体" w:eastAsia="宋体" w:cs="宋体"/>
          <w:i w:val="0"/>
          <w:iCs w:val="0"/>
          <w:color w:val="auto"/>
          <w:sz w:val="21"/>
          <w:szCs w:val="21"/>
          <w:highlight w:val="none"/>
        </w:rPr>
        <w:t>。</w:t>
      </w:r>
    </w:p>
    <w:p w14:paraId="1E8D8D0A">
      <w:pPr>
        <w:keepNext w:val="0"/>
        <w:keepLines w:val="0"/>
        <w:pageBreakBefore w:val="0"/>
        <w:widowControl w:val="0"/>
        <w:shd w:val="clear"/>
        <w:kinsoku/>
        <w:wordWrap/>
        <w:overflowPunct/>
        <w:topLinePunct w:val="0"/>
        <w:autoSpaceDE/>
        <w:autoSpaceDN/>
        <w:bidi w:val="0"/>
        <w:adjustRightInd/>
        <w:snapToGrid w:val="0"/>
        <w:spacing w:line="420" w:lineRule="exact"/>
        <w:ind w:firstLine="420" w:firstLineChars="200"/>
        <w:jc w:val="left"/>
        <w:textAlignment w:val="auto"/>
        <w:rPr>
          <w:rFonts w:hint="eastAsia" w:ascii="宋体" w:hAnsi="宋体" w:eastAsia="宋体" w:cs="宋体"/>
          <w:i w:val="0"/>
          <w:iCs w:val="0"/>
          <w:color w:val="auto"/>
          <w:sz w:val="21"/>
          <w:szCs w:val="21"/>
          <w:highlight w:val="none"/>
        </w:rPr>
      </w:pPr>
      <w:r>
        <w:rPr>
          <w:rFonts w:hint="eastAsia" w:ascii="宋体" w:hAnsi="宋体" w:eastAsia="宋体" w:cs="宋体"/>
          <w:i w:val="0"/>
          <w:iCs w:val="0"/>
          <w:color w:val="auto"/>
          <w:sz w:val="21"/>
          <w:szCs w:val="21"/>
          <w:highlight w:val="none"/>
        </w:rPr>
        <w:t>我方愿意参加贵方组织的</w:t>
      </w:r>
      <w:r>
        <w:rPr>
          <w:rFonts w:hint="eastAsia" w:ascii="宋体" w:hAnsi="宋体" w:eastAsia="宋体" w:cs="宋体"/>
          <w:i w:val="0"/>
          <w:iCs w:val="0"/>
          <w:color w:val="auto"/>
          <w:sz w:val="21"/>
          <w:szCs w:val="21"/>
          <w:highlight w:val="none"/>
          <w:u w:val="single"/>
          <w:lang w:eastAsia="zh-CN"/>
        </w:rPr>
        <w:t>（项目名称）</w:t>
      </w:r>
      <w:r>
        <w:rPr>
          <w:rFonts w:hint="eastAsia" w:ascii="宋体" w:hAnsi="宋体" w:eastAsia="宋体" w:cs="宋体"/>
          <w:i w:val="0"/>
          <w:iCs w:val="0"/>
          <w:color w:val="auto"/>
          <w:sz w:val="21"/>
          <w:szCs w:val="21"/>
          <w:highlight w:val="none"/>
          <w:u w:val="single"/>
          <w:lang w:val="en-US" w:eastAsia="zh-CN"/>
        </w:rPr>
        <w:t xml:space="preserve"> </w:t>
      </w:r>
      <w:r>
        <w:rPr>
          <w:rFonts w:hint="eastAsia" w:ascii="宋体" w:hAnsi="宋体" w:eastAsia="宋体" w:cs="宋体"/>
          <w:i w:val="0"/>
          <w:iCs w:val="0"/>
          <w:color w:val="auto"/>
          <w:sz w:val="21"/>
          <w:szCs w:val="21"/>
          <w:highlight w:val="none"/>
        </w:rPr>
        <w:t>（项目编号：</w:t>
      </w:r>
      <w:r>
        <w:rPr>
          <w:rFonts w:hint="eastAsia" w:ascii="宋体" w:hAnsi="宋体" w:eastAsia="宋体" w:cs="宋体"/>
          <w:i w:val="0"/>
          <w:iCs w:val="0"/>
          <w:color w:val="auto"/>
          <w:sz w:val="21"/>
          <w:szCs w:val="21"/>
          <w:highlight w:val="none"/>
          <w:u w:val="single"/>
          <w:lang w:val="en-US" w:eastAsia="zh-CN"/>
        </w:rPr>
        <w:t xml:space="preserve">           </w:t>
      </w:r>
      <w:r>
        <w:rPr>
          <w:rFonts w:hint="eastAsia" w:ascii="宋体" w:hAnsi="宋体" w:eastAsia="宋体" w:cs="宋体"/>
          <w:i w:val="0"/>
          <w:iCs w:val="0"/>
          <w:color w:val="auto"/>
          <w:sz w:val="21"/>
          <w:szCs w:val="21"/>
          <w:highlight w:val="none"/>
          <w:u w:val="single"/>
        </w:rPr>
        <w:t xml:space="preserve"> </w:t>
      </w:r>
      <w:r>
        <w:rPr>
          <w:rFonts w:hint="eastAsia" w:ascii="宋体" w:hAnsi="宋体" w:eastAsia="宋体" w:cs="宋体"/>
          <w:i w:val="0"/>
          <w:iCs w:val="0"/>
          <w:color w:val="auto"/>
          <w:sz w:val="21"/>
          <w:szCs w:val="21"/>
          <w:highlight w:val="none"/>
        </w:rPr>
        <w:t>）项目的投标，为便于贵方公正、择优地确定中标人，我方就本次投标有关事项郑重声明如下：</w:t>
      </w:r>
    </w:p>
    <w:p w14:paraId="5A027375">
      <w:pPr>
        <w:pStyle w:val="13"/>
        <w:keepNext w:val="0"/>
        <w:keepLines w:val="0"/>
        <w:pageBreakBefore w:val="0"/>
        <w:widowControl w:val="0"/>
        <w:shd w:val="clear"/>
        <w:kinsoku/>
        <w:wordWrap/>
        <w:overflowPunct/>
        <w:topLinePunct w:val="0"/>
        <w:autoSpaceDE/>
        <w:autoSpaceDN/>
        <w:bidi w:val="0"/>
        <w:adjustRightInd/>
        <w:spacing w:line="420" w:lineRule="exact"/>
        <w:ind w:firstLine="420" w:firstLineChars="200"/>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val="en-US" w:eastAsia="zh-CN"/>
        </w:rPr>
        <w:t>1、</w:t>
      </w:r>
      <w:r>
        <w:rPr>
          <w:rFonts w:hint="eastAsia" w:ascii="宋体" w:hAnsi="宋体" w:eastAsia="宋体" w:cs="宋体"/>
          <w:color w:val="auto"/>
          <w:sz w:val="21"/>
          <w:szCs w:val="21"/>
          <w:highlight w:val="none"/>
        </w:rPr>
        <w:t>我方向贵方提交的所有</w:t>
      </w:r>
      <w:r>
        <w:rPr>
          <w:rFonts w:hint="eastAsia" w:ascii="宋体" w:hAnsi="宋体" w:eastAsia="宋体" w:cs="宋体"/>
          <w:color w:val="auto"/>
          <w:sz w:val="21"/>
          <w:szCs w:val="21"/>
          <w:highlight w:val="none"/>
          <w:lang w:val="en-US" w:eastAsia="zh-CN"/>
        </w:rPr>
        <w:t>投标</w:t>
      </w:r>
      <w:r>
        <w:rPr>
          <w:rFonts w:hint="eastAsia" w:ascii="宋体" w:hAnsi="宋体" w:eastAsia="宋体" w:cs="宋体"/>
          <w:color w:val="auto"/>
          <w:sz w:val="21"/>
          <w:szCs w:val="21"/>
          <w:highlight w:val="none"/>
        </w:rPr>
        <w:t>文件、资料都是准确的和真实的</w:t>
      </w:r>
      <w:r>
        <w:rPr>
          <w:rFonts w:hint="eastAsia" w:ascii="宋体" w:hAnsi="宋体" w:eastAsia="宋体" w:cs="宋体"/>
          <w:color w:val="auto"/>
          <w:sz w:val="21"/>
          <w:szCs w:val="21"/>
          <w:highlight w:val="none"/>
          <w:lang w:eastAsia="zh-CN"/>
        </w:rPr>
        <w:t>。</w:t>
      </w:r>
    </w:p>
    <w:p w14:paraId="79A501E2">
      <w:pPr>
        <w:keepNext w:val="0"/>
        <w:keepLines w:val="0"/>
        <w:pageBreakBefore w:val="0"/>
        <w:widowControl w:val="0"/>
        <w:shd w:val="clear"/>
        <w:kinsoku/>
        <w:wordWrap/>
        <w:overflowPunct/>
        <w:topLinePunct w:val="0"/>
        <w:autoSpaceDE/>
        <w:autoSpaceDN/>
        <w:bidi w:val="0"/>
        <w:adjustRightInd/>
        <w:snapToGrid w:val="0"/>
        <w:spacing w:line="420" w:lineRule="exact"/>
        <w:ind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2、</w:t>
      </w:r>
      <w:r>
        <w:rPr>
          <w:rFonts w:hint="eastAsia" w:ascii="宋体" w:hAnsi="宋体" w:eastAsia="宋体" w:cs="宋体"/>
          <w:color w:val="auto"/>
          <w:sz w:val="21"/>
          <w:szCs w:val="21"/>
          <w:highlight w:val="none"/>
        </w:rPr>
        <w:t>我方不是采购人的附属机构；不是为本次采购项目提供整体设计、规范编制或者项目管理、监理、检测等服务的供应商；在获知本项目采购信息后，与采购人聘请的为此项目提供咨询服务的公司及其附属机构没有任何联系。</w:t>
      </w:r>
    </w:p>
    <w:p w14:paraId="09E300E0">
      <w:pPr>
        <w:keepNext w:val="0"/>
        <w:keepLines w:val="0"/>
        <w:pageBreakBefore w:val="0"/>
        <w:widowControl w:val="0"/>
        <w:shd w:val="clear"/>
        <w:kinsoku/>
        <w:wordWrap/>
        <w:overflowPunct/>
        <w:topLinePunct w:val="0"/>
        <w:autoSpaceDE/>
        <w:autoSpaceDN/>
        <w:bidi w:val="0"/>
        <w:adjustRightInd/>
        <w:spacing w:line="420" w:lineRule="exact"/>
        <w:ind w:firstLine="420" w:firstLineChars="200"/>
        <w:contextualSpacing/>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3、</w:t>
      </w:r>
      <w:r>
        <w:rPr>
          <w:rFonts w:hint="eastAsia" w:ascii="宋体" w:hAnsi="宋体" w:eastAsia="宋体" w:cs="宋体"/>
          <w:color w:val="auto"/>
          <w:sz w:val="21"/>
          <w:szCs w:val="21"/>
          <w:highlight w:val="none"/>
        </w:rPr>
        <w:t>在此，我方宣布同意如下：</w:t>
      </w:r>
    </w:p>
    <w:p w14:paraId="297EB912">
      <w:pPr>
        <w:keepNext w:val="0"/>
        <w:keepLines w:val="0"/>
        <w:pageBreakBefore w:val="0"/>
        <w:widowControl w:val="0"/>
        <w:shd w:val="clear"/>
        <w:kinsoku/>
        <w:wordWrap/>
        <w:overflowPunct/>
        <w:topLinePunct w:val="0"/>
        <w:autoSpaceDE/>
        <w:autoSpaceDN/>
        <w:bidi w:val="0"/>
        <w:adjustRightInd/>
        <w:spacing w:line="420" w:lineRule="exact"/>
        <w:ind w:firstLine="420" w:firstLineChars="200"/>
        <w:contextualSpacing/>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（1）将按</w:t>
      </w:r>
      <w:r>
        <w:rPr>
          <w:rFonts w:hint="eastAsia" w:ascii="宋体" w:hAnsi="宋体" w:eastAsia="宋体" w:cs="宋体"/>
          <w:color w:val="auto"/>
          <w:sz w:val="21"/>
          <w:szCs w:val="21"/>
          <w:highlight w:val="none"/>
          <w:lang w:val="en-US" w:eastAsia="zh-CN"/>
        </w:rPr>
        <w:t>招标</w:t>
      </w:r>
      <w:r>
        <w:rPr>
          <w:rFonts w:hint="eastAsia" w:ascii="宋体" w:hAnsi="宋体" w:eastAsia="宋体" w:cs="宋体"/>
          <w:color w:val="auto"/>
          <w:sz w:val="21"/>
          <w:szCs w:val="21"/>
          <w:highlight w:val="none"/>
        </w:rPr>
        <w:t>文件的约定履行合同责任和义务；</w:t>
      </w:r>
    </w:p>
    <w:p w14:paraId="696F23ED">
      <w:pPr>
        <w:keepNext w:val="0"/>
        <w:keepLines w:val="0"/>
        <w:pageBreakBefore w:val="0"/>
        <w:widowControl w:val="0"/>
        <w:shd w:val="clear"/>
        <w:kinsoku/>
        <w:wordWrap/>
        <w:overflowPunct/>
        <w:topLinePunct w:val="0"/>
        <w:autoSpaceDE/>
        <w:autoSpaceDN/>
        <w:bidi w:val="0"/>
        <w:adjustRightInd/>
        <w:spacing w:line="420" w:lineRule="exact"/>
        <w:ind w:firstLine="420" w:firstLineChars="200"/>
        <w:contextualSpacing/>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（2）已详细审查</w:t>
      </w:r>
      <w:r>
        <w:rPr>
          <w:rFonts w:hint="eastAsia" w:ascii="宋体" w:hAnsi="宋体" w:eastAsia="宋体" w:cs="宋体"/>
          <w:color w:val="auto"/>
          <w:sz w:val="21"/>
          <w:szCs w:val="21"/>
          <w:highlight w:val="none"/>
          <w:lang w:val="en-US" w:eastAsia="zh-CN"/>
        </w:rPr>
        <w:t>招标</w:t>
      </w:r>
      <w:r>
        <w:rPr>
          <w:rFonts w:hint="eastAsia" w:ascii="宋体" w:hAnsi="宋体" w:eastAsia="宋体" w:cs="宋体"/>
          <w:color w:val="auto"/>
          <w:sz w:val="21"/>
          <w:szCs w:val="21"/>
          <w:highlight w:val="none"/>
        </w:rPr>
        <w:t>文件</w:t>
      </w:r>
      <w:r>
        <w:rPr>
          <w:rFonts w:hint="eastAsia" w:ascii="宋体" w:hAnsi="宋体" w:eastAsia="宋体" w:cs="宋体"/>
          <w:color w:val="auto"/>
          <w:sz w:val="21"/>
          <w:szCs w:val="21"/>
          <w:highlight w:val="none"/>
          <w:lang w:val="en-US" w:eastAsia="zh-CN"/>
        </w:rPr>
        <w:t>的</w:t>
      </w:r>
      <w:r>
        <w:rPr>
          <w:rFonts w:hint="eastAsia" w:ascii="宋体" w:hAnsi="宋体" w:eastAsia="宋体" w:cs="宋体"/>
          <w:color w:val="auto"/>
          <w:sz w:val="21"/>
          <w:szCs w:val="21"/>
          <w:highlight w:val="none"/>
        </w:rPr>
        <w:t>全部</w:t>
      </w:r>
      <w:r>
        <w:rPr>
          <w:rFonts w:hint="eastAsia" w:ascii="宋体" w:hAnsi="宋体" w:eastAsia="宋体" w:cs="宋体"/>
          <w:color w:val="auto"/>
          <w:kern w:val="0"/>
          <w:sz w:val="21"/>
          <w:szCs w:val="21"/>
          <w:highlight w:val="none"/>
          <w:lang w:val="en-US" w:eastAsia="zh-CN"/>
        </w:rPr>
        <w:t>内容</w:t>
      </w:r>
      <w:r>
        <w:rPr>
          <w:rFonts w:hint="eastAsia" w:ascii="宋体" w:hAnsi="宋体" w:eastAsia="宋体" w:cs="宋体"/>
          <w:color w:val="auto"/>
          <w:sz w:val="21"/>
          <w:szCs w:val="21"/>
          <w:highlight w:val="none"/>
        </w:rPr>
        <w:t>，包括澄清或者更正公告（如有）；</w:t>
      </w:r>
    </w:p>
    <w:p w14:paraId="6BC9D445">
      <w:pPr>
        <w:keepNext w:val="0"/>
        <w:keepLines w:val="0"/>
        <w:pageBreakBefore w:val="0"/>
        <w:widowControl w:val="0"/>
        <w:shd w:val="clear"/>
        <w:kinsoku/>
        <w:wordWrap/>
        <w:overflowPunct/>
        <w:topLinePunct w:val="0"/>
        <w:autoSpaceDE/>
        <w:autoSpaceDN/>
        <w:bidi w:val="0"/>
        <w:adjustRightInd/>
        <w:spacing w:line="420" w:lineRule="exact"/>
        <w:ind w:firstLine="420" w:firstLineChars="200"/>
        <w:contextualSpacing/>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（3）同意提供按照贵方可能要求的与</w:t>
      </w:r>
      <w:r>
        <w:rPr>
          <w:rFonts w:hint="eastAsia" w:ascii="宋体" w:hAnsi="宋体" w:eastAsia="宋体" w:cs="宋体"/>
          <w:color w:val="auto"/>
          <w:sz w:val="21"/>
          <w:szCs w:val="21"/>
          <w:highlight w:val="none"/>
          <w:lang w:val="en-US" w:eastAsia="zh-CN"/>
        </w:rPr>
        <w:t>投标</w:t>
      </w:r>
      <w:r>
        <w:rPr>
          <w:rFonts w:hint="eastAsia" w:ascii="宋体" w:hAnsi="宋体" w:eastAsia="宋体" w:cs="宋体"/>
          <w:color w:val="auto"/>
          <w:sz w:val="21"/>
          <w:szCs w:val="21"/>
          <w:highlight w:val="none"/>
        </w:rPr>
        <w:t>有关的一切数据或者资料。</w:t>
      </w:r>
    </w:p>
    <w:p w14:paraId="61B51655">
      <w:pPr>
        <w:keepNext w:val="0"/>
        <w:keepLines w:val="0"/>
        <w:pageBreakBefore w:val="0"/>
        <w:widowControl w:val="0"/>
        <w:shd w:val="clear"/>
        <w:kinsoku/>
        <w:wordWrap/>
        <w:overflowPunct/>
        <w:topLinePunct w:val="0"/>
        <w:autoSpaceDE/>
        <w:autoSpaceDN/>
        <w:bidi w:val="0"/>
        <w:adjustRightInd/>
        <w:spacing w:line="42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4、</w:t>
      </w:r>
      <w:r>
        <w:rPr>
          <w:rFonts w:hint="eastAsia" w:ascii="宋体" w:hAnsi="宋体" w:eastAsia="宋体" w:cs="宋体"/>
          <w:b w:val="0"/>
          <w:bCs w:val="0"/>
          <w:color w:val="auto"/>
          <w:kern w:val="2"/>
          <w:sz w:val="21"/>
          <w:szCs w:val="21"/>
          <w:highlight w:val="none"/>
          <w:lang w:val="en-US" w:eastAsia="zh-CN" w:bidi="ar-SA"/>
        </w:rPr>
        <w:t>我方在此声明，我方在参加本项目的政府采购活动前三年内，在经营活动中没有重大违法记录（重大违法记录是指供应商因违法经营受到刑事处罚或者责令停产停业、吊销许可证或者执照、较大数额罚款等行政处罚）</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未被列入失信被执行人、</w:t>
      </w:r>
      <w:r>
        <w:rPr>
          <w:rFonts w:hint="eastAsia" w:ascii="宋体" w:hAnsi="宋体" w:eastAsia="宋体" w:cs="宋体"/>
          <w:color w:val="auto"/>
          <w:sz w:val="21"/>
          <w:szCs w:val="21"/>
          <w:highlight w:val="none"/>
          <w:lang w:eastAsia="zh-CN"/>
        </w:rPr>
        <w:t>重大税收违法失信主体</w:t>
      </w:r>
      <w:r>
        <w:rPr>
          <w:rFonts w:hint="eastAsia" w:ascii="宋体" w:hAnsi="宋体" w:eastAsia="宋体" w:cs="宋体"/>
          <w:color w:val="auto"/>
          <w:sz w:val="21"/>
          <w:szCs w:val="21"/>
          <w:highlight w:val="none"/>
        </w:rPr>
        <w:t>、政府采购严重违法失信行为记录名单。</w:t>
      </w:r>
    </w:p>
    <w:p w14:paraId="2A53E686">
      <w:pPr>
        <w:keepNext w:val="0"/>
        <w:keepLines w:val="0"/>
        <w:pageBreakBefore w:val="0"/>
        <w:widowControl w:val="0"/>
        <w:shd w:val="clear"/>
        <w:kinsoku/>
        <w:wordWrap/>
        <w:overflowPunct/>
        <w:topLinePunct w:val="0"/>
        <w:autoSpaceDE/>
        <w:autoSpaceDN/>
        <w:bidi w:val="0"/>
        <w:adjustRightInd/>
        <w:spacing w:line="420" w:lineRule="exact"/>
        <w:ind w:firstLine="420" w:firstLineChars="200"/>
        <w:contextualSpacing/>
        <w:textAlignment w:val="auto"/>
        <w:rPr>
          <w:rFonts w:hint="eastAsia" w:ascii="宋体" w:hAnsi="宋体" w:eastAsia="宋体" w:cs="宋体"/>
          <w:b/>
          <w:bCs/>
          <w:i w:val="0"/>
          <w:iCs w:val="0"/>
          <w:color w:val="auto"/>
          <w:sz w:val="21"/>
          <w:szCs w:val="21"/>
          <w:highlight w:val="none"/>
        </w:rPr>
      </w:pPr>
      <w:r>
        <w:rPr>
          <w:rFonts w:hint="eastAsia" w:ascii="宋体" w:hAnsi="宋体" w:eastAsia="宋体" w:cs="宋体"/>
          <w:color w:val="auto"/>
          <w:sz w:val="21"/>
          <w:szCs w:val="21"/>
          <w:highlight w:val="none"/>
          <w:lang w:val="en-US" w:eastAsia="zh-CN"/>
        </w:rPr>
        <w:t>5、</w:t>
      </w:r>
      <w:r>
        <w:rPr>
          <w:rFonts w:hint="eastAsia" w:ascii="宋体" w:hAnsi="宋体" w:eastAsia="宋体" w:cs="宋体"/>
          <w:color w:val="auto"/>
          <w:sz w:val="21"/>
          <w:szCs w:val="21"/>
          <w:highlight w:val="none"/>
        </w:rPr>
        <w:t>根据《中华人民共和国政府采购法实施条例》第五十条要求对政府采购合同进行公告，但政府采购合同中涉及国家秘密、商业秘密的内容除外。我方就对本次</w:t>
      </w:r>
      <w:r>
        <w:rPr>
          <w:rFonts w:hint="eastAsia" w:ascii="宋体" w:hAnsi="宋体" w:eastAsia="宋体" w:cs="宋体"/>
          <w:color w:val="auto"/>
          <w:sz w:val="21"/>
          <w:szCs w:val="21"/>
          <w:highlight w:val="none"/>
          <w:lang w:val="en-US" w:eastAsia="zh-CN"/>
        </w:rPr>
        <w:t>投标</w:t>
      </w:r>
      <w:r>
        <w:rPr>
          <w:rFonts w:hint="eastAsia" w:ascii="宋体" w:hAnsi="宋体" w:eastAsia="宋体" w:cs="宋体"/>
          <w:color w:val="auto"/>
          <w:sz w:val="21"/>
          <w:szCs w:val="21"/>
          <w:highlight w:val="none"/>
        </w:rPr>
        <w:t>文件进行注明如下：</w:t>
      </w:r>
      <w:r>
        <w:rPr>
          <w:rFonts w:hint="eastAsia" w:ascii="宋体" w:hAnsi="宋体" w:eastAsia="宋体" w:cs="宋体"/>
          <w:b/>
          <w:bCs/>
          <w:i w:val="0"/>
          <w:iCs w:val="0"/>
          <w:color w:val="auto"/>
          <w:sz w:val="21"/>
          <w:szCs w:val="21"/>
          <w:highlight w:val="none"/>
        </w:rPr>
        <w:t>（两项内容中必须选择一项）</w:t>
      </w:r>
    </w:p>
    <w:p w14:paraId="17EF0F04">
      <w:pPr>
        <w:keepNext w:val="0"/>
        <w:keepLines w:val="0"/>
        <w:pageBreakBefore w:val="0"/>
        <w:widowControl w:val="0"/>
        <w:shd w:val="clear"/>
        <w:kinsoku/>
        <w:wordWrap/>
        <w:overflowPunct/>
        <w:topLinePunct w:val="0"/>
        <w:autoSpaceDE/>
        <w:autoSpaceDN/>
        <w:bidi w:val="0"/>
        <w:adjustRightInd/>
        <w:spacing w:line="420" w:lineRule="exact"/>
        <w:ind w:firstLine="420" w:firstLineChars="200"/>
        <w:contextualSpacing/>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□我方本次</w:t>
      </w:r>
      <w:r>
        <w:rPr>
          <w:rFonts w:hint="eastAsia" w:ascii="宋体" w:hAnsi="宋体" w:eastAsia="宋体" w:cs="宋体"/>
          <w:color w:val="auto"/>
          <w:sz w:val="21"/>
          <w:szCs w:val="21"/>
          <w:highlight w:val="none"/>
          <w:lang w:val="en-US" w:eastAsia="zh-CN"/>
        </w:rPr>
        <w:t>投标</w:t>
      </w:r>
      <w:r>
        <w:rPr>
          <w:rFonts w:hint="eastAsia" w:ascii="宋体" w:hAnsi="宋体" w:eastAsia="宋体" w:cs="宋体"/>
          <w:color w:val="auto"/>
          <w:sz w:val="21"/>
          <w:szCs w:val="21"/>
          <w:highlight w:val="none"/>
        </w:rPr>
        <w:t>文件</w:t>
      </w:r>
      <w:r>
        <w:rPr>
          <w:rFonts w:hint="eastAsia" w:ascii="宋体" w:hAnsi="宋体" w:eastAsia="宋体" w:cs="宋体"/>
          <w:color w:val="auto"/>
          <w:kern w:val="0"/>
          <w:sz w:val="21"/>
          <w:szCs w:val="21"/>
          <w:highlight w:val="none"/>
        </w:rPr>
        <w:t>内容中</w:t>
      </w:r>
      <w:r>
        <w:rPr>
          <w:rFonts w:hint="eastAsia" w:ascii="宋体" w:hAnsi="宋体" w:eastAsia="宋体" w:cs="宋体"/>
          <w:color w:val="auto"/>
          <w:sz w:val="21"/>
          <w:szCs w:val="21"/>
          <w:highlight w:val="none"/>
        </w:rPr>
        <w:t>未</w:t>
      </w:r>
      <w:r>
        <w:rPr>
          <w:rFonts w:hint="eastAsia" w:ascii="宋体" w:hAnsi="宋体" w:eastAsia="宋体" w:cs="宋体"/>
          <w:color w:val="auto"/>
          <w:kern w:val="0"/>
          <w:sz w:val="21"/>
          <w:szCs w:val="21"/>
          <w:highlight w:val="none"/>
        </w:rPr>
        <w:t>涉及商业秘密</w:t>
      </w:r>
      <w:r>
        <w:rPr>
          <w:rFonts w:hint="eastAsia" w:ascii="宋体" w:hAnsi="宋体" w:eastAsia="宋体" w:cs="宋体"/>
          <w:color w:val="auto"/>
          <w:kern w:val="0"/>
          <w:sz w:val="21"/>
          <w:szCs w:val="21"/>
          <w:highlight w:val="none"/>
          <w:lang w:eastAsia="zh-CN"/>
        </w:rPr>
        <w:t>。</w:t>
      </w:r>
    </w:p>
    <w:p w14:paraId="4D87F1C3">
      <w:pPr>
        <w:keepNext w:val="0"/>
        <w:keepLines w:val="0"/>
        <w:pageBreakBefore w:val="0"/>
        <w:widowControl w:val="0"/>
        <w:shd w:val="clear"/>
        <w:kinsoku/>
        <w:wordWrap/>
        <w:overflowPunct/>
        <w:topLinePunct w:val="0"/>
        <w:autoSpaceDE/>
        <w:autoSpaceDN/>
        <w:bidi w:val="0"/>
        <w:adjustRightInd/>
        <w:spacing w:line="420" w:lineRule="exact"/>
        <w:ind w:firstLine="420" w:firstLineChars="200"/>
        <w:contextualSpacing/>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□我方本次</w:t>
      </w:r>
      <w:r>
        <w:rPr>
          <w:rFonts w:hint="eastAsia" w:ascii="宋体" w:hAnsi="宋体" w:eastAsia="宋体" w:cs="宋体"/>
          <w:color w:val="auto"/>
          <w:sz w:val="21"/>
          <w:szCs w:val="21"/>
          <w:highlight w:val="none"/>
          <w:lang w:val="en-US" w:eastAsia="zh-CN"/>
        </w:rPr>
        <w:t>投标</w:t>
      </w:r>
      <w:r>
        <w:rPr>
          <w:rFonts w:hint="eastAsia" w:ascii="宋体" w:hAnsi="宋体" w:eastAsia="宋体" w:cs="宋体"/>
          <w:color w:val="auto"/>
          <w:sz w:val="21"/>
          <w:szCs w:val="21"/>
          <w:highlight w:val="none"/>
        </w:rPr>
        <w:t>文件</w:t>
      </w:r>
      <w:r>
        <w:rPr>
          <w:rFonts w:hint="eastAsia" w:ascii="宋体" w:hAnsi="宋体" w:eastAsia="宋体" w:cs="宋体"/>
          <w:color w:val="auto"/>
          <w:kern w:val="0"/>
          <w:sz w:val="21"/>
          <w:szCs w:val="21"/>
          <w:highlight w:val="none"/>
        </w:rPr>
        <w:t>涉及商业秘密的内容有：</w:t>
      </w:r>
      <w:r>
        <w:rPr>
          <w:rFonts w:hint="eastAsia" w:ascii="宋体" w:hAnsi="宋体" w:eastAsia="宋体" w:cs="宋体"/>
          <w:color w:val="auto"/>
          <w:kern w:val="0"/>
          <w:sz w:val="21"/>
          <w:szCs w:val="21"/>
          <w:highlight w:val="none"/>
          <w:u w:val="single"/>
        </w:rPr>
        <w:t xml:space="preserve">                         </w:t>
      </w:r>
      <w:r>
        <w:rPr>
          <w:rFonts w:hint="eastAsia" w:ascii="宋体" w:hAnsi="宋体" w:eastAsia="宋体" w:cs="宋体"/>
          <w:color w:val="auto"/>
          <w:kern w:val="0"/>
          <w:sz w:val="21"/>
          <w:szCs w:val="21"/>
          <w:highlight w:val="none"/>
          <w:lang w:eastAsia="zh-CN"/>
        </w:rPr>
        <w:t>。</w:t>
      </w:r>
    </w:p>
    <w:p w14:paraId="2430BF9A">
      <w:pPr>
        <w:pStyle w:val="13"/>
        <w:keepNext w:val="0"/>
        <w:keepLines w:val="0"/>
        <w:pageBreakBefore w:val="0"/>
        <w:widowControl w:val="0"/>
        <w:shd w:val="clear"/>
        <w:kinsoku/>
        <w:wordWrap/>
        <w:overflowPunct/>
        <w:topLinePunct w:val="0"/>
        <w:autoSpaceDE/>
        <w:autoSpaceDN/>
        <w:bidi w:val="0"/>
        <w:adjustRightInd/>
        <w:spacing w:line="420" w:lineRule="exact"/>
        <w:textAlignment w:val="auto"/>
        <w:rPr>
          <w:rFonts w:hint="eastAsia" w:ascii="宋体" w:hAnsi="宋体" w:eastAsia="宋体" w:cs="宋体"/>
          <w:color w:val="auto"/>
          <w:sz w:val="21"/>
          <w:szCs w:val="21"/>
          <w:highlight w:val="none"/>
          <w:lang w:val="en-US" w:eastAsia="zh-CN"/>
        </w:rPr>
      </w:pPr>
    </w:p>
    <w:p w14:paraId="3568F87D">
      <w:pPr>
        <w:keepNext w:val="0"/>
        <w:keepLines w:val="0"/>
        <w:pageBreakBefore w:val="0"/>
        <w:widowControl w:val="0"/>
        <w:shd w:val="clear"/>
        <w:kinsoku/>
        <w:wordWrap/>
        <w:overflowPunct/>
        <w:topLinePunct w:val="0"/>
        <w:autoSpaceDE/>
        <w:autoSpaceDN/>
        <w:bidi w:val="0"/>
        <w:adjustRightInd/>
        <w:snapToGrid w:val="0"/>
        <w:spacing w:line="420" w:lineRule="exact"/>
        <w:ind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6、</w:t>
      </w:r>
      <w:r>
        <w:rPr>
          <w:rFonts w:hint="eastAsia" w:ascii="宋体" w:hAnsi="宋体" w:eastAsia="宋体" w:cs="宋体"/>
          <w:color w:val="auto"/>
          <w:sz w:val="21"/>
          <w:szCs w:val="21"/>
          <w:highlight w:val="none"/>
        </w:rPr>
        <w:t>以上事项如有虚假或</w:t>
      </w:r>
      <w:r>
        <w:rPr>
          <w:rFonts w:hint="eastAsia" w:ascii="宋体" w:hAnsi="宋体" w:eastAsia="宋体" w:cs="宋体"/>
          <w:color w:val="auto"/>
          <w:sz w:val="21"/>
          <w:szCs w:val="21"/>
          <w:highlight w:val="none"/>
          <w:lang w:val="en-US" w:eastAsia="zh-CN"/>
        </w:rPr>
        <w:t>者</w:t>
      </w:r>
      <w:r>
        <w:rPr>
          <w:rFonts w:hint="eastAsia" w:ascii="宋体" w:hAnsi="宋体" w:eastAsia="宋体" w:cs="宋体"/>
          <w:color w:val="auto"/>
          <w:sz w:val="21"/>
          <w:szCs w:val="21"/>
          <w:highlight w:val="none"/>
        </w:rPr>
        <w:t>隐瞒，我方愿意承担一切后果，并不再寻求任何旨在减轻或</w:t>
      </w:r>
      <w:r>
        <w:rPr>
          <w:rFonts w:hint="eastAsia" w:ascii="宋体" w:hAnsi="宋体" w:eastAsia="宋体" w:cs="宋体"/>
          <w:color w:val="auto"/>
          <w:sz w:val="21"/>
          <w:szCs w:val="21"/>
          <w:highlight w:val="none"/>
          <w:lang w:val="en-US" w:eastAsia="zh-CN"/>
        </w:rPr>
        <w:t>者</w:t>
      </w:r>
      <w:r>
        <w:rPr>
          <w:rFonts w:hint="eastAsia" w:ascii="宋体" w:hAnsi="宋体" w:eastAsia="宋体" w:cs="宋体"/>
          <w:color w:val="auto"/>
          <w:sz w:val="21"/>
          <w:szCs w:val="21"/>
          <w:highlight w:val="none"/>
        </w:rPr>
        <w:t xml:space="preserve">免除法律责任的辩解。 </w:t>
      </w:r>
    </w:p>
    <w:p w14:paraId="030EDA23">
      <w:pPr>
        <w:keepNext w:val="0"/>
        <w:keepLines w:val="0"/>
        <w:pageBreakBefore w:val="0"/>
        <w:widowControl w:val="0"/>
        <w:shd w:val="clear"/>
        <w:tabs>
          <w:tab w:val="left" w:pos="939"/>
        </w:tabs>
        <w:kinsoku/>
        <w:wordWrap/>
        <w:overflowPunct/>
        <w:topLinePunct w:val="0"/>
        <w:autoSpaceDE/>
        <w:autoSpaceDN/>
        <w:bidi w:val="0"/>
        <w:adjustRightInd/>
        <w:spacing w:line="420" w:lineRule="exact"/>
        <w:ind w:left="141" w:leftChars="67" w:firstLine="315" w:firstLineChars="150"/>
        <w:contextualSpacing/>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特此承诺。</w:t>
      </w:r>
    </w:p>
    <w:p w14:paraId="3DAC0E23">
      <w:pPr>
        <w:keepNext w:val="0"/>
        <w:keepLines w:val="0"/>
        <w:pageBreakBefore w:val="0"/>
        <w:widowControl w:val="0"/>
        <w:shd w:val="clear"/>
        <w:kinsoku/>
        <w:wordWrap/>
        <w:overflowPunct/>
        <w:topLinePunct w:val="0"/>
        <w:autoSpaceDE/>
        <w:autoSpaceDN/>
        <w:bidi w:val="0"/>
        <w:adjustRightInd/>
        <w:snapToGrid w:val="0"/>
        <w:spacing w:before="50" w:after="165" w:afterLines="50" w:line="420" w:lineRule="exact"/>
        <w:jc w:val="left"/>
        <w:textAlignment w:val="auto"/>
        <w:rPr>
          <w:rFonts w:hint="eastAsia" w:ascii="宋体" w:hAnsi="宋体" w:eastAsia="宋体" w:cs="宋体"/>
          <w:color w:val="auto"/>
          <w:sz w:val="21"/>
          <w:szCs w:val="21"/>
          <w:highlight w:val="none"/>
        </w:rPr>
      </w:pPr>
      <w:r>
        <w:rPr>
          <w:rFonts w:hint="eastAsia" w:ascii="宋体" w:hAnsi="宋体" w:eastAsia="宋体" w:cs="宋体"/>
          <w:b/>
          <w:color w:val="auto"/>
          <w:sz w:val="21"/>
          <w:szCs w:val="21"/>
          <w:highlight w:val="none"/>
        </w:rPr>
        <w:t>.</w:t>
      </w:r>
      <w:r>
        <w:rPr>
          <w:rFonts w:hint="eastAsia" w:ascii="宋体" w:hAnsi="宋体" w:eastAsia="宋体" w:cs="宋体"/>
          <w:b/>
          <w:color w:val="auto"/>
          <w:sz w:val="21"/>
          <w:szCs w:val="21"/>
          <w:highlight w:val="none"/>
          <w:lang w:val="en-US" w:eastAsia="zh-CN"/>
        </w:rPr>
        <w:t xml:space="preserve">   注： </w:t>
      </w:r>
      <w:r>
        <w:rPr>
          <w:rFonts w:hint="eastAsia" w:ascii="宋体" w:hAnsi="宋体" w:eastAsia="宋体" w:cs="宋体"/>
          <w:b/>
          <w:color w:val="auto"/>
          <w:sz w:val="21"/>
          <w:szCs w:val="21"/>
          <w:highlight w:val="none"/>
        </w:rPr>
        <w:t>如为联合体投标，盖章处须加盖联合体各方公章，否则</w:t>
      </w:r>
      <w:r>
        <w:rPr>
          <w:rFonts w:hint="eastAsia" w:ascii="宋体" w:hAnsi="宋体" w:eastAsia="宋体" w:cs="宋体"/>
          <w:b/>
          <w:bCs/>
          <w:color w:val="auto"/>
          <w:sz w:val="21"/>
          <w:szCs w:val="21"/>
          <w:highlight w:val="none"/>
        </w:rPr>
        <w:t>其</w:t>
      </w:r>
      <w:r>
        <w:rPr>
          <w:rFonts w:hint="eastAsia" w:ascii="宋体" w:hAnsi="宋体" w:eastAsia="宋体" w:cs="宋体"/>
          <w:b/>
          <w:bCs/>
          <w:color w:val="auto"/>
          <w:sz w:val="21"/>
          <w:szCs w:val="21"/>
          <w:highlight w:val="none"/>
          <w:lang w:val="en-US" w:eastAsia="zh-CN"/>
        </w:rPr>
        <w:t>投标</w:t>
      </w:r>
      <w:r>
        <w:rPr>
          <w:rFonts w:hint="eastAsia" w:ascii="宋体" w:hAnsi="宋体" w:eastAsia="宋体" w:cs="宋体"/>
          <w:b/>
          <w:bCs/>
          <w:color w:val="auto"/>
          <w:sz w:val="21"/>
          <w:szCs w:val="21"/>
          <w:highlight w:val="none"/>
        </w:rPr>
        <w:t>文件</w:t>
      </w:r>
      <w:r>
        <w:rPr>
          <w:rFonts w:hint="eastAsia" w:ascii="宋体" w:hAnsi="宋体" w:eastAsia="宋体" w:cs="宋体"/>
          <w:b/>
          <w:bCs/>
          <w:color w:val="auto"/>
          <w:sz w:val="21"/>
          <w:szCs w:val="21"/>
          <w:highlight w:val="none"/>
          <w:lang w:eastAsia="zh-CN"/>
        </w:rPr>
        <w:t>作无效</w:t>
      </w:r>
      <w:r>
        <w:rPr>
          <w:rFonts w:hint="eastAsia" w:ascii="宋体" w:hAnsi="宋体" w:eastAsia="宋体" w:cs="宋体"/>
          <w:b/>
          <w:bCs/>
          <w:color w:val="auto"/>
          <w:sz w:val="21"/>
          <w:szCs w:val="21"/>
          <w:highlight w:val="none"/>
        </w:rPr>
        <w:t>响应处理</w:t>
      </w:r>
      <w:r>
        <w:rPr>
          <w:rFonts w:hint="eastAsia" w:ascii="宋体" w:hAnsi="宋体" w:eastAsia="宋体" w:cs="宋体"/>
          <w:b/>
          <w:color w:val="auto"/>
          <w:sz w:val="21"/>
          <w:szCs w:val="21"/>
          <w:highlight w:val="none"/>
        </w:rPr>
        <w:t>。</w:t>
      </w:r>
    </w:p>
    <w:p w14:paraId="0AAF89C4">
      <w:pPr>
        <w:shd w:val="clear"/>
        <w:snapToGrid w:val="0"/>
        <w:spacing w:before="50" w:after="331" w:afterLines="100" w:line="360" w:lineRule="auto"/>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                                     </w:t>
      </w:r>
    </w:p>
    <w:p w14:paraId="32CFD822">
      <w:pPr>
        <w:shd w:val="clear"/>
        <w:snapToGrid w:val="0"/>
        <w:spacing w:before="50" w:after="331" w:afterLines="100" w:line="360" w:lineRule="auto"/>
        <w:ind w:left="7428" w:leftChars="2223" w:hanging="2760" w:hangingChars="1150"/>
        <w:jc w:val="left"/>
        <w:rPr>
          <w:rFonts w:hint="eastAsia" w:ascii="宋体" w:hAnsi="宋体" w:eastAsia="宋体" w:cs="宋体"/>
          <w:color w:val="auto"/>
          <w:kern w:val="0"/>
          <w:sz w:val="24"/>
          <w:highlight w:val="none"/>
          <w:lang w:val="zh-CN"/>
        </w:rPr>
      </w:pPr>
      <w:r>
        <w:rPr>
          <w:rFonts w:hint="eastAsia" w:ascii="宋体" w:hAnsi="宋体" w:eastAsia="宋体" w:cs="宋体"/>
          <w:color w:val="auto"/>
          <w:sz w:val="24"/>
          <w:highlight w:val="none"/>
        </w:rPr>
        <w:t xml:space="preserve">  </w:t>
      </w:r>
      <w:r>
        <w:rPr>
          <w:rFonts w:hint="eastAsia" w:ascii="宋体" w:hAnsi="宋体" w:eastAsia="宋体" w:cs="宋体"/>
          <w:color w:val="auto"/>
          <w:kern w:val="0"/>
          <w:sz w:val="24"/>
          <w:highlight w:val="none"/>
          <w:lang w:val="zh-CN"/>
        </w:rPr>
        <w:t>投标人名称(盖公章)：</w:t>
      </w:r>
      <w:r>
        <w:rPr>
          <w:rFonts w:hint="eastAsia" w:ascii="宋体" w:hAnsi="宋体" w:eastAsia="宋体" w:cs="宋体"/>
          <w:color w:val="auto"/>
          <w:szCs w:val="21"/>
          <w:highlight w:val="none"/>
        </w:rPr>
        <w:t xml:space="preserve">                                     年    月    日</w:t>
      </w:r>
    </w:p>
    <w:p w14:paraId="751D3EFD">
      <w:pPr>
        <w:shd w:val="clear"/>
        <w:rPr>
          <w:rFonts w:hint="eastAsia" w:ascii="宋体" w:hAnsi="宋体" w:eastAsia="宋体" w:cs="宋体"/>
          <w:b/>
          <w:bCs/>
          <w:color w:val="auto"/>
          <w:sz w:val="30"/>
          <w:szCs w:val="30"/>
          <w:highlight w:val="none"/>
        </w:rPr>
      </w:pPr>
      <w:r>
        <w:rPr>
          <w:rFonts w:hint="eastAsia" w:ascii="宋体" w:hAnsi="宋体" w:eastAsia="宋体" w:cs="宋体"/>
          <w:b/>
          <w:bCs/>
          <w:color w:val="auto"/>
          <w:sz w:val="30"/>
          <w:szCs w:val="30"/>
          <w:highlight w:val="none"/>
        </w:rPr>
        <w:br w:type="page"/>
      </w:r>
    </w:p>
    <w:p w14:paraId="6D88E75D">
      <w:pPr>
        <w:pStyle w:val="12"/>
        <w:shd w:val="clear"/>
        <w:jc w:val="center"/>
        <w:outlineLvl w:val="1"/>
        <w:rPr>
          <w:rFonts w:hint="eastAsia" w:ascii="宋体" w:hAnsi="宋体" w:eastAsia="宋体" w:cs="宋体"/>
          <w:b/>
          <w:bCs/>
          <w:color w:val="auto"/>
          <w:sz w:val="28"/>
          <w:szCs w:val="28"/>
          <w:highlight w:val="none"/>
        </w:rPr>
      </w:pPr>
      <w:bookmarkStart w:id="361" w:name="_Toc24133"/>
      <w:bookmarkStart w:id="362" w:name="_Toc12624"/>
      <w:bookmarkStart w:id="363" w:name="_Toc3944"/>
      <w:bookmarkStart w:id="364" w:name="_Toc8189"/>
      <w:bookmarkStart w:id="365" w:name="_Toc31528"/>
      <w:bookmarkStart w:id="366" w:name="_Toc13159"/>
      <w:bookmarkStart w:id="367" w:name="_Toc20777"/>
      <w:bookmarkStart w:id="368" w:name="_Toc19686838"/>
      <w:bookmarkStart w:id="369" w:name="_Toc2566"/>
      <w:bookmarkStart w:id="370" w:name="_Toc6839"/>
      <w:bookmarkStart w:id="371" w:name="_Toc16062"/>
    </w:p>
    <w:p w14:paraId="6E944714">
      <w:pPr>
        <w:pStyle w:val="12"/>
        <w:shd w:val="clear"/>
        <w:jc w:val="center"/>
        <w:outlineLvl w:val="1"/>
        <w:rPr>
          <w:rFonts w:hint="eastAsia" w:ascii="宋体" w:hAnsi="宋体" w:eastAsia="宋体" w:cs="宋体"/>
          <w:b/>
          <w:bCs/>
          <w:color w:val="auto"/>
          <w:sz w:val="28"/>
          <w:szCs w:val="28"/>
          <w:highlight w:val="none"/>
        </w:rPr>
      </w:pPr>
      <w:r>
        <w:rPr>
          <w:rFonts w:hint="eastAsia" w:ascii="宋体" w:hAnsi="宋体" w:eastAsia="宋体" w:cs="宋体"/>
          <w:b/>
          <w:bCs/>
          <w:color w:val="auto"/>
          <w:sz w:val="28"/>
          <w:szCs w:val="28"/>
          <w:highlight w:val="none"/>
        </w:rPr>
        <w:t>第</w:t>
      </w:r>
      <w:r>
        <w:rPr>
          <w:rFonts w:hint="eastAsia" w:ascii="宋体" w:hAnsi="宋体" w:eastAsia="宋体" w:cs="宋体"/>
          <w:b/>
          <w:bCs/>
          <w:color w:val="auto"/>
          <w:sz w:val="28"/>
          <w:szCs w:val="28"/>
          <w:highlight w:val="none"/>
          <w:lang w:eastAsia="zh-CN"/>
        </w:rPr>
        <w:t>二</w:t>
      </w:r>
      <w:r>
        <w:rPr>
          <w:rFonts w:hint="eastAsia" w:ascii="宋体" w:hAnsi="宋体" w:eastAsia="宋体" w:cs="宋体"/>
          <w:b/>
          <w:bCs/>
          <w:color w:val="auto"/>
          <w:sz w:val="28"/>
          <w:szCs w:val="28"/>
          <w:highlight w:val="none"/>
        </w:rPr>
        <w:t>节 商务文件格式</w:t>
      </w:r>
      <w:bookmarkEnd w:id="361"/>
      <w:bookmarkEnd w:id="362"/>
      <w:bookmarkEnd w:id="363"/>
      <w:bookmarkEnd w:id="364"/>
      <w:bookmarkEnd w:id="365"/>
      <w:bookmarkEnd w:id="366"/>
      <w:bookmarkEnd w:id="367"/>
      <w:bookmarkEnd w:id="368"/>
      <w:bookmarkEnd w:id="369"/>
      <w:bookmarkEnd w:id="370"/>
      <w:bookmarkEnd w:id="371"/>
    </w:p>
    <w:p w14:paraId="2EF5F474">
      <w:pPr>
        <w:shd w:val="clear"/>
        <w:snapToGrid w:val="0"/>
        <w:spacing w:before="165" w:beforeLines="50" w:after="50"/>
        <w:rPr>
          <w:rFonts w:hint="eastAsia" w:ascii="宋体" w:hAnsi="宋体" w:eastAsia="宋体" w:cs="宋体"/>
          <w:color w:val="auto"/>
          <w:sz w:val="30"/>
          <w:szCs w:val="20"/>
          <w:highlight w:val="none"/>
        </w:rPr>
      </w:pPr>
    </w:p>
    <w:p w14:paraId="0DA5A4D6">
      <w:pPr>
        <w:pStyle w:val="13"/>
        <w:shd w:val="clear"/>
        <w:rPr>
          <w:rFonts w:hint="eastAsia" w:ascii="宋体" w:hAnsi="宋体" w:eastAsia="宋体" w:cs="宋体"/>
          <w:color w:val="auto"/>
          <w:highlight w:val="none"/>
        </w:rPr>
      </w:pPr>
      <w:r>
        <w:rPr>
          <w:rFonts w:hint="eastAsia" w:ascii="宋体" w:hAnsi="宋体" w:eastAsia="宋体" w:cs="宋体"/>
          <w:b/>
          <w:color w:val="auto"/>
          <w:sz w:val="28"/>
          <w:szCs w:val="28"/>
          <w:highlight w:val="none"/>
          <w:lang w:val="en-US" w:eastAsia="zh-CN"/>
        </w:rPr>
        <w:t>1.</w:t>
      </w:r>
      <w:r>
        <w:rPr>
          <w:rFonts w:hint="eastAsia" w:ascii="宋体" w:hAnsi="宋体" w:eastAsia="宋体" w:cs="宋体"/>
          <w:b/>
          <w:color w:val="auto"/>
          <w:sz w:val="28"/>
          <w:szCs w:val="28"/>
          <w:highlight w:val="none"/>
        </w:rPr>
        <w:t>商务文件封面</w:t>
      </w:r>
      <w:r>
        <w:rPr>
          <w:rFonts w:hint="eastAsia" w:ascii="宋体" w:hAnsi="宋体" w:eastAsia="宋体" w:cs="宋体"/>
          <w:b/>
          <w:color w:val="auto"/>
          <w:sz w:val="28"/>
          <w:szCs w:val="28"/>
          <w:highlight w:val="none"/>
          <w:lang w:eastAsia="zh-CN"/>
        </w:rPr>
        <w:t>的</w:t>
      </w:r>
      <w:r>
        <w:rPr>
          <w:rFonts w:hint="eastAsia" w:ascii="宋体" w:hAnsi="宋体" w:eastAsia="宋体" w:cs="宋体"/>
          <w:b/>
          <w:color w:val="auto"/>
          <w:sz w:val="28"/>
          <w:szCs w:val="28"/>
          <w:highlight w:val="none"/>
        </w:rPr>
        <w:t>格式</w:t>
      </w:r>
      <w:r>
        <w:rPr>
          <w:rFonts w:hint="eastAsia" w:ascii="宋体" w:hAnsi="宋体" w:eastAsia="宋体" w:cs="宋体"/>
          <w:b/>
          <w:bCs/>
          <w:color w:val="auto"/>
          <w:sz w:val="28"/>
          <w:szCs w:val="28"/>
          <w:highlight w:val="none"/>
          <w:lang w:val="en-US" w:eastAsia="zh-CN"/>
        </w:rPr>
        <w:t>（参照此格式自拟）</w:t>
      </w:r>
      <w:r>
        <w:rPr>
          <w:rFonts w:hint="eastAsia" w:ascii="宋体" w:hAnsi="宋体" w:eastAsia="宋体" w:cs="宋体"/>
          <w:b/>
          <w:color w:val="auto"/>
          <w:sz w:val="28"/>
          <w:szCs w:val="28"/>
          <w:highlight w:val="none"/>
        </w:rPr>
        <w:t>：</w:t>
      </w:r>
    </w:p>
    <w:p w14:paraId="20598901">
      <w:pPr>
        <w:shd w:val="clear"/>
        <w:snapToGrid w:val="0"/>
        <w:spacing w:before="165" w:beforeLines="50" w:after="50"/>
        <w:rPr>
          <w:rFonts w:hint="eastAsia" w:ascii="宋体" w:hAnsi="宋体" w:eastAsia="宋体" w:cs="宋体"/>
          <w:bCs/>
          <w:color w:val="auto"/>
          <w:sz w:val="32"/>
          <w:szCs w:val="20"/>
          <w:highlight w:val="none"/>
        </w:rPr>
      </w:pPr>
      <w:r>
        <w:rPr>
          <w:rFonts w:hint="eastAsia" w:ascii="宋体" w:hAnsi="宋体" w:eastAsia="宋体" w:cs="宋体"/>
          <w:color w:val="auto"/>
          <w:sz w:val="24"/>
          <w:highlight w:val="none"/>
        </w:rPr>
        <w:t xml:space="preserve">                                                  </w:t>
      </w:r>
      <w:r>
        <w:rPr>
          <w:rFonts w:hint="eastAsia" w:ascii="宋体" w:hAnsi="宋体" w:eastAsia="宋体" w:cs="宋体"/>
          <w:bCs/>
          <w:color w:val="auto"/>
          <w:highlight w:val="none"/>
        </w:rPr>
        <w:t xml:space="preserve">             电子投标文件</w:t>
      </w:r>
    </w:p>
    <w:p w14:paraId="42E125FE">
      <w:pPr>
        <w:shd w:val="clear"/>
        <w:snapToGrid w:val="0"/>
        <w:spacing w:before="165" w:beforeLines="50" w:after="50"/>
        <w:rPr>
          <w:rFonts w:hint="eastAsia" w:ascii="宋体" w:hAnsi="宋体" w:eastAsia="宋体" w:cs="宋体"/>
          <w:color w:val="auto"/>
          <w:sz w:val="24"/>
          <w:szCs w:val="20"/>
          <w:highlight w:val="none"/>
        </w:rPr>
      </w:pPr>
    </w:p>
    <w:p w14:paraId="1D63ED80">
      <w:pPr>
        <w:shd w:val="clear"/>
        <w:snapToGrid w:val="0"/>
        <w:spacing w:before="165" w:beforeLines="50" w:after="50"/>
        <w:jc w:val="center"/>
        <w:rPr>
          <w:rFonts w:hint="eastAsia" w:ascii="宋体" w:hAnsi="宋体" w:eastAsia="宋体" w:cs="宋体"/>
          <w:b/>
          <w:color w:val="auto"/>
          <w:sz w:val="24"/>
          <w:szCs w:val="20"/>
          <w:highlight w:val="none"/>
        </w:rPr>
      </w:pPr>
      <w:r>
        <w:rPr>
          <w:rFonts w:hint="eastAsia" w:ascii="宋体" w:hAnsi="宋体" w:eastAsia="宋体" w:cs="宋体"/>
          <w:b/>
          <w:color w:val="auto"/>
          <w:sz w:val="32"/>
          <w:szCs w:val="32"/>
          <w:highlight w:val="none"/>
        </w:rPr>
        <w:t>商务文件</w:t>
      </w:r>
    </w:p>
    <w:p w14:paraId="10188A4C">
      <w:pPr>
        <w:shd w:val="clear"/>
        <w:snapToGrid w:val="0"/>
        <w:spacing w:before="165" w:beforeLines="50" w:after="50"/>
        <w:rPr>
          <w:rFonts w:hint="eastAsia" w:ascii="宋体" w:hAnsi="宋体" w:eastAsia="宋体" w:cs="宋体"/>
          <w:bCs/>
          <w:color w:val="auto"/>
          <w:sz w:val="24"/>
          <w:szCs w:val="20"/>
          <w:highlight w:val="none"/>
        </w:rPr>
      </w:pPr>
    </w:p>
    <w:p w14:paraId="7ABE58B4">
      <w:pPr>
        <w:shd w:val="clear"/>
        <w:snapToGrid w:val="0"/>
        <w:spacing w:before="165" w:beforeLines="50" w:after="50"/>
        <w:ind w:firstLine="540" w:firstLineChars="225"/>
        <w:rPr>
          <w:rFonts w:hint="eastAsia" w:ascii="宋体" w:hAnsi="宋体" w:eastAsia="宋体" w:cs="宋体"/>
          <w:bCs/>
          <w:color w:val="auto"/>
          <w:sz w:val="24"/>
          <w:highlight w:val="none"/>
        </w:rPr>
      </w:pPr>
    </w:p>
    <w:p w14:paraId="078A5DA9">
      <w:pPr>
        <w:shd w:val="clear"/>
        <w:snapToGrid w:val="0"/>
        <w:spacing w:before="165" w:beforeLines="50" w:after="50"/>
        <w:ind w:firstLine="540" w:firstLineChars="225"/>
        <w:rPr>
          <w:rFonts w:hint="eastAsia" w:ascii="宋体" w:hAnsi="宋体" w:eastAsia="宋体" w:cs="宋体"/>
          <w:bCs/>
          <w:color w:val="auto"/>
          <w:sz w:val="24"/>
          <w:szCs w:val="20"/>
          <w:highlight w:val="none"/>
        </w:rPr>
      </w:pPr>
      <w:r>
        <w:rPr>
          <w:rFonts w:hint="eastAsia" w:ascii="宋体" w:hAnsi="宋体" w:eastAsia="宋体" w:cs="宋体"/>
          <w:bCs/>
          <w:color w:val="auto"/>
          <w:sz w:val="24"/>
          <w:highlight w:val="none"/>
        </w:rPr>
        <w:t>项目名称：</w:t>
      </w:r>
    </w:p>
    <w:p w14:paraId="7245C9A5">
      <w:pPr>
        <w:shd w:val="clear"/>
        <w:snapToGrid w:val="0"/>
        <w:spacing w:before="165" w:beforeLines="50" w:after="50"/>
        <w:ind w:firstLine="540" w:firstLineChars="225"/>
        <w:rPr>
          <w:rFonts w:hint="eastAsia" w:ascii="宋体" w:hAnsi="宋体" w:eastAsia="宋体" w:cs="宋体"/>
          <w:bCs/>
          <w:color w:val="auto"/>
          <w:sz w:val="24"/>
          <w:szCs w:val="20"/>
          <w:highlight w:val="none"/>
        </w:rPr>
      </w:pPr>
      <w:r>
        <w:rPr>
          <w:rFonts w:hint="eastAsia" w:ascii="宋体" w:hAnsi="宋体" w:eastAsia="宋体" w:cs="宋体"/>
          <w:bCs/>
          <w:color w:val="auto"/>
          <w:sz w:val="24"/>
          <w:highlight w:val="none"/>
        </w:rPr>
        <w:t xml:space="preserve">项目编号： </w:t>
      </w:r>
    </w:p>
    <w:p w14:paraId="6A61960B">
      <w:pPr>
        <w:shd w:val="clear"/>
        <w:snapToGrid w:val="0"/>
        <w:spacing w:before="165" w:beforeLines="50" w:after="50"/>
        <w:ind w:firstLine="540" w:firstLineChars="225"/>
        <w:rPr>
          <w:rFonts w:hint="eastAsia" w:ascii="宋体" w:hAnsi="宋体" w:eastAsia="宋体" w:cs="宋体"/>
          <w:bCs/>
          <w:color w:val="auto"/>
          <w:sz w:val="24"/>
          <w:highlight w:val="none"/>
        </w:rPr>
      </w:pPr>
      <w:r>
        <w:rPr>
          <w:rFonts w:hint="eastAsia" w:ascii="宋体" w:hAnsi="宋体" w:eastAsia="宋体" w:cs="宋体"/>
          <w:bCs/>
          <w:color w:val="auto"/>
          <w:sz w:val="24"/>
          <w:highlight w:val="none"/>
        </w:rPr>
        <w:t>所投分标（如有则填写，无分标时填写“无”或者留空）：</w:t>
      </w:r>
    </w:p>
    <w:p w14:paraId="2FD0B3C1">
      <w:pPr>
        <w:shd w:val="clear"/>
        <w:snapToGrid w:val="0"/>
        <w:spacing w:before="165" w:beforeLines="50" w:after="50"/>
        <w:ind w:firstLine="540" w:firstLineChars="225"/>
        <w:rPr>
          <w:rFonts w:hint="eastAsia" w:ascii="宋体" w:hAnsi="宋体" w:eastAsia="宋体" w:cs="宋体"/>
          <w:bCs/>
          <w:color w:val="auto"/>
          <w:sz w:val="24"/>
          <w:szCs w:val="20"/>
          <w:highlight w:val="none"/>
        </w:rPr>
      </w:pPr>
    </w:p>
    <w:p w14:paraId="398EC132">
      <w:pPr>
        <w:pStyle w:val="6"/>
        <w:shd w:val="clear"/>
        <w:snapToGrid w:val="0"/>
        <w:spacing w:before="50" w:after="50"/>
        <w:ind w:firstLine="540" w:firstLineChars="225"/>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投标人名称：</w:t>
      </w:r>
    </w:p>
    <w:p w14:paraId="48A30F65">
      <w:pPr>
        <w:pStyle w:val="6"/>
        <w:shd w:val="clear"/>
        <w:snapToGrid w:val="0"/>
        <w:spacing w:before="50" w:after="50"/>
        <w:ind w:firstLine="540" w:firstLineChars="225"/>
        <w:rPr>
          <w:rFonts w:hint="eastAsia" w:ascii="宋体" w:hAnsi="宋体" w:eastAsia="宋体" w:cs="宋体"/>
          <w:bCs/>
          <w:color w:val="auto"/>
          <w:sz w:val="24"/>
          <w:szCs w:val="24"/>
          <w:highlight w:val="none"/>
        </w:rPr>
      </w:pPr>
    </w:p>
    <w:p w14:paraId="7DD0E14A">
      <w:pPr>
        <w:pStyle w:val="6"/>
        <w:shd w:val="clear"/>
        <w:snapToGrid w:val="0"/>
        <w:spacing w:before="50" w:after="50"/>
        <w:ind w:firstLine="960" w:firstLineChars="400"/>
        <w:rPr>
          <w:rFonts w:hint="eastAsia" w:ascii="宋体" w:hAnsi="宋体" w:eastAsia="宋体" w:cs="宋体"/>
          <w:bCs/>
          <w:color w:val="auto"/>
          <w:sz w:val="24"/>
          <w:szCs w:val="24"/>
          <w:highlight w:val="none"/>
        </w:rPr>
      </w:pPr>
    </w:p>
    <w:p w14:paraId="634C6686">
      <w:pPr>
        <w:shd w:val="clear"/>
        <w:snapToGrid w:val="0"/>
        <w:spacing w:before="165" w:beforeLines="50" w:after="50"/>
        <w:ind w:firstLine="645"/>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rPr>
        <w:t xml:space="preserve">                       </w:t>
      </w:r>
      <w:r>
        <w:rPr>
          <w:rFonts w:hint="eastAsia" w:ascii="宋体" w:hAnsi="宋体" w:eastAsia="宋体" w:cs="宋体"/>
          <w:color w:val="auto"/>
          <w:sz w:val="24"/>
          <w:highlight w:val="none"/>
          <w:lang w:val="en-US" w:eastAsia="zh-CN"/>
        </w:rPr>
        <w:t xml:space="preserve">      </w:t>
      </w:r>
    </w:p>
    <w:p w14:paraId="1D3E2311">
      <w:pPr>
        <w:shd w:val="clear"/>
        <w:snapToGrid w:val="0"/>
        <w:spacing w:before="165" w:beforeLines="50" w:after="50"/>
        <w:ind w:firstLine="645"/>
        <w:rPr>
          <w:rFonts w:hint="eastAsia" w:ascii="宋体" w:hAnsi="宋体" w:eastAsia="宋体" w:cs="宋体"/>
          <w:color w:val="auto"/>
          <w:sz w:val="24"/>
          <w:highlight w:val="none"/>
          <w:lang w:val="en-US" w:eastAsia="zh-CN"/>
        </w:rPr>
      </w:pPr>
    </w:p>
    <w:p w14:paraId="0BD244C0">
      <w:pPr>
        <w:shd w:val="clear"/>
        <w:snapToGrid w:val="0"/>
        <w:spacing w:before="165" w:beforeLines="50" w:after="50"/>
        <w:ind w:firstLine="645"/>
        <w:rPr>
          <w:rFonts w:hint="eastAsia" w:ascii="宋体" w:hAnsi="宋体" w:eastAsia="宋体" w:cs="宋体"/>
          <w:color w:val="auto"/>
          <w:sz w:val="24"/>
          <w:highlight w:val="none"/>
          <w:lang w:val="en-US" w:eastAsia="zh-CN"/>
        </w:rPr>
      </w:pPr>
    </w:p>
    <w:p w14:paraId="1EBE03FE">
      <w:pPr>
        <w:shd w:val="clear"/>
        <w:snapToGrid w:val="0"/>
        <w:spacing w:before="165" w:beforeLines="50" w:after="50"/>
        <w:ind w:firstLine="645"/>
        <w:rPr>
          <w:rFonts w:hint="eastAsia" w:ascii="宋体" w:hAnsi="宋体" w:eastAsia="宋体" w:cs="宋体"/>
          <w:color w:val="auto"/>
          <w:sz w:val="24"/>
          <w:highlight w:val="none"/>
          <w:lang w:val="en-US" w:eastAsia="zh-CN"/>
        </w:rPr>
      </w:pPr>
    </w:p>
    <w:p w14:paraId="4B35E801">
      <w:pPr>
        <w:shd w:val="clear"/>
        <w:snapToGrid w:val="0"/>
        <w:spacing w:before="165" w:beforeLines="50" w:after="50"/>
        <w:ind w:firstLine="645"/>
        <w:rPr>
          <w:rFonts w:hint="eastAsia" w:ascii="宋体" w:hAnsi="宋体" w:eastAsia="宋体" w:cs="宋体"/>
          <w:color w:val="auto"/>
          <w:sz w:val="24"/>
          <w:highlight w:val="none"/>
          <w:lang w:val="en-US" w:eastAsia="zh-CN"/>
        </w:rPr>
      </w:pPr>
    </w:p>
    <w:p w14:paraId="1EAEDD75">
      <w:pPr>
        <w:shd w:val="clear"/>
        <w:snapToGrid w:val="0"/>
        <w:spacing w:before="165" w:beforeLines="50" w:after="50"/>
        <w:ind w:firstLine="4329" w:firstLineChars="1804"/>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 年  月  日</w:t>
      </w:r>
    </w:p>
    <w:p w14:paraId="720F6A7F">
      <w:pPr>
        <w:shd w:val="clear"/>
        <w:spacing w:line="360" w:lineRule="auto"/>
        <w:ind w:right="420"/>
        <w:rPr>
          <w:rFonts w:hint="eastAsia" w:ascii="宋体" w:hAnsi="宋体" w:eastAsia="宋体" w:cs="宋体"/>
          <w:b/>
          <w:color w:val="auto"/>
          <w:kern w:val="0"/>
          <w:sz w:val="36"/>
          <w:szCs w:val="36"/>
          <w:highlight w:val="none"/>
        </w:rPr>
      </w:pPr>
      <w:r>
        <w:rPr>
          <w:rFonts w:hint="eastAsia" w:ascii="宋体" w:hAnsi="宋体" w:eastAsia="宋体" w:cs="宋体"/>
          <w:color w:val="auto"/>
          <w:sz w:val="24"/>
          <w:szCs w:val="20"/>
          <w:highlight w:val="none"/>
        </w:rPr>
        <w:t xml:space="preserve"> </w:t>
      </w:r>
    </w:p>
    <w:p w14:paraId="4B2959E6">
      <w:pPr>
        <w:shd w:val="clear"/>
        <w:rPr>
          <w:rFonts w:hint="eastAsia" w:ascii="宋体" w:hAnsi="宋体" w:eastAsia="宋体" w:cs="宋体"/>
          <w:b/>
          <w:color w:val="auto"/>
          <w:kern w:val="0"/>
          <w:sz w:val="24"/>
          <w:highlight w:val="none"/>
        </w:rPr>
      </w:pPr>
      <w:r>
        <w:rPr>
          <w:rFonts w:hint="eastAsia" w:ascii="宋体" w:hAnsi="宋体" w:eastAsia="宋体" w:cs="宋体"/>
          <w:b/>
          <w:color w:val="auto"/>
          <w:kern w:val="0"/>
          <w:sz w:val="24"/>
          <w:highlight w:val="none"/>
        </w:rPr>
        <w:br w:type="page"/>
      </w:r>
    </w:p>
    <w:p w14:paraId="0CAA42A7">
      <w:pPr>
        <w:shd w:val="clear"/>
        <w:spacing w:line="360" w:lineRule="auto"/>
        <w:ind w:right="420"/>
        <w:rPr>
          <w:rFonts w:hint="eastAsia" w:ascii="宋体" w:hAnsi="宋体" w:eastAsia="宋体" w:cs="宋体"/>
          <w:color w:val="auto"/>
          <w:sz w:val="24"/>
          <w:szCs w:val="20"/>
          <w:highlight w:val="none"/>
        </w:rPr>
      </w:pPr>
      <w:r>
        <w:rPr>
          <w:rFonts w:hint="eastAsia" w:ascii="宋体" w:hAnsi="宋体" w:eastAsia="宋体" w:cs="宋体"/>
          <w:b/>
          <w:bCs/>
          <w:color w:val="auto"/>
          <w:sz w:val="28"/>
          <w:szCs w:val="28"/>
          <w:highlight w:val="none"/>
          <w:lang w:val="en-US"/>
        </w:rPr>
        <w:t>2</w:t>
      </w:r>
      <w:r>
        <w:rPr>
          <w:rFonts w:hint="eastAsia" w:ascii="宋体" w:hAnsi="宋体" w:eastAsia="宋体" w:cs="宋体"/>
          <w:b/>
          <w:bCs/>
          <w:color w:val="auto"/>
          <w:sz w:val="28"/>
          <w:szCs w:val="28"/>
          <w:highlight w:val="none"/>
        </w:rPr>
        <w:t>.商务文件目录</w:t>
      </w:r>
    </w:p>
    <w:p w14:paraId="10781C61">
      <w:pPr>
        <w:shd w:val="clear"/>
        <w:snapToGrid/>
        <w:spacing w:before="0" w:beforeLines="-2147483648" w:after="0"/>
        <w:ind w:left="0"/>
        <w:jc w:val="left"/>
        <w:rPr>
          <w:rFonts w:hint="eastAsia" w:ascii="宋体" w:hAnsi="宋体" w:eastAsia="宋体" w:cs="宋体"/>
          <w:b/>
          <w:bCs/>
          <w:color w:val="auto"/>
          <w:sz w:val="30"/>
          <w:szCs w:val="30"/>
          <w:highlight w:val="none"/>
        </w:rPr>
      </w:pPr>
      <w:r>
        <w:rPr>
          <w:rFonts w:hint="eastAsia" w:ascii="宋体" w:hAnsi="宋体" w:eastAsia="宋体" w:cs="宋体"/>
          <w:color w:val="auto"/>
          <w:kern w:val="0"/>
          <w:sz w:val="24"/>
          <w:highlight w:val="none"/>
        </w:rPr>
        <w:t>根据招标文件规定及投标人提供的材料自行编写目录（部分格式后附）。</w:t>
      </w:r>
      <w:r>
        <w:rPr>
          <w:rFonts w:hint="eastAsia" w:ascii="宋体" w:hAnsi="宋体" w:eastAsia="宋体" w:cs="宋体"/>
          <w:b/>
          <w:bCs/>
          <w:color w:val="auto"/>
          <w:sz w:val="30"/>
          <w:szCs w:val="30"/>
          <w:highlight w:val="none"/>
        </w:rPr>
        <w:br w:type="page"/>
      </w:r>
    </w:p>
    <w:p w14:paraId="36DFF93C">
      <w:pPr>
        <w:shd w:val="clear"/>
        <w:snapToGrid w:val="0"/>
        <w:spacing w:before="120" w:beforeLines="50" w:after="50"/>
        <w:ind w:left="0"/>
        <w:jc w:val="both"/>
        <w:rPr>
          <w:rFonts w:hint="eastAsia" w:ascii="宋体" w:hAnsi="宋体" w:eastAsia="宋体" w:cs="宋体"/>
          <w:b/>
          <w:bCs/>
          <w:color w:val="auto"/>
          <w:sz w:val="30"/>
          <w:szCs w:val="30"/>
          <w:highlight w:val="none"/>
        </w:rPr>
      </w:pPr>
      <w:r>
        <w:rPr>
          <w:rFonts w:hint="eastAsia" w:ascii="宋体" w:hAnsi="宋体" w:eastAsia="宋体" w:cs="宋体"/>
          <w:b/>
          <w:bCs/>
          <w:color w:val="auto"/>
          <w:sz w:val="28"/>
          <w:szCs w:val="28"/>
          <w:highlight w:val="none"/>
          <w:lang w:val="en-US" w:eastAsia="zh-CN"/>
        </w:rPr>
        <w:t>3.</w:t>
      </w:r>
      <w:r>
        <w:rPr>
          <w:rFonts w:hint="eastAsia" w:ascii="宋体" w:hAnsi="宋体" w:eastAsia="宋体" w:cs="宋体"/>
          <w:b/>
          <w:bCs/>
          <w:color w:val="auto"/>
          <w:sz w:val="28"/>
          <w:szCs w:val="28"/>
          <w:highlight w:val="none"/>
          <w:lang w:eastAsia="zh-CN"/>
        </w:rPr>
        <w:t>无串通投标行为的承诺函的格式：</w:t>
      </w:r>
    </w:p>
    <w:p w14:paraId="259210F8">
      <w:pPr>
        <w:shd w:val="clear"/>
        <w:snapToGrid w:val="0"/>
        <w:spacing w:before="120" w:beforeLines="50" w:after="50"/>
        <w:ind w:left="420"/>
        <w:jc w:val="center"/>
        <w:rPr>
          <w:rFonts w:hint="eastAsia" w:ascii="宋体" w:hAnsi="宋体" w:eastAsia="宋体" w:cs="宋体"/>
          <w:b/>
          <w:color w:val="auto"/>
          <w:sz w:val="32"/>
          <w:szCs w:val="32"/>
          <w:highlight w:val="none"/>
        </w:rPr>
      </w:pPr>
    </w:p>
    <w:p w14:paraId="00545308">
      <w:pPr>
        <w:shd w:val="clear"/>
        <w:snapToGrid w:val="0"/>
        <w:spacing w:before="120" w:beforeLines="50" w:after="50"/>
        <w:ind w:left="420"/>
        <w:jc w:val="center"/>
        <w:rPr>
          <w:rFonts w:hint="eastAsia" w:ascii="宋体" w:hAnsi="宋体" w:eastAsia="宋体" w:cs="宋体"/>
          <w:b/>
          <w:color w:val="auto"/>
          <w:sz w:val="32"/>
          <w:szCs w:val="32"/>
          <w:highlight w:val="none"/>
        </w:rPr>
      </w:pPr>
      <w:r>
        <w:rPr>
          <w:rFonts w:hint="eastAsia" w:ascii="宋体" w:hAnsi="宋体" w:eastAsia="宋体" w:cs="宋体"/>
          <w:b/>
          <w:color w:val="auto"/>
          <w:sz w:val="32"/>
          <w:szCs w:val="32"/>
          <w:highlight w:val="none"/>
        </w:rPr>
        <w:t>参加本项目无</w:t>
      </w:r>
      <w:r>
        <w:rPr>
          <w:rFonts w:hint="eastAsia" w:ascii="宋体" w:hAnsi="宋体" w:eastAsia="宋体" w:cs="宋体"/>
          <w:b/>
          <w:bCs/>
          <w:color w:val="auto"/>
          <w:sz w:val="32"/>
          <w:szCs w:val="32"/>
          <w:highlight w:val="none"/>
          <w:lang w:eastAsia="zh-CN"/>
        </w:rPr>
        <w:t>串通投</w:t>
      </w:r>
      <w:r>
        <w:rPr>
          <w:rFonts w:hint="eastAsia" w:ascii="宋体" w:hAnsi="宋体" w:eastAsia="宋体" w:cs="宋体"/>
          <w:b/>
          <w:color w:val="auto"/>
          <w:sz w:val="32"/>
          <w:szCs w:val="32"/>
          <w:highlight w:val="none"/>
        </w:rPr>
        <w:t>标行为的承诺函</w:t>
      </w:r>
    </w:p>
    <w:p w14:paraId="4AC0AA75">
      <w:pPr>
        <w:shd w:val="clear"/>
        <w:snapToGrid w:val="0"/>
        <w:spacing w:before="120" w:beforeLines="50" w:after="50"/>
        <w:rPr>
          <w:rFonts w:hint="eastAsia" w:ascii="宋体" w:hAnsi="宋体" w:eastAsia="宋体" w:cs="宋体"/>
          <w:b/>
          <w:color w:val="auto"/>
          <w:szCs w:val="21"/>
          <w:highlight w:val="none"/>
        </w:rPr>
      </w:pPr>
    </w:p>
    <w:p w14:paraId="73358835">
      <w:pPr>
        <w:shd w:val="clear"/>
        <w:snapToGrid w:val="0"/>
        <w:spacing w:before="120" w:beforeLines="50" w:after="50" w:line="360" w:lineRule="auto"/>
        <w:jc w:val="left"/>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一、我方承诺无下列相互串通投标的情形：</w:t>
      </w:r>
    </w:p>
    <w:p w14:paraId="4C23919D">
      <w:pPr>
        <w:shd w:val="clear"/>
        <w:snapToGrid w:val="0"/>
        <w:spacing w:before="120" w:beforeLines="50" w:after="50" w:line="360" w:lineRule="auto"/>
        <w:ind w:firstLine="411" w:firstLineChars="196"/>
        <w:jc w:val="left"/>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rPr>
        <w:t>1.不同投标人的投标文件由同一单位或者个人编制；</w:t>
      </w:r>
      <w:r>
        <w:rPr>
          <w:rFonts w:hint="eastAsia" w:ascii="宋体" w:hAnsi="宋体" w:eastAsia="宋体" w:cs="宋体"/>
          <w:b w:val="0"/>
          <w:color w:val="auto"/>
          <w:szCs w:val="21"/>
          <w:highlight w:val="none"/>
        </w:rPr>
        <w:t>或者不同投标人报名的IP地址一致的；</w:t>
      </w:r>
    </w:p>
    <w:p w14:paraId="45664993">
      <w:pPr>
        <w:shd w:val="clear"/>
        <w:snapToGrid w:val="0"/>
        <w:spacing w:before="120" w:beforeLines="50" w:after="50" w:line="360" w:lineRule="auto"/>
        <w:ind w:firstLine="411" w:firstLineChars="196"/>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2.不同投标人委托同一单位或者个人办理投标事宜；</w:t>
      </w:r>
    </w:p>
    <w:p w14:paraId="6764B0A4">
      <w:pPr>
        <w:shd w:val="clear"/>
        <w:snapToGrid w:val="0"/>
        <w:spacing w:before="120" w:beforeLines="50" w:after="50" w:line="360" w:lineRule="auto"/>
        <w:ind w:firstLine="411" w:firstLineChars="196"/>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3.不同的投标人的投标文件载明的项目管理员为同一个人；</w:t>
      </w:r>
    </w:p>
    <w:p w14:paraId="27048A2A">
      <w:pPr>
        <w:shd w:val="clear"/>
        <w:snapToGrid w:val="0"/>
        <w:spacing w:before="120" w:beforeLines="50" w:after="50" w:line="360" w:lineRule="auto"/>
        <w:ind w:firstLine="411" w:firstLineChars="196"/>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4.不同投标人的投标文件异常一致或者投标报价呈规律性差异；</w:t>
      </w:r>
    </w:p>
    <w:p w14:paraId="58F8A589">
      <w:pPr>
        <w:shd w:val="clear"/>
        <w:snapToGrid w:val="0"/>
        <w:spacing w:before="120" w:beforeLines="50" w:after="50" w:line="360" w:lineRule="auto"/>
        <w:ind w:firstLine="411" w:firstLineChars="196"/>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5.不同投标人的投标文件相互混装；</w:t>
      </w:r>
    </w:p>
    <w:p w14:paraId="272CEE63">
      <w:pPr>
        <w:shd w:val="clear"/>
        <w:snapToGrid w:val="0"/>
        <w:spacing w:before="120" w:beforeLines="50" w:after="50" w:line="360" w:lineRule="auto"/>
        <w:ind w:firstLine="411" w:firstLineChars="196"/>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rPr>
        <w:t>6</w:t>
      </w:r>
      <w:r>
        <w:rPr>
          <w:rFonts w:hint="eastAsia" w:ascii="宋体" w:hAnsi="宋体" w:eastAsia="宋体" w:cs="宋体"/>
          <w:color w:val="auto"/>
          <w:szCs w:val="21"/>
          <w:highlight w:val="none"/>
        </w:rPr>
        <w:t>.不同投标人的投标保证金从同一单位或者个人账户转出。</w:t>
      </w:r>
    </w:p>
    <w:p w14:paraId="0F95793B">
      <w:pPr>
        <w:shd w:val="clear"/>
        <w:snapToGrid w:val="0"/>
        <w:spacing w:before="120" w:beforeLines="50" w:after="50" w:line="360" w:lineRule="auto"/>
        <w:jc w:val="left"/>
        <w:rPr>
          <w:rFonts w:hint="eastAsia" w:ascii="宋体" w:hAnsi="宋体" w:eastAsia="宋体" w:cs="宋体"/>
          <w:color w:val="auto"/>
          <w:szCs w:val="21"/>
          <w:highlight w:val="none"/>
        </w:rPr>
      </w:pPr>
      <w:r>
        <w:rPr>
          <w:rFonts w:hint="eastAsia" w:ascii="宋体" w:hAnsi="宋体" w:eastAsia="宋体" w:cs="宋体"/>
          <w:b/>
          <w:color w:val="auto"/>
          <w:szCs w:val="21"/>
          <w:highlight w:val="none"/>
        </w:rPr>
        <w:t>二、我方承诺无下列恶意串通的情形：</w:t>
      </w:r>
    </w:p>
    <w:p w14:paraId="5B1EB2C0">
      <w:pPr>
        <w:shd w:val="clear"/>
        <w:snapToGrid w:val="0"/>
        <w:spacing w:before="120" w:beforeLines="50" w:after="50" w:line="360" w:lineRule="auto"/>
        <w:ind w:firstLine="411" w:firstLineChars="196"/>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1.投标人直接或者间接从采购人或者采购代理机构处获得其他投标人的相关信息并修改其投标文件；</w:t>
      </w:r>
    </w:p>
    <w:p w14:paraId="085A86B3">
      <w:pPr>
        <w:shd w:val="clear"/>
        <w:snapToGrid w:val="0"/>
        <w:spacing w:before="120" w:beforeLines="50" w:after="50" w:line="360" w:lineRule="auto"/>
        <w:ind w:firstLine="411" w:firstLineChars="196"/>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2.投标人按照采购人或者采购代理机构的授意撤换、修改投标文件；</w:t>
      </w:r>
    </w:p>
    <w:p w14:paraId="0928058D">
      <w:pPr>
        <w:shd w:val="clear"/>
        <w:snapToGrid w:val="0"/>
        <w:spacing w:before="120" w:beforeLines="50" w:after="50" w:line="360" w:lineRule="auto"/>
        <w:ind w:firstLine="411" w:firstLineChars="196"/>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3.投标人之间协商报价、技术方案等投标文件的实质性内容；</w:t>
      </w:r>
    </w:p>
    <w:p w14:paraId="6725C189">
      <w:pPr>
        <w:shd w:val="clear"/>
        <w:snapToGrid w:val="0"/>
        <w:spacing w:before="120" w:beforeLines="50" w:after="50" w:line="360" w:lineRule="auto"/>
        <w:ind w:firstLine="411" w:firstLineChars="196"/>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4.属于同一集团、协会、商会等组织成员的投标人按照该组织要求协同参加政府采购活动；</w:t>
      </w:r>
    </w:p>
    <w:p w14:paraId="55F2BCA2">
      <w:pPr>
        <w:shd w:val="clear"/>
        <w:snapToGrid w:val="0"/>
        <w:spacing w:before="120" w:beforeLines="50" w:after="50" w:line="360" w:lineRule="auto"/>
        <w:ind w:firstLine="411" w:firstLineChars="196"/>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5.投标人之间事先约定一致抬高或者压低投标报价，或者在招标项目中事先约定轮流以高价位或者低价位中标，或者事先约定由某一特定投标人中标，然后再参加投标；</w:t>
      </w:r>
    </w:p>
    <w:p w14:paraId="457DBD48">
      <w:pPr>
        <w:shd w:val="clear"/>
        <w:snapToGrid w:val="0"/>
        <w:spacing w:before="120" w:beforeLines="50" w:after="50" w:line="360" w:lineRule="auto"/>
        <w:ind w:firstLine="411" w:firstLineChars="196"/>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6.投标人之间商定部分投标人放弃参加政府采购活动或者放弃中标；</w:t>
      </w:r>
    </w:p>
    <w:p w14:paraId="2C1A91E8">
      <w:pPr>
        <w:shd w:val="clear"/>
        <w:snapToGrid w:val="0"/>
        <w:spacing w:before="120" w:beforeLines="50" w:after="50" w:line="360" w:lineRule="auto"/>
        <w:ind w:firstLine="411" w:firstLineChars="196"/>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7.投标人与采购人或者采购代理机构之间、投标人相互之间，为谋求特定投标人中标或者排斥其他投标人的其他串通行为。</w:t>
      </w:r>
    </w:p>
    <w:p w14:paraId="1AD8D73B">
      <w:pPr>
        <w:shd w:val="clear"/>
        <w:snapToGrid w:val="0"/>
        <w:spacing w:before="120" w:beforeLines="50" w:after="50" w:line="360" w:lineRule="auto"/>
        <w:ind w:firstLine="413" w:firstLineChars="196"/>
        <w:jc w:val="left"/>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以上情形一经核查属实，接受政府采购监管部门对我方认定存在围标串标行为，我方愿意承担一切后果，并不再寻求任何旨在减轻或者免除法律责任的辩解。</w:t>
      </w:r>
    </w:p>
    <w:p w14:paraId="288A5378">
      <w:pPr>
        <w:pStyle w:val="9"/>
        <w:shd w:val="clear"/>
        <w:rPr>
          <w:rFonts w:hint="eastAsia" w:ascii="宋体" w:hAnsi="宋体" w:eastAsia="宋体" w:cs="宋体"/>
          <w:color w:val="auto"/>
          <w:highlight w:val="none"/>
          <w:lang w:eastAsia="zh-CN"/>
        </w:rPr>
      </w:pPr>
    </w:p>
    <w:p w14:paraId="28C49D8D">
      <w:pPr>
        <w:shd w:val="clear"/>
        <w:snapToGrid w:val="0"/>
        <w:spacing w:line="360" w:lineRule="auto"/>
        <w:ind w:firstLine="4935" w:firstLineChars="2350"/>
        <w:rPr>
          <w:rFonts w:hint="eastAsia" w:ascii="宋体" w:hAnsi="宋体" w:eastAsia="宋体" w:cs="宋体"/>
          <w:color w:val="auto"/>
          <w:kern w:val="0"/>
          <w:sz w:val="24"/>
          <w:highlight w:val="none"/>
        </w:rPr>
      </w:pPr>
      <w:r>
        <w:rPr>
          <w:rFonts w:hint="eastAsia" w:ascii="宋体" w:hAnsi="宋体" w:eastAsia="宋体" w:cs="宋体"/>
          <w:color w:val="auto"/>
          <w:szCs w:val="21"/>
          <w:highlight w:val="none"/>
        </w:rPr>
        <w:t xml:space="preserve">  </w:t>
      </w:r>
      <w:r>
        <w:rPr>
          <w:rFonts w:hint="eastAsia" w:ascii="宋体" w:hAnsi="宋体" w:eastAsia="宋体" w:cs="宋体"/>
          <w:color w:val="auto"/>
          <w:kern w:val="0"/>
          <w:sz w:val="24"/>
          <w:highlight w:val="none"/>
          <w:lang w:val="zh-CN"/>
        </w:rPr>
        <w:t>投标人名称(盖公章)：</w:t>
      </w:r>
    </w:p>
    <w:p w14:paraId="6F50182E">
      <w:pPr>
        <w:shd w:val="clear"/>
        <w:snapToGrid w:val="0"/>
        <w:spacing w:line="360" w:lineRule="auto"/>
        <w:ind w:firstLine="5160" w:firstLineChars="2150"/>
        <w:rPr>
          <w:rFonts w:hint="eastAsia" w:ascii="宋体" w:hAnsi="宋体" w:eastAsia="宋体" w:cs="宋体"/>
          <w:color w:val="auto"/>
          <w:kern w:val="0"/>
          <w:sz w:val="24"/>
          <w:highlight w:val="none"/>
          <w:lang w:val="zh-CN"/>
        </w:rPr>
      </w:pPr>
      <w:r>
        <w:rPr>
          <w:rFonts w:hint="eastAsia" w:ascii="宋体" w:hAnsi="宋体" w:eastAsia="宋体" w:cs="宋体"/>
          <w:color w:val="auto"/>
          <w:kern w:val="0"/>
          <w:sz w:val="24"/>
          <w:highlight w:val="none"/>
          <w:lang w:val="zh-CN"/>
        </w:rPr>
        <w:t>日期</w:t>
      </w:r>
      <w:r>
        <w:rPr>
          <w:rFonts w:hint="eastAsia" w:ascii="宋体" w:hAnsi="宋体" w:eastAsia="宋体" w:cs="宋体"/>
          <w:color w:val="auto"/>
          <w:kern w:val="0"/>
          <w:sz w:val="24"/>
          <w:highlight w:val="none"/>
        </w:rPr>
        <w:t xml:space="preserve">：  年  </w:t>
      </w:r>
      <w:r>
        <w:rPr>
          <w:rFonts w:hint="eastAsia" w:ascii="宋体" w:hAnsi="宋体" w:eastAsia="宋体" w:cs="宋体"/>
          <w:color w:val="auto"/>
          <w:kern w:val="0"/>
          <w:sz w:val="24"/>
          <w:highlight w:val="none"/>
          <w:lang w:val="zh-CN"/>
        </w:rPr>
        <w:t>月</w:t>
      </w:r>
      <w:r>
        <w:rPr>
          <w:rFonts w:hint="eastAsia" w:ascii="宋体" w:hAnsi="宋体" w:eastAsia="宋体" w:cs="宋体"/>
          <w:color w:val="auto"/>
          <w:kern w:val="0"/>
          <w:sz w:val="24"/>
          <w:highlight w:val="none"/>
        </w:rPr>
        <w:t xml:space="preserve">   </w:t>
      </w:r>
      <w:r>
        <w:rPr>
          <w:rFonts w:hint="eastAsia" w:ascii="宋体" w:hAnsi="宋体" w:eastAsia="宋体" w:cs="宋体"/>
          <w:color w:val="auto"/>
          <w:kern w:val="0"/>
          <w:sz w:val="24"/>
          <w:highlight w:val="none"/>
          <w:lang w:val="zh-CN"/>
        </w:rPr>
        <w:t>日</w:t>
      </w:r>
    </w:p>
    <w:p w14:paraId="4AC54BDB">
      <w:pPr>
        <w:pStyle w:val="12"/>
        <w:shd w:val="clear"/>
        <w:snapToGrid w:val="0"/>
        <w:spacing w:before="295" w:after="295" w:line="360" w:lineRule="auto"/>
        <w:jc w:val="both"/>
        <w:rPr>
          <w:rFonts w:hint="eastAsia" w:ascii="宋体" w:hAnsi="宋体" w:eastAsia="宋体" w:cs="宋体"/>
          <w:b/>
          <w:color w:val="auto"/>
          <w:sz w:val="24"/>
          <w:highlight w:val="none"/>
        </w:rPr>
      </w:pPr>
      <w:r>
        <w:rPr>
          <w:rFonts w:hint="eastAsia" w:ascii="宋体" w:hAnsi="宋体" w:eastAsia="宋体" w:cs="宋体"/>
          <w:b/>
          <w:color w:val="auto"/>
          <w:sz w:val="24"/>
          <w:highlight w:val="none"/>
        </w:rPr>
        <w:br w:type="page"/>
      </w:r>
      <w:r>
        <w:rPr>
          <w:rFonts w:hint="eastAsia" w:ascii="宋体" w:hAnsi="宋体" w:eastAsia="宋体" w:cs="宋体"/>
          <w:b/>
          <w:bCs/>
          <w:color w:val="auto"/>
          <w:sz w:val="28"/>
          <w:szCs w:val="28"/>
          <w:highlight w:val="none"/>
          <w:lang w:val="en-US" w:eastAsia="zh-CN"/>
        </w:rPr>
        <w:t>4.</w:t>
      </w:r>
      <w:r>
        <w:rPr>
          <w:rFonts w:hint="eastAsia" w:ascii="宋体" w:hAnsi="宋体" w:eastAsia="宋体" w:cs="宋体"/>
          <w:b/>
          <w:bCs/>
          <w:color w:val="auto"/>
          <w:sz w:val="28"/>
          <w:szCs w:val="28"/>
          <w:highlight w:val="none"/>
        </w:rPr>
        <w:t>法定代表人身份证明</w:t>
      </w:r>
      <w:r>
        <w:rPr>
          <w:rFonts w:hint="eastAsia" w:ascii="宋体" w:hAnsi="宋体" w:eastAsia="宋体" w:cs="宋体"/>
          <w:b/>
          <w:bCs/>
          <w:color w:val="auto"/>
          <w:sz w:val="28"/>
          <w:szCs w:val="28"/>
          <w:highlight w:val="none"/>
          <w:lang w:eastAsia="zh-CN"/>
        </w:rPr>
        <w:t>的格式：</w:t>
      </w:r>
    </w:p>
    <w:p w14:paraId="34E8FAAF">
      <w:pPr>
        <w:shd w:val="clear"/>
        <w:spacing w:before="240" w:beforeLines="100" w:after="120" w:afterLines="50"/>
        <w:ind w:left="540"/>
        <w:jc w:val="center"/>
        <w:rPr>
          <w:rFonts w:hint="eastAsia" w:ascii="宋体" w:hAnsi="宋体" w:eastAsia="宋体" w:cs="宋体"/>
          <w:b/>
          <w:color w:val="auto"/>
          <w:sz w:val="32"/>
          <w:szCs w:val="32"/>
          <w:highlight w:val="none"/>
        </w:rPr>
      </w:pPr>
    </w:p>
    <w:p w14:paraId="0020A1A6">
      <w:pPr>
        <w:shd w:val="clear"/>
        <w:spacing w:before="240" w:beforeLines="100" w:after="120" w:afterLines="50"/>
        <w:ind w:left="540"/>
        <w:jc w:val="center"/>
        <w:rPr>
          <w:rFonts w:hint="eastAsia" w:ascii="宋体" w:hAnsi="宋体" w:eastAsia="宋体" w:cs="宋体"/>
          <w:color w:val="auto"/>
          <w:sz w:val="32"/>
          <w:szCs w:val="32"/>
          <w:highlight w:val="none"/>
        </w:rPr>
      </w:pPr>
      <w:r>
        <w:rPr>
          <w:rFonts w:hint="eastAsia" w:ascii="宋体" w:hAnsi="宋体" w:eastAsia="宋体" w:cs="宋体"/>
          <w:b/>
          <w:color w:val="auto"/>
          <w:sz w:val="32"/>
          <w:szCs w:val="32"/>
          <w:highlight w:val="none"/>
        </w:rPr>
        <w:t>法定代表人身份证明</w:t>
      </w:r>
    </w:p>
    <w:p w14:paraId="1B089A4A">
      <w:pPr>
        <w:shd w:val="clear"/>
        <w:spacing w:line="500" w:lineRule="exact"/>
        <w:ind w:left="540"/>
        <w:rPr>
          <w:rFonts w:hint="eastAsia" w:ascii="宋体" w:hAnsi="宋体" w:eastAsia="宋体" w:cs="宋体"/>
          <w:color w:val="auto"/>
          <w:sz w:val="24"/>
          <w:highlight w:val="none"/>
        </w:rPr>
      </w:pPr>
      <w:r>
        <w:rPr>
          <w:rFonts w:hint="eastAsia" w:ascii="宋体" w:hAnsi="宋体" w:eastAsia="宋体" w:cs="宋体"/>
          <w:color w:val="auto"/>
          <w:sz w:val="24"/>
          <w:highlight w:val="none"/>
        </w:rPr>
        <w:t>投 标 人：</w:t>
      </w:r>
      <w:r>
        <w:rPr>
          <w:rFonts w:hint="eastAsia" w:ascii="宋体" w:hAnsi="宋体" w:eastAsia="宋体" w:cs="宋体"/>
          <w:color w:val="auto"/>
          <w:sz w:val="24"/>
          <w:highlight w:val="none"/>
          <w:u w:val="single"/>
        </w:rPr>
        <w:t xml:space="preserve">                                                        </w:t>
      </w:r>
    </w:p>
    <w:p w14:paraId="40780E77">
      <w:pPr>
        <w:shd w:val="clear"/>
        <w:spacing w:line="500" w:lineRule="exact"/>
        <w:ind w:left="540"/>
        <w:rPr>
          <w:rFonts w:hint="eastAsia" w:ascii="宋体" w:hAnsi="宋体" w:eastAsia="宋体" w:cs="宋体"/>
          <w:color w:val="auto"/>
          <w:sz w:val="24"/>
          <w:highlight w:val="none"/>
        </w:rPr>
      </w:pPr>
      <w:r>
        <w:rPr>
          <w:rFonts w:hint="eastAsia" w:ascii="宋体" w:hAnsi="宋体" w:eastAsia="宋体" w:cs="宋体"/>
          <w:color w:val="auto"/>
          <w:sz w:val="24"/>
          <w:highlight w:val="none"/>
        </w:rPr>
        <w:t>地    址：</w:t>
      </w:r>
      <w:r>
        <w:rPr>
          <w:rFonts w:hint="eastAsia" w:ascii="宋体" w:hAnsi="宋体" w:eastAsia="宋体" w:cs="宋体"/>
          <w:color w:val="auto"/>
          <w:sz w:val="24"/>
          <w:highlight w:val="none"/>
          <w:u w:val="single"/>
        </w:rPr>
        <w:t xml:space="preserve">                                                        </w:t>
      </w:r>
    </w:p>
    <w:p w14:paraId="0E9822D7">
      <w:pPr>
        <w:shd w:val="clear"/>
        <w:spacing w:line="500" w:lineRule="exact"/>
        <w:ind w:left="540"/>
        <w:rPr>
          <w:rFonts w:hint="eastAsia" w:ascii="宋体" w:hAnsi="宋体" w:eastAsia="宋体" w:cs="宋体"/>
          <w:color w:val="auto"/>
          <w:sz w:val="24"/>
          <w:highlight w:val="none"/>
        </w:rPr>
      </w:pPr>
      <w:r>
        <w:rPr>
          <w:rFonts w:hint="eastAsia" w:ascii="宋体" w:hAnsi="宋体" w:eastAsia="宋体" w:cs="宋体"/>
          <w:color w:val="auto"/>
          <w:sz w:val="24"/>
          <w:highlight w:val="none"/>
        </w:rPr>
        <w:t>姓    名：</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性      别：</w:t>
      </w:r>
      <w:r>
        <w:rPr>
          <w:rFonts w:hint="eastAsia" w:ascii="宋体" w:hAnsi="宋体" w:eastAsia="宋体" w:cs="宋体"/>
          <w:color w:val="auto"/>
          <w:sz w:val="24"/>
          <w:highlight w:val="none"/>
          <w:u w:val="single"/>
        </w:rPr>
        <w:t xml:space="preserve">                </w:t>
      </w:r>
    </w:p>
    <w:p w14:paraId="45768F56">
      <w:pPr>
        <w:shd w:val="clear"/>
        <w:spacing w:line="500" w:lineRule="exact"/>
        <w:ind w:left="540"/>
        <w:rPr>
          <w:rFonts w:hint="eastAsia" w:ascii="宋体" w:hAnsi="宋体" w:eastAsia="宋体" w:cs="宋体"/>
          <w:color w:val="auto"/>
          <w:sz w:val="24"/>
          <w:highlight w:val="none"/>
          <w:u w:val="single"/>
        </w:rPr>
      </w:pPr>
      <w:r>
        <w:rPr>
          <w:rFonts w:hint="eastAsia" w:ascii="宋体" w:hAnsi="宋体" w:eastAsia="宋体" w:cs="宋体"/>
          <w:color w:val="auto"/>
          <w:sz w:val="24"/>
          <w:highlight w:val="none"/>
        </w:rPr>
        <w:t>年    龄：</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职      务：</w:t>
      </w:r>
      <w:r>
        <w:rPr>
          <w:rFonts w:hint="eastAsia" w:ascii="宋体" w:hAnsi="宋体" w:eastAsia="宋体" w:cs="宋体"/>
          <w:color w:val="auto"/>
          <w:sz w:val="24"/>
          <w:highlight w:val="none"/>
          <w:u w:val="single"/>
        </w:rPr>
        <w:t xml:space="preserve">                </w:t>
      </w:r>
    </w:p>
    <w:p w14:paraId="3C140FB2">
      <w:pPr>
        <w:shd w:val="clear"/>
        <w:spacing w:line="500" w:lineRule="exact"/>
        <w:ind w:left="540"/>
        <w:rPr>
          <w:rFonts w:hint="eastAsia" w:ascii="宋体" w:hAnsi="宋体" w:eastAsia="宋体" w:cs="宋体"/>
          <w:color w:val="auto"/>
          <w:sz w:val="24"/>
          <w:highlight w:val="none"/>
        </w:rPr>
      </w:pPr>
      <w:r>
        <w:rPr>
          <w:rFonts w:hint="eastAsia" w:ascii="宋体" w:hAnsi="宋体" w:eastAsia="宋体" w:cs="宋体"/>
          <w:color w:val="auto"/>
          <w:sz w:val="24"/>
          <w:highlight w:val="none"/>
        </w:rPr>
        <w:t>身份证号码：</w:t>
      </w:r>
      <w:r>
        <w:rPr>
          <w:rFonts w:hint="eastAsia" w:ascii="宋体" w:hAnsi="宋体" w:eastAsia="宋体" w:cs="宋体"/>
          <w:color w:val="auto"/>
          <w:sz w:val="24"/>
          <w:highlight w:val="none"/>
          <w:u w:val="single"/>
        </w:rPr>
        <w:t xml:space="preserve">                                 </w:t>
      </w:r>
    </w:p>
    <w:p w14:paraId="1AD9572F">
      <w:pPr>
        <w:shd w:val="clear"/>
        <w:spacing w:line="500" w:lineRule="exact"/>
        <w:ind w:left="540"/>
        <w:rPr>
          <w:rFonts w:hint="eastAsia" w:ascii="宋体" w:hAnsi="宋体" w:eastAsia="宋体" w:cs="宋体"/>
          <w:color w:val="auto"/>
          <w:sz w:val="24"/>
          <w:highlight w:val="none"/>
        </w:rPr>
      </w:pPr>
      <w:r>
        <w:rPr>
          <w:rFonts w:hint="eastAsia" w:ascii="宋体" w:hAnsi="宋体" w:eastAsia="宋体" w:cs="宋体"/>
          <w:color w:val="auto"/>
          <w:sz w:val="24"/>
          <w:highlight w:val="none"/>
        </w:rPr>
        <w:t>系</w:t>
      </w:r>
      <w:r>
        <w:rPr>
          <w:rFonts w:hint="eastAsia" w:ascii="宋体" w:hAnsi="宋体" w:eastAsia="宋体" w:cs="宋体"/>
          <w:color w:val="auto"/>
          <w:sz w:val="24"/>
          <w:highlight w:val="none"/>
          <w:u w:val="single"/>
        </w:rPr>
        <w:t xml:space="preserve">        </w:t>
      </w:r>
      <w:r>
        <w:rPr>
          <w:rFonts w:hint="eastAsia" w:ascii="宋体" w:hAnsi="宋体" w:eastAsia="宋体" w:cs="宋体"/>
          <w:i w:val="0"/>
          <w:iCs w:val="0"/>
          <w:color w:val="auto"/>
          <w:sz w:val="24"/>
          <w:highlight w:val="none"/>
          <w:u w:val="single"/>
        </w:rPr>
        <w:t xml:space="preserve">    （投标人名称）  </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的法定代表人。</w:t>
      </w:r>
    </w:p>
    <w:p w14:paraId="494A66B4">
      <w:pPr>
        <w:shd w:val="clear"/>
        <w:spacing w:line="500" w:lineRule="exact"/>
        <w:ind w:left="540"/>
        <w:rPr>
          <w:rFonts w:hint="eastAsia" w:ascii="宋体" w:hAnsi="宋体" w:eastAsia="宋体" w:cs="宋体"/>
          <w:color w:val="auto"/>
          <w:sz w:val="24"/>
          <w:highlight w:val="none"/>
        </w:rPr>
      </w:pPr>
      <w:r>
        <w:rPr>
          <w:rFonts w:hint="eastAsia" w:ascii="宋体" w:hAnsi="宋体" w:eastAsia="宋体" w:cs="宋体"/>
          <w:color w:val="auto"/>
          <w:sz w:val="24"/>
          <w:highlight w:val="none"/>
        </w:rPr>
        <w:t>特此证明。</w:t>
      </w:r>
    </w:p>
    <w:p w14:paraId="7A48E727">
      <w:pPr>
        <w:shd w:val="clear"/>
        <w:spacing w:line="500" w:lineRule="exact"/>
        <w:ind w:left="540"/>
        <w:rPr>
          <w:rFonts w:hint="eastAsia" w:ascii="宋体" w:hAnsi="宋体" w:eastAsia="宋体" w:cs="宋体"/>
          <w:color w:val="auto"/>
          <w:sz w:val="24"/>
          <w:highlight w:val="none"/>
        </w:rPr>
      </w:pPr>
    </w:p>
    <w:p w14:paraId="77AD60D6">
      <w:pPr>
        <w:shd w:val="clear"/>
        <w:spacing w:line="500" w:lineRule="exact"/>
        <w:ind w:left="540"/>
        <w:rPr>
          <w:rFonts w:hint="eastAsia" w:ascii="宋体" w:hAnsi="宋体" w:eastAsia="宋体" w:cs="宋体"/>
          <w:color w:val="auto"/>
          <w:sz w:val="24"/>
          <w:highlight w:val="none"/>
        </w:rPr>
      </w:pPr>
    </w:p>
    <w:p w14:paraId="4C7F44E4">
      <w:pPr>
        <w:shd w:val="clear"/>
        <w:spacing w:line="500" w:lineRule="exact"/>
        <w:ind w:left="540"/>
        <w:rPr>
          <w:rFonts w:hint="eastAsia" w:ascii="宋体" w:hAnsi="宋体" w:eastAsia="宋体" w:cs="宋体"/>
          <w:color w:val="auto"/>
          <w:sz w:val="24"/>
          <w:highlight w:val="none"/>
        </w:rPr>
      </w:pPr>
      <w:r>
        <w:rPr>
          <w:rFonts w:hint="eastAsia" w:ascii="宋体" w:hAnsi="宋体" w:eastAsia="宋体" w:cs="宋体"/>
          <w:color w:val="auto"/>
          <w:sz w:val="24"/>
          <w:highlight w:val="none"/>
        </w:rPr>
        <w:t>附件：法定代表人有效身份证正反面复印件</w:t>
      </w:r>
    </w:p>
    <w:p w14:paraId="3E14DCE4">
      <w:pPr>
        <w:shd w:val="clear"/>
        <w:spacing w:line="500" w:lineRule="exact"/>
        <w:ind w:left="540"/>
        <w:rPr>
          <w:rFonts w:hint="eastAsia" w:ascii="宋体" w:hAnsi="宋体" w:eastAsia="宋体" w:cs="宋体"/>
          <w:color w:val="auto"/>
          <w:sz w:val="24"/>
          <w:highlight w:val="none"/>
        </w:rPr>
      </w:pPr>
    </w:p>
    <w:p w14:paraId="37B00967">
      <w:pPr>
        <w:shd w:val="clear"/>
        <w:snapToGrid w:val="0"/>
        <w:spacing w:line="360" w:lineRule="auto"/>
        <w:ind w:firstLine="4935" w:firstLineChars="2350"/>
        <w:rPr>
          <w:rFonts w:hint="eastAsia" w:ascii="宋体" w:hAnsi="宋体" w:eastAsia="宋体" w:cs="宋体"/>
          <w:color w:val="auto"/>
          <w:kern w:val="0"/>
          <w:sz w:val="24"/>
          <w:highlight w:val="none"/>
        </w:rPr>
      </w:pPr>
      <w:r>
        <w:rPr>
          <w:rFonts w:hint="eastAsia" w:ascii="宋体" w:hAnsi="宋体" w:eastAsia="宋体" w:cs="宋体"/>
          <w:color w:val="auto"/>
          <w:szCs w:val="21"/>
          <w:highlight w:val="none"/>
        </w:rPr>
        <w:t xml:space="preserve">  </w:t>
      </w:r>
      <w:r>
        <w:rPr>
          <w:rFonts w:hint="eastAsia" w:ascii="宋体" w:hAnsi="宋体" w:eastAsia="宋体" w:cs="宋体"/>
          <w:color w:val="auto"/>
          <w:kern w:val="0"/>
          <w:sz w:val="24"/>
          <w:highlight w:val="none"/>
          <w:lang w:val="zh-CN"/>
        </w:rPr>
        <w:t>投标人名称(盖公章)：</w:t>
      </w:r>
    </w:p>
    <w:p w14:paraId="49A01182">
      <w:pPr>
        <w:shd w:val="clear"/>
        <w:snapToGrid w:val="0"/>
        <w:spacing w:line="360" w:lineRule="auto"/>
        <w:ind w:firstLine="5160" w:firstLineChars="2150"/>
        <w:rPr>
          <w:rFonts w:hint="eastAsia" w:ascii="宋体" w:hAnsi="宋体" w:eastAsia="宋体" w:cs="宋体"/>
          <w:color w:val="auto"/>
          <w:kern w:val="0"/>
          <w:sz w:val="24"/>
          <w:highlight w:val="none"/>
          <w:lang w:val="zh-CN"/>
        </w:rPr>
      </w:pPr>
      <w:r>
        <w:rPr>
          <w:rFonts w:hint="eastAsia" w:ascii="宋体" w:hAnsi="宋体" w:eastAsia="宋体" w:cs="宋体"/>
          <w:color w:val="auto"/>
          <w:kern w:val="0"/>
          <w:sz w:val="24"/>
          <w:highlight w:val="none"/>
          <w:lang w:val="zh-CN"/>
        </w:rPr>
        <w:t>日期</w:t>
      </w:r>
      <w:r>
        <w:rPr>
          <w:rFonts w:hint="eastAsia" w:ascii="宋体" w:hAnsi="宋体" w:eastAsia="宋体" w:cs="宋体"/>
          <w:color w:val="auto"/>
          <w:kern w:val="0"/>
          <w:sz w:val="24"/>
          <w:highlight w:val="none"/>
        </w:rPr>
        <w:t xml:space="preserve">：  年  </w:t>
      </w:r>
      <w:r>
        <w:rPr>
          <w:rFonts w:hint="eastAsia" w:ascii="宋体" w:hAnsi="宋体" w:eastAsia="宋体" w:cs="宋体"/>
          <w:color w:val="auto"/>
          <w:kern w:val="0"/>
          <w:sz w:val="24"/>
          <w:highlight w:val="none"/>
          <w:lang w:val="zh-CN"/>
        </w:rPr>
        <w:t>月</w:t>
      </w:r>
      <w:r>
        <w:rPr>
          <w:rFonts w:hint="eastAsia" w:ascii="宋体" w:hAnsi="宋体" w:eastAsia="宋体" w:cs="宋体"/>
          <w:color w:val="auto"/>
          <w:kern w:val="0"/>
          <w:sz w:val="24"/>
          <w:highlight w:val="none"/>
        </w:rPr>
        <w:t xml:space="preserve">   </w:t>
      </w:r>
      <w:r>
        <w:rPr>
          <w:rFonts w:hint="eastAsia" w:ascii="宋体" w:hAnsi="宋体" w:eastAsia="宋体" w:cs="宋体"/>
          <w:color w:val="auto"/>
          <w:kern w:val="0"/>
          <w:sz w:val="24"/>
          <w:highlight w:val="none"/>
          <w:lang w:val="zh-CN"/>
        </w:rPr>
        <w:t>日</w:t>
      </w:r>
    </w:p>
    <w:p w14:paraId="1378D882">
      <w:pPr>
        <w:shd w:val="clear"/>
        <w:snapToGrid w:val="0"/>
        <w:spacing w:before="120" w:beforeLines="50" w:after="50"/>
        <w:jc w:val="center"/>
        <w:rPr>
          <w:rFonts w:hint="eastAsia" w:ascii="宋体" w:hAnsi="宋体" w:eastAsia="宋体" w:cs="宋体"/>
          <w:b/>
          <w:color w:val="auto"/>
          <w:sz w:val="24"/>
          <w:highlight w:val="none"/>
        </w:rPr>
      </w:pPr>
    </w:p>
    <w:p w14:paraId="5B2D3783">
      <w:pPr>
        <w:shd w:val="clear"/>
        <w:snapToGrid w:val="0"/>
        <w:spacing w:before="120" w:beforeLines="50" w:after="50"/>
        <w:ind w:firstLine="600" w:firstLineChars="25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注：自然人投标的无需提供</w:t>
      </w:r>
    </w:p>
    <w:p w14:paraId="79E72465">
      <w:pPr>
        <w:shd w:val="clear"/>
        <w:snapToGrid w:val="0"/>
        <w:spacing w:before="120" w:beforeLines="50" w:after="50"/>
        <w:ind w:firstLine="600" w:firstLineChars="250"/>
        <w:jc w:val="left"/>
        <w:rPr>
          <w:rFonts w:hint="eastAsia" w:ascii="宋体" w:hAnsi="宋体" w:eastAsia="宋体" w:cs="宋体"/>
          <w:color w:val="auto"/>
          <w:sz w:val="24"/>
          <w:highlight w:val="none"/>
        </w:rPr>
      </w:pPr>
    </w:p>
    <w:p w14:paraId="7080E3E3">
      <w:pPr>
        <w:shd w:val="clear"/>
        <w:snapToGrid w:val="0"/>
        <w:spacing w:before="120" w:beforeLines="50" w:after="50"/>
        <w:ind w:firstLine="602" w:firstLineChars="250"/>
        <w:jc w:val="left"/>
        <w:rPr>
          <w:rFonts w:hint="eastAsia" w:ascii="宋体" w:hAnsi="宋体" w:eastAsia="宋体" w:cs="宋体"/>
          <w:b/>
          <w:color w:val="auto"/>
          <w:sz w:val="24"/>
          <w:szCs w:val="20"/>
          <w:highlight w:val="none"/>
        </w:rPr>
      </w:pPr>
    </w:p>
    <w:tbl>
      <w:tblPr>
        <w:tblStyle w:val="18"/>
        <w:tblpPr w:leftFromText="180" w:rightFromText="180" w:vertAnchor="text" w:horzAnchor="margin" w:tblpXSpec="center" w:tblpY="1169"/>
        <w:tblW w:w="846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60"/>
      </w:tblGrid>
      <w:tr w14:paraId="13E422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05" w:hRule="atLeast"/>
          <w:jc w:val="center"/>
        </w:trPr>
        <w:tc>
          <w:tcPr>
            <w:tcW w:w="8460" w:type="dxa"/>
            <w:tcBorders>
              <w:top w:val="single" w:color="auto" w:sz="4" w:space="0"/>
              <w:left w:val="single" w:color="auto" w:sz="4" w:space="0"/>
              <w:bottom w:val="single" w:color="auto" w:sz="4" w:space="0"/>
              <w:right w:val="single" w:color="auto" w:sz="4" w:space="0"/>
            </w:tcBorders>
            <w:noWrap w:val="0"/>
            <w:vAlign w:val="top"/>
          </w:tcPr>
          <w:p w14:paraId="74A922E7">
            <w:pPr>
              <w:shd w:val="clear"/>
              <w:spacing w:line="360" w:lineRule="auto"/>
              <w:rPr>
                <w:rFonts w:hint="eastAsia" w:ascii="宋体" w:hAnsi="宋体" w:eastAsia="宋体" w:cs="宋体"/>
                <w:b/>
                <w:color w:val="auto"/>
                <w:sz w:val="24"/>
                <w:highlight w:val="none"/>
              </w:rPr>
            </w:pPr>
          </w:p>
          <w:p w14:paraId="567E2868">
            <w:pPr>
              <w:shd w:val="clear"/>
              <w:spacing w:line="360" w:lineRule="auto"/>
              <w:rPr>
                <w:rFonts w:hint="eastAsia" w:ascii="宋体" w:hAnsi="宋体" w:eastAsia="宋体" w:cs="宋体"/>
                <w:b/>
                <w:color w:val="auto"/>
                <w:sz w:val="24"/>
                <w:highlight w:val="none"/>
              </w:rPr>
            </w:pPr>
            <w:r>
              <w:rPr>
                <w:rFonts w:hint="eastAsia" w:ascii="宋体" w:hAnsi="宋体" w:eastAsia="宋体" w:cs="宋体"/>
                <w:b/>
                <w:color w:val="auto"/>
                <w:sz w:val="24"/>
                <w:highlight w:val="none"/>
              </w:rPr>
              <w:t>法定代表人有效身份证复印件粘帖处（正、反面）</w:t>
            </w:r>
          </w:p>
        </w:tc>
      </w:tr>
    </w:tbl>
    <w:p w14:paraId="094812BF">
      <w:pPr>
        <w:pStyle w:val="12"/>
        <w:shd w:val="clear"/>
        <w:snapToGrid w:val="0"/>
        <w:spacing w:before="295" w:after="295" w:line="360" w:lineRule="auto"/>
        <w:jc w:val="left"/>
        <w:rPr>
          <w:rFonts w:hint="eastAsia" w:ascii="宋体" w:hAnsi="宋体" w:eastAsia="宋体" w:cs="宋体"/>
          <w:b/>
          <w:color w:val="auto"/>
          <w:sz w:val="24"/>
          <w:highlight w:val="none"/>
        </w:rPr>
      </w:pPr>
      <w:r>
        <w:rPr>
          <w:rFonts w:hint="eastAsia" w:ascii="宋体" w:hAnsi="宋体" w:eastAsia="宋体" w:cs="宋体"/>
          <w:b/>
          <w:color w:val="auto"/>
          <w:sz w:val="24"/>
          <w:highlight w:val="none"/>
        </w:rPr>
        <w:t>附件：</w:t>
      </w:r>
      <w:r>
        <w:rPr>
          <w:rFonts w:hint="eastAsia" w:ascii="宋体" w:hAnsi="宋体" w:eastAsia="宋体" w:cs="宋体"/>
          <w:b/>
          <w:color w:val="auto"/>
          <w:sz w:val="24"/>
          <w:highlight w:val="none"/>
        </w:rPr>
        <w:br w:type="page"/>
      </w:r>
      <w:r>
        <w:rPr>
          <w:rFonts w:hint="eastAsia" w:ascii="宋体" w:hAnsi="宋体" w:eastAsia="宋体" w:cs="宋体"/>
          <w:b/>
          <w:bCs/>
          <w:color w:val="auto"/>
          <w:sz w:val="30"/>
          <w:szCs w:val="30"/>
          <w:highlight w:val="none"/>
          <w:lang w:val="en-US" w:eastAsia="zh-CN"/>
        </w:rPr>
        <w:t>5.</w:t>
      </w:r>
      <w:r>
        <w:rPr>
          <w:rFonts w:hint="eastAsia" w:ascii="宋体" w:hAnsi="宋体" w:eastAsia="宋体" w:cs="宋体"/>
          <w:b/>
          <w:bCs/>
          <w:color w:val="auto"/>
          <w:sz w:val="30"/>
          <w:szCs w:val="30"/>
          <w:highlight w:val="none"/>
        </w:rPr>
        <w:t>法定代表人授权委托书</w:t>
      </w:r>
      <w:r>
        <w:rPr>
          <w:rFonts w:hint="eastAsia" w:ascii="宋体" w:hAnsi="宋体" w:eastAsia="宋体" w:cs="宋体"/>
          <w:b/>
          <w:bCs/>
          <w:color w:val="auto"/>
          <w:sz w:val="30"/>
          <w:szCs w:val="30"/>
          <w:highlight w:val="none"/>
          <w:lang w:eastAsia="zh-CN"/>
        </w:rPr>
        <w:t>的格式：</w:t>
      </w:r>
    </w:p>
    <w:p w14:paraId="61D99CD2">
      <w:pPr>
        <w:spacing w:line="520" w:lineRule="exact"/>
        <w:jc w:val="center"/>
        <w:rPr>
          <w:rFonts w:hint="eastAsia" w:ascii="宋体" w:hAnsi="宋体" w:cs="宋体"/>
          <w:color w:val="auto"/>
          <w:sz w:val="44"/>
          <w:szCs w:val="44"/>
          <w:highlight w:val="none"/>
        </w:rPr>
      </w:pPr>
      <w:r>
        <w:rPr>
          <w:rFonts w:hint="eastAsia" w:ascii="宋体" w:hAnsi="宋体" w:cs="宋体"/>
          <w:color w:val="auto"/>
          <w:sz w:val="44"/>
          <w:szCs w:val="44"/>
          <w:highlight w:val="none"/>
        </w:rPr>
        <w:t>授权委托书（非联合体竞标格式）</w:t>
      </w:r>
    </w:p>
    <w:p w14:paraId="684C1966">
      <w:pPr>
        <w:spacing w:line="520" w:lineRule="exact"/>
        <w:jc w:val="center"/>
        <w:rPr>
          <w:rFonts w:hint="eastAsia" w:ascii="宋体" w:hAnsi="宋体" w:cs="宋体"/>
          <w:color w:val="auto"/>
          <w:sz w:val="44"/>
          <w:szCs w:val="44"/>
          <w:highlight w:val="none"/>
        </w:rPr>
      </w:pPr>
      <w:r>
        <w:rPr>
          <w:rFonts w:hint="eastAsia" w:ascii="宋体" w:hAnsi="宋体" w:cs="宋体"/>
          <w:color w:val="auto"/>
          <w:sz w:val="44"/>
          <w:szCs w:val="44"/>
          <w:highlight w:val="none"/>
        </w:rPr>
        <w:t>（如有委托时）</w:t>
      </w:r>
    </w:p>
    <w:p w14:paraId="7F545954">
      <w:pPr>
        <w:spacing w:line="520" w:lineRule="exact"/>
        <w:rPr>
          <w:rFonts w:hint="eastAsia" w:ascii="宋体" w:hAnsi="宋体" w:cs="宋体"/>
          <w:color w:val="auto"/>
          <w:sz w:val="32"/>
          <w:szCs w:val="32"/>
          <w:highlight w:val="none"/>
        </w:rPr>
      </w:pPr>
    </w:p>
    <w:p w14:paraId="34072E00">
      <w:pPr>
        <w:spacing w:line="360" w:lineRule="auto"/>
        <w:rPr>
          <w:rFonts w:hint="eastAsia" w:ascii="宋体" w:hAnsi="宋体" w:cs="宋体"/>
          <w:color w:val="auto"/>
          <w:sz w:val="24"/>
          <w:highlight w:val="none"/>
        </w:rPr>
      </w:pPr>
      <w:r>
        <w:rPr>
          <w:rFonts w:hint="eastAsia" w:ascii="宋体" w:hAnsi="宋体" w:cs="宋体"/>
          <w:color w:val="auto"/>
          <w:sz w:val="24"/>
          <w:highlight w:val="none"/>
        </w:rPr>
        <w:t>致：</w:t>
      </w:r>
      <w:r>
        <w:rPr>
          <w:rFonts w:hint="eastAsia" w:ascii="宋体" w:hAnsi="宋体" w:cs="宋体"/>
          <w:color w:val="auto"/>
          <w:sz w:val="24"/>
          <w:highlight w:val="none"/>
          <w:u w:val="single"/>
        </w:rPr>
        <w:t>（采购人名称）</w:t>
      </w:r>
      <w:r>
        <w:rPr>
          <w:rFonts w:hint="eastAsia" w:ascii="宋体" w:hAnsi="宋体" w:cs="宋体"/>
          <w:color w:val="auto"/>
          <w:sz w:val="24"/>
          <w:highlight w:val="none"/>
        </w:rPr>
        <w:t>：</w:t>
      </w:r>
    </w:p>
    <w:p w14:paraId="1291E1E6">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我</w:t>
      </w:r>
      <w:r>
        <w:rPr>
          <w:rFonts w:hint="eastAsia" w:ascii="宋体" w:hAnsi="宋体" w:cs="宋体"/>
          <w:color w:val="auto"/>
          <w:sz w:val="24"/>
          <w:highlight w:val="none"/>
          <w:u w:val="single"/>
        </w:rPr>
        <w:t xml:space="preserve">  （姓名）  </w:t>
      </w:r>
      <w:r>
        <w:rPr>
          <w:rFonts w:hint="eastAsia" w:ascii="宋体" w:hAnsi="宋体" w:cs="宋体"/>
          <w:color w:val="auto"/>
          <w:sz w:val="24"/>
          <w:highlight w:val="none"/>
        </w:rPr>
        <w:t>系</w:t>
      </w:r>
      <w:r>
        <w:rPr>
          <w:rFonts w:hint="eastAsia" w:ascii="宋体" w:hAnsi="宋体" w:cs="宋体"/>
          <w:color w:val="auto"/>
          <w:sz w:val="24"/>
          <w:highlight w:val="none"/>
          <w:u w:val="single"/>
        </w:rPr>
        <w:t xml:space="preserve">  （供应商名称）  </w:t>
      </w:r>
      <w:r>
        <w:rPr>
          <w:rFonts w:hint="eastAsia" w:ascii="宋体" w:hAnsi="宋体" w:cs="宋体"/>
          <w:color w:val="auto"/>
          <w:sz w:val="24"/>
          <w:highlight w:val="none"/>
        </w:rPr>
        <w:t>的（</w:t>
      </w:r>
      <w:r>
        <w:rPr>
          <w:rFonts w:hint="eastAsia" w:ascii="宋体" w:hAnsi="宋体" w:cs="宋体"/>
          <w:color w:val="auto"/>
          <w:sz w:val="24"/>
          <w:highlight w:val="none"/>
          <w:u w:val="single"/>
        </w:rPr>
        <w:t>□法定代表人/□负责人/□自然人本人</w:t>
      </w:r>
      <w:r>
        <w:rPr>
          <w:rFonts w:hint="eastAsia" w:ascii="宋体" w:hAnsi="宋体" w:cs="宋体"/>
          <w:color w:val="auto"/>
          <w:sz w:val="24"/>
          <w:highlight w:val="none"/>
        </w:rPr>
        <w:t>），现授权</w:t>
      </w:r>
      <w:r>
        <w:rPr>
          <w:rFonts w:hint="eastAsia" w:ascii="宋体" w:hAnsi="宋体" w:cs="宋体"/>
          <w:color w:val="auto"/>
          <w:sz w:val="24"/>
          <w:highlight w:val="none"/>
          <w:u w:val="single"/>
        </w:rPr>
        <w:t xml:space="preserve"> （姓名） </w:t>
      </w:r>
      <w:r>
        <w:rPr>
          <w:rFonts w:hint="eastAsia" w:ascii="宋体" w:hAnsi="宋体" w:cs="宋体"/>
          <w:color w:val="auto"/>
          <w:sz w:val="24"/>
          <w:highlight w:val="none"/>
        </w:rPr>
        <w:t>以我方的名义参加</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项目的竞标活动，并代表我方全权办理针对上述项目的所有采购程序和环节的具体事务和签署相关文件。</w:t>
      </w:r>
    </w:p>
    <w:p w14:paraId="744EADDB">
      <w:pPr>
        <w:spacing w:line="360" w:lineRule="auto"/>
        <w:rPr>
          <w:rFonts w:hint="eastAsia" w:ascii="宋体" w:hAnsi="宋体" w:cs="宋体"/>
          <w:color w:val="auto"/>
          <w:sz w:val="24"/>
          <w:highlight w:val="none"/>
        </w:rPr>
      </w:pPr>
      <w:r>
        <w:rPr>
          <w:rFonts w:hint="eastAsia" w:ascii="宋体" w:hAnsi="宋体" w:cs="宋体"/>
          <w:color w:val="auto"/>
          <w:sz w:val="24"/>
          <w:highlight w:val="none"/>
        </w:rPr>
        <w:t xml:space="preserve">    我方对委托代理人的签字事项负全部责任。</w:t>
      </w:r>
    </w:p>
    <w:p w14:paraId="2845BB65">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本授权书自签署之日起生效，在撤销授权的书面通知以前，本授权书一直有效。委托代理人在授权书有效期内签署的所有文件不因授权的撤销而失效。</w:t>
      </w:r>
    </w:p>
    <w:p w14:paraId="5409323B">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委托代理人无转委托权，特此委托。</w:t>
      </w:r>
    </w:p>
    <w:p w14:paraId="72BC71D5">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附：委托代理人有效身份证正反面复印件</w:t>
      </w:r>
    </w:p>
    <w:p w14:paraId="6D52BEB9">
      <w:pPr>
        <w:spacing w:line="360" w:lineRule="auto"/>
        <w:rPr>
          <w:rFonts w:hint="eastAsia" w:ascii="宋体" w:hAnsi="宋体" w:cs="宋体"/>
          <w:color w:val="auto"/>
          <w:sz w:val="24"/>
          <w:highlight w:val="none"/>
        </w:rPr>
      </w:pPr>
    </w:p>
    <w:p w14:paraId="3F287B3F">
      <w:pPr>
        <w:spacing w:line="360" w:lineRule="auto"/>
        <w:rPr>
          <w:rFonts w:hint="eastAsia" w:ascii="宋体" w:hAnsi="宋体" w:cs="宋体"/>
          <w:color w:val="auto"/>
          <w:sz w:val="24"/>
          <w:highlight w:val="none"/>
        </w:rPr>
      </w:pPr>
      <w:r>
        <w:rPr>
          <w:rFonts w:hint="eastAsia" w:ascii="宋体" w:hAnsi="宋体" w:cs="宋体"/>
          <w:color w:val="auto"/>
          <w:sz w:val="24"/>
          <w:highlight w:val="none"/>
        </w:rPr>
        <w:t xml:space="preserve">委托代理人（签字）：         法定代表人（签字或盖章）：                    </w:t>
      </w:r>
    </w:p>
    <w:p w14:paraId="631E2982">
      <w:pPr>
        <w:spacing w:line="360" w:lineRule="auto"/>
        <w:rPr>
          <w:rFonts w:hint="eastAsia" w:ascii="宋体" w:hAnsi="宋体" w:cs="宋体"/>
          <w:color w:val="auto"/>
          <w:sz w:val="24"/>
          <w:highlight w:val="none"/>
        </w:rPr>
      </w:pPr>
      <w:r>
        <w:rPr>
          <w:rFonts w:hint="eastAsia" w:ascii="宋体" w:hAnsi="宋体" w:cs="宋体"/>
          <w:color w:val="auto"/>
          <w:sz w:val="24"/>
          <w:highlight w:val="none"/>
        </w:rPr>
        <w:t xml:space="preserve">委托代理人身份证号码：                              </w:t>
      </w:r>
    </w:p>
    <w:p w14:paraId="7A18B7A7">
      <w:pPr>
        <w:spacing w:line="360" w:lineRule="auto"/>
        <w:rPr>
          <w:rFonts w:hint="eastAsia" w:ascii="宋体" w:hAnsi="宋体" w:cs="宋体"/>
          <w:color w:val="auto"/>
          <w:sz w:val="24"/>
          <w:highlight w:val="none"/>
        </w:rPr>
      </w:pPr>
      <w:r>
        <w:rPr>
          <w:rFonts w:hint="eastAsia" w:ascii="宋体" w:hAnsi="宋体" w:cs="宋体"/>
          <w:color w:val="auto"/>
          <w:sz w:val="24"/>
          <w:highlight w:val="none"/>
        </w:rPr>
        <w:t xml:space="preserve">                                </w:t>
      </w:r>
    </w:p>
    <w:p w14:paraId="6C61E44B">
      <w:pPr>
        <w:spacing w:line="360" w:lineRule="auto"/>
        <w:rPr>
          <w:rFonts w:hint="eastAsia" w:ascii="宋体" w:hAnsi="宋体" w:cs="宋体"/>
          <w:color w:val="auto"/>
          <w:sz w:val="24"/>
          <w:highlight w:val="none"/>
        </w:rPr>
      </w:pPr>
      <w:r>
        <w:rPr>
          <w:rFonts w:hint="eastAsia" w:ascii="宋体" w:hAnsi="宋体" w:cs="宋体"/>
          <w:color w:val="auto"/>
          <w:sz w:val="24"/>
          <w:highlight w:val="none"/>
        </w:rPr>
        <w:t xml:space="preserve">                         </w:t>
      </w:r>
      <w:r>
        <w:rPr>
          <w:rFonts w:hint="eastAsia" w:ascii="宋体" w:hAnsi="宋体" w:cs="宋体"/>
          <w:color w:val="auto"/>
          <w:kern w:val="0"/>
          <w:sz w:val="24"/>
          <w:highlight w:val="none"/>
        </w:rPr>
        <w:t>供应商名称（电子签章）：</w:t>
      </w:r>
    </w:p>
    <w:p w14:paraId="3FB6FD54">
      <w:pPr>
        <w:spacing w:line="360" w:lineRule="auto"/>
        <w:contextualSpacing/>
        <w:jc w:val="center"/>
        <w:rPr>
          <w:rFonts w:hint="eastAsia" w:ascii="宋体" w:hAnsi="宋体" w:cs="宋体"/>
          <w:b/>
          <w:color w:val="auto"/>
          <w:sz w:val="24"/>
          <w:highlight w:val="none"/>
        </w:rPr>
      </w:pPr>
      <w:r>
        <w:rPr>
          <w:rFonts w:hint="eastAsia" w:ascii="宋体" w:hAnsi="宋体" w:cs="宋体"/>
          <w:color w:val="auto"/>
          <w:kern w:val="0"/>
          <w:sz w:val="24"/>
          <w:highlight w:val="none"/>
          <w:lang w:val="zh-CN"/>
        </w:rPr>
        <w:t xml:space="preserve">                                                   日期：  年  月   日</w:t>
      </w:r>
    </w:p>
    <w:p w14:paraId="6F136A66">
      <w:pPr>
        <w:spacing w:line="360" w:lineRule="auto"/>
        <w:rPr>
          <w:rFonts w:hint="eastAsia" w:ascii="宋体" w:hAnsi="宋体" w:cs="宋体"/>
          <w:color w:val="auto"/>
          <w:sz w:val="24"/>
          <w:highlight w:val="none"/>
        </w:rPr>
      </w:pPr>
    </w:p>
    <w:p w14:paraId="43DE6764">
      <w:pPr>
        <w:spacing w:line="360" w:lineRule="auto"/>
        <w:rPr>
          <w:rFonts w:hint="eastAsia" w:ascii="宋体" w:hAnsi="宋体" w:cs="宋体"/>
          <w:color w:val="auto"/>
          <w:sz w:val="24"/>
          <w:highlight w:val="none"/>
        </w:rPr>
      </w:pPr>
      <w:r>
        <w:rPr>
          <w:rFonts w:hint="eastAsia" w:ascii="宋体" w:hAnsi="宋体" w:cs="宋体"/>
          <w:color w:val="auto"/>
          <w:sz w:val="24"/>
          <w:highlight w:val="none"/>
        </w:rPr>
        <w:t>注：1.法定代表人必须在授权委托书上亲笔签字或盖章，委托代理人必须在授权委托书上亲笔签字，</w:t>
      </w:r>
      <w:r>
        <w:rPr>
          <w:rFonts w:hint="eastAsia" w:ascii="宋体" w:hAnsi="宋体" w:cs="宋体"/>
          <w:b/>
          <w:color w:val="auto"/>
          <w:sz w:val="24"/>
          <w:highlight w:val="none"/>
        </w:rPr>
        <w:t>否则其响应文件按无效响应处理。</w:t>
      </w:r>
    </w:p>
    <w:p w14:paraId="24BADFE9">
      <w:pPr>
        <w:spacing w:line="360" w:lineRule="auto"/>
        <w:ind w:firstLine="480" w:firstLineChars="200"/>
        <w:jc w:val="left"/>
        <w:rPr>
          <w:rFonts w:hint="eastAsia" w:ascii="宋体" w:hAnsi="宋体" w:cs="宋体"/>
          <w:color w:val="auto"/>
          <w:sz w:val="24"/>
          <w:highlight w:val="none"/>
        </w:rPr>
      </w:pPr>
      <w:r>
        <w:rPr>
          <w:rFonts w:hint="eastAsia" w:ascii="宋体" w:hAnsi="宋体" w:cs="宋体"/>
          <w:color w:val="auto"/>
          <w:sz w:val="24"/>
          <w:highlight w:val="none"/>
        </w:rPr>
        <w:t>2.供应商为其他组织或者自然人时，本磋商文件规定的法定代表人指负责人或者自然人。本磋商文件所称负责人是指参加竞标的其他组织营业执照上的负责人，本磋商文件所称自然人指参与竞标的自然人本人。</w:t>
      </w:r>
    </w:p>
    <w:p w14:paraId="6D72AFBF">
      <w:pPr>
        <w:spacing w:line="360" w:lineRule="auto"/>
        <w:ind w:firstLine="480" w:firstLineChars="200"/>
        <w:jc w:val="left"/>
        <w:rPr>
          <w:rFonts w:hint="eastAsia" w:ascii="宋体" w:hAnsi="宋体" w:cs="宋体"/>
          <w:color w:val="auto"/>
          <w:szCs w:val="21"/>
          <w:highlight w:val="none"/>
        </w:rPr>
      </w:pPr>
      <w:r>
        <w:rPr>
          <w:rFonts w:hint="eastAsia" w:ascii="宋体" w:hAnsi="宋体" w:cs="宋体"/>
          <w:color w:val="auto"/>
          <w:sz w:val="24"/>
          <w:highlight w:val="none"/>
        </w:rPr>
        <w:t>3.法人、其他组织竞标时“我方”是指“我单位”，自然人竞标时“我方”是指“本人”。</w:t>
      </w:r>
    </w:p>
    <w:p w14:paraId="6900DD65">
      <w:pPr>
        <w:shd w:val="clear"/>
        <w:spacing w:line="360" w:lineRule="auto"/>
        <w:rPr>
          <w:rFonts w:hint="eastAsia" w:ascii="宋体" w:hAnsi="宋体" w:eastAsia="宋体" w:cs="宋体"/>
          <w:b/>
          <w:color w:val="auto"/>
          <w:sz w:val="24"/>
          <w:highlight w:val="none"/>
        </w:rPr>
      </w:pPr>
      <w:r>
        <w:rPr>
          <w:rFonts w:hint="eastAsia" w:ascii="方正小标宋简体" w:hAnsi="方正小标宋简体" w:eastAsia="方正小标宋简体" w:cs="方正小标宋简体"/>
          <w:color w:val="auto"/>
          <w:sz w:val="44"/>
          <w:szCs w:val="44"/>
          <w:highlight w:val="none"/>
        </w:rPr>
        <w:br w:type="page"/>
      </w:r>
    </w:p>
    <w:p w14:paraId="1089CE88">
      <w:pPr>
        <w:shd w:val="clear"/>
        <w:spacing w:line="360" w:lineRule="auto"/>
        <w:rPr>
          <w:rFonts w:hint="eastAsia" w:ascii="宋体" w:hAnsi="宋体" w:eastAsia="宋体" w:cs="宋体"/>
          <w:b/>
          <w:color w:val="auto"/>
          <w:sz w:val="24"/>
          <w:highlight w:val="none"/>
        </w:rPr>
      </w:pPr>
      <w:r>
        <w:rPr>
          <w:rFonts w:hint="eastAsia" w:ascii="宋体" w:hAnsi="宋体" w:eastAsia="宋体" w:cs="宋体"/>
          <w:b/>
          <w:color w:val="auto"/>
          <w:sz w:val="24"/>
          <w:highlight w:val="none"/>
        </w:rPr>
        <w:t>附件：</w:t>
      </w:r>
    </w:p>
    <w:tbl>
      <w:tblPr>
        <w:tblStyle w:val="18"/>
        <w:tblpPr w:leftFromText="180" w:rightFromText="180" w:vertAnchor="text" w:horzAnchor="margin" w:tblpXSpec="center" w:tblpY="263"/>
        <w:tblW w:w="799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990"/>
      </w:tblGrid>
      <w:tr w14:paraId="37B4D6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40" w:hRule="atLeast"/>
          <w:jc w:val="center"/>
        </w:trPr>
        <w:tc>
          <w:tcPr>
            <w:tcW w:w="7990" w:type="dxa"/>
            <w:tcBorders>
              <w:top w:val="single" w:color="auto" w:sz="4" w:space="0"/>
              <w:left w:val="single" w:color="auto" w:sz="4" w:space="0"/>
              <w:bottom w:val="single" w:color="auto" w:sz="4" w:space="0"/>
              <w:right w:val="single" w:color="auto" w:sz="4" w:space="0"/>
            </w:tcBorders>
            <w:noWrap w:val="0"/>
            <w:vAlign w:val="top"/>
          </w:tcPr>
          <w:p w14:paraId="79795135">
            <w:pPr>
              <w:shd w:val="clear"/>
              <w:spacing w:line="360" w:lineRule="auto"/>
              <w:rPr>
                <w:rFonts w:hint="eastAsia" w:ascii="宋体" w:hAnsi="宋体" w:eastAsia="宋体" w:cs="宋体"/>
                <w:b/>
                <w:color w:val="auto"/>
                <w:sz w:val="24"/>
                <w:highlight w:val="none"/>
              </w:rPr>
            </w:pPr>
          </w:p>
          <w:p w14:paraId="48204991">
            <w:pPr>
              <w:shd w:val="clear"/>
              <w:spacing w:line="360" w:lineRule="auto"/>
              <w:rPr>
                <w:rFonts w:hint="eastAsia" w:ascii="宋体" w:hAnsi="宋体" w:eastAsia="宋体" w:cs="宋体"/>
                <w:b/>
                <w:color w:val="auto"/>
                <w:sz w:val="24"/>
                <w:highlight w:val="none"/>
              </w:rPr>
            </w:pPr>
            <w:r>
              <w:rPr>
                <w:rFonts w:hint="eastAsia" w:ascii="宋体" w:hAnsi="宋体" w:eastAsia="宋体" w:cs="宋体"/>
                <w:b/>
                <w:bCs/>
                <w:color w:val="auto"/>
                <w:sz w:val="24"/>
                <w:szCs w:val="24"/>
                <w:highlight w:val="none"/>
              </w:rPr>
              <w:t>委托代理人</w:t>
            </w:r>
            <w:r>
              <w:rPr>
                <w:rFonts w:hint="eastAsia" w:ascii="宋体" w:hAnsi="宋体" w:eastAsia="宋体" w:cs="宋体"/>
                <w:b/>
                <w:bCs/>
                <w:color w:val="auto"/>
                <w:sz w:val="24"/>
                <w:szCs w:val="24"/>
                <w:highlight w:val="none"/>
                <w:lang w:eastAsia="zh-CN"/>
              </w:rPr>
              <w:t>有效</w:t>
            </w:r>
            <w:r>
              <w:rPr>
                <w:rFonts w:hint="eastAsia" w:ascii="宋体" w:hAnsi="宋体" w:eastAsia="宋体" w:cs="宋体"/>
                <w:b/>
                <w:color w:val="auto"/>
                <w:sz w:val="24"/>
                <w:highlight w:val="none"/>
              </w:rPr>
              <w:t>身份证复印件粘帖处（正、反面）</w:t>
            </w:r>
          </w:p>
        </w:tc>
      </w:tr>
    </w:tbl>
    <w:p w14:paraId="15A84DF2">
      <w:pPr>
        <w:shd w:val="clear"/>
        <w:snapToGrid w:val="0"/>
        <w:spacing w:before="50" w:after="120" w:afterLines="50" w:line="360" w:lineRule="auto"/>
        <w:jc w:val="left"/>
        <w:rPr>
          <w:rFonts w:hint="eastAsia" w:ascii="宋体" w:hAnsi="宋体" w:eastAsia="宋体" w:cs="宋体"/>
          <w:color w:val="auto"/>
          <w:szCs w:val="21"/>
          <w:highlight w:val="none"/>
        </w:rPr>
      </w:pPr>
    </w:p>
    <w:p w14:paraId="436474F3">
      <w:pPr>
        <w:shd w:val="clear"/>
        <w:snapToGrid w:val="0"/>
        <w:spacing w:before="120" w:beforeLines="50" w:after="50"/>
        <w:ind w:firstLine="566" w:firstLineChars="236"/>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 </w:t>
      </w:r>
    </w:p>
    <w:p w14:paraId="0738D8EE">
      <w:pPr>
        <w:shd w:val="clear"/>
        <w:snapToGrid w:val="0"/>
        <w:spacing w:before="120" w:beforeLines="50" w:after="50"/>
        <w:ind w:firstLine="660" w:firstLineChars="236"/>
        <w:jc w:val="both"/>
        <w:rPr>
          <w:rFonts w:hint="eastAsia" w:ascii="宋体" w:hAnsi="宋体" w:eastAsia="宋体" w:cs="宋体"/>
          <w:color w:val="auto"/>
          <w:sz w:val="28"/>
          <w:szCs w:val="28"/>
          <w:highlight w:val="none"/>
          <w:lang w:eastAsia="zh-CN"/>
        </w:rPr>
      </w:pPr>
    </w:p>
    <w:p w14:paraId="0FF2F195">
      <w:pPr>
        <w:shd w:val="clear"/>
        <w:snapToGrid w:val="0"/>
        <w:spacing w:before="120" w:beforeLines="50" w:after="50"/>
        <w:ind w:firstLine="660" w:firstLineChars="236"/>
        <w:jc w:val="both"/>
        <w:rPr>
          <w:rFonts w:hint="eastAsia" w:ascii="宋体" w:hAnsi="宋体" w:eastAsia="宋体" w:cs="宋体"/>
          <w:color w:val="auto"/>
          <w:sz w:val="28"/>
          <w:szCs w:val="28"/>
          <w:highlight w:val="none"/>
          <w:lang w:eastAsia="zh-CN"/>
        </w:rPr>
      </w:pPr>
    </w:p>
    <w:p w14:paraId="3ECD502C">
      <w:pPr>
        <w:shd w:val="clear"/>
        <w:snapToGrid w:val="0"/>
        <w:spacing w:before="120" w:beforeLines="50" w:after="50"/>
        <w:ind w:firstLine="660" w:firstLineChars="236"/>
        <w:jc w:val="both"/>
        <w:rPr>
          <w:rFonts w:hint="eastAsia" w:ascii="宋体" w:hAnsi="宋体" w:eastAsia="宋体" w:cs="宋体"/>
          <w:color w:val="auto"/>
          <w:sz w:val="28"/>
          <w:szCs w:val="28"/>
          <w:highlight w:val="none"/>
          <w:lang w:eastAsia="zh-CN"/>
        </w:rPr>
      </w:pPr>
    </w:p>
    <w:p w14:paraId="6F59148E">
      <w:pPr>
        <w:shd w:val="clear"/>
        <w:snapToGrid w:val="0"/>
        <w:spacing w:before="120" w:beforeLines="50" w:after="50"/>
        <w:ind w:firstLine="660" w:firstLineChars="236"/>
        <w:jc w:val="both"/>
        <w:rPr>
          <w:rFonts w:hint="eastAsia" w:ascii="宋体" w:hAnsi="宋体" w:eastAsia="宋体" w:cs="宋体"/>
          <w:color w:val="auto"/>
          <w:sz w:val="28"/>
          <w:szCs w:val="28"/>
          <w:highlight w:val="none"/>
          <w:lang w:eastAsia="zh-CN"/>
        </w:rPr>
      </w:pPr>
    </w:p>
    <w:p w14:paraId="21C39007">
      <w:pPr>
        <w:shd w:val="clear"/>
        <w:snapToGrid w:val="0"/>
        <w:spacing w:before="120" w:beforeLines="50" w:after="50"/>
        <w:ind w:firstLine="660" w:firstLineChars="236"/>
        <w:jc w:val="both"/>
        <w:rPr>
          <w:rFonts w:hint="eastAsia" w:ascii="宋体" w:hAnsi="宋体" w:eastAsia="宋体" w:cs="宋体"/>
          <w:color w:val="auto"/>
          <w:sz w:val="28"/>
          <w:szCs w:val="28"/>
          <w:highlight w:val="none"/>
          <w:lang w:eastAsia="zh-CN"/>
        </w:rPr>
      </w:pPr>
    </w:p>
    <w:p w14:paraId="5562CF3F">
      <w:pPr>
        <w:shd w:val="clear"/>
        <w:snapToGrid w:val="0"/>
        <w:spacing w:before="120" w:beforeLines="50" w:after="50"/>
        <w:ind w:firstLine="660" w:firstLineChars="236"/>
        <w:jc w:val="both"/>
        <w:rPr>
          <w:rFonts w:hint="eastAsia" w:ascii="宋体" w:hAnsi="宋体" w:eastAsia="宋体" w:cs="宋体"/>
          <w:color w:val="auto"/>
          <w:sz w:val="28"/>
          <w:szCs w:val="28"/>
          <w:highlight w:val="none"/>
          <w:lang w:eastAsia="zh-CN"/>
        </w:rPr>
      </w:pPr>
    </w:p>
    <w:p w14:paraId="57D881D5">
      <w:pPr>
        <w:shd w:val="clear"/>
        <w:snapToGrid w:val="0"/>
        <w:spacing w:before="120" w:beforeLines="50" w:after="50"/>
        <w:ind w:firstLine="566" w:firstLineChars="236"/>
        <w:jc w:val="both"/>
        <w:rPr>
          <w:rFonts w:hint="eastAsia" w:ascii="宋体" w:hAnsi="宋体" w:eastAsia="宋体" w:cs="宋体"/>
          <w:color w:val="auto"/>
          <w:highlight w:val="none"/>
        </w:rPr>
      </w:pPr>
      <w:r>
        <w:rPr>
          <w:rFonts w:hint="eastAsia" w:ascii="宋体" w:hAnsi="宋体" w:eastAsia="宋体" w:cs="宋体"/>
          <w:color w:val="auto"/>
          <w:sz w:val="24"/>
          <w:highlight w:val="none"/>
        </w:rPr>
        <w:br w:type="page"/>
      </w:r>
    </w:p>
    <w:p w14:paraId="7B558E6D">
      <w:pPr>
        <w:shd w:val="clear"/>
        <w:jc w:val="left"/>
        <w:rPr>
          <w:rFonts w:hint="eastAsia" w:ascii="宋体" w:hAnsi="宋体" w:eastAsia="宋体" w:cs="宋体"/>
          <w:b/>
          <w:bCs/>
          <w:color w:val="auto"/>
          <w:sz w:val="30"/>
          <w:szCs w:val="30"/>
          <w:highlight w:val="none"/>
        </w:rPr>
      </w:pPr>
      <w:r>
        <w:rPr>
          <w:rFonts w:hint="eastAsia" w:ascii="宋体" w:hAnsi="宋体" w:eastAsia="宋体" w:cs="宋体"/>
          <w:b/>
          <w:color w:val="auto"/>
          <w:sz w:val="28"/>
          <w:szCs w:val="28"/>
          <w:highlight w:val="none"/>
          <w:lang w:val="en-US" w:eastAsia="zh-CN"/>
        </w:rPr>
        <w:t>6</w:t>
      </w:r>
      <w:r>
        <w:rPr>
          <w:rFonts w:hint="eastAsia" w:ascii="宋体" w:hAnsi="宋体" w:eastAsia="宋体" w:cs="宋体"/>
          <w:b/>
          <w:color w:val="auto"/>
          <w:sz w:val="28"/>
          <w:szCs w:val="28"/>
          <w:highlight w:val="none"/>
        </w:rPr>
        <w:t>.商务条款偏离表</w:t>
      </w:r>
      <w:r>
        <w:rPr>
          <w:rFonts w:hint="eastAsia" w:ascii="宋体" w:hAnsi="宋体" w:eastAsia="宋体" w:cs="宋体"/>
          <w:b/>
          <w:color w:val="auto"/>
          <w:sz w:val="28"/>
          <w:szCs w:val="28"/>
          <w:highlight w:val="none"/>
          <w:lang w:eastAsia="zh-CN"/>
        </w:rPr>
        <w:t>的</w:t>
      </w:r>
      <w:r>
        <w:rPr>
          <w:rFonts w:hint="eastAsia" w:ascii="宋体" w:hAnsi="宋体" w:eastAsia="宋体" w:cs="宋体"/>
          <w:b/>
          <w:color w:val="auto"/>
          <w:sz w:val="28"/>
          <w:szCs w:val="28"/>
          <w:highlight w:val="none"/>
        </w:rPr>
        <w:t>格式</w:t>
      </w:r>
      <w:r>
        <w:rPr>
          <w:rFonts w:hint="eastAsia" w:ascii="宋体" w:hAnsi="宋体" w:eastAsia="宋体" w:cs="宋体"/>
          <w:b/>
          <w:color w:val="auto"/>
          <w:sz w:val="28"/>
          <w:szCs w:val="28"/>
          <w:highlight w:val="none"/>
          <w:lang w:eastAsia="zh-CN"/>
        </w:rPr>
        <w:t>：</w:t>
      </w:r>
    </w:p>
    <w:p w14:paraId="7285B29A">
      <w:pPr>
        <w:shd w:val="clear"/>
        <w:jc w:val="center"/>
        <w:rPr>
          <w:rFonts w:hint="eastAsia" w:ascii="宋体" w:hAnsi="宋体" w:eastAsia="宋体" w:cs="宋体"/>
          <w:b/>
          <w:bCs/>
          <w:color w:val="auto"/>
          <w:sz w:val="30"/>
          <w:szCs w:val="30"/>
          <w:highlight w:val="none"/>
        </w:rPr>
      </w:pPr>
    </w:p>
    <w:p w14:paraId="5DF127CD">
      <w:pPr>
        <w:shd w:val="clear"/>
        <w:jc w:val="center"/>
        <w:rPr>
          <w:rFonts w:hint="eastAsia" w:ascii="宋体" w:hAnsi="宋体" w:eastAsia="宋体" w:cs="宋体"/>
          <w:b/>
          <w:bCs/>
          <w:color w:val="auto"/>
          <w:sz w:val="30"/>
          <w:szCs w:val="30"/>
          <w:highlight w:val="none"/>
        </w:rPr>
      </w:pPr>
      <w:r>
        <w:rPr>
          <w:rFonts w:hint="eastAsia" w:ascii="宋体" w:hAnsi="宋体" w:eastAsia="宋体" w:cs="宋体"/>
          <w:b/>
          <w:bCs/>
          <w:color w:val="auto"/>
          <w:sz w:val="30"/>
          <w:szCs w:val="30"/>
          <w:highlight w:val="none"/>
        </w:rPr>
        <w:t>商务条款偏离表</w:t>
      </w:r>
    </w:p>
    <w:p w14:paraId="163B3D4D">
      <w:pPr>
        <w:shd w:val="clear"/>
        <w:spacing w:line="360" w:lineRule="auto"/>
        <w:ind w:firstLine="0" w:firstLineChars="0"/>
        <w:contextualSpacing/>
        <w:rPr>
          <w:rFonts w:hint="eastAsia" w:ascii="宋体" w:hAnsi="宋体" w:eastAsia="宋体" w:cs="宋体"/>
          <w:color w:val="auto"/>
          <w:sz w:val="24"/>
          <w:highlight w:val="none"/>
        </w:rPr>
      </w:pPr>
    </w:p>
    <w:p w14:paraId="5F106298">
      <w:pPr>
        <w:shd w:val="clear"/>
        <w:spacing w:line="360" w:lineRule="auto"/>
        <w:ind w:firstLine="0" w:firstLineChars="0"/>
        <w:contextualSpacing/>
        <w:rPr>
          <w:rFonts w:hint="eastAsia" w:ascii="宋体" w:hAnsi="宋体" w:eastAsia="宋体" w:cs="宋体"/>
          <w:color w:val="auto"/>
          <w:sz w:val="24"/>
          <w:highlight w:val="none"/>
          <w:u w:val="single"/>
        </w:rPr>
      </w:pPr>
      <w:r>
        <w:rPr>
          <w:rFonts w:hint="eastAsia" w:ascii="宋体" w:hAnsi="宋体" w:eastAsia="宋体" w:cs="宋体"/>
          <w:color w:val="auto"/>
          <w:sz w:val="24"/>
          <w:highlight w:val="none"/>
        </w:rPr>
        <w:t>项目名称：</w:t>
      </w:r>
      <w:r>
        <w:rPr>
          <w:rFonts w:hint="eastAsia" w:ascii="宋体" w:hAnsi="宋体" w:eastAsia="宋体" w:cs="宋体"/>
          <w:color w:val="auto"/>
          <w:sz w:val="24"/>
          <w:highlight w:val="none"/>
          <w:u w:val="single"/>
        </w:rPr>
        <w:t xml:space="preserve">                 </w:t>
      </w:r>
    </w:p>
    <w:p w14:paraId="3695E489">
      <w:pPr>
        <w:shd w:val="clear"/>
        <w:snapToGrid/>
        <w:spacing w:before="0" w:line="360" w:lineRule="auto"/>
        <w:contextualSpacing/>
        <w:jc w:val="left"/>
        <w:rPr>
          <w:rFonts w:hint="eastAsia" w:ascii="宋体" w:hAnsi="宋体" w:eastAsia="宋体" w:cs="宋体"/>
          <w:color w:val="auto"/>
          <w:sz w:val="24"/>
          <w:highlight w:val="none"/>
          <w:u w:val="single"/>
        </w:rPr>
      </w:pPr>
      <w:r>
        <w:rPr>
          <w:rFonts w:hint="eastAsia" w:ascii="宋体" w:hAnsi="宋体" w:eastAsia="宋体" w:cs="宋体"/>
          <w:color w:val="auto"/>
          <w:sz w:val="24"/>
          <w:highlight w:val="none"/>
        </w:rPr>
        <w:t>项目编号：</w:t>
      </w:r>
      <w:r>
        <w:rPr>
          <w:rFonts w:hint="eastAsia" w:ascii="宋体" w:hAnsi="宋体" w:eastAsia="宋体" w:cs="宋体"/>
          <w:color w:val="auto"/>
          <w:sz w:val="24"/>
          <w:highlight w:val="none"/>
          <w:u w:val="single"/>
        </w:rPr>
        <w:t xml:space="preserve">                 </w:t>
      </w:r>
    </w:p>
    <w:p w14:paraId="3C233C16">
      <w:pPr>
        <w:pStyle w:val="12"/>
        <w:shd w:val="clear"/>
        <w:spacing w:line="480" w:lineRule="auto"/>
        <w:ind w:left="-422" w:leftChars="-201" w:firstLine="424"/>
        <w:rPr>
          <w:rFonts w:hint="eastAsia" w:ascii="宋体" w:hAnsi="宋体" w:eastAsia="宋体" w:cs="宋体"/>
          <w:color w:val="auto"/>
          <w:highlight w:val="none"/>
        </w:rPr>
      </w:pPr>
      <w:r>
        <w:rPr>
          <w:rFonts w:hint="eastAsia" w:ascii="宋体" w:hAnsi="宋体" w:eastAsia="宋体" w:cs="宋体"/>
          <w:color w:val="auto"/>
          <w:sz w:val="24"/>
          <w:szCs w:val="24"/>
          <w:highlight w:val="none"/>
          <w:lang w:eastAsia="zh-CN"/>
        </w:rPr>
        <w:t>所投</w:t>
      </w:r>
      <w:r>
        <w:rPr>
          <w:rFonts w:hint="eastAsia" w:ascii="宋体" w:hAnsi="宋体" w:eastAsia="宋体" w:cs="宋体"/>
          <w:color w:val="auto"/>
          <w:sz w:val="24"/>
          <w:szCs w:val="24"/>
          <w:highlight w:val="none"/>
        </w:rPr>
        <w:t>分标</w:t>
      </w:r>
      <w:r>
        <w:rPr>
          <w:rFonts w:hint="eastAsia" w:ascii="宋体" w:hAnsi="宋体" w:eastAsia="宋体" w:cs="宋体"/>
          <w:color w:val="auto"/>
          <w:sz w:val="21"/>
          <w:szCs w:val="21"/>
          <w:highlight w:val="none"/>
        </w:rPr>
        <w:t>（此处有分标时填写具体分标号，无分标时填写“无”）</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highlight w:val="none"/>
          <w:u w:val="single"/>
        </w:rPr>
        <w:t xml:space="preserve">           </w:t>
      </w:r>
    </w:p>
    <w:tbl>
      <w:tblPr>
        <w:tblStyle w:val="18"/>
        <w:tblW w:w="929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4"/>
        <w:gridCol w:w="3379"/>
        <w:gridCol w:w="3229"/>
        <w:gridCol w:w="1917"/>
      </w:tblGrid>
      <w:tr w14:paraId="51FF57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trPr>
        <w:tc>
          <w:tcPr>
            <w:tcW w:w="774" w:type="dxa"/>
            <w:tcBorders>
              <w:top w:val="single" w:color="auto" w:sz="4" w:space="0"/>
              <w:left w:val="single" w:color="auto" w:sz="4" w:space="0"/>
              <w:bottom w:val="single" w:color="auto" w:sz="4" w:space="0"/>
              <w:right w:val="single" w:color="auto" w:sz="4" w:space="0"/>
            </w:tcBorders>
            <w:noWrap w:val="0"/>
            <w:vAlign w:val="center"/>
          </w:tcPr>
          <w:p w14:paraId="1B5D352A">
            <w:pPr>
              <w:shd w:val="clear"/>
              <w:spacing w:line="34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项号</w:t>
            </w:r>
          </w:p>
        </w:tc>
        <w:tc>
          <w:tcPr>
            <w:tcW w:w="3379" w:type="dxa"/>
            <w:tcBorders>
              <w:top w:val="single" w:color="auto" w:sz="4" w:space="0"/>
              <w:left w:val="single" w:color="auto" w:sz="4" w:space="0"/>
              <w:bottom w:val="single" w:color="auto" w:sz="4" w:space="0"/>
              <w:right w:val="single" w:color="auto" w:sz="4" w:space="0"/>
            </w:tcBorders>
            <w:noWrap w:val="0"/>
            <w:vAlign w:val="center"/>
          </w:tcPr>
          <w:p w14:paraId="3199D984">
            <w:pPr>
              <w:shd w:val="clear"/>
              <w:spacing w:line="340" w:lineRule="exact"/>
              <w:jc w:val="center"/>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rPr>
              <w:t>招标文件的商务</w:t>
            </w:r>
            <w:r>
              <w:rPr>
                <w:rFonts w:hint="eastAsia" w:ascii="宋体" w:hAnsi="宋体" w:eastAsia="宋体" w:cs="宋体"/>
                <w:color w:val="auto"/>
                <w:szCs w:val="21"/>
                <w:highlight w:val="none"/>
                <w:lang w:val="en-US" w:eastAsia="zh-CN"/>
              </w:rPr>
              <w:t>条款</w:t>
            </w:r>
          </w:p>
        </w:tc>
        <w:tc>
          <w:tcPr>
            <w:tcW w:w="3229" w:type="dxa"/>
            <w:tcBorders>
              <w:top w:val="single" w:color="auto" w:sz="4" w:space="0"/>
              <w:left w:val="single" w:color="auto" w:sz="4" w:space="0"/>
              <w:bottom w:val="single" w:color="auto" w:sz="4" w:space="0"/>
              <w:right w:val="single" w:color="auto" w:sz="4" w:space="0"/>
            </w:tcBorders>
            <w:noWrap w:val="0"/>
            <w:vAlign w:val="center"/>
          </w:tcPr>
          <w:p w14:paraId="6800165C">
            <w:pPr>
              <w:shd w:val="clear"/>
              <w:spacing w:line="34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投标文件</w:t>
            </w:r>
            <w:r>
              <w:rPr>
                <w:rFonts w:hint="eastAsia" w:ascii="宋体" w:hAnsi="宋体" w:eastAsia="宋体" w:cs="宋体"/>
                <w:color w:val="auto"/>
                <w:szCs w:val="21"/>
                <w:highlight w:val="none"/>
                <w:lang w:val="en-US" w:eastAsia="zh-CN"/>
              </w:rPr>
              <w:t>响应</w:t>
            </w:r>
            <w:r>
              <w:rPr>
                <w:rFonts w:hint="eastAsia" w:ascii="宋体" w:hAnsi="宋体" w:eastAsia="宋体" w:cs="宋体"/>
                <w:color w:val="auto"/>
                <w:szCs w:val="21"/>
                <w:highlight w:val="none"/>
              </w:rPr>
              <w:t>的商务条款</w:t>
            </w:r>
          </w:p>
        </w:tc>
        <w:tc>
          <w:tcPr>
            <w:tcW w:w="1917" w:type="dxa"/>
            <w:tcBorders>
              <w:top w:val="single" w:color="auto" w:sz="4" w:space="0"/>
              <w:left w:val="single" w:color="auto" w:sz="4" w:space="0"/>
              <w:bottom w:val="single" w:color="auto" w:sz="4" w:space="0"/>
              <w:right w:val="single" w:color="auto" w:sz="4" w:space="0"/>
            </w:tcBorders>
            <w:noWrap w:val="0"/>
            <w:vAlign w:val="center"/>
          </w:tcPr>
          <w:p w14:paraId="58F750DA">
            <w:pPr>
              <w:shd w:val="clear"/>
              <w:spacing w:line="34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偏离说明</w:t>
            </w:r>
          </w:p>
        </w:tc>
      </w:tr>
      <w:tr w14:paraId="0FED1C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20" w:hRule="atLeast"/>
        </w:trPr>
        <w:tc>
          <w:tcPr>
            <w:tcW w:w="774" w:type="dxa"/>
            <w:tcBorders>
              <w:top w:val="single" w:color="auto" w:sz="4" w:space="0"/>
              <w:left w:val="single" w:color="auto" w:sz="4" w:space="0"/>
              <w:bottom w:val="single" w:color="auto" w:sz="4" w:space="0"/>
              <w:right w:val="single" w:color="auto" w:sz="4" w:space="0"/>
            </w:tcBorders>
            <w:noWrap w:val="0"/>
            <w:vAlign w:val="top"/>
          </w:tcPr>
          <w:p w14:paraId="5400C4D9">
            <w:pPr>
              <w:shd w:val="clear"/>
              <w:spacing w:line="34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一</w:t>
            </w:r>
          </w:p>
        </w:tc>
        <w:tc>
          <w:tcPr>
            <w:tcW w:w="3379" w:type="dxa"/>
            <w:tcBorders>
              <w:top w:val="single" w:color="auto" w:sz="4" w:space="0"/>
              <w:left w:val="single" w:color="auto" w:sz="4" w:space="0"/>
              <w:bottom w:val="single" w:color="auto" w:sz="4" w:space="0"/>
              <w:right w:val="single" w:color="auto" w:sz="4" w:space="0"/>
            </w:tcBorders>
            <w:noWrap w:val="0"/>
            <w:vAlign w:val="top"/>
          </w:tcPr>
          <w:p w14:paraId="4820BC59">
            <w:pPr>
              <w:shd w:val="clear"/>
              <w:spacing w:line="340" w:lineRule="exact"/>
              <w:rPr>
                <w:rFonts w:hint="eastAsia" w:ascii="宋体" w:hAnsi="宋体" w:eastAsia="宋体" w:cs="宋体"/>
                <w:color w:val="auto"/>
                <w:szCs w:val="21"/>
                <w:highlight w:val="none"/>
              </w:rPr>
            </w:pPr>
          </w:p>
        </w:tc>
        <w:tc>
          <w:tcPr>
            <w:tcW w:w="3229" w:type="dxa"/>
            <w:tcBorders>
              <w:top w:val="single" w:color="auto" w:sz="4" w:space="0"/>
              <w:left w:val="single" w:color="auto" w:sz="4" w:space="0"/>
              <w:bottom w:val="single" w:color="auto" w:sz="4" w:space="0"/>
              <w:right w:val="single" w:color="auto" w:sz="4" w:space="0"/>
            </w:tcBorders>
            <w:noWrap w:val="0"/>
            <w:vAlign w:val="top"/>
          </w:tcPr>
          <w:p w14:paraId="63C29727">
            <w:pPr>
              <w:shd w:val="clear"/>
              <w:spacing w:line="340" w:lineRule="exact"/>
              <w:rPr>
                <w:rFonts w:hint="eastAsia" w:ascii="宋体" w:hAnsi="宋体" w:eastAsia="宋体" w:cs="宋体"/>
                <w:color w:val="auto"/>
                <w:szCs w:val="21"/>
                <w:highlight w:val="none"/>
              </w:rPr>
            </w:pPr>
          </w:p>
        </w:tc>
        <w:tc>
          <w:tcPr>
            <w:tcW w:w="1917" w:type="dxa"/>
            <w:tcBorders>
              <w:top w:val="single" w:color="auto" w:sz="4" w:space="0"/>
              <w:left w:val="single" w:color="auto" w:sz="4" w:space="0"/>
              <w:bottom w:val="single" w:color="auto" w:sz="4" w:space="0"/>
              <w:right w:val="single" w:color="auto" w:sz="4" w:space="0"/>
            </w:tcBorders>
            <w:noWrap w:val="0"/>
            <w:vAlign w:val="top"/>
          </w:tcPr>
          <w:p w14:paraId="5389D391">
            <w:pPr>
              <w:shd w:val="clear"/>
              <w:spacing w:line="300" w:lineRule="exact"/>
              <w:rPr>
                <w:rFonts w:hint="eastAsia" w:ascii="宋体" w:hAnsi="宋体" w:eastAsia="宋体" w:cs="宋体"/>
                <w:color w:val="auto"/>
                <w:szCs w:val="21"/>
                <w:highlight w:val="none"/>
              </w:rPr>
            </w:pPr>
          </w:p>
        </w:tc>
      </w:tr>
      <w:tr w14:paraId="78AFB6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20" w:hRule="atLeast"/>
        </w:trPr>
        <w:tc>
          <w:tcPr>
            <w:tcW w:w="774" w:type="dxa"/>
            <w:tcBorders>
              <w:top w:val="single" w:color="auto" w:sz="4" w:space="0"/>
              <w:left w:val="single" w:color="auto" w:sz="4" w:space="0"/>
              <w:bottom w:val="single" w:color="auto" w:sz="4" w:space="0"/>
              <w:right w:val="single" w:color="auto" w:sz="4" w:space="0"/>
            </w:tcBorders>
            <w:noWrap w:val="0"/>
            <w:vAlign w:val="top"/>
          </w:tcPr>
          <w:p w14:paraId="2A1F0819">
            <w:pPr>
              <w:shd w:val="clear"/>
              <w:spacing w:line="34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二</w:t>
            </w:r>
          </w:p>
        </w:tc>
        <w:tc>
          <w:tcPr>
            <w:tcW w:w="3379" w:type="dxa"/>
            <w:tcBorders>
              <w:top w:val="single" w:color="auto" w:sz="4" w:space="0"/>
              <w:left w:val="single" w:color="auto" w:sz="4" w:space="0"/>
              <w:bottom w:val="single" w:color="auto" w:sz="4" w:space="0"/>
              <w:right w:val="single" w:color="auto" w:sz="4" w:space="0"/>
            </w:tcBorders>
            <w:noWrap w:val="0"/>
            <w:vAlign w:val="top"/>
          </w:tcPr>
          <w:p w14:paraId="1BBC0D06">
            <w:pPr>
              <w:shd w:val="clear"/>
              <w:spacing w:line="340" w:lineRule="exact"/>
              <w:rPr>
                <w:rFonts w:hint="eastAsia" w:ascii="宋体" w:hAnsi="宋体" w:eastAsia="宋体" w:cs="宋体"/>
                <w:color w:val="auto"/>
                <w:szCs w:val="21"/>
                <w:highlight w:val="none"/>
              </w:rPr>
            </w:pPr>
          </w:p>
        </w:tc>
        <w:tc>
          <w:tcPr>
            <w:tcW w:w="3229" w:type="dxa"/>
            <w:tcBorders>
              <w:top w:val="single" w:color="auto" w:sz="4" w:space="0"/>
              <w:left w:val="single" w:color="auto" w:sz="4" w:space="0"/>
              <w:bottom w:val="single" w:color="auto" w:sz="4" w:space="0"/>
              <w:right w:val="single" w:color="auto" w:sz="4" w:space="0"/>
            </w:tcBorders>
            <w:noWrap w:val="0"/>
            <w:vAlign w:val="top"/>
          </w:tcPr>
          <w:p w14:paraId="5FE06104">
            <w:pPr>
              <w:shd w:val="clear"/>
              <w:spacing w:line="340" w:lineRule="exact"/>
              <w:rPr>
                <w:rFonts w:hint="eastAsia" w:ascii="宋体" w:hAnsi="宋体" w:eastAsia="宋体" w:cs="宋体"/>
                <w:color w:val="auto"/>
                <w:szCs w:val="21"/>
                <w:highlight w:val="none"/>
              </w:rPr>
            </w:pPr>
          </w:p>
        </w:tc>
        <w:tc>
          <w:tcPr>
            <w:tcW w:w="1917" w:type="dxa"/>
            <w:tcBorders>
              <w:top w:val="single" w:color="auto" w:sz="4" w:space="0"/>
              <w:left w:val="single" w:color="auto" w:sz="4" w:space="0"/>
              <w:bottom w:val="single" w:color="auto" w:sz="4" w:space="0"/>
              <w:right w:val="single" w:color="auto" w:sz="4" w:space="0"/>
            </w:tcBorders>
            <w:noWrap w:val="0"/>
            <w:vAlign w:val="top"/>
          </w:tcPr>
          <w:p w14:paraId="620D3441">
            <w:pPr>
              <w:shd w:val="clear"/>
              <w:spacing w:line="300" w:lineRule="exact"/>
              <w:rPr>
                <w:rFonts w:hint="eastAsia" w:ascii="宋体" w:hAnsi="宋体" w:eastAsia="宋体" w:cs="宋体"/>
                <w:color w:val="auto"/>
                <w:szCs w:val="21"/>
                <w:highlight w:val="none"/>
              </w:rPr>
            </w:pPr>
          </w:p>
        </w:tc>
      </w:tr>
      <w:tr w14:paraId="49ED45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59" w:hRule="atLeast"/>
        </w:trPr>
        <w:tc>
          <w:tcPr>
            <w:tcW w:w="774" w:type="dxa"/>
            <w:tcBorders>
              <w:top w:val="single" w:color="auto" w:sz="4" w:space="0"/>
              <w:left w:val="single" w:color="auto" w:sz="4" w:space="0"/>
              <w:bottom w:val="single" w:color="auto" w:sz="4" w:space="0"/>
              <w:right w:val="single" w:color="auto" w:sz="4" w:space="0"/>
            </w:tcBorders>
            <w:noWrap w:val="0"/>
            <w:vAlign w:val="top"/>
          </w:tcPr>
          <w:p w14:paraId="04884D13">
            <w:pPr>
              <w:shd w:val="clear"/>
              <w:spacing w:line="34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w:t>
            </w:r>
          </w:p>
        </w:tc>
        <w:tc>
          <w:tcPr>
            <w:tcW w:w="3379" w:type="dxa"/>
            <w:tcBorders>
              <w:top w:val="single" w:color="auto" w:sz="4" w:space="0"/>
              <w:left w:val="single" w:color="auto" w:sz="4" w:space="0"/>
              <w:bottom w:val="single" w:color="auto" w:sz="4" w:space="0"/>
              <w:right w:val="single" w:color="auto" w:sz="4" w:space="0"/>
            </w:tcBorders>
            <w:noWrap w:val="0"/>
            <w:vAlign w:val="top"/>
          </w:tcPr>
          <w:p w14:paraId="413ADD65">
            <w:pPr>
              <w:shd w:val="clear"/>
              <w:spacing w:line="340" w:lineRule="exact"/>
              <w:rPr>
                <w:rFonts w:hint="eastAsia" w:ascii="宋体" w:hAnsi="宋体" w:eastAsia="宋体" w:cs="宋体"/>
                <w:color w:val="auto"/>
                <w:szCs w:val="21"/>
                <w:highlight w:val="none"/>
              </w:rPr>
            </w:pPr>
          </w:p>
        </w:tc>
        <w:tc>
          <w:tcPr>
            <w:tcW w:w="3229" w:type="dxa"/>
            <w:tcBorders>
              <w:top w:val="single" w:color="auto" w:sz="4" w:space="0"/>
              <w:left w:val="single" w:color="auto" w:sz="4" w:space="0"/>
              <w:bottom w:val="single" w:color="auto" w:sz="4" w:space="0"/>
              <w:right w:val="single" w:color="auto" w:sz="4" w:space="0"/>
            </w:tcBorders>
            <w:noWrap w:val="0"/>
            <w:vAlign w:val="top"/>
          </w:tcPr>
          <w:p w14:paraId="4C1334A7">
            <w:pPr>
              <w:shd w:val="clear"/>
              <w:spacing w:line="340" w:lineRule="exact"/>
              <w:rPr>
                <w:rFonts w:hint="eastAsia" w:ascii="宋体" w:hAnsi="宋体" w:eastAsia="宋体" w:cs="宋体"/>
                <w:color w:val="auto"/>
                <w:szCs w:val="21"/>
                <w:highlight w:val="none"/>
              </w:rPr>
            </w:pPr>
          </w:p>
        </w:tc>
        <w:tc>
          <w:tcPr>
            <w:tcW w:w="1917" w:type="dxa"/>
            <w:tcBorders>
              <w:top w:val="single" w:color="auto" w:sz="4" w:space="0"/>
              <w:left w:val="single" w:color="auto" w:sz="4" w:space="0"/>
              <w:bottom w:val="single" w:color="auto" w:sz="4" w:space="0"/>
              <w:right w:val="single" w:color="auto" w:sz="4" w:space="0"/>
            </w:tcBorders>
            <w:noWrap w:val="0"/>
            <w:vAlign w:val="top"/>
          </w:tcPr>
          <w:p w14:paraId="124829F3">
            <w:pPr>
              <w:shd w:val="clear"/>
              <w:spacing w:line="300" w:lineRule="exact"/>
              <w:rPr>
                <w:rFonts w:hint="eastAsia" w:ascii="宋体" w:hAnsi="宋体" w:eastAsia="宋体" w:cs="宋体"/>
                <w:color w:val="auto"/>
                <w:szCs w:val="21"/>
                <w:highlight w:val="none"/>
              </w:rPr>
            </w:pPr>
          </w:p>
        </w:tc>
      </w:tr>
    </w:tbl>
    <w:p w14:paraId="02AE3BE0">
      <w:pPr>
        <w:pStyle w:val="12"/>
        <w:shd w:val="clear"/>
        <w:spacing w:line="360" w:lineRule="auto"/>
        <w:ind w:left="-708" w:leftChars="-337"/>
        <w:rPr>
          <w:rFonts w:hint="eastAsia" w:ascii="宋体" w:hAnsi="宋体" w:eastAsia="宋体" w:cs="宋体"/>
          <w:color w:val="auto"/>
          <w:highlight w:val="none"/>
        </w:rPr>
      </w:pPr>
    </w:p>
    <w:p w14:paraId="01FF9C58">
      <w:pPr>
        <w:pStyle w:val="12"/>
        <w:shd w:val="clear"/>
        <w:spacing w:line="360" w:lineRule="auto"/>
        <w:ind w:left="0" w:leftChars="0"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注：</w:t>
      </w:r>
    </w:p>
    <w:p w14:paraId="01218A57">
      <w:pPr>
        <w:pStyle w:val="12"/>
        <w:shd w:val="clear"/>
        <w:spacing w:line="360" w:lineRule="auto"/>
        <w:ind w:left="0" w:leftChars="0"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1.表格内容均需按要求填写并加盖投标人公章。</w:t>
      </w:r>
    </w:p>
    <w:p w14:paraId="5A34838B">
      <w:pPr>
        <w:pStyle w:val="12"/>
        <w:shd w:val="clear"/>
        <w:spacing w:line="360" w:lineRule="auto"/>
        <w:ind w:left="-424" w:leftChars="-202" w:firstLine="846" w:firstLineChars="0"/>
        <w:rPr>
          <w:rFonts w:hint="eastAsia" w:ascii="宋体" w:hAnsi="宋体" w:eastAsia="宋体" w:cs="宋体"/>
          <w:color w:val="auto"/>
          <w:highlight w:val="none"/>
        </w:rPr>
      </w:pPr>
      <w:r>
        <w:rPr>
          <w:rFonts w:hint="eastAsia" w:ascii="宋体" w:hAnsi="宋体" w:eastAsia="宋体" w:cs="宋体"/>
          <w:color w:val="auto"/>
          <w:highlight w:val="none"/>
        </w:rPr>
        <w:t>2.请逐条对应本项目招标文件“第二章</w:t>
      </w:r>
      <w:r>
        <w:rPr>
          <w:rFonts w:hint="eastAsia" w:ascii="宋体" w:hAnsi="宋体" w:eastAsia="宋体" w:cs="宋体"/>
          <w:color w:val="auto"/>
          <w:highlight w:val="none"/>
          <w:lang w:val="en-US" w:eastAsia="zh-CN"/>
        </w:rPr>
        <w:t xml:space="preserve">  </w:t>
      </w:r>
      <w:r>
        <w:rPr>
          <w:rFonts w:hint="eastAsia" w:ascii="宋体" w:hAnsi="宋体" w:eastAsia="宋体" w:cs="宋体"/>
          <w:b/>
          <w:color w:val="auto"/>
          <w:sz w:val="21"/>
          <w:szCs w:val="21"/>
          <w:highlight w:val="none"/>
        </w:rPr>
        <w:t>采购需求</w:t>
      </w:r>
      <w:r>
        <w:rPr>
          <w:rFonts w:hint="eastAsia" w:ascii="宋体" w:hAnsi="宋体" w:eastAsia="宋体" w:cs="宋体"/>
          <w:color w:val="auto"/>
          <w:highlight w:val="none"/>
        </w:rPr>
        <w:t>”中“商务条款”的要求，详细填写相应的具体内容</w:t>
      </w:r>
      <w:r>
        <w:rPr>
          <w:rFonts w:hint="eastAsia" w:ascii="宋体" w:hAnsi="宋体" w:eastAsia="宋体" w:cs="宋体"/>
          <w:color w:val="auto"/>
          <w:highlight w:val="none"/>
          <w:lang w:eastAsia="zh-CN"/>
        </w:rPr>
        <w:t>，</w:t>
      </w:r>
      <w:r>
        <w:rPr>
          <w:rFonts w:hint="eastAsia" w:ascii="宋体" w:hAnsi="宋体" w:eastAsia="宋体" w:cs="宋体"/>
          <w:color w:val="auto"/>
          <w:highlight w:val="none"/>
        </w:rPr>
        <w:t>“偏离说明”一栏应当选择“正偏离”</w:t>
      </w:r>
      <w:r>
        <w:rPr>
          <w:rFonts w:hint="eastAsia" w:ascii="宋体" w:hAnsi="宋体" w:eastAsia="宋体" w:cs="宋体"/>
          <w:color w:val="auto"/>
          <w:highlight w:val="none"/>
          <w:lang w:eastAsia="zh-CN"/>
        </w:rPr>
        <w:t>或</w:t>
      </w:r>
      <w:r>
        <w:rPr>
          <w:rFonts w:hint="eastAsia" w:ascii="宋体" w:hAnsi="宋体" w:eastAsia="宋体" w:cs="宋体"/>
          <w:color w:val="auto"/>
          <w:highlight w:val="none"/>
        </w:rPr>
        <w:t>“负偏离”或“无偏离”进行填写</w:t>
      </w:r>
      <w:r>
        <w:rPr>
          <w:rFonts w:hint="eastAsia" w:ascii="宋体" w:hAnsi="宋体" w:eastAsia="宋体" w:cs="宋体"/>
          <w:color w:val="auto"/>
          <w:highlight w:val="none"/>
          <w:lang w:eastAsia="zh-CN"/>
        </w:rPr>
        <w:t>，否则投标无效</w:t>
      </w:r>
      <w:r>
        <w:rPr>
          <w:rFonts w:hint="eastAsia" w:ascii="宋体" w:hAnsi="宋体" w:eastAsia="宋体" w:cs="宋体"/>
          <w:color w:val="auto"/>
          <w:highlight w:val="none"/>
        </w:rPr>
        <w:t>。</w:t>
      </w:r>
    </w:p>
    <w:p w14:paraId="34DF5056">
      <w:pPr>
        <w:pStyle w:val="12"/>
        <w:shd w:val="clear"/>
        <w:spacing w:line="360" w:lineRule="auto"/>
        <w:ind w:left="-603" w:leftChars="-287" w:firstLine="945" w:firstLineChars="450"/>
        <w:rPr>
          <w:rFonts w:hint="eastAsia" w:ascii="宋体" w:hAnsi="宋体" w:eastAsia="宋体" w:cs="宋体"/>
          <w:color w:val="auto"/>
          <w:highlight w:val="none"/>
        </w:rPr>
      </w:pPr>
      <w:r>
        <w:rPr>
          <w:rFonts w:hint="eastAsia" w:ascii="宋体" w:hAnsi="宋体" w:eastAsia="宋体" w:cs="宋体"/>
          <w:color w:val="auto"/>
          <w:highlight w:val="none"/>
        </w:rPr>
        <w:t>3.当投标文件的商务内容低于招标文件要求时，投标人应当如实写明“负偏离”。</w:t>
      </w:r>
    </w:p>
    <w:p w14:paraId="412252D3">
      <w:pPr>
        <w:pStyle w:val="12"/>
        <w:shd w:val="clear"/>
        <w:spacing w:line="360" w:lineRule="auto"/>
        <w:ind w:left="-708" w:leftChars="-337" w:firstLine="1050" w:firstLineChars="500"/>
        <w:rPr>
          <w:rFonts w:hint="eastAsia" w:ascii="宋体" w:hAnsi="宋体" w:eastAsia="宋体" w:cs="宋体"/>
          <w:color w:val="auto"/>
          <w:szCs w:val="21"/>
          <w:highlight w:val="none"/>
        </w:rPr>
      </w:pPr>
    </w:p>
    <w:p w14:paraId="1E6FE620">
      <w:pPr>
        <w:shd w:val="clear"/>
        <w:snapToGrid w:val="0"/>
        <w:spacing w:before="50" w:after="50"/>
        <w:rPr>
          <w:rFonts w:hint="eastAsia" w:ascii="宋体" w:hAnsi="宋体" w:eastAsia="宋体" w:cs="宋体"/>
          <w:color w:val="auto"/>
          <w:sz w:val="24"/>
          <w:highlight w:val="none"/>
        </w:rPr>
      </w:pPr>
    </w:p>
    <w:p w14:paraId="2DA25F16">
      <w:pPr>
        <w:shd w:val="clear"/>
        <w:snapToGrid w:val="0"/>
        <w:spacing w:line="360" w:lineRule="auto"/>
        <w:ind w:firstLine="4935" w:firstLineChars="2350"/>
        <w:rPr>
          <w:rFonts w:hint="eastAsia" w:ascii="宋体" w:hAnsi="宋体" w:eastAsia="宋体" w:cs="宋体"/>
          <w:color w:val="auto"/>
          <w:kern w:val="0"/>
          <w:sz w:val="24"/>
          <w:highlight w:val="none"/>
        </w:rPr>
      </w:pPr>
      <w:r>
        <w:rPr>
          <w:rFonts w:hint="eastAsia" w:ascii="宋体" w:hAnsi="宋体" w:eastAsia="宋体" w:cs="宋体"/>
          <w:color w:val="auto"/>
          <w:szCs w:val="21"/>
          <w:highlight w:val="none"/>
        </w:rPr>
        <w:t xml:space="preserve">  </w:t>
      </w:r>
      <w:r>
        <w:rPr>
          <w:rFonts w:hint="eastAsia" w:ascii="宋体" w:hAnsi="宋体" w:eastAsia="宋体" w:cs="宋体"/>
          <w:color w:val="auto"/>
          <w:kern w:val="0"/>
          <w:sz w:val="24"/>
          <w:highlight w:val="none"/>
          <w:lang w:val="zh-CN"/>
        </w:rPr>
        <w:t>投标人名称(盖公章)：</w:t>
      </w:r>
    </w:p>
    <w:p w14:paraId="41123582">
      <w:pPr>
        <w:shd w:val="clear"/>
        <w:snapToGrid w:val="0"/>
        <w:spacing w:line="360" w:lineRule="auto"/>
        <w:ind w:firstLine="5160" w:firstLineChars="2150"/>
        <w:rPr>
          <w:rFonts w:hint="eastAsia" w:ascii="宋体" w:hAnsi="宋体" w:eastAsia="宋体" w:cs="宋体"/>
          <w:color w:val="auto"/>
          <w:kern w:val="0"/>
          <w:sz w:val="24"/>
          <w:highlight w:val="none"/>
          <w:lang w:val="zh-CN"/>
        </w:rPr>
      </w:pPr>
      <w:r>
        <w:rPr>
          <w:rFonts w:hint="eastAsia" w:ascii="宋体" w:hAnsi="宋体" w:eastAsia="宋体" w:cs="宋体"/>
          <w:color w:val="auto"/>
          <w:kern w:val="0"/>
          <w:sz w:val="24"/>
          <w:highlight w:val="none"/>
          <w:lang w:val="zh-CN"/>
        </w:rPr>
        <w:t>日期</w:t>
      </w:r>
      <w:r>
        <w:rPr>
          <w:rFonts w:hint="eastAsia" w:ascii="宋体" w:hAnsi="宋体" w:eastAsia="宋体" w:cs="宋体"/>
          <w:color w:val="auto"/>
          <w:kern w:val="0"/>
          <w:sz w:val="24"/>
          <w:highlight w:val="none"/>
        </w:rPr>
        <w:t xml:space="preserve">：  年  </w:t>
      </w:r>
      <w:r>
        <w:rPr>
          <w:rFonts w:hint="eastAsia" w:ascii="宋体" w:hAnsi="宋体" w:eastAsia="宋体" w:cs="宋体"/>
          <w:color w:val="auto"/>
          <w:kern w:val="0"/>
          <w:sz w:val="24"/>
          <w:highlight w:val="none"/>
          <w:lang w:val="zh-CN"/>
        </w:rPr>
        <w:t>月</w:t>
      </w:r>
      <w:r>
        <w:rPr>
          <w:rFonts w:hint="eastAsia" w:ascii="宋体" w:hAnsi="宋体" w:eastAsia="宋体" w:cs="宋体"/>
          <w:color w:val="auto"/>
          <w:kern w:val="0"/>
          <w:sz w:val="24"/>
          <w:highlight w:val="none"/>
        </w:rPr>
        <w:t xml:space="preserve">   </w:t>
      </w:r>
      <w:r>
        <w:rPr>
          <w:rFonts w:hint="eastAsia" w:ascii="宋体" w:hAnsi="宋体" w:eastAsia="宋体" w:cs="宋体"/>
          <w:color w:val="auto"/>
          <w:kern w:val="0"/>
          <w:sz w:val="24"/>
          <w:highlight w:val="none"/>
          <w:lang w:val="zh-CN"/>
        </w:rPr>
        <w:t>日</w:t>
      </w:r>
    </w:p>
    <w:p w14:paraId="13E48979">
      <w:pPr>
        <w:shd w:val="clear"/>
        <w:rPr>
          <w:rFonts w:hint="eastAsia" w:ascii="宋体" w:hAnsi="宋体" w:eastAsia="宋体" w:cs="宋体"/>
          <w:color w:val="auto"/>
          <w:highlight w:val="none"/>
        </w:rPr>
      </w:pPr>
    </w:p>
    <w:p w14:paraId="6D3E3FE3">
      <w:pPr>
        <w:widowControl/>
        <w:shd w:val="clear"/>
        <w:jc w:val="left"/>
        <w:rPr>
          <w:rFonts w:hint="eastAsia" w:ascii="宋体" w:hAnsi="宋体" w:eastAsia="宋体" w:cs="宋体"/>
          <w:b/>
          <w:bCs/>
          <w:color w:val="auto"/>
          <w:sz w:val="30"/>
          <w:szCs w:val="30"/>
          <w:highlight w:val="none"/>
        </w:rPr>
        <w:sectPr>
          <w:pgSz w:w="11905" w:h="16838"/>
          <w:pgMar w:top="1134" w:right="1134" w:bottom="1134" w:left="1134" w:header="850" w:footer="850" w:gutter="0"/>
          <w:pgNumType w:fmt="decimal"/>
          <w:cols w:space="0" w:num="1"/>
          <w:titlePg/>
          <w:rtlGutter w:val="0"/>
          <w:docGrid w:linePitch="331" w:charSpace="0"/>
        </w:sectPr>
      </w:pPr>
    </w:p>
    <w:p w14:paraId="54F2E00B">
      <w:pPr>
        <w:pStyle w:val="12"/>
        <w:shd w:val="clear"/>
        <w:jc w:val="center"/>
        <w:outlineLvl w:val="1"/>
        <w:rPr>
          <w:rFonts w:hint="eastAsia" w:ascii="宋体" w:hAnsi="宋体" w:eastAsia="宋体" w:cs="宋体"/>
          <w:b/>
          <w:bCs/>
          <w:color w:val="auto"/>
          <w:sz w:val="28"/>
          <w:szCs w:val="28"/>
          <w:highlight w:val="none"/>
        </w:rPr>
      </w:pPr>
      <w:bookmarkStart w:id="372" w:name="_Toc10197"/>
      <w:bookmarkStart w:id="373" w:name="_Toc585"/>
      <w:bookmarkStart w:id="374" w:name="_Toc19686839"/>
      <w:bookmarkStart w:id="375" w:name="_Toc24098"/>
      <w:bookmarkStart w:id="376" w:name="_Toc24407"/>
      <w:bookmarkStart w:id="377" w:name="_Toc27757"/>
      <w:bookmarkStart w:id="378" w:name="_Toc1161"/>
      <w:bookmarkStart w:id="379" w:name="_Toc10435"/>
      <w:bookmarkStart w:id="380" w:name="_Toc23685"/>
      <w:bookmarkStart w:id="381" w:name="_Toc17437"/>
      <w:bookmarkStart w:id="382" w:name="_Toc8889"/>
      <w:r>
        <w:rPr>
          <w:rFonts w:hint="eastAsia" w:ascii="宋体" w:hAnsi="宋体" w:eastAsia="宋体" w:cs="宋体"/>
          <w:b/>
          <w:bCs/>
          <w:color w:val="auto"/>
          <w:sz w:val="28"/>
          <w:szCs w:val="28"/>
          <w:highlight w:val="none"/>
        </w:rPr>
        <w:t>第</w:t>
      </w:r>
      <w:r>
        <w:rPr>
          <w:rFonts w:hint="eastAsia" w:ascii="宋体" w:hAnsi="宋体" w:eastAsia="宋体" w:cs="宋体"/>
          <w:b/>
          <w:bCs/>
          <w:color w:val="auto"/>
          <w:sz w:val="28"/>
          <w:szCs w:val="28"/>
          <w:highlight w:val="none"/>
          <w:lang w:eastAsia="zh-CN"/>
        </w:rPr>
        <w:t>三</w:t>
      </w:r>
      <w:r>
        <w:rPr>
          <w:rFonts w:hint="eastAsia" w:ascii="宋体" w:hAnsi="宋体" w:eastAsia="宋体" w:cs="宋体"/>
          <w:b/>
          <w:bCs/>
          <w:color w:val="auto"/>
          <w:sz w:val="28"/>
          <w:szCs w:val="28"/>
          <w:highlight w:val="none"/>
        </w:rPr>
        <w:t>节 技术文件格式</w:t>
      </w:r>
      <w:bookmarkEnd w:id="372"/>
      <w:bookmarkEnd w:id="373"/>
      <w:bookmarkEnd w:id="374"/>
      <w:bookmarkEnd w:id="375"/>
      <w:bookmarkEnd w:id="376"/>
      <w:bookmarkEnd w:id="377"/>
      <w:bookmarkEnd w:id="378"/>
      <w:bookmarkEnd w:id="379"/>
      <w:bookmarkEnd w:id="380"/>
      <w:bookmarkEnd w:id="381"/>
      <w:bookmarkEnd w:id="382"/>
    </w:p>
    <w:p w14:paraId="5B68287A">
      <w:pPr>
        <w:shd w:val="clear"/>
        <w:snapToGrid w:val="0"/>
        <w:spacing w:before="165" w:beforeLines="50" w:after="50"/>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   </w:t>
      </w:r>
    </w:p>
    <w:p w14:paraId="23AF1385">
      <w:pPr>
        <w:shd w:val="clear"/>
        <w:snapToGrid w:val="0"/>
        <w:spacing w:before="165" w:beforeLines="50" w:after="50"/>
        <w:rPr>
          <w:rFonts w:hint="eastAsia" w:ascii="宋体" w:hAnsi="宋体" w:eastAsia="宋体" w:cs="宋体"/>
          <w:color w:val="auto"/>
          <w:sz w:val="24"/>
          <w:highlight w:val="none"/>
        </w:rPr>
      </w:pPr>
      <w:r>
        <w:rPr>
          <w:rFonts w:hint="eastAsia" w:ascii="宋体" w:hAnsi="宋体" w:eastAsia="宋体" w:cs="宋体"/>
          <w:b/>
          <w:color w:val="auto"/>
          <w:sz w:val="28"/>
          <w:szCs w:val="28"/>
          <w:highlight w:val="none"/>
        </w:rPr>
        <w:t>1. 技术文件封面</w:t>
      </w:r>
      <w:r>
        <w:rPr>
          <w:rFonts w:hint="eastAsia" w:ascii="宋体" w:hAnsi="宋体" w:eastAsia="宋体" w:cs="宋体"/>
          <w:b/>
          <w:color w:val="auto"/>
          <w:sz w:val="28"/>
          <w:szCs w:val="28"/>
          <w:highlight w:val="none"/>
          <w:lang w:eastAsia="zh-CN"/>
        </w:rPr>
        <w:t>的</w:t>
      </w:r>
      <w:r>
        <w:rPr>
          <w:rFonts w:hint="eastAsia" w:ascii="宋体" w:hAnsi="宋体" w:eastAsia="宋体" w:cs="宋体"/>
          <w:b/>
          <w:color w:val="auto"/>
          <w:sz w:val="28"/>
          <w:szCs w:val="28"/>
          <w:highlight w:val="none"/>
        </w:rPr>
        <w:t>格式（参照此格式自拟）：</w:t>
      </w:r>
    </w:p>
    <w:p w14:paraId="723D9197">
      <w:pPr>
        <w:shd w:val="clear"/>
        <w:snapToGrid w:val="0"/>
        <w:spacing w:before="165" w:beforeLines="50" w:after="50"/>
        <w:ind w:firstLine="1200" w:firstLineChars="500"/>
        <w:rPr>
          <w:rFonts w:hint="eastAsia" w:ascii="宋体" w:hAnsi="宋体" w:eastAsia="宋体" w:cs="宋体"/>
          <w:bCs/>
          <w:color w:val="auto"/>
          <w:sz w:val="32"/>
          <w:szCs w:val="20"/>
          <w:highlight w:val="none"/>
        </w:rPr>
      </w:pPr>
      <w:r>
        <w:rPr>
          <w:rFonts w:hint="eastAsia" w:ascii="宋体" w:hAnsi="宋体" w:eastAsia="宋体" w:cs="宋体"/>
          <w:color w:val="auto"/>
          <w:sz w:val="24"/>
          <w:highlight w:val="none"/>
        </w:rPr>
        <w:t xml:space="preserve">                                         </w:t>
      </w:r>
      <w:r>
        <w:rPr>
          <w:rFonts w:hint="eastAsia" w:ascii="宋体" w:hAnsi="宋体" w:eastAsia="宋体" w:cs="宋体"/>
          <w:color w:val="auto"/>
          <w:sz w:val="24"/>
          <w:highlight w:val="none"/>
          <w:lang w:val="en-US" w:eastAsia="zh-CN"/>
        </w:rPr>
        <w:t xml:space="preserve">        </w:t>
      </w:r>
      <w:r>
        <w:rPr>
          <w:rFonts w:hint="eastAsia" w:ascii="宋体" w:hAnsi="宋体" w:eastAsia="宋体" w:cs="宋体"/>
          <w:color w:val="auto"/>
          <w:sz w:val="24"/>
          <w:highlight w:val="none"/>
        </w:rPr>
        <w:t xml:space="preserve"> </w:t>
      </w:r>
      <w:r>
        <w:rPr>
          <w:rFonts w:hint="eastAsia" w:ascii="宋体" w:hAnsi="宋体" w:eastAsia="宋体" w:cs="宋体"/>
          <w:bCs/>
          <w:color w:val="auto"/>
          <w:highlight w:val="none"/>
        </w:rPr>
        <w:t>电子投标文件</w:t>
      </w:r>
    </w:p>
    <w:p w14:paraId="2E6011F4">
      <w:pPr>
        <w:shd w:val="clear"/>
        <w:snapToGrid w:val="0"/>
        <w:spacing w:before="165" w:beforeLines="50" w:after="50"/>
        <w:rPr>
          <w:rFonts w:hint="eastAsia" w:ascii="宋体" w:hAnsi="宋体" w:eastAsia="宋体" w:cs="宋体"/>
          <w:color w:val="auto"/>
          <w:sz w:val="24"/>
          <w:szCs w:val="20"/>
          <w:highlight w:val="none"/>
        </w:rPr>
      </w:pPr>
    </w:p>
    <w:p w14:paraId="4FDBA9DB">
      <w:pPr>
        <w:shd w:val="clear"/>
        <w:snapToGrid w:val="0"/>
        <w:spacing w:before="165" w:beforeLines="50" w:after="50"/>
        <w:jc w:val="center"/>
        <w:rPr>
          <w:rFonts w:hint="eastAsia" w:ascii="宋体" w:hAnsi="宋体" w:eastAsia="宋体" w:cs="宋体"/>
          <w:b/>
          <w:bCs/>
          <w:color w:val="auto"/>
          <w:sz w:val="32"/>
          <w:szCs w:val="32"/>
          <w:highlight w:val="none"/>
        </w:rPr>
      </w:pPr>
    </w:p>
    <w:p w14:paraId="31D32220">
      <w:pPr>
        <w:shd w:val="clear"/>
        <w:snapToGrid w:val="0"/>
        <w:spacing w:before="165" w:beforeLines="50" w:after="50"/>
        <w:jc w:val="center"/>
        <w:rPr>
          <w:rFonts w:hint="eastAsia" w:ascii="宋体" w:hAnsi="宋体" w:eastAsia="宋体" w:cs="宋体"/>
          <w:b/>
          <w:bCs/>
          <w:color w:val="auto"/>
          <w:sz w:val="32"/>
          <w:szCs w:val="32"/>
          <w:highlight w:val="none"/>
        </w:rPr>
      </w:pPr>
      <w:r>
        <w:rPr>
          <w:rFonts w:hint="eastAsia" w:ascii="宋体" w:hAnsi="宋体" w:eastAsia="宋体" w:cs="宋体"/>
          <w:b/>
          <w:bCs/>
          <w:color w:val="auto"/>
          <w:sz w:val="32"/>
          <w:szCs w:val="32"/>
          <w:highlight w:val="none"/>
        </w:rPr>
        <w:t>技术文件</w:t>
      </w:r>
    </w:p>
    <w:p w14:paraId="03679331">
      <w:pPr>
        <w:shd w:val="clear"/>
        <w:snapToGrid w:val="0"/>
        <w:spacing w:before="165" w:beforeLines="50" w:after="50"/>
        <w:rPr>
          <w:rFonts w:hint="eastAsia" w:ascii="宋体" w:hAnsi="宋体" w:eastAsia="宋体" w:cs="宋体"/>
          <w:bCs/>
          <w:color w:val="auto"/>
          <w:sz w:val="24"/>
          <w:szCs w:val="20"/>
          <w:highlight w:val="none"/>
        </w:rPr>
      </w:pPr>
    </w:p>
    <w:p w14:paraId="7A8A1097">
      <w:pPr>
        <w:shd w:val="clear"/>
        <w:snapToGrid w:val="0"/>
        <w:spacing w:before="165" w:beforeLines="50" w:after="50" w:line="400" w:lineRule="exact"/>
        <w:ind w:firstLine="360" w:firstLineChars="150"/>
        <w:rPr>
          <w:rFonts w:hint="eastAsia" w:ascii="宋体" w:hAnsi="宋体" w:eastAsia="宋体" w:cs="宋体"/>
          <w:bCs/>
          <w:color w:val="auto"/>
          <w:sz w:val="24"/>
          <w:highlight w:val="none"/>
        </w:rPr>
      </w:pPr>
      <w:r>
        <w:rPr>
          <w:rFonts w:hint="eastAsia" w:ascii="宋体" w:hAnsi="宋体" w:eastAsia="宋体" w:cs="宋体"/>
          <w:bCs/>
          <w:color w:val="auto"/>
          <w:sz w:val="24"/>
          <w:highlight w:val="none"/>
        </w:rPr>
        <w:t xml:space="preserve">项目名称： </w:t>
      </w:r>
    </w:p>
    <w:p w14:paraId="32FDB17F">
      <w:pPr>
        <w:shd w:val="clear"/>
        <w:snapToGrid w:val="0"/>
        <w:spacing w:before="165" w:beforeLines="50" w:after="50" w:line="400" w:lineRule="exact"/>
        <w:ind w:firstLine="360" w:firstLineChars="150"/>
        <w:rPr>
          <w:rFonts w:hint="eastAsia" w:ascii="宋体" w:hAnsi="宋体" w:eastAsia="宋体" w:cs="宋体"/>
          <w:bCs/>
          <w:color w:val="auto"/>
          <w:sz w:val="24"/>
          <w:highlight w:val="none"/>
          <w:lang w:eastAsia="zh-CN"/>
        </w:rPr>
      </w:pPr>
      <w:r>
        <w:rPr>
          <w:rFonts w:hint="eastAsia" w:ascii="宋体" w:hAnsi="宋体" w:eastAsia="宋体" w:cs="宋体"/>
          <w:bCs/>
          <w:color w:val="auto"/>
          <w:sz w:val="24"/>
          <w:highlight w:val="none"/>
        </w:rPr>
        <w:t xml:space="preserve">项目编号： </w:t>
      </w:r>
    </w:p>
    <w:p w14:paraId="45B71816">
      <w:pPr>
        <w:shd w:val="clear"/>
        <w:snapToGrid w:val="0"/>
        <w:spacing w:before="165" w:beforeLines="50" w:after="50" w:line="400" w:lineRule="exact"/>
        <w:ind w:firstLine="360" w:firstLineChars="150"/>
        <w:rPr>
          <w:rFonts w:hint="eastAsia" w:ascii="宋体" w:hAnsi="宋体" w:eastAsia="宋体" w:cs="宋体"/>
          <w:bCs/>
          <w:color w:val="auto"/>
          <w:sz w:val="24"/>
          <w:highlight w:val="none"/>
        </w:rPr>
      </w:pPr>
      <w:r>
        <w:rPr>
          <w:rFonts w:hint="eastAsia" w:ascii="宋体" w:hAnsi="宋体" w:eastAsia="宋体" w:cs="宋体"/>
          <w:bCs/>
          <w:color w:val="auto"/>
          <w:sz w:val="24"/>
          <w:highlight w:val="none"/>
        </w:rPr>
        <w:t>所投分标（如有则填写，无分标时填写“无”或者留空）：</w:t>
      </w:r>
    </w:p>
    <w:p w14:paraId="1C69080C">
      <w:pPr>
        <w:shd w:val="clear"/>
        <w:snapToGrid w:val="0"/>
        <w:spacing w:before="165" w:beforeLines="50" w:after="50" w:line="400" w:lineRule="exact"/>
        <w:ind w:firstLine="360" w:firstLineChars="150"/>
        <w:rPr>
          <w:rFonts w:hint="eastAsia" w:ascii="宋体" w:hAnsi="宋体" w:eastAsia="宋体" w:cs="宋体"/>
          <w:bCs/>
          <w:color w:val="auto"/>
          <w:sz w:val="24"/>
          <w:highlight w:val="none"/>
        </w:rPr>
      </w:pPr>
      <w:r>
        <w:rPr>
          <w:rFonts w:hint="eastAsia" w:ascii="宋体" w:hAnsi="宋体" w:eastAsia="宋体" w:cs="宋体"/>
          <w:bCs/>
          <w:color w:val="auto"/>
          <w:sz w:val="24"/>
          <w:highlight w:val="none"/>
        </w:rPr>
        <w:t>投标人名称：</w:t>
      </w:r>
    </w:p>
    <w:p w14:paraId="1E8C2117">
      <w:pPr>
        <w:shd w:val="clear"/>
        <w:snapToGrid w:val="0"/>
        <w:spacing w:before="165" w:beforeLines="50" w:after="50"/>
        <w:ind w:firstLine="645"/>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                       </w:t>
      </w:r>
    </w:p>
    <w:p w14:paraId="20225BB9">
      <w:pPr>
        <w:shd w:val="clear"/>
        <w:snapToGrid w:val="0"/>
        <w:spacing w:before="165" w:beforeLines="50" w:after="50"/>
        <w:ind w:firstLine="645"/>
        <w:jc w:val="center"/>
        <w:rPr>
          <w:rFonts w:hint="eastAsia" w:ascii="宋体" w:hAnsi="宋体" w:eastAsia="宋体" w:cs="宋体"/>
          <w:color w:val="auto"/>
          <w:sz w:val="24"/>
          <w:highlight w:val="none"/>
        </w:rPr>
      </w:pPr>
    </w:p>
    <w:p w14:paraId="5BE55853">
      <w:pPr>
        <w:shd w:val="clear"/>
        <w:snapToGrid w:val="0"/>
        <w:spacing w:before="165" w:beforeLines="50" w:after="50"/>
        <w:ind w:firstLine="645"/>
        <w:jc w:val="center"/>
        <w:rPr>
          <w:rFonts w:hint="eastAsia" w:ascii="宋体" w:hAnsi="宋体" w:eastAsia="宋体" w:cs="宋体"/>
          <w:color w:val="auto"/>
          <w:sz w:val="24"/>
          <w:highlight w:val="none"/>
        </w:rPr>
      </w:pPr>
    </w:p>
    <w:p w14:paraId="65DC727D">
      <w:pPr>
        <w:shd w:val="clear"/>
        <w:snapToGrid w:val="0"/>
        <w:spacing w:before="165" w:beforeLines="50" w:after="50"/>
        <w:ind w:firstLine="645"/>
        <w:jc w:val="center"/>
        <w:rPr>
          <w:rFonts w:hint="eastAsia" w:ascii="宋体" w:hAnsi="宋体" w:eastAsia="宋体" w:cs="宋体"/>
          <w:color w:val="auto"/>
          <w:sz w:val="24"/>
          <w:highlight w:val="none"/>
        </w:rPr>
      </w:pPr>
    </w:p>
    <w:p w14:paraId="0AB27229">
      <w:pPr>
        <w:shd w:val="clear"/>
        <w:snapToGrid w:val="0"/>
        <w:spacing w:before="165" w:beforeLines="50" w:after="50"/>
        <w:ind w:firstLine="645"/>
        <w:jc w:val="center"/>
        <w:rPr>
          <w:rFonts w:hint="eastAsia" w:ascii="宋体" w:hAnsi="宋体" w:eastAsia="宋体" w:cs="宋体"/>
          <w:color w:val="auto"/>
          <w:sz w:val="24"/>
          <w:highlight w:val="none"/>
        </w:rPr>
      </w:pPr>
    </w:p>
    <w:p w14:paraId="7E77436A">
      <w:pPr>
        <w:shd w:val="clear"/>
        <w:snapToGrid w:val="0"/>
        <w:spacing w:before="165" w:beforeLines="50" w:after="50"/>
        <w:ind w:firstLine="645"/>
        <w:jc w:val="center"/>
        <w:rPr>
          <w:rFonts w:hint="eastAsia" w:ascii="宋体" w:hAnsi="宋体" w:eastAsia="宋体" w:cs="宋体"/>
          <w:color w:val="auto"/>
          <w:sz w:val="24"/>
          <w:highlight w:val="none"/>
        </w:rPr>
      </w:pPr>
    </w:p>
    <w:p w14:paraId="53C675BA">
      <w:pPr>
        <w:shd w:val="clear"/>
        <w:snapToGrid w:val="0"/>
        <w:spacing w:before="165" w:beforeLines="50" w:after="50"/>
        <w:ind w:firstLine="645"/>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 年    月    日</w:t>
      </w:r>
    </w:p>
    <w:p w14:paraId="606740C0">
      <w:pPr>
        <w:shd w:val="clear"/>
        <w:snapToGrid w:val="0"/>
        <w:spacing w:before="165" w:beforeLines="50" w:after="50"/>
        <w:ind w:firstLine="645"/>
        <w:jc w:val="center"/>
        <w:rPr>
          <w:rFonts w:hint="eastAsia" w:ascii="宋体" w:hAnsi="宋体" w:eastAsia="宋体" w:cs="宋体"/>
          <w:color w:val="auto"/>
          <w:sz w:val="24"/>
          <w:szCs w:val="20"/>
          <w:highlight w:val="none"/>
        </w:rPr>
      </w:pPr>
    </w:p>
    <w:p w14:paraId="2D34D474">
      <w:pPr>
        <w:shd w:val="clear"/>
        <w:jc w:val="center"/>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br w:type="page"/>
      </w:r>
    </w:p>
    <w:p w14:paraId="12E185DB">
      <w:pPr>
        <w:numPr>
          <w:ilvl w:val="0"/>
          <w:numId w:val="8"/>
        </w:numPr>
        <w:shd w:val="clear"/>
        <w:snapToGrid w:val="0"/>
        <w:spacing w:before="120" w:beforeLines="50" w:after="50"/>
        <w:ind w:left="142"/>
        <w:jc w:val="left"/>
        <w:rPr>
          <w:rFonts w:hint="eastAsia" w:ascii="宋体" w:hAnsi="宋体" w:eastAsia="宋体" w:cs="宋体"/>
          <w:b/>
          <w:bCs/>
          <w:color w:val="auto"/>
          <w:sz w:val="28"/>
          <w:szCs w:val="28"/>
          <w:highlight w:val="none"/>
        </w:rPr>
      </w:pPr>
      <w:r>
        <w:rPr>
          <w:rFonts w:hint="eastAsia" w:ascii="宋体" w:hAnsi="宋体" w:eastAsia="宋体" w:cs="宋体"/>
          <w:b/>
          <w:bCs/>
          <w:color w:val="auto"/>
          <w:sz w:val="28"/>
          <w:szCs w:val="28"/>
          <w:highlight w:val="none"/>
        </w:rPr>
        <w:t>技术文件目录</w:t>
      </w:r>
    </w:p>
    <w:p w14:paraId="1BA1B126">
      <w:pPr>
        <w:shd w:val="clear"/>
        <w:snapToGrid w:val="0"/>
        <w:spacing w:before="120" w:beforeLines="50" w:after="50"/>
        <w:ind w:left="142" w:leftChars="0" w:firstLine="0" w:firstLineChars="0"/>
        <w:jc w:val="left"/>
        <w:rPr>
          <w:rFonts w:hint="eastAsia" w:ascii="宋体" w:hAnsi="宋体" w:eastAsia="宋体" w:cs="宋体"/>
          <w:b/>
          <w:color w:val="auto"/>
          <w:sz w:val="24"/>
          <w:highlight w:val="none"/>
        </w:rPr>
      </w:pPr>
      <w:r>
        <w:rPr>
          <w:rFonts w:hint="eastAsia" w:ascii="宋体" w:hAnsi="宋体" w:eastAsia="宋体" w:cs="宋体"/>
          <w:color w:val="auto"/>
          <w:kern w:val="0"/>
          <w:sz w:val="24"/>
          <w:highlight w:val="none"/>
        </w:rPr>
        <w:t>根据招标文件规定及投标人提供的材料自行编写目录（部分格式后附）。</w:t>
      </w:r>
    </w:p>
    <w:p w14:paraId="7A1DA961">
      <w:pPr>
        <w:shd w:val="clear"/>
        <w:snapToGrid w:val="0"/>
        <w:spacing w:before="165" w:beforeLines="50" w:after="50"/>
        <w:ind w:left="0" w:leftChars="0" w:firstLine="0" w:firstLineChars="0"/>
        <w:jc w:val="left"/>
        <w:rPr>
          <w:rFonts w:hint="eastAsia" w:ascii="宋体" w:hAnsi="宋体" w:eastAsia="宋体" w:cs="宋体"/>
          <w:b/>
          <w:color w:val="auto"/>
          <w:sz w:val="24"/>
          <w:highlight w:val="none"/>
        </w:rPr>
      </w:pPr>
      <w:r>
        <w:rPr>
          <w:rFonts w:hint="eastAsia" w:ascii="宋体" w:hAnsi="宋体" w:eastAsia="宋体" w:cs="宋体"/>
          <w:b/>
          <w:color w:val="auto"/>
          <w:sz w:val="24"/>
          <w:highlight w:val="none"/>
        </w:rPr>
        <w:br w:type="page"/>
      </w:r>
      <w:r>
        <w:rPr>
          <w:rFonts w:hint="eastAsia" w:ascii="宋体" w:hAnsi="宋体" w:eastAsia="宋体" w:cs="宋体"/>
          <w:b/>
          <w:color w:val="auto"/>
          <w:sz w:val="24"/>
          <w:highlight w:val="none"/>
        </w:rPr>
        <w:t xml:space="preserve"> </w:t>
      </w:r>
      <w:r>
        <w:rPr>
          <w:rFonts w:hint="eastAsia" w:ascii="宋体" w:hAnsi="宋体" w:eastAsia="宋体" w:cs="宋体"/>
          <w:b/>
          <w:color w:val="auto"/>
          <w:sz w:val="28"/>
          <w:szCs w:val="28"/>
          <w:highlight w:val="none"/>
          <w:lang w:val="en-US" w:eastAsia="zh-CN"/>
        </w:rPr>
        <w:t>3</w:t>
      </w:r>
      <w:r>
        <w:rPr>
          <w:rFonts w:hint="eastAsia" w:ascii="宋体" w:hAnsi="宋体" w:eastAsia="宋体" w:cs="宋体"/>
          <w:b/>
          <w:color w:val="auto"/>
          <w:sz w:val="28"/>
          <w:szCs w:val="28"/>
          <w:highlight w:val="none"/>
        </w:rPr>
        <w:t>. 服务要求偏离表</w:t>
      </w:r>
      <w:r>
        <w:rPr>
          <w:rFonts w:hint="eastAsia" w:ascii="宋体" w:hAnsi="宋体" w:eastAsia="宋体" w:cs="宋体"/>
          <w:b/>
          <w:color w:val="auto"/>
          <w:sz w:val="28"/>
          <w:szCs w:val="28"/>
          <w:highlight w:val="none"/>
          <w:lang w:eastAsia="zh-CN"/>
        </w:rPr>
        <w:t>的</w:t>
      </w:r>
      <w:r>
        <w:rPr>
          <w:rFonts w:hint="eastAsia" w:ascii="宋体" w:hAnsi="宋体" w:eastAsia="宋体" w:cs="宋体"/>
          <w:b/>
          <w:color w:val="auto"/>
          <w:sz w:val="28"/>
          <w:szCs w:val="28"/>
          <w:highlight w:val="none"/>
        </w:rPr>
        <w:t>格式</w:t>
      </w:r>
      <w:r>
        <w:rPr>
          <w:rFonts w:hint="eastAsia" w:ascii="宋体" w:hAnsi="宋体" w:eastAsia="宋体" w:cs="宋体"/>
          <w:b/>
          <w:color w:val="auto"/>
          <w:sz w:val="28"/>
          <w:szCs w:val="28"/>
          <w:highlight w:val="none"/>
          <w:lang w:eastAsia="zh-CN"/>
        </w:rPr>
        <w:t>：</w:t>
      </w:r>
    </w:p>
    <w:p w14:paraId="420AB486">
      <w:pPr>
        <w:pStyle w:val="12"/>
        <w:shd w:val="clear"/>
        <w:spacing w:line="500" w:lineRule="exact"/>
        <w:jc w:val="center"/>
        <w:rPr>
          <w:rFonts w:hint="eastAsia" w:ascii="宋体" w:hAnsi="宋体" w:eastAsia="宋体" w:cs="宋体"/>
          <w:b/>
          <w:bCs/>
          <w:color w:val="auto"/>
          <w:sz w:val="30"/>
          <w:szCs w:val="30"/>
          <w:highlight w:val="none"/>
        </w:rPr>
      </w:pPr>
      <w:r>
        <w:rPr>
          <w:rFonts w:hint="eastAsia" w:ascii="宋体" w:hAnsi="宋体" w:eastAsia="宋体" w:cs="宋体"/>
          <w:b/>
          <w:bCs/>
          <w:color w:val="auto"/>
          <w:sz w:val="30"/>
          <w:szCs w:val="30"/>
          <w:highlight w:val="none"/>
        </w:rPr>
        <w:t>服务</w:t>
      </w:r>
      <w:r>
        <w:rPr>
          <w:rFonts w:hint="eastAsia" w:ascii="宋体" w:hAnsi="宋体" w:eastAsia="宋体" w:cs="宋体"/>
          <w:b/>
          <w:bCs/>
          <w:color w:val="auto"/>
          <w:sz w:val="30"/>
          <w:szCs w:val="30"/>
          <w:highlight w:val="none"/>
          <w:lang w:eastAsia="zh-CN"/>
        </w:rPr>
        <w:t>要求</w:t>
      </w:r>
      <w:r>
        <w:rPr>
          <w:rFonts w:hint="eastAsia" w:ascii="宋体" w:hAnsi="宋体" w:eastAsia="宋体" w:cs="宋体"/>
          <w:b/>
          <w:bCs/>
          <w:color w:val="auto"/>
          <w:sz w:val="30"/>
          <w:szCs w:val="30"/>
          <w:highlight w:val="none"/>
        </w:rPr>
        <w:t>偏离表</w:t>
      </w:r>
    </w:p>
    <w:p w14:paraId="60EA982F">
      <w:pPr>
        <w:pStyle w:val="12"/>
        <w:shd w:val="clear"/>
        <w:spacing w:line="440" w:lineRule="exact"/>
        <w:ind w:firstLine="420" w:firstLineChars="200"/>
        <w:rPr>
          <w:rFonts w:hint="eastAsia" w:ascii="宋体" w:hAnsi="宋体" w:eastAsia="宋体" w:cs="宋体"/>
          <w:color w:val="auto"/>
          <w:highlight w:val="none"/>
        </w:rPr>
      </w:pPr>
    </w:p>
    <w:p w14:paraId="10C33C76">
      <w:pPr>
        <w:shd w:val="clear"/>
        <w:spacing w:line="360" w:lineRule="auto"/>
        <w:ind w:firstLine="0" w:firstLineChars="0"/>
        <w:contextualSpacing/>
        <w:rPr>
          <w:rFonts w:hint="eastAsia" w:ascii="宋体" w:hAnsi="宋体" w:eastAsia="宋体" w:cs="宋体"/>
          <w:color w:val="auto"/>
          <w:sz w:val="24"/>
          <w:highlight w:val="none"/>
          <w:u w:val="single"/>
        </w:rPr>
      </w:pPr>
      <w:r>
        <w:rPr>
          <w:rFonts w:hint="eastAsia" w:ascii="宋体" w:hAnsi="宋体" w:eastAsia="宋体" w:cs="宋体"/>
          <w:color w:val="auto"/>
          <w:sz w:val="24"/>
          <w:highlight w:val="none"/>
        </w:rPr>
        <w:t>项目名称：</w:t>
      </w:r>
      <w:r>
        <w:rPr>
          <w:rFonts w:hint="eastAsia" w:ascii="宋体" w:hAnsi="宋体" w:eastAsia="宋体" w:cs="宋体"/>
          <w:color w:val="auto"/>
          <w:sz w:val="24"/>
          <w:highlight w:val="none"/>
          <w:u w:val="single"/>
        </w:rPr>
        <w:t xml:space="preserve">                 </w:t>
      </w:r>
    </w:p>
    <w:p w14:paraId="5F27F8F2">
      <w:pPr>
        <w:pStyle w:val="12"/>
        <w:shd w:val="clear"/>
        <w:spacing w:line="600" w:lineRule="exact"/>
        <w:ind w:firstLine="0" w:firstLineChars="0"/>
        <w:rPr>
          <w:rFonts w:hint="eastAsia" w:ascii="宋体" w:hAnsi="宋体" w:eastAsia="宋体" w:cs="宋体"/>
          <w:color w:val="auto"/>
          <w:sz w:val="24"/>
          <w:highlight w:val="none"/>
          <w:u w:val="single"/>
        </w:rPr>
      </w:pPr>
      <w:r>
        <w:rPr>
          <w:rFonts w:hint="eastAsia" w:ascii="宋体" w:hAnsi="宋体" w:eastAsia="宋体" w:cs="宋体"/>
          <w:color w:val="auto"/>
          <w:sz w:val="24"/>
          <w:highlight w:val="none"/>
        </w:rPr>
        <w:t>项目编号：</w:t>
      </w:r>
      <w:r>
        <w:rPr>
          <w:rFonts w:hint="eastAsia" w:ascii="宋体" w:hAnsi="宋体" w:eastAsia="宋体" w:cs="宋体"/>
          <w:color w:val="auto"/>
          <w:sz w:val="24"/>
          <w:highlight w:val="none"/>
          <w:u w:val="single"/>
        </w:rPr>
        <w:t xml:space="preserve">                 </w:t>
      </w:r>
    </w:p>
    <w:p w14:paraId="37B8F02C">
      <w:pPr>
        <w:pStyle w:val="7"/>
        <w:shd w:val="clear"/>
        <w:rPr>
          <w:rFonts w:hint="eastAsia" w:ascii="宋体" w:hAnsi="宋体" w:eastAsia="宋体" w:cs="宋体"/>
          <w:color w:val="auto"/>
          <w:highlight w:val="none"/>
        </w:rPr>
      </w:pPr>
    </w:p>
    <w:p w14:paraId="4F0354C4">
      <w:pPr>
        <w:pStyle w:val="7"/>
        <w:shd w:val="clear"/>
        <w:ind w:left="0" w:firstLine="0" w:firstLineChars="0"/>
        <w:rPr>
          <w:rFonts w:hint="eastAsia" w:ascii="宋体" w:hAnsi="宋体" w:eastAsia="宋体" w:cs="宋体"/>
          <w:color w:val="auto"/>
          <w:sz w:val="24"/>
          <w:highlight w:val="none"/>
          <w:u w:val="single"/>
        </w:rPr>
      </w:pPr>
      <w:r>
        <w:rPr>
          <w:rFonts w:hint="eastAsia" w:ascii="宋体" w:hAnsi="宋体" w:eastAsia="宋体" w:cs="宋体"/>
          <w:color w:val="auto"/>
          <w:sz w:val="24"/>
          <w:szCs w:val="20"/>
          <w:highlight w:val="none"/>
          <w:lang w:eastAsia="zh-CN"/>
        </w:rPr>
        <w:t>所投</w:t>
      </w:r>
      <w:r>
        <w:rPr>
          <w:rFonts w:hint="eastAsia" w:ascii="宋体" w:hAnsi="宋体" w:eastAsia="宋体" w:cs="宋体"/>
          <w:color w:val="auto"/>
          <w:sz w:val="24"/>
          <w:szCs w:val="20"/>
          <w:highlight w:val="none"/>
        </w:rPr>
        <w:t>分标</w:t>
      </w:r>
      <w:r>
        <w:rPr>
          <w:rFonts w:hint="eastAsia" w:ascii="宋体" w:hAnsi="宋体" w:eastAsia="宋体" w:cs="宋体"/>
          <w:color w:val="auto"/>
          <w:sz w:val="21"/>
          <w:szCs w:val="21"/>
          <w:highlight w:val="none"/>
        </w:rPr>
        <w:t>（此处有分标时填写具体分标号，无分标时填写“无”）</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highlight w:val="none"/>
          <w:u w:val="single"/>
        </w:rPr>
        <w:t xml:space="preserve">           </w:t>
      </w:r>
    </w:p>
    <w:p w14:paraId="3D7C5E01">
      <w:pPr>
        <w:shd w:val="clear"/>
        <w:rPr>
          <w:rFonts w:hint="eastAsia" w:ascii="宋体" w:hAnsi="宋体" w:eastAsia="宋体" w:cs="宋体"/>
          <w:color w:val="auto"/>
          <w:highlight w:val="none"/>
        </w:rPr>
      </w:pPr>
    </w:p>
    <w:tbl>
      <w:tblPr>
        <w:tblStyle w:val="18"/>
        <w:tblW w:w="1018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3"/>
        <w:gridCol w:w="1262"/>
        <w:gridCol w:w="3425"/>
        <w:gridCol w:w="3477"/>
        <w:gridCol w:w="1168"/>
      </w:tblGrid>
      <w:tr w14:paraId="61CA97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61" w:hRule="atLeast"/>
          <w:jc w:val="center"/>
        </w:trPr>
        <w:tc>
          <w:tcPr>
            <w:tcW w:w="853" w:type="dxa"/>
            <w:tcBorders>
              <w:top w:val="single" w:color="auto" w:sz="4" w:space="0"/>
              <w:left w:val="single" w:color="auto" w:sz="4" w:space="0"/>
              <w:bottom w:val="single" w:color="auto" w:sz="4" w:space="0"/>
              <w:right w:val="single" w:color="auto" w:sz="4" w:space="0"/>
            </w:tcBorders>
            <w:noWrap w:val="0"/>
            <w:vAlign w:val="center"/>
          </w:tcPr>
          <w:p w14:paraId="0ED57A55">
            <w:pPr>
              <w:shd w:val="clear"/>
              <w:rPr>
                <w:rFonts w:hint="eastAsia" w:ascii="宋体" w:hAnsi="宋体" w:eastAsia="宋体" w:cs="宋体"/>
                <w:color w:val="auto"/>
                <w:szCs w:val="21"/>
                <w:highlight w:val="none"/>
              </w:rPr>
            </w:pPr>
            <w:r>
              <w:rPr>
                <w:rFonts w:hint="eastAsia" w:ascii="宋体" w:hAnsi="宋体" w:eastAsia="宋体" w:cs="宋体"/>
                <w:color w:val="auto"/>
                <w:szCs w:val="21"/>
                <w:highlight w:val="none"/>
              </w:rPr>
              <w:t>项号</w:t>
            </w:r>
          </w:p>
        </w:tc>
        <w:tc>
          <w:tcPr>
            <w:tcW w:w="1262" w:type="dxa"/>
            <w:tcBorders>
              <w:top w:val="single" w:color="auto" w:sz="4" w:space="0"/>
              <w:left w:val="single" w:color="auto" w:sz="4" w:space="0"/>
              <w:right w:val="single" w:color="auto" w:sz="4" w:space="0"/>
            </w:tcBorders>
            <w:noWrap w:val="0"/>
            <w:vAlign w:val="center"/>
          </w:tcPr>
          <w:p w14:paraId="3AC312DF">
            <w:pPr>
              <w:shd w:val="clear"/>
              <w:jc w:val="center"/>
              <w:rPr>
                <w:rFonts w:hint="eastAsia" w:ascii="宋体" w:hAnsi="宋体" w:eastAsia="宋体" w:cs="宋体"/>
                <w:color w:val="auto"/>
                <w:szCs w:val="21"/>
                <w:highlight w:val="none"/>
              </w:rPr>
            </w:pPr>
            <w:r>
              <w:rPr>
                <w:rFonts w:hint="eastAsia" w:ascii="宋体" w:hAnsi="宋体" w:cs="宋体"/>
                <w:color w:val="auto"/>
                <w:szCs w:val="21"/>
                <w:highlight w:val="none"/>
                <w:lang w:eastAsia="zh-CN"/>
              </w:rPr>
              <w:t>标的</w:t>
            </w:r>
            <w:r>
              <w:rPr>
                <w:rFonts w:hint="eastAsia" w:ascii="宋体" w:hAnsi="宋体" w:eastAsia="宋体" w:cs="宋体"/>
                <w:color w:val="auto"/>
                <w:szCs w:val="21"/>
                <w:highlight w:val="none"/>
              </w:rPr>
              <w:t>名称</w:t>
            </w:r>
          </w:p>
        </w:tc>
        <w:tc>
          <w:tcPr>
            <w:tcW w:w="3425" w:type="dxa"/>
            <w:tcBorders>
              <w:top w:val="single" w:color="auto" w:sz="4" w:space="0"/>
              <w:left w:val="single" w:color="auto" w:sz="4" w:space="0"/>
              <w:bottom w:val="single" w:color="auto" w:sz="4" w:space="0"/>
              <w:right w:val="single" w:color="auto" w:sz="4" w:space="0"/>
            </w:tcBorders>
            <w:noWrap w:val="0"/>
            <w:vAlign w:val="center"/>
          </w:tcPr>
          <w:p w14:paraId="78D4E486">
            <w:pPr>
              <w:shd w:val="clear"/>
              <w:jc w:val="center"/>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rPr>
              <w:t>招标文件</w:t>
            </w:r>
            <w:r>
              <w:rPr>
                <w:rFonts w:hint="eastAsia" w:ascii="宋体" w:hAnsi="宋体" w:eastAsia="宋体" w:cs="宋体"/>
                <w:color w:val="auto"/>
                <w:szCs w:val="21"/>
                <w:highlight w:val="none"/>
                <w:lang w:eastAsia="zh-CN"/>
              </w:rPr>
              <w:t>采购需求</w:t>
            </w:r>
            <w:r>
              <w:rPr>
                <w:rFonts w:hint="eastAsia" w:ascii="宋体" w:hAnsi="宋体" w:eastAsia="宋体" w:cs="宋体"/>
                <w:color w:val="auto"/>
                <w:szCs w:val="21"/>
                <w:highlight w:val="none"/>
                <w:lang w:val="en-US" w:eastAsia="zh-CN"/>
              </w:rPr>
              <w:t>中的</w:t>
            </w:r>
            <w:r>
              <w:rPr>
                <w:rFonts w:hint="eastAsia" w:ascii="宋体" w:hAnsi="宋体" w:cs="宋体"/>
                <w:color w:val="auto"/>
                <w:szCs w:val="21"/>
                <w:highlight w:val="none"/>
                <w:lang w:val="en-US" w:eastAsia="zh-CN"/>
              </w:rPr>
              <w:t>服务</w:t>
            </w:r>
            <w:r>
              <w:rPr>
                <w:rFonts w:hint="eastAsia" w:ascii="宋体" w:hAnsi="宋体" w:eastAsia="宋体" w:cs="宋体"/>
                <w:color w:val="auto"/>
                <w:szCs w:val="21"/>
                <w:highlight w:val="none"/>
                <w:lang w:val="en-US" w:eastAsia="zh-CN"/>
              </w:rPr>
              <w:t>要求</w:t>
            </w:r>
          </w:p>
        </w:tc>
        <w:tc>
          <w:tcPr>
            <w:tcW w:w="3477" w:type="dxa"/>
            <w:tcBorders>
              <w:top w:val="single" w:color="auto" w:sz="4" w:space="0"/>
              <w:left w:val="single" w:color="auto" w:sz="4" w:space="0"/>
              <w:right w:val="single" w:color="auto" w:sz="4" w:space="0"/>
            </w:tcBorders>
            <w:noWrap w:val="0"/>
            <w:vAlign w:val="center"/>
          </w:tcPr>
          <w:p w14:paraId="0BADF05E">
            <w:pPr>
              <w:shd w:val="clear"/>
              <w:jc w:val="center"/>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lang w:eastAsia="zh-CN"/>
              </w:rPr>
              <w:t>投标</w:t>
            </w:r>
            <w:r>
              <w:rPr>
                <w:rFonts w:hint="eastAsia" w:ascii="宋体" w:hAnsi="宋体" w:eastAsia="宋体" w:cs="宋体"/>
                <w:color w:val="auto"/>
                <w:szCs w:val="21"/>
                <w:highlight w:val="none"/>
              </w:rPr>
              <w:t>文件</w:t>
            </w:r>
            <w:r>
              <w:rPr>
                <w:rFonts w:hint="eastAsia" w:ascii="宋体" w:hAnsi="宋体" w:eastAsia="宋体" w:cs="宋体"/>
                <w:color w:val="auto"/>
                <w:szCs w:val="21"/>
                <w:highlight w:val="none"/>
                <w:lang w:val="en-US" w:eastAsia="zh-CN"/>
              </w:rPr>
              <w:t>响应的</w:t>
            </w:r>
            <w:r>
              <w:rPr>
                <w:rFonts w:hint="eastAsia" w:ascii="宋体" w:hAnsi="宋体" w:cs="宋体"/>
                <w:color w:val="auto"/>
                <w:szCs w:val="21"/>
                <w:highlight w:val="none"/>
                <w:lang w:val="en-US" w:eastAsia="zh-CN"/>
              </w:rPr>
              <w:t>服务</w:t>
            </w:r>
            <w:r>
              <w:rPr>
                <w:rFonts w:hint="eastAsia" w:ascii="宋体" w:hAnsi="宋体" w:eastAsia="宋体" w:cs="宋体"/>
                <w:color w:val="auto"/>
                <w:szCs w:val="21"/>
                <w:highlight w:val="none"/>
                <w:lang w:eastAsia="zh-CN"/>
              </w:rPr>
              <w:t>要求</w:t>
            </w:r>
          </w:p>
        </w:tc>
        <w:tc>
          <w:tcPr>
            <w:tcW w:w="1168" w:type="dxa"/>
            <w:tcBorders>
              <w:top w:val="single" w:color="auto" w:sz="4" w:space="0"/>
              <w:left w:val="single" w:color="auto" w:sz="4" w:space="0"/>
              <w:bottom w:val="single" w:color="auto" w:sz="4" w:space="0"/>
              <w:right w:val="single" w:color="auto" w:sz="4" w:space="0"/>
            </w:tcBorders>
            <w:noWrap w:val="0"/>
            <w:vAlign w:val="center"/>
          </w:tcPr>
          <w:p w14:paraId="1F0022E3">
            <w:pPr>
              <w:shd w:val="clear"/>
              <w:rPr>
                <w:rFonts w:hint="eastAsia" w:ascii="宋体" w:hAnsi="宋体" w:eastAsia="宋体" w:cs="宋体"/>
                <w:color w:val="auto"/>
                <w:szCs w:val="21"/>
                <w:highlight w:val="none"/>
              </w:rPr>
            </w:pPr>
            <w:r>
              <w:rPr>
                <w:rFonts w:hint="eastAsia" w:ascii="宋体" w:hAnsi="宋体" w:eastAsia="宋体" w:cs="宋体"/>
                <w:color w:val="auto"/>
                <w:szCs w:val="21"/>
                <w:highlight w:val="none"/>
              </w:rPr>
              <w:t>偏离说明</w:t>
            </w:r>
          </w:p>
        </w:tc>
      </w:tr>
      <w:tr w14:paraId="16FB9B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9" w:hRule="atLeast"/>
          <w:jc w:val="center"/>
        </w:trPr>
        <w:tc>
          <w:tcPr>
            <w:tcW w:w="853" w:type="dxa"/>
            <w:tcBorders>
              <w:top w:val="single" w:color="auto" w:sz="4" w:space="0"/>
              <w:left w:val="single" w:color="auto" w:sz="4" w:space="0"/>
              <w:bottom w:val="single" w:color="auto" w:sz="4" w:space="0"/>
              <w:right w:val="single" w:color="auto" w:sz="4" w:space="0"/>
            </w:tcBorders>
            <w:noWrap w:val="0"/>
            <w:vAlign w:val="center"/>
          </w:tcPr>
          <w:p w14:paraId="3967751B">
            <w:pPr>
              <w:shd w:val="clear"/>
              <w:rPr>
                <w:rFonts w:hint="eastAsia" w:ascii="宋体" w:hAnsi="宋体" w:eastAsia="宋体" w:cs="宋体"/>
                <w:color w:val="auto"/>
                <w:szCs w:val="21"/>
                <w:highlight w:val="none"/>
              </w:rPr>
            </w:pPr>
            <w:r>
              <w:rPr>
                <w:rFonts w:hint="eastAsia" w:ascii="宋体" w:hAnsi="宋体" w:eastAsia="宋体" w:cs="宋体"/>
                <w:color w:val="auto"/>
                <w:szCs w:val="21"/>
                <w:highlight w:val="none"/>
              </w:rPr>
              <w:t>1</w:t>
            </w:r>
          </w:p>
        </w:tc>
        <w:tc>
          <w:tcPr>
            <w:tcW w:w="1262" w:type="dxa"/>
            <w:tcBorders>
              <w:top w:val="single" w:color="auto" w:sz="4" w:space="0"/>
              <w:left w:val="single" w:color="auto" w:sz="4" w:space="0"/>
              <w:bottom w:val="single" w:color="auto" w:sz="4" w:space="0"/>
              <w:right w:val="single" w:color="auto" w:sz="4" w:space="0"/>
            </w:tcBorders>
            <w:noWrap w:val="0"/>
            <w:vAlign w:val="center"/>
          </w:tcPr>
          <w:p w14:paraId="79A8FABD">
            <w:pPr>
              <w:shd w:val="clear"/>
              <w:rPr>
                <w:rFonts w:hint="eastAsia" w:ascii="宋体" w:hAnsi="宋体" w:eastAsia="宋体" w:cs="宋体"/>
                <w:color w:val="auto"/>
                <w:szCs w:val="21"/>
                <w:highlight w:val="none"/>
              </w:rPr>
            </w:pPr>
          </w:p>
        </w:tc>
        <w:tc>
          <w:tcPr>
            <w:tcW w:w="3425" w:type="dxa"/>
            <w:tcBorders>
              <w:top w:val="single" w:color="auto" w:sz="4" w:space="0"/>
              <w:left w:val="single" w:color="auto" w:sz="4" w:space="0"/>
              <w:bottom w:val="single" w:color="auto" w:sz="4" w:space="0"/>
              <w:right w:val="single" w:color="auto" w:sz="4" w:space="0"/>
            </w:tcBorders>
            <w:noWrap w:val="0"/>
            <w:vAlign w:val="center"/>
          </w:tcPr>
          <w:p w14:paraId="51A9069C">
            <w:pPr>
              <w:shd w:val="clear"/>
              <w:rPr>
                <w:rFonts w:hint="eastAsia" w:ascii="宋体" w:hAnsi="宋体" w:eastAsia="宋体" w:cs="宋体"/>
                <w:color w:val="auto"/>
                <w:szCs w:val="21"/>
                <w:highlight w:val="none"/>
              </w:rPr>
            </w:pPr>
          </w:p>
        </w:tc>
        <w:tc>
          <w:tcPr>
            <w:tcW w:w="3477" w:type="dxa"/>
            <w:tcBorders>
              <w:top w:val="single" w:color="auto" w:sz="4" w:space="0"/>
              <w:left w:val="single" w:color="auto" w:sz="4" w:space="0"/>
              <w:bottom w:val="single" w:color="auto" w:sz="4" w:space="0"/>
              <w:right w:val="single" w:color="auto" w:sz="4" w:space="0"/>
            </w:tcBorders>
            <w:noWrap w:val="0"/>
            <w:vAlign w:val="center"/>
          </w:tcPr>
          <w:p w14:paraId="1473FFC4">
            <w:pPr>
              <w:shd w:val="clear"/>
              <w:rPr>
                <w:rFonts w:hint="eastAsia" w:ascii="宋体" w:hAnsi="宋体" w:eastAsia="宋体" w:cs="宋体"/>
                <w:color w:val="auto"/>
                <w:szCs w:val="21"/>
                <w:highlight w:val="none"/>
              </w:rPr>
            </w:pPr>
          </w:p>
        </w:tc>
        <w:tc>
          <w:tcPr>
            <w:tcW w:w="1168" w:type="dxa"/>
            <w:tcBorders>
              <w:top w:val="single" w:color="auto" w:sz="4" w:space="0"/>
              <w:left w:val="single" w:color="auto" w:sz="4" w:space="0"/>
              <w:bottom w:val="single" w:color="auto" w:sz="4" w:space="0"/>
              <w:right w:val="single" w:color="auto" w:sz="4" w:space="0"/>
            </w:tcBorders>
            <w:noWrap w:val="0"/>
            <w:vAlign w:val="center"/>
          </w:tcPr>
          <w:p w14:paraId="164E046A">
            <w:pPr>
              <w:shd w:val="clear"/>
              <w:rPr>
                <w:rFonts w:hint="eastAsia" w:ascii="宋体" w:hAnsi="宋体" w:eastAsia="宋体" w:cs="宋体"/>
                <w:color w:val="auto"/>
                <w:szCs w:val="21"/>
                <w:highlight w:val="none"/>
              </w:rPr>
            </w:pPr>
          </w:p>
        </w:tc>
      </w:tr>
      <w:tr w14:paraId="144F1D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9" w:hRule="atLeast"/>
          <w:jc w:val="center"/>
        </w:trPr>
        <w:tc>
          <w:tcPr>
            <w:tcW w:w="853" w:type="dxa"/>
            <w:tcBorders>
              <w:top w:val="single" w:color="auto" w:sz="4" w:space="0"/>
              <w:left w:val="single" w:color="auto" w:sz="4" w:space="0"/>
              <w:bottom w:val="single" w:color="auto" w:sz="4" w:space="0"/>
              <w:right w:val="single" w:color="auto" w:sz="4" w:space="0"/>
            </w:tcBorders>
            <w:noWrap w:val="0"/>
            <w:vAlign w:val="center"/>
          </w:tcPr>
          <w:p w14:paraId="1E43FCC8">
            <w:pPr>
              <w:shd w:val="clear"/>
              <w:rPr>
                <w:rFonts w:hint="eastAsia" w:ascii="宋体" w:hAnsi="宋体" w:eastAsia="宋体" w:cs="宋体"/>
                <w:color w:val="auto"/>
                <w:szCs w:val="21"/>
                <w:highlight w:val="none"/>
              </w:rPr>
            </w:pPr>
            <w:r>
              <w:rPr>
                <w:rFonts w:hint="eastAsia" w:ascii="宋体" w:hAnsi="宋体" w:eastAsia="宋体" w:cs="宋体"/>
                <w:color w:val="auto"/>
                <w:szCs w:val="21"/>
                <w:highlight w:val="none"/>
              </w:rPr>
              <w:t>2</w:t>
            </w:r>
          </w:p>
        </w:tc>
        <w:tc>
          <w:tcPr>
            <w:tcW w:w="1262" w:type="dxa"/>
            <w:tcBorders>
              <w:top w:val="single" w:color="auto" w:sz="4" w:space="0"/>
              <w:left w:val="single" w:color="auto" w:sz="4" w:space="0"/>
              <w:bottom w:val="single" w:color="auto" w:sz="4" w:space="0"/>
              <w:right w:val="single" w:color="auto" w:sz="4" w:space="0"/>
            </w:tcBorders>
            <w:noWrap w:val="0"/>
            <w:vAlign w:val="center"/>
          </w:tcPr>
          <w:p w14:paraId="25F27DF0">
            <w:pPr>
              <w:shd w:val="clear"/>
              <w:rPr>
                <w:rFonts w:hint="eastAsia" w:ascii="宋体" w:hAnsi="宋体" w:eastAsia="宋体" w:cs="宋体"/>
                <w:color w:val="auto"/>
                <w:szCs w:val="21"/>
                <w:highlight w:val="none"/>
              </w:rPr>
            </w:pPr>
          </w:p>
        </w:tc>
        <w:tc>
          <w:tcPr>
            <w:tcW w:w="3425" w:type="dxa"/>
            <w:tcBorders>
              <w:top w:val="single" w:color="auto" w:sz="4" w:space="0"/>
              <w:left w:val="single" w:color="auto" w:sz="4" w:space="0"/>
              <w:bottom w:val="single" w:color="auto" w:sz="4" w:space="0"/>
              <w:right w:val="single" w:color="auto" w:sz="4" w:space="0"/>
            </w:tcBorders>
            <w:noWrap w:val="0"/>
            <w:vAlign w:val="center"/>
          </w:tcPr>
          <w:p w14:paraId="2FCD4811">
            <w:pPr>
              <w:shd w:val="clear"/>
              <w:rPr>
                <w:rFonts w:hint="eastAsia" w:ascii="宋体" w:hAnsi="宋体" w:eastAsia="宋体" w:cs="宋体"/>
                <w:color w:val="auto"/>
                <w:szCs w:val="21"/>
                <w:highlight w:val="none"/>
              </w:rPr>
            </w:pPr>
          </w:p>
        </w:tc>
        <w:tc>
          <w:tcPr>
            <w:tcW w:w="3477" w:type="dxa"/>
            <w:tcBorders>
              <w:top w:val="single" w:color="auto" w:sz="4" w:space="0"/>
              <w:left w:val="single" w:color="auto" w:sz="4" w:space="0"/>
              <w:bottom w:val="single" w:color="auto" w:sz="4" w:space="0"/>
              <w:right w:val="single" w:color="auto" w:sz="4" w:space="0"/>
            </w:tcBorders>
            <w:noWrap w:val="0"/>
            <w:vAlign w:val="center"/>
          </w:tcPr>
          <w:p w14:paraId="4F780ED7">
            <w:pPr>
              <w:shd w:val="clear"/>
              <w:rPr>
                <w:rFonts w:hint="eastAsia" w:ascii="宋体" w:hAnsi="宋体" w:eastAsia="宋体" w:cs="宋体"/>
                <w:color w:val="auto"/>
                <w:szCs w:val="21"/>
                <w:highlight w:val="none"/>
              </w:rPr>
            </w:pPr>
          </w:p>
        </w:tc>
        <w:tc>
          <w:tcPr>
            <w:tcW w:w="1168" w:type="dxa"/>
            <w:tcBorders>
              <w:top w:val="single" w:color="auto" w:sz="4" w:space="0"/>
              <w:left w:val="single" w:color="auto" w:sz="4" w:space="0"/>
              <w:bottom w:val="single" w:color="auto" w:sz="4" w:space="0"/>
              <w:right w:val="single" w:color="auto" w:sz="4" w:space="0"/>
            </w:tcBorders>
            <w:noWrap w:val="0"/>
            <w:vAlign w:val="center"/>
          </w:tcPr>
          <w:p w14:paraId="7843EB49">
            <w:pPr>
              <w:shd w:val="clear"/>
              <w:rPr>
                <w:rFonts w:hint="eastAsia" w:ascii="宋体" w:hAnsi="宋体" w:eastAsia="宋体" w:cs="宋体"/>
                <w:color w:val="auto"/>
                <w:szCs w:val="21"/>
                <w:highlight w:val="none"/>
              </w:rPr>
            </w:pPr>
          </w:p>
        </w:tc>
      </w:tr>
      <w:tr w14:paraId="0FCA80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9" w:hRule="atLeast"/>
          <w:jc w:val="center"/>
        </w:trPr>
        <w:tc>
          <w:tcPr>
            <w:tcW w:w="853" w:type="dxa"/>
            <w:tcBorders>
              <w:top w:val="single" w:color="auto" w:sz="4" w:space="0"/>
              <w:left w:val="single" w:color="auto" w:sz="4" w:space="0"/>
              <w:bottom w:val="single" w:color="auto" w:sz="4" w:space="0"/>
              <w:right w:val="single" w:color="auto" w:sz="4" w:space="0"/>
            </w:tcBorders>
            <w:noWrap w:val="0"/>
            <w:vAlign w:val="center"/>
          </w:tcPr>
          <w:p w14:paraId="30FA7F15">
            <w:pPr>
              <w:shd w:val="clear"/>
              <w:rPr>
                <w:rFonts w:hint="eastAsia" w:ascii="宋体" w:hAnsi="宋体" w:eastAsia="宋体" w:cs="宋体"/>
                <w:color w:val="auto"/>
                <w:szCs w:val="21"/>
                <w:highlight w:val="none"/>
              </w:rPr>
            </w:pPr>
            <w:r>
              <w:rPr>
                <w:rFonts w:hint="eastAsia" w:ascii="宋体" w:hAnsi="宋体" w:eastAsia="宋体" w:cs="宋体"/>
                <w:color w:val="auto"/>
                <w:szCs w:val="21"/>
                <w:highlight w:val="none"/>
              </w:rPr>
              <w:t>...</w:t>
            </w:r>
          </w:p>
        </w:tc>
        <w:tc>
          <w:tcPr>
            <w:tcW w:w="1262" w:type="dxa"/>
            <w:tcBorders>
              <w:top w:val="single" w:color="auto" w:sz="4" w:space="0"/>
              <w:left w:val="single" w:color="auto" w:sz="4" w:space="0"/>
              <w:bottom w:val="single" w:color="auto" w:sz="4" w:space="0"/>
              <w:right w:val="single" w:color="auto" w:sz="4" w:space="0"/>
            </w:tcBorders>
            <w:noWrap w:val="0"/>
            <w:vAlign w:val="center"/>
          </w:tcPr>
          <w:p w14:paraId="57027D6A">
            <w:pPr>
              <w:shd w:val="clear"/>
              <w:rPr>
                <w:rFonts w:hint="eastAsia" w:ascii="宋体" w:hAnsi="宋体" w:eastAsia="宋体" w:cs="宋体"/>
                <w:color w:val="auto"/>
                <w:szCs w:val="21"/>
                <w:highlight w:val="none"/>
              </w:rPr>
            </w:pPr>
          </w:p>
        </w:tc>
        <w:tc>
          <w:tcPr>
            <w:tcW w:w="3425" w:type="dxa"/>
            <w:tcBorders>
              <w:top w:val="single" w:color="auto" w:sz="4" w:space="0"/>
              <w:left w:val="single" w:color="auto" w:sz="4" w:space="0"/>
              <w:bottom w:val="single" w:color="auto" w:sz="4" w:space="0"/>
              <w:right w:val="single" w:color="auto" w:sz="4" w:space="0"/>
            </w:tcBorders>
            <w:noWrap w:val="0"/>
            <w:vAlign w:val="center"/>
          </w:tcPr>
          <w:p w14:paraId="69AF5463">
            <w:pPr>
              <w:shd w:val="clear"/>
              <w:rPr>
                <w:rFonts w:hint="eastAsia" w:ascii="宋体" w:hAnsi="宋体" w:eastAsia="宋体" w:cs="宋体"/>
                <w:color w:val="auto"/>
                <w:szCs w:val="21"/>
                <w:highlight w:val="none"/>
              </w:rPr>
            </w:pPr>
          </w:p>
        </w:tc>
        <w:tc>
          <w:tcPr>
            <w:tcW w:w="3477" w:type="dxa"/>
            <w:tcBorders>
              <w:top w:val="single" w:color="auto" w:sz="4" w:space="0"/>
              <w:left w:val="single" w:color="auto" w:sz="4" w:space="0"/>
              <w:bottom w:val="single" w:color="auto" w:sz="4" w:space="0"/>
              <w:right w:val="single" w:color="auto" w:sz="4" w:space="0"/>
            </w:tcBorders>
            <w:noWrap w:val="0"/>
            <w:vAlign w:val="center"/>
          </w:tcPr>
          <w:p w14:paraId="40ACA960">
            <w:pPr>
              <w:shd w:val="clear"/>
              <w:rPr>
                <w:rFonts w:hint="eastAsia" w:ascii="宋体" w:hAnsi="宋体" w:eastAsia="宋体" w:cs="宋体"/>
                <w:color w:val="auto"/>
                <w:szCs w:val="21"/>
                <w:highlight w:val="none"/>
              </w:rPr>
            </w:pPr>
          </w:p>
        </w:tc>
        <w:tc>
          <w:tcPr>
            <w:tcW w:w="1168" w:type="dxa"/>
            <w:tcBorders>
              <w:top w:val="single" w:color="auto" w:sz="4" w:space="0"/>
              <w:left w:val="single" w:color="auto" w:sz="4" w:space="0"/>
              <w:bottom w:val="single" w:color="auto" w:sz="4" w:space="0"/>
              <w:right w:val="single" w:color="auto" w:sz="4" w:space="0"/>
            </w:tcBorders>
            <w:noWrap w:val="0"/>
            <w:vAlign w:val="center"/>
          </w:tcPr>
          <w:p w14:paraId="4E419B67">
            <w:pPr>
              <w:shd w:val="clear"/>
              <w:rPr>
                <w:rFonts w:hint="eastAsia" w:ascii="宋体" w:hAnsi="宋体" w:eastAsia="宋体" w:cs="宋体"/>
                <w:color w:val="auto"/>
                <w:szCs w:val="21"/>
                <w:highlight w:val="none"/>
              </w:rPr>
            </w:pPr>
          </w:p>
        </w:tc>
      </w:tr>
    </w:tbl>
    <w:p w14:paraId="7E770A82">
      <w:pPr>
        <w:pStyle w:val="12"/>
        <w:shd w:val="clear"/>
        <w:spacing w:line="360" w:lineRule="auto"/>
        <w:ind w:firstLine="0" w:firstLineChars="0"/>
        <w:rPr>
          <w:rFonts w:hint="eastAsia" w:ascii="宋体" w:hAnsi="宋体" w:eastAsia="宋体" w:cs="宋体"/>
          <w:color w:val="auto"/>
          <w:szCs w:val="21"/>
          <w:highlight w:val="none"/>
        </w:rPr>
      </w:pPr>
    </w:p>
    <w:p w14:paraId="18EAF5B4">
      <w:pPr>
        <w:pStyle w:val="12"/>
        <w:shd w:val="clea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注：</w:t>
      </w:r>
    </w:p>
    <w:p w14:paraId="5B974C95">
      <w:pPr>
        <w:pStyle w:val="12"/>
        <w:shd w:val="clea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1.表格内容均需按要求填写并</w:t>
      </w:r>
      <w:r>
        <w:rPr>
          <w:rFonts w:hint="eastAsia" w:ascii="宋体" w:hAnsi="宋体" w:eastAsia="宋体" w:cs="宋体"/>
          <w:color w:val="auto"/>
          <w:szCs w:val="21"/>
          <w:highlight w:val="none"/>
          <w:lang w:eastAsia="zh-CN"/>
        </w:rPr>
        <w:t>加</w:t>
      </w:r>
      <w:r>
        <w:rPr>
          <w:rFonts w:hint="eastAsia" w:ascii="宋体" w:hAnsi="宋体" w:eastAsia="宋体" w:cs="宋体"/>
          <w:color w:val="auto"/>
          <w:szCs w:val="21"/>
          <w:highlight w:val="none"/>
        </w:rPr>
        <w:t>盖</w:t>
      </w:r>
      <w:r>
        <w:rPr>
          <w:rFonts w:hint="eastAsia" w:ascii="宋体" w:hAnsi="宋体" w:eastAsia="宋体" w:cs="宋体"/>
          <w:color w:val="auto"/>
          <w:szCs w:val="21"/>
          <w:highlight w:val="none"/>
          <w:lang w:eastAsia="zh-CN"/>
        </w:rPr>
        <w:t>投标人公</w:t>
      </w:r>
      <w:r>
        <w:rPr>
          <w:rFonts w:hint="eastAsia" w:ascii="宋体" w:hAnsi="宋体" w:eastAsia="宋体" w:cs="宋体"/>
          <w:color w:val="auto"/>
          <w:szCs w:val="21"/>
          <w:highlight w:val="none"/>
        </w:rPr>
        <w:t>章。</w:t>
      </w:r>
    </w:p>
    <w:p w14:paraId="641B03CE">
      <w:pPr>
        <w:pStyle w:val="12"/>
        <w:shd w:val="clear"/>
        <w:spacing w:line="360" w:lineRule="auto"/>
        <w:ind w:firstLine="420" w:firstLineChars="200"/>
        <w:rPr>
          <w:rFonts w:hint="eastAsia" w:ascii="宋体" w:hAnsi="宋体" w:eastAsia="宋体" w:cs="宋体"/>
          <w:bCs w:val="0"/>
          <w:color w:val="auto"/>
          <w:szCs w:val="21"/>
          <w:highlight w:val="none"/>
        </w:rPr>
      </w:pPr>
      <w:r>
        <w:rPr>
          <w:rFonts w:hint="eastAsia" w:ascii="宋体" w:hAnsi="宋体" w:eastAsia="宋体" w:cs="宋体"/>
          <w:bCs/>
          <w:color w:val="auto"/>
          <w:szCs w:val="21"/>
          <w:highlight w:val="none"/>
        </w:rPr>
        <w:t>2.</w:t>
      </w:r>
      <w:r>
        <w:rPr>
          <w:rFonts w:hint="eastAsia" w:ascii="宋体" w:hAnsi="宋体" w:eastAsia="宋体" w:cs="宋体"/>
          <w:color w:val="auto"/>
          <w:sz w:val="21"/>
          <w:szCs w:val="21"/>
          <w:highlight w:val="none"/>
        </w:rPr>
        <w:t>请根据所投</w:t>
      </w:r>
      <w:r>
        <w:rPr>
          <w:rFonts w:hint="eastAsia" w:ascii="宋体" w:hAnsi="宋体" w:eastAsia="宋体" w:cs="宋体"/>
          <w:color w:val="auto"/>
          <w:sz w:val="21"/>
          <w:szCs w:val="21"/>
          <w:highlight w:val="none"/>
          <w:lang w:eastAsia="zh-CN"/>
        </w:rPr>
        <w:t>服务内容</w:t>
      </w:r>
      <w:r>
        <w:rPr>
          <w:rFonts w:hint="eastAsia" w:ascii="宋体" w:hAnsi="宋体" w:eastAsia="宋体" w:cs="宋体"/>
          <w:color w:val="auto"/>
          <w:sz w:val="21"/>
          <w:szCs w:val="21"/>
          <w:highlight w:val="none"/>
        </w:rPr>
        <w:t>，</w:t>
      </w:r>
      <w:r>
        <w:rPr>
          <w:rFonts w:hint="eastAsia" w:ascii="宋体" w:hAnsi="宋体" w:eastAsia="宋体" w:cs="宋体"/>
          <w:b w:val="0"/>
          <w:color w:val="auto"/>
          <w:sz w:val="21"/>
          <w:szCs w:val="21"/>
          <w:highlight w:val="none"/>
        </w:rPr>
        <w:t>逐条对应</w:t>
      </w:r>
      <w:r>
        <w:rPr>
          <w:rFonts w:hint="eastAsia" w:ascii="宋体" w:hAnsi="宋体" w:eastAsia="宋体" w:cs="宋体"/>
          <w:color w:val="auto"/>
          <w:sz w:val="21"/>
          <w:szCs w:val="21"/>
          <w:highlight w:val="none"/>
        </w:rPr>
        <w:t>本项目招标文件“第二章</w:t>
      </w:r>
      <w:r>
        <w:rPr>
          <w:rFonts w:hint="eastAsia" w:ascii="宋体" w:hAnsi="宋体" w:eastAsia="宋体" w:cs="宋体"/>
          <w:color w:val="auto"/>
          <w:sz w:val="21"/>
          <w:szCs w:val="21"/>
          <w:highlight w:val="none"/>
          <w:lang w:val="en-US" w:eastAsia="zh-CN"/>
        </w:rPr>
        <w:t xml:space="preserve"> </w:t>
      </w:r>
      <w:r>
        <w:rPr>
          <w:rFonts w:hint="eastAsia" w:ascii="宋体" w:hAnsi="宋体" w:eastAsia="宋体" w:cs="宋体"/>
          <w:color w:val="auto"/>
          <w:sz w:val="21"/>
          <w:szCs w:val="21"/>
          <w:highlight w:val="none"/>
          <w:lang w:eastAsia="zh-CN"/>
        </w:rPr>
        <w:t>采购需求</w:t>
      </w:r>
      <w:r>
        <w:rPr>
          <w:rFonts w:hint="eastAsia" w:ascii="宋体" w:hAnsi="宋体" w:eastAsia="宋体" w:cs="宋体"/>
          <w:color w:val="auto"/>
          <w:sz w:val="21"/>
          <w:szCs w:val="21"/>
          <w:highlight w:val="none"/>
        </w:rPr>
        <w:t>”中</w:t>
      </w:r>
      <w:r>
        <w:rPr>
          <w:rFonts w:hint="eastAsia" w:ascii="宋体" w:hAnsi="宋体" w:eastAsia="宋体" w:cs="宋体"/>
          <w:color w:val="auto"/>
          <w:sz w:val="21"/>
          <w:szCs w:val="21"/>
          <w:highlight w:val="none"/>
          <w:lang w:eastAsia="zh-CN"/>
        </w:rPr>
        <w:t>“一、项目总说明”、“</w:t>
      </w:r>
      <w:r>
        <w:rPr>
          <w:rFonts w:hint="eastAsia" w:ascii="宋体" w:hAnsi="宋体" w:eastAsia="宋体" w:cs="宋体"/>
          <w:color w:val="auto"/>
          <w:kern w:val="0"/>
          <w:highlight w:val="none"/>
          <w:rtl w:val="0"/>
          <w:lang w:val="zh-TW" w:eastAsia="zh-TW"/>
        </w:rPr>
        <w:t>二、项目概况</w:t>
      </w:r>
      <w:r>
        <w:rPr>
          <w:rFonts w:hint="eastAsia" w:ascii="宋体" w:hAnsi="宋体" w:eastAsia="宋体" w:cs="宋体"/>
          <w:color w:val="auto"/>
          <w:sz w:val="21"/>
          <w:szCs w:val="21"/>
          <w:highlight w:val="none"/>
          <w:lang w:eastAsia="zh-CN"/>
        </w:rPr>
        <w:t>”、“三、项目采购需求一览表”的服务要求</w:t>
      </w:r>
      <w:r>
        <w:rPr>
          <w:rFonts w:hint="eastAsia" w:ascii="宋体" w:hAnsi="宋体" w:eastAsia="宋体" w:cs="宋体"/>
          <w:color w:val="auto"/>
          <w:sz w:val="21"/>
          <w:szCs w:val="21"/>
          <w:highlight w:val="none"/>
          <w:lang w:val="en-US" w:eastAsia="zh-CN"/>
        </w:rPr>
        <w:t>作出明确响应，并作出偏离说明</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“偏离说明”一栏应当选择“正偏离”</w:t>
      </w:r>
      <w:r>
        <w:rPr>
          <w:rFonts w:hint="eastAsia" w:ascii="宋体" w:hAnsi="宋体" w:eastAsia="宋体" w:cs="宋体"/>
          <w:color w:val="auto"/>
          <w:sz w:val="21"/>
          <w:szCs w:val="21"/>
          <w:highlight w:val="none"/>
          <w:lang w:eastAsia="zh-CN"/>
        </w:rPr>
        <w:t>或</w:t>
      </w:r>
      <w:r>
        <w:rPr>
          <w:rFonts w:hint="eastAsia" w:ascii="宋体" w:hAnsi="宋体" w:eastAsia="宋体" w:cs="宋体"/>
          <w:color w:val="auto"/>
          <w:sz w:val="21"/>
          <w:szCs w:val="21"/>
          <w:highlight w:val="none"/>
        </w:rPr>
        <w:t>“负偏离”或“无偏离”进行填写</w:t>
      </w:r>
      <w:r>
        <w:rPr>
          <w:rFonts w:hint="eastAsia" w:ascii="宋体" w:hAnsi="宋体" w:eastAsia="宋体" w:cs="宋体"/>
          <w:color w:val="auto"/>
          <w:sz w:val="21"/>
          <w:szCs w:val="21"/>
          <w:highlight w:val="none"/>
          <w:lang w:eastAsia="zh-CN"/>
        </w:rPr>
        <w:t>，否则投标无效</w:t>
      </w:r>
      <w:r>
        <w:rPr>
          <w:rFonts w:hint="eastAsia" w:ascii="宋体" w:hAnsi="宋体" w:eastAsia="宋体" w:cs="宋体"/>
          <w:color w:val="auto"/>
          <w:sz w:val="21"/>
          <w:szCs w:val="21"/>
          <w:highlight w:val="none"/>
        </w:rPr>
        <w:t>。</w:t>
      </w:r>
    </w:p>
    <w:p w14:paraId="2D56F924">
      <w:pPr>
        <w:pStyle w:val="12"/>
        <w:shd w:val="clea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bCs/>
          <w:color w:val="auto"/>
          <w:szCs w:val="21"/>
          <w:highlight w:val="none"/>
          <w:lang w:val="en-US" w:eastAsia="zh-CN"/>
        </w:rPr>
        <w:t>3.</w:t>
      </w:r>
      <w:r>
        <w:rPr>
          <w:rFonts w:hint="eastAsia" w:ascii="宋体" w:hAnsi="宋体" w:eastAsia="宋体" w:cs="宋体"/>
          <w:bCs/>
          <w:color w:val="auto"/>
          <w:szCs w:val="21"/>
          <w:highlight w:val="none"/>
        </w:rPr>
        <w:t>当投标文件的</w:t>
      </w:r>
      <w:r>
        <w:rPr>
          <w:rFonts w:hint="eastAsia" w:ascii="宋体" w:hAnsi="宋体" w:eastAsia="宋体" w:cs="宋体"/>
          <w:bCs/>
          <w:color w:val="auto"/>
          <w:szCs w:val="21"/>
          <w:highlight w:val="none"/>
          <w:lang w:eastAsia="zh-CN"/>
        </w:rPr>
        <w:t>服务</w:t>
      </w:r>
      <w:r>
        <w:rPr>
          <w:rFonts w:hint="eastAsia" w:ascii="宋体" w:hAnsi="宋体" w:eastAsia="宋体" w:cs="宋体"/>
          <w:bCs/>
          <w:color w:val="auto"/>
          <w:szCs w:val="21"/>
          <w:highlight w:val="none"/>
        </w:rPr>
        <w:t>内容低于招标文件要求时，投标人应当如实写明“负偏离”。</w:t>
      </w:r>
    </w:p>
    <w:p w14:paraId="3DDF9196">
      <w:pPr>
        <w:pStyle w:val="7"/>
        <w:shd w:val="clear"/>
        <w:rPr>
          <w:rFonts w:hint="eastAsia" w:ascii="宋体" w:hAnsi="宋体" w:eastAsia="宋体" w:cs="宋体"/>
          <w:color w:val="auto"/>
          <w:szCs w:val="21"/>
          <w:highlight w:val="none"/>
        </w:rPr>
      </w:pPr>
    </w:p>
    <w:p w14:paraId="3138D58D">
      <w:pPr>
        <w:shd w:val="clear"/>
        <w:rPr>
          <w:rFonts w:hint="eastAsia" w:ascii="宋体" w:hAnsi="宋体" w:eastAsia="宋体" w:cs="宋体"/>
          <w:color w:val="auto"/>
          <w:szCs w:val="21"/>
          <w:highlight w:val="none"/>
        </w:rPr>
      </w:pPr>
    </w:p>
    <w:p w14:paraId="4F35BF1D">
      <w:pPr>
        <w:shd w:val="clear"/>
        <w:snapToGrid w:val="0"/>
        <w:spacing w:line="360" w:lineRule="auto"/>
        <w:ind w:firstLine="5640" w:firstLineChars="2350"/>
        <w:rPr>
          <w:rFonts w:hint="eastAsia" w:ascii="宋体" w:hAnsi="宋体" w:eastAsia="宋体" w:cs="宋体"/>
          <w:color w:val="auto"/>
          <w:kern w:val="0"/>
          <w:sz w:val="24"/>
          <w:highlight w:val="none"/>
          <w:lang w:val="zh-CN"/>
        </w:rPr>
      </w:pPr>
    </w:p>
    <w:p w14:paraId="568F871B">
      <w:pPr>
        <w:shd w:val="clear"/>
        <w:snapToGrid w:val="0"/>
        <w:spacing w:line="360" w:lineRule="auto"/>
        <w:ind w:firstLine="5640" w:firstLineChars="2350"/>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lang w:val="zh-CN"/>
        </w:rPr>
        <w:t>投标人名称(盖公章)：</w:t>
      </w:r>
    </w:p>
    <w:p w14:paraId="36F7A18A">
      <w:pPr>
        <w:shd w:val="clear"/>
        <w:snapToGrid w:val="0"/>
        <w:spacing w:line="360" w:lineRule="auto"/>
        <w:ind w:firstLine="5640" w:firstLineChars="2350"/>
        <w:rPr>
          <w:rFonts w:hint="eastAsia" w:ascii="宋体" w:hAnsi="宋体" w:eastAsia="宋体" w:cs="宋体"/>
          <w:color w:val="auto"/>
          <w:kern w:val="0"/>
          <w:sz w:val="24"/>
          <w:highlight w:val="none"/>
          <w:lang w:val="zh-CN"/>
        </w:rPr>
      </w:pPr>
      <w:r>
        <w:rPr>
          <w:rFonts w:hint="eastAsia" w:ascii="宋体" w:hAnsi="宋体" w:eastAsia="宋体" w:cs="宋体"/>
          <w:color w:val="auto"/>
          <w:kern w:val="0"/>
          <w:sz w:val="24"/>
          <w:highlight w:val="none"/>
          <w:lang w:val="zh-CN"/>
        </w:rPr>
        <w:t>日期</w:t>
      </w:r>
      <w:r>
        <w:rPr>
          <w:rFonts w:hint="eastAsia" w:ascii="宋体" w:hAnsi="宋体" w:eastAsia="宋体" w:cs="宋体"/>
          <w:color w:val="auto"/>
          <w:kern w:val="0"/>
          <w:sz w:val="24"/>
          <w:highlight w:val="none"/>
        </w:rPr>
        <w:t xml:space="preserve">：  年  </w:t>
      </w:r>
      <w:r>
        <w:rPr>
          <w:rFonts w:hint="eastAsia" w:ascii="宋体" w:hAnsi="宋体" w:eastAsia="宋体" w:cs="宋体"/>
          <w:color w:val="auto"/>
          <w:kern w:val="0"/>
          <w:sz w:val="24"/>
          <w:highlight w:val="none"/>
          <w:lang w:val="zh-CN"/>
        </w:rPr>
        <w:t>月</w:t>
      </w:r>
      <w:r>
        <w:rPr>
          <w:rFonts w:hint="eastAsia" w:ascii="宋体" w:hAnsi="宋体" w:eastAsia="宋体" w:cs="宋体"/>
          <w:color w:val="auto"/>
          <w:kern w:val="0"/>
          <w:sz w:val="24"/>
          <w:highlight w:val="none"/>
        </w:rPr>
        <w:t xml:space="preserve">   </w:t>
      </w:r>
      <w:r>
        <w:rPr>
          <w:rFonts w:hint="eastAsia" w:ascii="宋体" w:hAnsi="宋体" w:eastAsia="宋体" w:cs="宋体"/>
          <w:color w:val="auto"/>
          <w:kern w:val="0"/>
          <w:sz w:val="24"/>
          <w:highlight w:val="none"/>
          <w:lang w:val="zh-CN"/>
        </w:rPr>
        <w:t>日</w:t>
      </w:r>
    </w:p>
    <w:p w14:paraId="4748F729">
      <w:pPr>
        <w:widowControl/>
        <w:shd w:val="clear"/>
        <w:jc w:val="left"/>
        <w:rPr>
          <w:rFonts w:hint="eastAsia" w:ascii="宋体" w:hAnsi="宋体" w:eastAsia="宋体" w:cs="宋体"/>
          <w:color w:val="auto"/>
          <w:sz w:val="30"/>
          <w:szCs w:val="20"/>
          <w:highlight w:val="none"/>
        </w:rPr>
        <w:sectPr>
          <w:pgSz w:w="11905" w:h="16838"/>
          <w:pgMar w:top="1134" w:right="1134" w:bottom="1134" w:left="1134" w:header="850" w:footer="850" w:gutter="0"/>
          <w:pgNumType w:fmt="decimal"/>
          <w:cols w:space="0" w:num="1"/>
          <w:titlePg/>
          <w:rtlGutter w:val="0"/>
          <w:docGrid w:linePitch="331" w:charSpace="0"/>
        </w:sectPr>
      </w:pPr>
    </w:p>
    <w:p w14:paraId="74ABCCDB">
      <w:pPr>
        <w:shd w:val="clear"/>
        <w:snapToGrid w:val="0"/>
        <w:spacing w:before="165" w:beforeLines="50" w:after="50"/>
        <w:ind w:left="142"/>
        <w:jc w:val="left"/>
        <w:rPr>
          <w:rFonts w:hint="eastAsia" w:ascii="宋体" w:hAnsi="宋体" w:eastAsia="宋体" w:cs="宋体"/>
          <w:b/>
          <w:color w:val="auto"/>
          <w:sz w:val="32"/>
          <w:szCs w:val="32"/>
          <w:highlight w:val="none"/>
        </w:rPr>
      </w:pPr>
      <w:r>
        <w:rPr>
          <w:rFonts w:hint="eastAsia" w:ascii="宋体" w:hAnsi="宋体" w:eastAsia="宋体" w:cs="宋体"/>
          <w:b/>
          <w:color w:val="auto"/>
          <w:sz w:val="28"/>
          <w:szCs w:val="28"/>
          <w:highlight w:val="none"/>
          <w:lang w:val="en-US" w:eastAsia="zh-CN"/>
        </w:rPr>
        <w:t>4</w:t>
      </w:r>
      <w:r>
        <w:rPr>
          <w:rFonts w:hint="eastAsia" w:ascii="宋体" w:hAnsi="宋体" w:eastAsia="宋体" w:cs="宋体"/>
          <w:b/>
          <w:color w:val="auto"/>
          <w:sz w:val="28"/>
          <w:szCs w:val="28"/>
          <w:highlight w:val="none"/>
        </w:rPr>
        <w:t>. 售后服务机构情况表</w:t>
      </w:r>
      <w:r>
        <w:rPr>
          <w:rFonts w:hint="eastAsia" w:ascii="宋体" w:hAnsi="宋体" w:eastAsia="宋体" w:cs="宋体"/>
          <w:b/>
          <w:color w:val="auto"/>
          <w:sz w:val="28"/>
          <w:szCs w:val="28"/>
          <w:highlight w:val="none"/>
          <w:lang w:eastAsia="zh-CN"/>
        </w:rPr>
        <w:t>、售后服务人员情况表的</w:t>
      </w:r>
      <w:r>
        <w:rPr>
          <w:rFonts w:hint="eastAsia" w:ascii="宋体" w:hAnsi="宋体" w:eastAsia="宋体" w:cs="宋体"/>
          <w:b/>
          <w:color w:val="auto"/>
          <w:sz w:val="28"/>
          <w:szCs w:val="28"/>
          <w:highlight w:val="none"/>
        </w:rPr>
        <w:t>格式</w:t>
      </w:r>
      <w:r>
        <w:rPr>
          <w:rFonts w:hint="eastAsia" w:ascii="宋体" w:hAnsi="宋体" w:eastAsia="宋体" w:cs="宋体"/>
          <w:b/>
          <w:bCs/>
          <w:color w:val="auto"/>
          <w:sz w:val="30"/>
          <w:szCs w:val="30"/>
          <w:highlight w:val="none"/>
          <w:lang w:eastAsia="zh-CN"/>
        </w:rPr>
        <w:t>：</w:t>
      </w:r>
    </w:p>
    <w:p w14:paraId="719609BF">
      <w:pPr>
        <w:shd w:val="clear"/>
        <w:snapToGrid w:val="0"/>
        <w:spacing w:before="165" w:beforeLines="50" w:after="50"/>
        <w:ind w:left="142"/>
        <w:jc w:val="center"/>
        <w:rPr>
          <w:rFonts w:hint="eastAsia" w:ascii="宋体" w:hAnsi="宋体" w:eastAsia="宋体" w:cs="宋体"/>
          <w:b/>
          <w:color w:val="auto"/>
          <w:sz w:val="32"/>
          <w:szCs w:val="32"/>
          <w:highlight w:val="none"/>
        </w:rPr>
      </w:pPr>
    </w:p>
    <w:p w14:paraId="5A5AF2FE">
      <w:pPr>
        <w:shd w:val="clear"/>
        <w:autoSpaceDE w:val="0"/>
        <w:autoSpaceDN w:val="0"/>
        <w:spacing w:line="360" w:lineRule="auto"/>
        <w:rPr>
          <w:rFonts w:hint="eastAsia" w:ascii="宋体" w:hAnsi="宋体" w:eastAsia="宋体" w:cs="宋体"/>
          <w:b/>
          <w:color w:val="auto"/>
          <w:sz w:val="24"/>
          <w:highlight w:val="none"/>
        </w:rPr>
      </w:pPr>
      <w:r>
        <w:rPr>
          <w:rFonts w:hint="eastAsia" w:ascii="宋体" w:hAnsi="宋体" w:eastAsia="宋体" w:cs="宋体"/>
          <w:b/>
          <w:color w:val="auto"/>
          <w:sz w:val="24"/>
          <w:highlight w:val="none"/>
        </w:rPr>
        <w:t>附表A</w:t>
      </w:r>
      <w:r>
        <w:rPr>
          <w:rFonts w:hint="eastAsia" w:ascii="宋体" w:hAnsi="宋体" w:cs="宋体"/>
          <w:b/>
          <w:color w:val="auto"/>
          <w:sz w:val="24"/>
          <w:highlight w:val="none"/>
          <w:lang w:eastAsia="zh-CN"/>
        </w:rPr>
        <w:t>：</w:t>
      </w:r>
      <w:r>
        <w:rPr>
          <w:rFonts w:hint="eastAsia" w:ascii="宋体" w:hAnsi="宋体" w:eastAsia="宋体" w:cs="宋体"/>
          <w:b/>
          <w:color w:val="auto"/>
          <w:sz w:val="24"/>
          <w:highlight w:val="none"/>
        </w:rPr>
        <w:t>售后服务机构情况表</w:t>
      </w:r>
      <w:r>
        <w:rPr>
          <w:rFonts w:hint="eastAsia" w:ascii="宋体" w:hAnsi="宋体" w:eastAsia="宋体" w:cs="宋体"/>
          <w:color w:val="auto"/>
          <w:sz w:val="24"/>
          <w:highlight w:val="none"/>
        </w:rPr>
        <w:t>（如有要求</w:t>
      </w:r>
      <w:r>
        <w:rPr>
          <w:rFonts w:hint="eastAsia" w:ascii="宋体" w:hAnsi="宋体" w:eastAsia="宋体" w:cs="宋体"/>
          <w:color w:val="auto"/>
          <w:sz w:val="24"/>
          <w:highlight w:val="none"/>
          <w:lang w:eastAsia="zh-CN"/>
        </w:rPr>
        <w:t>，参照</w:t>
      </w:r>
      <w:r>
        <w:rPr>
          <w:rFonts w:hint="eastAsia" w:ascii="宋体" w:hAnsi="宋体" w:eastAsia="宋体" w:cs="宋体"/>
          <w:color w:val="auto"/>
          <w:sz w:val="24"/>
          <w:highlight w:val="none"/>
        </w:rPr>
        <w:t>此格式自制）</w:t>
      </w:r>
    </w:p>
    <w:tbl>
      <w:tblPr>
        <w:tblStyle w:val="18"/>
        <w:tblW w:w="8748" w:type="dxa"/>
        <w:tblInd w:w="11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8"/>
        <w:gridCol w:w="2096"/>
        <w:gridCol w:w="1339"/>
        <w:gridCol w:w="1261"/>
        <w:gridCol w:w="1462"/>
        <w:gridCol w:w="1762"/>
      </w:tblGrid>
      <w:tr w14:paraId="6BF964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8" w:type="dxa"/>
            <w:tcBorders>
              <w:top w:val="single" w:color="auto" w:sz="4" w:space="0"/>
              <w:left w:val="single" w:color="auto" w:sz="4" w:space="0"/>
              <w:bottom w:val="single" w:color="auto" w:sz="4" w:space="0"/>
              <w:right w:val="single" w:color="auto" w:sz="4" w:space="0"/>
            </w:tcBorders>
            <w:noWrap w:val="0"/>
            <w:vAlign w:val="center"/>
          </w:tcPr>
          <w:p w14:paraId="2216019A">
            <w:pPr>
              <w:shd w:val="clear"/>
              <w:autoSpaceDE w:val="0"/>
              <w:autoSpaceDN w:val="0"/>
              <w:spacing w:line="360" w:lineRule="auto"/>
              <w:jc w:val="center"/>
              <w:rPr>
                <w:rFonts w:hint="eastAsia" w:ascii="宋体" w:hAnsi="宋体" w:eastAsia="宋体" w:cs="宋体"/>
                <w:b/>
                <w:color w:val="auto"/>
                <w:sz w:val="24"/>
                <w:highlight w:val="none"/>
              </w:rPr>
            </w:pPr>
            <w:r>
              <w:rPr>
                <w:rFonts w:hint="eastAsia" w:ascii="宋体" w:hAnsi="宋体" w:eastAsia="宋体" w:cs="宋体"/>
                <w:b/>
                <w:color w:val="auto"/>
                <w:sz w:val="24"/>
                <w:highlight w:val="none"/>
              </w:rPr>
              <w:t>序号</w:t>
            </w:r>
          </w:p>
        </w:tc>
        <w:tc>
          <w:tcPr>
            <w:tcW w:w="2096" w:type="dxa"/>
            <w:tcBorders>
              <w:top w:val="single" w:color="auto" w:sz="4" w:space="0"/>
              <w:left w:val="single" w:color="auto" w:sz="4" w:space="0"/>
              <w:bottom w:val="single" w:color="auto" w:sz="4" w:space="0"/>
              <w:right w:val="single" w:color="auto" w:sz="4" w:space="0"/>
            </w:tcBorders>
            <w:noWrap w:val="0"/>
            <w:vAlign w:val="center"/>
          </w:tcPr>
          <w:p w14:paraId="28648DFF">
            <w:pPr>
              <w:shd w:val="clear"/>
              <w:autoSpaceDE w:val="0"/>
              <w:autoSpaceDN w:val="0"/>
              <w:spacing w:line="360" w:lineRule="auto"/>
              <w:jc w:val="center"/>
              <w:rPr>
                <w:rFonts w:hint="eastAsia" w:ascii="宋体" w:hAnsi="宋体" w:eastAsia="宋体" w:cs="宋体"/>
                <w:b/>
                <w:color w:val="auto"/>
                <w:sz w:val="24"/>
                <w:highlight w:val="none"/>
              </w:rPr>
            </w:pPr>
            <w:r>
              <w:rPr>
                <w:rFonts w:hint="eastAsia" w:ascii="宋体" w:hAnsi="宋体" w:eastAsia="宋体" w:cs="宋体"/>
                <w:b/>
                <w:color w:val="auto"/>
                <w:sz w:val="24"/>
                <w:highlight w:val="none"/>
              </w:rPr>
              <w:t>机构名称</w:t>
            </w:r>
          </w:p>
        </w:tc>
        <w:tc>
          <w:tcPr>
            <w:tcW w:w="1339" w:type="dxa"/>
            <w:tcBorders>
              <w:top w:val="single" w:color="auto" w:sz="4" w:space="0"/>
              <w:left w:val="single" w:color="auto" w:sz="4" w:space="0"/>
              <w:bottom w:val="single" w:color="auto" w:sz="4" w:space="0"/>
              <w:right w:val="single" w:color="auto" w:sz="4" w:space="0"/>
            </w:tcBorders>
            <w:noWrap w:val="0"/>
            <w:vAlign w:val="center"/>
          </w:tcPr>
          <w:p w14:paraId="0DE76713">
            <w:pPr>
              <w:shd w:val="clear"/>
              <w:autoSpaceDE w:val="0"/>
              <w:autoSpaceDN w:val="0"/>
              <w:spacing w:line="360" w:lineRule="auto"/>
              <w:jc w:val="center"/>
              <w:rPr>
                <w:rFonts w:hint="eastAsia" w:ascii="宋体" w:hAnsi="宋体" w:eastAsia="宋体" w:cs="宋体"/>
                <w:b/>
                <w:color w:val="auto"/>
                <w:sz w:val="24"/>
                <w:highlight w:val="none"/>
              </w:rPr>
            </w:pPr>
            <w:r>
              <w:rPr>
                <w:rFonts w:hint="eastAsia" w:ascii="宋体" w:hAnsi="宋体" w:eastAsia="宋体" w:cs="宋体"/>
                <w:b/>
                <w:color w:val="auto"/>
                <w:sz w:val="24"/>
                <w:highlight w:val="none"/>
              </w:rPr>
              <w:t>机构性质</w:t>
            </w:r>
          </w:p>
        </w:tc>
        <w:tc>
          <w:tcPr>
            <w:tcW w:w="1261" w:type="dxa"/>
            <w:tcBorders>
              <w:top w:val="single" w:color="auto" w:sz="4" w:space="0"/>
              <w:left w:val="single" w:color="auto" w:sz="4" w:space="0"/>
              <w:bottom w:val="single" w:color="auto" w:sz="4" w:space="0"/>
              <w:right w:val="single" w:color="auto" w:sz="4" w:space="0"/>
            </w:tcBorders>
            <w:noWrap w:val="0"/>
            <w:vAlign w:val="center"/>
          </w:tcPr>
          <w:p w14:paraId="7C409943">
            <w:pPr>
              <w:shd w:val="clear"/>
              <w:autoSpaceDE w:val="0"/>
              <w:autoSpaceDN w:val="0"/>
              <w:spacing w:line="360" w:lineRule="auto"/>
              <w:jc w:val="center"/>
              <w:rPr>
                <w:rFonts w:hint="eastAsia" w:ascii="宋体" w:hAnsi="宋体" w:eastAsia="宋体" w:cs="宋体"/>
                <w:b/>
                <w:color w:val="auto"/>
                <w:sz w:val="24"/>
                <w:highlight w:val="none"/>
              </w:rPr>
            </w:pPr>
            <w:r>
              <w:rPr>
                <w:rFonts w:hint="eastAsia" w:ascii="宋体" w:hAnsi="宋体" w:eastAsia="宋体" w:cs="宋体"/>
                <w:b/>
                <w:color w:val="auto"/>
                <w:sz w:val="24"/>
                <w:highlight w:val="none"/>
              </w:rPr>
              <w:t>注册地址</w:t>
            </w:r>
          </w:p>
        </w:tc>
        <w:tc>
          <w:tcPr>
            <w:tcW w:w="1462" w:type="dxa"/>
            <w:tcBorders>
              <w:top w:val="single" w:color="auto" w:sz="4" w:space="0"/>
              <w:left w:val="single" w:color="auto" w:sz="4" w:space="0"/>
              <w:bottom w:val="single" w:color="auto" w:sz="4" w:space="0"/>
              <w:right w:val="single" w:color="auto" w:sz="4" w:space="0"/>
            </w:tcBorders>
            <w:noWrap w:val="0"/>
            <w:vAlign w:val="center"/>
          </w:tcPr>
          <w:p w14:paraId="5E01763B">
            <w:pPr>
              <w:shd w:val="clear"/>
              <w:autoSpaceDE w:val="0"/>
              <w:autoSpaceDN w:val="0"/>
              <w:spacing w:line="360" w:lineRule="auto"/>
              <w:jc w:val="center"/>
              <w:rPr>
                <w:rFonts w:hint="eastAsia" w:ascii="宋体" w:hAnsi="宋体" w:eastAsia="宋体" w:cs="宋体"/>
                <w:b/>
                <w:color w:val="auto"/>
                <w:sz w:val="24"/>
                <w:highlight w:val="none"/>
              </w:rPr>
            </w:pPr>
            <w:r>
              <w:rPr>
                <w:rFonts w:hint="eastAsia" w:ascii="宋体" w:hAnsi="宋体" w:eastAsia="宋体" w:cs="宋体"/>
                <w:b/>
                <w:color w:val="auto"/>
                <w:sz w:val="24"/>
                <w:highlight w:val="none"/>
              </w:rPr>
              <w:t>服务技术人员数量</w:t>
            </w:r>
          </w:p>
        </w:tc>
        <w:tc>
          <w:tcPr>
            <w:tcW w:w="1762" w:type="dxa"/>
            <w:tcBorders>
              <w:top w:val="single" w:color="auto" w:sz="4" w:space="0"/>
              <w:left w:val="single" w:color="auto" w:sz="4" w:space="0"/>
              <w:bottom w:val="single" w:color="auto" w:sz="4" w:space="0"/>
              <w:right w:val="single" w:color="auto" w:sz="4" w:space="0"/>
            </w:tcBorders>
            <w:noWrap w:val="0"/>
            <w:vAlign w:val="center"/>
          </w:tcPr>
          <w:p w14:paraId="6CD5B3CA">
            <w:pPr>
              <w:shd w:val="clear"/>
              <w:autoSpaceDE w:val="0"/>
              <w:autoSpaceDN w:val="0"/>
              <w:spacing w:line="360" w:lineRule="auto"/>
              <w:jc w:val="center"/>
              <w:rPr>
                <w:rFonts w:hint="eastAsia" w:ascii="宋体" w:hAnsi="宋体" w:eastAsia="宋体" w:cs="宋体"/>
                <w:b/>
                <w:color w:val="auto"/>
                <w:sz w:val="24"/>
                <w:highlight w:val="none"/>
              </w:rPr>
            </w:pPr>
            <w:r>
              <w:rPr>
                <w:rFonts w:hint="eastAsia" w:ascii="宋体" w:hAnsi="宋体" w:eastAsia="宋体" w:cs="宋体"/>
                <w:b/>
                <w:color w:val="auto"/>
                <w:sz w:val="24"/>
                <w:highlight w:val="none"/>
              </w:rPr>
              <w:t>联系电话</w:t>
            </w:r>
          </w:p>
        </w:tc>
      </w:tr>
      <w:tr w14:paraId="248D21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8" w:type="dxa"/>
            <w:tcBorders>
              <w:top w:val="single" w:color="auto" w:sz="4" w:space="0"/>
              <w:left w:val="single" w:color="auto" w:sz="4" w:space="0"/>
              <w:bottom w:val="single" w:color="auto" w:sz="4" w:space="0"/>
              <w:right w:val="single" w:color="auto" w:sz="4" w:space="0"/>
            </w:tcBorders>
            <w:noWrap w:val="0"/>
            <w:vAlign w:val="top"/>
          </w:tcPr>
          <w:p w14:paraId="61446D8C">
            <w:pPr>
              <w:shd w:val="clear"/>
              <w:autoSpaceDE w:val="0"/>
              <w:autoSpaceDN w:val="0"/>
              <w:spacing w:line="360" w:lineRule="auto"/>
              <w:jc w:val="center"/>
              <w:rPr>
                <w:rFonts w:hint="eastAsia" w:ascii="宋体" w:hAnsi="宋体" w:eastAsia="宋体" w:cs="宋体"/>
                <w:color w:val="auto"/>
                <w:sz w:val="24"/>
                <w:highlight w:val="none"/>
              </w:rPr>
            </w:pPr>
          </w:p>
        </w:tc>
        <w:tc>
          <w:tcPr>
            <w:tcW w:w="2096" w:type="dxa"/>
            <w:tcBorders>
              <w:top w:val="single" w:color="auto" w:sz="4" w:space="0"/>
              <w:left w:val="single" w:color="auto" w:sz="4" w:space="0"/>
              <w:bottom w:val="single" w:color="auto" w:sz="4" w:space="0"/>
              <w:right w:val="single" w:color="auto" w:sz="4" w:space="0"/>
            </w:tcBorders>
            <w:noWrap w:val="0"/>
            <w:vAlign w:val="top"/>
          </w:tcPr>
          <w:p w14:paraId="3D86F1C4">
            <w:pPr>
              <w:shd w:val="clear"/>
              <w:autoSpaceDE w:val="0"/>
              <w:autoSpaceDN w:val="0"/>
              <w:spacing w:line="360" w:lineRule="auto"/>
              <w:jc w:val="center"/>
              <w:rPr>
                <w:rFonts w:hint="eastAsia" w:ascii="宋体" w:hAnsi="宋体" w:eastAsia="宋体" w:cs="宋体"/>
                <w:color w:val="auto"/>
                <w:sz w:val="24"/>
                <w:highlight w:val="none"/>
              </w:rPr>
            </w:pPr>
          </w:p>
        </w:tc>
        <w:tc>
          <w:tcPr>
            <w:tcW w:w="1339" w:type="dxa"/>
            <w:tcBorders>
              <w:top w:val="single" w:color="auto" w:sz="4" w:space="0"/>
              <w:left w:val="single" w:color="auto" w:sz="4" w:space="0"/>
              <w:bottom w:val="single" w:color="auto" w:sz="4" w:space="0"/>
              <w:right w:val="single" w:color="auto" w:sz="4" w:space="0"/>
            </w:tcBorders>
            <w:noWrap w:val="0"/>
            <w:vAlign w:val="top"/>
          </w:tcPr>
          <w:p w14:paraId="54F4FA06">
            <w:pPr>
              <w:shd w:val="clear"/>
              <w:autoSpaceDE w:val="0"/>
              <w:autoSpaceDN w:val="0"/>
              <w:spacing w:line="360" w:lineRule="auto"/>
              <w:jc w:val="center"/>
              <w:rPr>
                <w:rFonts w:hint="eastAsia" w:ascii="宋体" w:hAnsi="宋体" w:eastAsia="宋体" w:cs="宋体"/>
                <w:color w:val="auto"/>
                <w:sz w:val="24"/>
                <w:highlight w:val="none"/>
              </w:rPr>
            </w:pPr>
          </w:p>
        </w:tc>
        <w:tc>
          <w:tcPr>
            <w:tcW w:w="1261" w:type="dxa"/>
            <w:tcBorders>
              <w:top w:val="single" w:color="auto" w:sz="4" w:space="0"/>
              <w:left w:val="single" w:color="auto" w:sz="4" w:space="0"/>
              <w:bottom w:val="single" w:color="auto" w:sz="4" w:space="0"/>
              <w:right w:val="single" w:color="auto" w:sz="4" w:space="0"/>
            </w:tcBorders>
            <w:noWrap w:val="0"/>
            <w:vAlign w:val="top"/>
          </w:tcPr>
          <w:p w14:paraId="2A7C3EF1">
            <w:pPr>
              <w:shd w:val="clear"/>
              <w:autoSpaceDE w:val="0"/>
              <w:autoSpaceDN w:val="0"/>
              <w:spacing w:line="360" w:lineRule="auto"/>
              <w:jc w:val="center"/>
              <w:rPr>
                <w:rFonts w:hint="eastAsia" w:ascii="宋体" w:hAnsi="宋体" w:eastAsia="宋体" w:cs="宋体"/>
                <w:color w:val="auto"/>
                <w:sz w:val="24"/>
                <w:highlight w:val="none"/>
              </w:rPr>
            </w:pPr>
          </w:p>
        </w:tc>
        <w:tc>
          <w:tcPr>
            <w:tcW w:w="1462" w:type="dxa"/>
            <w:tcBorders>
              <w:top w:val="single" w:color="auto" w:sz="4" w:space="0"/>
              <w:left w:val="single" w:color="auto" w:sz="4" w:space="0"/>
              <w:bottom w:val="single" w:color="auto" w:sz="4" w:space="0"/>
              <w:right w:val="single" w:color="auto" w:sz="4" w:space="0"/>
            </w:tcBorders>
            <w:noWrap w:val="0"/>
            <w:vAlign w:val="top"/>
          </w:tcPr>
          <w:p w14:paraId="4F5668C6">
            <w:pPr>
              <w:shd w:val="clear"/>
              <w:autoSpaceDE w:val="0"/>
              <w:autoSpaceDN w:val="0"/>
              <w:spacing w:line="360" w:lineRule="auto"/>
              <w:jc w:val="center"/>
              <w:rPr>
                <w:rFonts w:hint="eastAsia" w:ascii="宋体" w:hAnsi="宋体" w:eastAsia="宋体" w:cs="宋体"/>
                <w:color w:val="auto"/>
                <w:sz w:val="24"/>
                <w:highlight w:val="none"/>
              </w:rPr>
            </w:pPr>
          </w:p>
        </w:tc>
        <w:tc>
          <w:tcPr>
            <w:tcW w:w="1762" w:type="dxa"/>
            <w:tcBorders>
              <w:top w:val="single" w:color="auto" w:sz="4" w:space="0"/>
              <w:left w:val="single" w:color="auto" w:sz="4" w:space="0"/>
              <w:bottom w:val="single" w:color="auto" w:sz="4" w:space="0"/>
              <w:right w:val="single" w:color="auto" w:sz="4" w:space="0"/>
            </w:tcBorders>
            <w:noWrap w:val="0"/>
            <w:vAlign w:val="top"/>
          </w:tcPr>
          <w:p w14:paraId="4FCF0981">
            <w:pPr>
              <w:shd w:val="clear"/>
              <w:autoSpaceDE w:val="0"/>
              <w:autoSpaceDN w:val="0"/>
              <w:spacing w:line="360" w:lineRule="auto"/>
              <w:jc w:val="center"/>
              <w:rPr>
                <w:rFonts w:hint="eastAsia" w:ascii="宋体" w:hAnsi="宋体" w:eastAsia="宋体" w:cs="宋体"/>
                <w:color w:val="auto"/>
                <w:sz w:val="24"/>
                <w:highlight w:val="none"/>
              </w:rPr>
            </w:pPr>
          </w:p>
        </w:tc>
      </w:tr>
      <w:tr w14:paraId="1D9348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8" w:type="dxa"/>
            <w:tcBorders>
              <w:top w:val="single" w:color="auto" w:sz="4" w:space="0"/>
              <w:left w:val="single" w:color="auto" w:sz="4" w:space="0"/>
              <w:bottom w:val="single" w:color="auto" w:sz="4" w:space="0"/>
              <w:right w:val="single" w:color="auto" w:sz="4" w:space="0"/>
            </w:tcBorders>
            <w:noWrap w:val="0"/>
            <w:vAlign w:val="top"/>
          </w:tcPr>
          <w:p w14:paraId="6BEBB427">
            <w:pPr>
              <w:shd w:val="clear"/>
              <w:autoSpaceDE w:val="0"/>
              <w:autoSpaceDN w:val="0"/>
              <w:spacing w:line="360" w:lineRule="auto"/>
              <w:jc w:val="center"/>
              <w:rPr>
                <w:rFonts w:hint="eastAsia" w:ascii="宋体" w:hAnsi="宋体" w:eastAsia="宋体" w:cs="宋体"/>
                <w:color w:val="auto"/>
                <w:sz w:val="24"/>
                <w:highlight w:val="none"/>
              </w:rPr>
            </w:pPr>
          </w:p>
        </w:tc>
        <w:tc>
          <w:tcPr>
            <w:tcW w:w="2096" w:type="dxa"/>
            <w:tcBorders>
              <w:top w:val="single" w:color="auto" w:sz="4" w:space="0"/>
              <w:left w:val="single" w:color="auto" w:sz="4" w:space="0"/>
              <w:bottom w:val="single" w:color="auto" w:sz="4" w:space="0"/>
              <w:right w:val="single" w:color="auto" w:sz="4" w:space="0"/>
            </w:tcBorders>
            <w:noWrap w:val="0"/>
            <w:vAlign w:val="top"/>
          </w:tcPr>
          <w:p w14:paraId="0DD1D856">
            <w:pPr>
              <w:shd w:val="clear"/>
              <w:autoSpaceDE w:val="0"/>
              <w:autoSpaceDN w:val="0"/>
              <w:spacing w:line="360" w:lineRule="auto"/>
              <w:jc w:val="center"/>
              <w:rPr>
                <w:rFonts w:hint="eastAsia" w:ascii="宋体" w:hAnsi="宋体" w:eastAsia="宋体" w:cs="宋体"/>
                <w:color w:val="auto"/>
                <w:sz w:val="24"/>
                <w:highlight w:val="none"/>
              </w:rPr>
            </w:pPr>
          </w:p>
        </w:tc>
        <w:tc>
          <w:tcPr>
            <w:tcW w:w="1339" w:type="dxa"/>
            <w:tcBorders>
              <w:top w:val="single" w:color="auto" w:sz="4" w:space="0"/>
              <w:left w:val="single" w:color="auto" w:sz="4" w:space="0"/>
              <w:bottom w:val="single" w:color="auto" w:sz="4" w:space="0"/>
              <w:right w:val="single" w:color="auto" w:sz="4" w:space="0"/>
            </w:tcBorders>
            <w:noWrap w:val="0"/>
            <w:vAlign w:val="top"/>
          </w:tcPr>
          <w:p w14:paraId="30631C7E">
            <w:pPr>
              <w:shd w:val="clear"/>
              <w:autoSpaceDE w:val="0"/>
              <w:autoSpaceDN w:val="0"/>
              <w:spacing w:line="360" w:lineRule="auto"/>
              <w:jc w:val="center"/>
              <w:rPr>
                <w:rFonts w:hint="eastAsia" w:ascii="宋体" w:hAnsi="宋体" w:eastAsia="宋体" w:cs="宋体"/>
                <w:color w:val="auto"/>
                <w:sz w:val="24"/>
                <w:highlight w:val="none"/>
              </w:rPr>
            </w:pPr>
          </w:p>
        </w:tc>
        <w:tc>
          <w:tcPr>
            <w:tcW w:w="1261" w:type="dxa"/>
            <w:tcBorders>
              <w:top w:val="single" w:color="auto" w:sz="4" w:space="0"/>
              <w:left w:val="single" w:color="auto" w:sz="4" w:space="0"/>
              <w:bottom w:val="single" w:color="auto" w:sz="4" w:space="0"/>
              <w:right w:val="single" w:color="auto" w:sz="4" w:space="0"/>
            </w:tcBorders>
            <w:noWrap w:val="0"/>
            <w:vAlign w:val="top"/>
          </w:tcPr>
          <w:p w14:paraId="3D47E5F9">
            <w:pPr>
              <w:shd w:val="clear"/>
              <w:autoSpaceDE w:val="0"/>
              <w:autoSpaceDN w:val="0"/>
              <w:spacing w:line="360" w:lineRule="auto"/>
              <w:jc w:val="center"/>
              <w:rPr>
                <w:rFonts w:hint="eastAsia" w:ascii="宋体" w:hAnsi="宋体" w:eastAsia="宋体" w:cs="宋体"/>
                <w:color w:val="auto"/>
                <w:sz w:val="24"/>
                <w:highlight w:val="none"/>
              </w:rPr>
            </w:pPr>
          </w:p>
        </w:tc>
        <w:tc>
          <w:tcPr>
            <w:tcW w:w="1462" w:type="dxa"/>
            <w:tcBorders>
              <w:top w:val="single" w:color="auto" w:sz="4" w:space="0"/>
              <w:left w:val="single" w:color="auto" w:sz="4" w:space="0"/>
              <w:bottom w:val="single" w:color="auto" w:sz="4" w:space="0"/>
              <w:right w:val="single" w:color="auto" w:sz="4" w:space="0"/>
            </w:tcBorders>
            <w:noWrap w:val="0"/>
            <w:vAlign w:val="top"/>
          </w:tcPr>
          <w:p w14:paraId="6EFF9136">
            <w:pPr>
              <w:shd w:val="clear"/>
              <w:autoSpaceDE w:val="0"/>
              <w:autoSpaceDN w:val="0"/>
              <w:spacing w:line="360" w:lineRule="auto"/>
              <w:jc w:val="center"/>
              <w:rPr>
                <w:rFonts w:hint="eastAsia" w:ascii="宋体" w:hAnsi="宋体" w:eastAsia="宋体" w:cs="宋体"/>
                <w:color w:val="auto"/>
                <w:sz w:val="24"/>
                <w:highlight w:val="none"/>
              </w:rPr>
            </w:pPr>
          </w:p>
        </w:tc>
        <w:tc>
          <w:tcPr>
            <w:tcW w:w="1762" w:type="dxa"/>
            <w:tcBorders>
              <w:top w:val="single" w:color="auto" w:sz="4" w:space="0"/>
              <w:left w:val="single" w:color="auto" w:sz="4" w:space="0"/>
              <w:bottom w:val="single" w:color="auto" w:sz="4" w:space="0"/>
              <w:right w:val="single" w:color="auto" w:sz="4" w:space="0"/>
            </w:tcBorders>
            <w:noWrap w:val="0"/>
            <w:vAlign w:val="top"/>
          </w:tcPr>
          <w:p w14:paraId="054131A6">
            <w:pPr>
              <w:shd w:val="clear"/>
              <w:autoSpaceDE w:val="0"/>
              <w:autoSpaceDN w:val="0"/>
              <w:spacing w:line="360" w:lineRule="auto"/>
              <w:jc w:val="center"/>
              <w:rPr>
                <w:rFonts w:hint="eastAsia" w:ascii="宋体" w:hAnsi="宋体" w:eastAsia="宋体" w:cs="宋体"/>
                <w:color w:val="auto"/>
                <w:sz w:val="24"/>
                <w:highlight w:val="none"/>
              </w:rPr>
            </w:pPr>
          </w:p>
        </w:tc>
      </w:tr>
      <w:tr w14:paraId="60ED7E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8" w:type="dxa"/>
            <w:tcBorders>
              <w:top w:val="single" w:color="auto" w:sz="4" w:space="0"/>
              <w:left w:val="single" w:color="auto" w:sz="4" w:space="0"/>
              <w:bottom w:val="single" w:color="auto" w:sz="4" w:space="0"/>
              <w:right w:val="single" w:color="auto" w:sz="4" w:space="0"/>
            </w:tcBorders>
            <w:noWrap w:val="0"/>
            <w:vAlign w:val="top"/>
          </w:tcPr>
          <w:p w14:paraId="5752601E">
            <w:pPr>
              <w:shd w:val="clear"/>
              <w:autoSpaceDE w:val="0"/>
              <w:autoSpaceDN w:val="0"/>
              <w:spacing w:line="360" w:lineRule="auto"/>
              <w:jc w:val="center"/>
              <w:rPr>
                <w:rFonts w:hint="eastAsia" w:ascii="宋体" w:hAnsi="宋体" w:eastAsia="宋体" w:cs="宋体"/>
                <w:color w:val="auto"/>
                <w:sz w:val="24"/>
                <w:highlight w:val="none"/>
              </w:rPr>
            </w:pPr>
          </w:p>
        </w:tc>
        <w:tc>
          <w:tcPr>
            <w:tcW w:w="2096" w:type="dxa"/>
            <w:tcBorders>
              <w:top w:val="single" w:color="auto" w:sz="4" w:space="0"/>
              <w:left w:val="single" w:color="auto" w:sz="4" w:space="0"/>
              <w:bottom w:val="single" w:color="auto" w:sz="4" w:space="0"/>
              <w:right w:val="single" w:color="auto" w:sz="4" w:space="0"/>
            </w:tcBorders>
            <w:noWrap w:val="0"/>
            <w:vAlign w:val="top"/>
          </w:tcPr>
          <w:p w14:paraId="7745CCDD">
            <w:pPr>
              <w:shd w:val="clear"/>
              <w:autoSpaceDE w:val="0"/>
              <w:autoSpaceDN w:val="0"/>
              <w:spacing w:line="360" w:lineRule="auto"/>
              <w:jc w:val="center"/>
              <w:rPr>
                <w:rFonts w:hint="eastAsia" w:ascii="宋体" w:hAnsi="宋体" w:eastAsia="宋体" w:cs="宋体"/>
                <w:color w:val="auto"/>
                <w:sz w:val="24"/>
                <w:highlight w:val="none"/>
              </w:rPr>
            </w:pPr>
          </w:p>
        </w:tc>
        <w:tc>
          <w:tcPr>
            <w:tcW w:w="1339" w:type="dxa"/>
            <w:tcBorders>
              <w:top w:val="single" w:color="auto" w:sz="4" w:space="0"/>
              <w:left w:val="single" w:color="auto" w:sz="4" w:space="0"/>
              <w:bottom w:val="single" w:color="auto" w:sz="4" w:space="0"/>
              <w:right w:val="single" w:color="auto" w:sz="4" w:space="0"/>
            </w:tcBorders>
            <w:noWrap w:val="0"/>
            <w:vAlign w:val="top"/>
          </w:tcPr>
          <w:p w14:paraId="2F673205">
            <w:pPr>
              <w:shd w:val="clear"/>
              <w:autoSpaceDE w:val="0"/>
              <w:autoSpaceDN w:val="0"/>
              <w:spacing w:line="360" w:lineRule="auto"/>
              <w:jc w:val="center"/>
              <w:rPr>
                <w:rFonts w:hint="eastAsia" w:ascii="宋体" w:hAnsi="宋体" w:eastAsia="宋体" w:cs="宋体"/>
                <w:color w:val="auto"/>
                <w:sz w:val="24"/>
                <w:highlight w:val="none"/>
              </w:rPr>
            </w:pPr>
          </w:p>
        </w:tc>
        <w:tc>
          <w:tcPr>
            <w:tcW w:w="1261" w:type="dxa"/>
            <w:tcBorders>
              <w:top w:val="single" w:color="auto" w:sz="4" w:space="0"/>
              <w:left w:val="single" w:color="auto" w:sz="4" w:space="0"/>
              <w:bottom w:val="single" w:color="auto" w:sz="4" w:space="0"/>
              <w:right w:val="single" w:color="auto" w:sz="4" w:space="0"/>
            </w:tcBorders>
            <w:noWrap w:val="0"/>
            <w:vAlign w:val="top"/>
          </w:tcPr>
          <w:p w14:paraId="5FFD23FA">
            <w:pPr>
              <w:shd w:val="clear"/>
              <w:autoSpaceDE w:val="0"/>
              <w:autoSpaceDN w:val="0"/>
              <w:spacing w:line="360" w:lineRule="auto"/>
              <w:jc w:val="center"/>
              <w:rPr>
                <w:rFonts w:hint="eastAsia" w:ascii="宋体" w:hAnsi="宋体" w:eastAsia="宋体" w:cs="宋体"/>
                <w:color w:val="auto"/>
                <w:sz w:val="24"/>
                <w:highlight w:val="none"/>
              </w:rPr>
            </w:pPr>
          </w:p>
        </w:tc>
        <w:tc>
          <w:tcPr>
            <w:tcW w:w="1462" w:type="dxa"/>
            <w:tcBorders>
              <w:top w:val="single" w:color="auto" w:sz="4" w:space="0"/>
              <w:left w:val="single" w:color="auto" w:sz="4" w:space="0"/>
              <w:bottom w:val="single" w:color="auto" w:sz="4" w:space="0"/>
              <w:right w:val="single" w:color="auto" w:sz="4" w:space="0"/>
            </w:tcBorders>
            <w:noWrap w:val="0"/>
            <w:vAlign w:val="top"/>
          </w:tcPr>
          <w:p w14:paraId="3B4B0868">
            <w:pPr>
              <w:shd w:val="clear"/>
              <w:autoSpaceDE w:val="0"/>
              <w:autoSpaceDN w:val="0"/>
              <w:spacing w:line="360" w:lineRule="auto"/>
              <w:jc w:val="center"/>
              <w:rPr>
                <w:rFonts w:hint="eastAsia" w:ascii="宋体" w:hAnsi="宋体" w:eastAsia="宋体" w:cs="宋体"/>
                <w:color w:val="auto"/>
                <w:sz w:val="24"/>
                <w:highlight w:val="none"/>
              </w:rPr>
            </w:pPr>
          </w:p>
        </w:tc>
        <w:tc>
          <w:tcPr>
            <w:tcW w:w="1762" w:type="dxa"/>
            <w:tcBorders>
              <w:top w:val="single" w:color="auto" w:sz="4" w:space="0"/>
              <w:left w:val="single" w:color="auto" w:sz="4" w:space="0"/>
              <w:bottom w:val="single" w:color="auto" w:sz="4" w:space="0"/>
              <w:right w:val="single" w:color="auto" w:sz="4" w:space="0"/>
            </w:tcBorders>
            <w:noWrap w:val="0"/>
            <w:vAlign w:val="top"/>
          </w:tcPr>
          <w:p w14:paraId="74681BBF">
            <w:pPr>
              <w:shd w:val="clear"/>
              <w:autoSpaceDE w:val="0"/>
              <w:autoSpaceDN w:val="0"/>
              <w:spacing w:line="360" w:lineRule="auto"/>
              <w:jc w:val="center"/>
              <w:rPr>
                <w:rFonts w:hint="eastAsia" w:ascii="宋体" w:hAnsi="宋体" w:eastAsia="宋体" w:cs="宋体"/>
                <w:color w:val="auto"/>
                <w:sz w:val="24"/>
                <w:highlight w:val="none"/>
              </w:rPr>
            </w:pPr>
          </w:p>
        </w:tc>
      </w:tr>
    </w:tbl>
    <w:p w14:paraId="0FE7E162">
      <w:pPr>
        <w:shd w:val="clear"/>
        <w:autoSpaceDE w:val="0"/>
        <w:autoSpaceDN w:val="0"/>
        <w:spacing w:line="360" w:lineRule="auto"/>
        <w:rPr>
          <w:rFonts w:hint="eastAsia" w:ascii="宋体" w:hAnsi="宋体" w:eastAsia="宋体" w:cs="宋体"/>
          <w:b/>
          <w:color w:val="auto"/>
          <w:sz w:val="24"/>
          <w:highlight w:val="none"/>
        </w:rPr>
      </w:pPr>
      <w:r>
        <w:rPr>
          <w:rFonts w:hint="eastAsia" w:ascii="宋体" w:hAnsi="宋体" w:eastAsia="宋体" w:cs="宋体"/>
          <w:b/>
          <w:color w:val="auto"/>
          <w:sz w:val="24"/>
          <w:highlight w:val="none"/>
        </w:rPr>
        <w:t>注：关于项目涉及的所有售后服务机构均在本表注明，包括投标人本单位和符合条件的第三方服务机构；</w:t>
      </w:r>
    </w:p>
    <w:p w14:paraId="5A895625">
      <w:pPr>
        <w:shd w:val="clear"/>
        <w:autoSpaceDE w:val="0"/>
        <w:autoSpaceDN w:val="0"/>
        <w:spacing w:line="360" w:lineRule="auto"/>
        <w:rPr>
          <w:rFonts w:hint="eastAsia" w:ascii="宋体" w:hAnsi="宋体" w:eastAsia="宋体" w:cs="宋体"/>
          <w:color w:val="auto"/>
          <w:kern w:val="0"/>
          <w:sz w:val="24"/>
          <w:highlight w:val="none"/>
        </w:rPr>
      </w:pPr>
    </w:p>
    <w:p w14:paraId="64F48093">
      <w:pPr>
        <w:shd w:val="clear"/>
        <w:autoSpaceDE w:val="0"/>
        <w:autoSpaceDN w:val="0"/>
        <w:spacing w:line="360" w:lineRule="auto"/>
        <w:rPr>
          <w:rFonts w:hint="eastAsia" w:ascii="宋体" w:hAnsi="宋体" w:eastAsia="宋体" w:cs="宋体"/>
          <w:color w:val="auto"/>
          <w:kern w:val="0"/>
          <w:sz w:val="24"/>
          <w:highlight w:val="none"/>
        </w:rPr>
      </w:pPr>
      <w:r>
        <w:rPr>
          <w:rFonts w:hint="eastAsia" w:ascii="宋体" w:hAnsi="宋体" w:eastAsia="宋体" w:cs="宋体"/>
          <w:b/>
          <w:color w:val="auto"/>
          <w:kern w:val="0"/>
          <w:sz w:val="24"/>
          <w:highlight w:val="none"/>
        </w:rPr>
        <w:t>附表B：售后服务人员情况表</w:t>
      </w:r>
      <w:r>
        <w:rPr>
          <w:rFonts w:hint="eastAsia" w:ascii="宋体" w:hAnsi="宋体" w:eastAsia="宋体" w:cs="宋体"/>
          <w:color w:val="auto"/>
          <w:sz w:val="24"/>
          <w:highlight w:val="none"/>
        </w:rPr>
        <w:t>（如有要求</w:t>
      </w:r>
      <w:r>
        <w:rPr>
          <w:rFonts w:hint="eastAsia" w:ascii="宋体" w:hAnsi="宋体" w:eastAsia="宋体" w:cs="宋体"/>
          <w:color w:val="auto"/>
          <w:sz w:val="24"/>
          <w:highlight w:val="none"/>
          <w:lang w:eastAsia="zh-CN"/>
        </w:rPr>
        <w:t>，参照</w:t>
      </w:r>
      <w:r>
        <w:rPr>
          <w:rFonts w:hint="eastAsia" w:ascii="宋体" w:hAnsi="宋体" w:eastAsia="宋体" w:cs="宋体"/>
          <w:color w:val="auto"/>
          <w:sz w:val="24"/>
          <w:highlight w:val="none"/>
        </w:rPr>
        <w:t>此格式自制）</w:t>
      </w:r>
    </w:p>
    <w:tbl>
      <w:tblPr>
        <w:tblStyle w:val="18"/>
        <w:tblW w:w="10002" w:type="dxa"/>
        <w:jc w:val="center"/>
        <w:tblLayout w:type="fixed"/>
        <w:tblCellMar>
          <w:top w:w="0" w:type="dxa"/>
          <w:left w:w="108" w:type="dxa"/>
          <w:bottom w:w="0" w:type="dxa"/>
          <w:right w:w="108" w:type="dxa"/>
        </w:tblCellMar>
      </w:tblPr>
      <w:tblGrid>
        <w:gridCol w:w="646"/>
        <w:gridCol w:w="746"/>
        <w:gridCol w:w="787"/>
        <w:gridCol w:w="412"/>
        <w:gridCol w:w="900"/>
        <w:gridCol w:w="1080"/>
        <w:gridCol w:w="1080"/>
        <w:gridCol w:w="1080"/>
        <w:gridCol w:w="1260"/>
        <w:gridCol w:w="900"/>
        <w:gridCol w:w="1111"/>
      </w:tblGrid>
      <w:tr w14:paraId="320101CE">
        <w:tblPrEx>
          <w:tblCellMar>
            <w:top w:w="0" w:type="dxa"/>
            <w:left w:w="108" w:type="dxa"/>
            <w:bottom w:w="0" w:type="dxa"/>
            <w:right w:w="108" w:type="dxa"/>
          </w:tblCellMar>
        </w:tblPrEx>
        <w:trPr>
          <w:jc w:val="center"/>
        </w:trPr>
        <w:tc>
          <w:tcPr>
            <w:tcW w:w="646" w:type="dxa"/>
            <w:tcBorders>
              <w:top w:val="single" w:color="auto" w:sz="6" w:space="0"/>
              <w:left w:val="single" w:color="auto" w:sz="6" w:space="0"/>
              <w:bottom w:val="single" w:color="auto" w:sz="6" w:space="0"/>
              <w:right w:val="single" w:color="auto" w:sz="4" w:space="0"/>
            </w:tcBorders>
            <w:noWrap w:val="0"/>
            <w:vAlign w:val="center"/>
          </w:tcPr>
          <w:p w14:paraId="0142B043">
            <w:pPr>
              <w:shd w:val="clear"/>
              <w:autoSpaceDE w:val="0"/>
              <w:autoSpaceDN w:val="0"/>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序号</w:t>
            </w:r>
          </w:p>
        </w:tc>
        <w:tc>
          <w:tcPr>
            <w:tcW w:w="746" w:type="dxa"/>
            <w:tcBorders>
              <w:top w:val="single" w:color="auto" w:sz="6" w:space="0"/>
              <w:left w:val="single" w:color="auto" w:sz="4" w:space="0"/>
              <w:bottom w:val="single" w:color="auto" w:sz="6" w:space="0"/>
              <w:right w:val="single" w:color="auto" w:sz="6" w:space="0"/>
            </w:tcBorders>
            <w:noWrap w:val="0"/>
            <w:vAlign w:val="center"/>
          </w:tcPr>
          <w:p w14:paraId="458B10F8">
            <w:pPr>
              <w:shd w:val="clear"/>
              <w:autoSpaceDE w:val="0"/>
              <w:autoSpaceDN w:val="0"/>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类别</w:t>
            </w:r>
          </w:p>
        </w:tc>
        <w:tc>
          <w:tcPr>
            <w:tcW w:w="787" w:type="dxa"/>
            <w:tcBorders>
              <w:top w:val="single" w:color="auto" w:sz="6" w:space="0"/>
              <w:left w:val="single" w:color="auto" w:sz="6" w:space="0"/>
              <w:bottom w:val="single" w:color="auto" w:sz="6" w:space="0"/>
              <w:right w:val="single" w:color="auto" w:sz="6" w:space="0"/>
            </w:tcBorders>
            <w:noWrap w:val="0"/>
            <w:vAlign w:val="center"/>
          </w:tcPr>
          <w:p w14:paraId="05FC42BE">
            <w:pPr>
              <w:shd w:val="clear"/>
              <w:autoSpaceDE w:val="0"/>
              <w:autoSpaceDN w:val="0"/>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姓名</w:t>
            </w:r>
          </w:p>
        </w:tc>
        <w:tc>
          <w:tcPr>
            <w:tcW w:w="412" w:type="dxa"/>
            <w:tcBorders>
              <w:top w:val="single" w:color="auto" w:sz="6" w:space="0"/>
              <w:left w:val="single" w:color="auto" w:sz="6" w:space="0"/>
              <w:bottom w:val="single" w:color="auto" w:sz="6" w:space="0"/>
              <w:right w:val="single" w:color="auto" w:sz="6" w:space="0"/>
            </w:tcBorders>
            <w:noWrap w:val="0"/>
            <w:vAlign w:val="center"/>
          </w:tcPr>
          <w:p w14:paraId="06E40DF5">
            <w:pPr>
              <w:shd w:val="clear"/>
              <w:autoSpaceDE w:val="0"/>
              <w:autoSpaceDN w:val="0"/>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性别</w:t>
            </w:r>
          </w:p>
        </w:tc>
        <w:tc>
          <w:tcPr>
            <w:tcW w:w="900" w:type="dxa"/>
            <w:tcBorders>
              <w:top w:val="single" w:color="auto" w:sz="6" w:space="0"/>
              <w:left w:val="single" w:color="auto" w:sz="6" w:space="0"/>
              <w:bottom w:val="single" w:color="auto" w:sz="6" w:space="0"/>
              <w:right w:val="single" w:color="auto" w:sz="6" w:space="0"/>
            </w:tcBorders>
            <w:noWrap w:val="0"/>
            <w:vAlign w:val="center"/>
          </w:tcPr>
          <w:p w14:paraId="18E0243C">
            <w:pPr>
              <w:shd w:val="clear"/>
              <w:autoSpaceDE w:val="0"/>
              <w:autoSpaceDN w:val="0"/>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年龄</w:t>
            </w:r>
          </w:p>
        </w:tc>
        <w:tc>
          <w:tcPr>
            <w:tcW w:w="1080" w:type="dxa"/>
            <w:tcBorders>
              <w:top w:val="single" w:color="auto" w:sz="6" w:space="0"/>
              <w:left w:val="single" w:color="auto" w:sz="6" w:space="0"/>
              <w:bottom w:val="single" w:color="auto" w:sz="6" w:space="0"/>
              <w:right w:val="single" w:color="auto" w:sz="6" w:space="0"/>
            </w:tcBorders>
            <w:noWrap w:val="0"/>
            <w:vAlign w:val="center"/>
          </w:tcPr>
          <w:p w14:paraId="357322CF">
            <w:pPr>
              <w:shd w:val="clear"/>
              <w:autoSpaceDE w:val="0"/>
              <w:autoSpaceDN w:val="0"/>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学历</w:t>
            </w:r>
          </w:p>
        </w:tc>
        <w:tc>
          <w:tcPr>
            <w:tcW w:w="1080" w:type="dxa"/>
            <w:tcBorders>
              <w:top w:val="single" w:color="auto" w:sz="6" w:space="0"/>
              <w:left w:val="single" w:color="auto" w:sz="6" w:space="0"/>
              <w:bottom w:val="single" w:color="auto" w:sz="6" w:space="0"/>
              <w:right w:val="single" w:color="auto" w:sz="6" w:space="0"/>
            </w:tcBorders>
            <w:noWrap w:val="0"/>
            <w:vAlign w:val="center"/>
          </w:tcPr>
          <w:p w14:paraId="75885E57">
            <w:pPr>
              <w:shd w:val="clear"/>
              <w:autoSpaceDE w:val="0"/>
              <w:autoSpaceDN w:val="0"/>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专业</w:t>
            </w:r>
          </w:p>
        </w:tc>
        <w:tc>
          <w:tcPr>
            <w:tcW w:w="1080" w:type="dxa"/>
            <w:tcBorders>
              <w:top w:val="single" w:color="auto" w:sz="6" w:space="0"/>
              <w:left w:val="single" w:color="auto" w:sz="6" w:space="0"/>
              <w:bottom w:val="single" w:color="auto" w:sz="6" w:space="0"/>
              <w:right w:val="single" w:color="auto" w:sz="6" w:space="0"/>
            </w:tcBorders>
            <w:noWrap w:val="0"/>
            <w:vAlign w:val="center"/>
          </w:tcPr>
          <w:p w14:paraId="690B1EFC">
            <w:pPr>
              <w:shd w:val="clear"/>
              <w:autoSpaceDE w:val="0"/>
              <w:autoSpaceDN w:val="0"/>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职称</w:t>
            </w:r>
          </w:p>
        </w:tc>
        <w:tc>
          <w:tcPr>
            <w:tcW w:w="1260" w:type="dxa"/>
            <w:tcBorders>
              <w:top w:val="single" w:color="auto" w:sz="6" w:space="0"/>
              <w:left w:val="single" w:color="auto" w:sz="6" w:space="0"/>
              <w:bottom w:val="single" w:color="auto" w:sz="6" w:space="0"/>
              <w:right w:val="single" w:color="auto" w:sz="6" w:space="0"/>
            </w:tcBorders>
            <w:noWrap w:val="0"/>
            <w:vAlign w:val="center"/>
          </w:tcPr>
          <w:p w14:paraId="3E8E505D">
            <w:pPr>
              <w:shd w:val="clear"/>
              <w:autoSpaceDE w:val="0"/>
              <w:autoSpaceDN w:val="0"/>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本项目中的职责</w:t>
            </w:r>
          </w:p>
        </w:tc>
        <w:tc>
          <w:tcPr>
            <w:tcW w:w="900" w:type="dxa"/>
            <w:tcBorders>
              <w:top w:val="single" w:color="auto" w:sz="6" w:space="0"/>
              <w:left w:val="single" w:color="auto" w:sz="6" w:space="0"/>
              <w:bottom w:val="single" w:color="auto" w:sz="6" w:space="0"/>
              <w:right w:val="single" w:color="auto" w:sz="6" w:space="0"/>
            </w:tcBorders>
            <w:noWrap w:val="0"/>
            <w:vAlign w:val="center"/>
          </w:tcPr>
          <w:p w14:paraId="6754D91E">
            <w:pPr>
              <w:shd w:val="clear"/>
              <w:autoSpaceDE w:val="0"/>
              <w:autoSpaceDN w:val="0"/>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响应时间</w:t>
            </w:r>
          </w:p>
        </w:tc>
        <w:tc>
          <w:tcPr>
            <w:tcW w:w="1111" w:type="dxa"/>
            <w:tcBorders>
              <w:top w:val="single" w:color="auto" w:sz="6" w:space="0"/>
              <w:left w:val="single" w:color="auto" w:sz="6" w:space="0"/>
              <w:bottom w:val="single" w:color="auto" w:sz="6" w:space="0"/>
              <w:right w:val="single" w:color="auto" w:sz="6" w:space="0"/>
            </w:tcBorders>
            <w:noWrap w:val="0"/>
            <w:vAlign w:val="center"/>
          </w:tcPr>
          <w:p w14:paraId="03A26DBB">
            <w:pPr>
              <w:shd w:val="clear"/>
              <w:autoSpaceDE w:val="0"/>
              <w:autoSpaceDN w:val="0"/>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到达现场时间</w:t>
            </w:r>
          </w:p>
        </w:tc>
      </w:tr>
      <w:tr w14:paraId="288CE850">
        <w:tblPrEx>
          <w:tblCellMar>
            <w:top w:w="0" w:type="dxa"/>
            <w:left w:w="108" w:type="dxa"/>
            <w:bottom w:w="0" w:type="dxa"/>
            <w:right w:w="108" w:type="dxa"/>
          </w:tblCellMar>
        </w:tblPrEx>
        <w:trPr>
          <w:trHeight w:val="607" w:hRule="atLeast"/>
          <w:jc w:val="center"/>
        </w:trPr>
        <w:tc>
          <w:tcPr>
            <w:tcW w:w="646" w:type="dxa"/>
            <w:tcBorders>
              <w:top w:val="single" w:color="auto" w:sz="6" w:space="0"/>
              <w:left w:val="single" w:color="auto" w:sz="6" w:space="0"/>
              <w:bottom w:val="single" w:color="auto" w:sz="6" w:space="0"/>
              <w:right w:val="single" w:color="auto" w:sz="4" w:space="0"/>
            </w:tcBorders>
            <w:noWrap w:val="0"/>
            <w:vAlign w:val="top"/>
          </w:tcPr>
          <w:p w14:paraId="23EDB8C3">
            <w:pPr>
              <w:shd w:val="clear"/>
              <w:autoSpaceDE w:val="0"/>
              <w:autoSpaceDN w:val="0"/>
              <w:spacing w:line="360" w:lineRule="auto"/>
              <w:jc w:val="center"/>
              <w:rPr>
                <w:rFonts w:hint="eastAsia" w:ascii="宋体" w:hAnsi="宋体" w:eastAsia="宋体" w:cs="宋体"/>
                <w:color w:val="auto"/>
                <w:sz w:val="24"/>
                <w:highlight w:val="none"/>
              </w:rPr>
            </w:pPr>
          </w:p>
        </w:tc>
        <w:tc>
          <w:tcPr>
            <w:tcW w:w="746" w:type="dxa"/>
            <w:tcBorders>
              <w:top w:val="single" w:color="auto" w:sz="6" w:space="0"/>
              <w:left w:val="single" w:color="auto" w:sz="4" w:space="0"/>
              <w:bottom w:val="single" w:color="auto" w:sz="6" w:space="0"/>
              <w:right w:val="single" w:color="auto" w:sz="6" w:space="0"/>
            </w:tcBorders>
            <w:noWrap w:val="0"/>
            <w:vAlign w:val="center"/>
          </w:tcPr>
          <w:p w14:paraId="2EB0FC61">
            <w:pPr>
              <w:shd w:val="clear"/>
              <w:autoSpaceDE w:val="0"/>
              <w:autoSpaceDN w:val="0"/>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总协调人</w:t>
            </w:r>
          </w:p>
        </w:tc>
        <w:tc>
          <w:tcPr>
            <w:tcW w:w="787" w:type="dxa"/>
            <w:tcBorders>
              <w:top w:val="single" w:color="auto" w:sz="6" w:space="0"/>
              <w:left w:val="single" w:color="auto" w:sz="6" w:space="0"/>
              <w:bottom w:val="single" w:color="auto" w:sz="6" w:space="0"/>
              <w:right w:val="single" w:color="auto" w:sz="6" w:space="0"/>
            </w:tcBorders>
            <w:noWrap w:val="0"/>
            <w:vAlign w:val="top"/>
          </w:tcPr>
          <w:p w14:paraId="080DC0A0">
            <w:pPr>
              <w:shd w:val="clear"/>
              <w:autoSpaceDE w:val="0"/>
              <w:autoSpaceDN w:val="0"/>
              <w:spacing w:line="360" w:lineRule="auto"/>
              <w:rPr>
                <w:rFonts w:hint="eastAsia" w:ascii="宋体" w:hAnsi="宋体" w:eastAsia="宋体" w:cs="宋体"/>
                <w:color w:val="auto"/>
                <w:sz w:val="24"/>
                <w:highlight w:val="none"/>
              </w:rPr>
            </w:pPr>
          </w:p>
        </w:tc>
        <w:tc>
          <w:tcPr>
            <w:tcW w:w="412" w:type="dxa"/>
            <w:tcBorders>
              <w:top w:val="single" w:color="auto" w:sz="6" w:space="0"/>
              <w:left w:val="single" w:color="auto" w:sz="6" w:space="0"/>
              <w:bottom w:val="single" w:color="auto" w:sz="6" w:space="0"/>
              <w:right w:val="single" w:color="auto" w:sz="6" w:space="0"/>
            </w:tcBorders>
            <w:noWrap w:val="0"/>
            <w:vAlign w:val="top"/>
          </w:tcPr>
          <w:p w14:paraId="23D7F640">
            <w:pPr>
              <w:shd w:val="clear"/>
              <w:autoSpaceDE w:val="0"/>
              <w:autoSpaceDN w:val="0"/>
              <w:spacing w:line="360" w:lineRule="auto"/>
              <w:rPr>
                <w:rFonts w:hint="eastAsia" w:ascii="宋体" w:hAnsi="宋体" w:eastAsia="宋体" w:cs="宋体"/>
                <w:color w:val="auto"/>
                <w:sz w:val="24"/>
                <w:highlight w:val="none"/>
              </w:rPr>
            </w:pPr>
          </w:p>
        </w:tc>
        <w:tc>
          <w:tcPr>
            <w:tcW w:w="900" w:type="dxa"/>
            <w:tcBorders>
              <w:top w:val="single" w:color="auto" w:sz="6" w:space="0"/>
              <w:left w:val="single" w:color="auto" w:sz="6" w:space="0"/>
              <w:bottom w:val="single" w:color="auto" w:sz="6" w:space="0"/>
              <w:right w:val="single" w:color="auto" w:sz="6" w:space="0"/>
            </w:tcBorders>
            <w:noWrap w:val="0"/>
            <w:vAlign w:val="top"/>
          </w:tcPr>
          <w:p w14:paraId="0C54B064">
            <w:pPr>
              <w:shd w:val="clear"/>
              <w:autoSpaceDE w:val="0"/>
              <w:autoSpaceDN w:val="0"/>
              <w:spacing w:line="360" w:lineRule="auto"/>
              <w:rPr>
                <w:rFonts w:hint="eastAsia" w:ascii="宋体" w:hAnsi="宋体" w:eastAsia="宋体" w:cs="宋体"/>
                <w:color w:val="auto"/>
                <w:sz w:val="24"/>
                <w:highlight w:val="none"/>
              </w:rPr>
            </w:pPr>
          </w:p>
        </w:tc>
        <w:tc>
          <w:tcPr>
            <w:tcW w:w="1080" w:type="dxa"/>
            <w:tcBorders>
              <w:top w:val="single" w:color="auto" w:sz="6" w:space="0"/>
              <w:left w:val="single" w:color="auto" w:sz="6" w:space="0"/>
              <w:bottom w:val="single" w:color="auto" w:sz="6" w:space="0"/>
              <w:right w:val="single" w:color="auto" w:sz="6" w:space="0"/>
            </w:tcBorders>
            <w:noWrap w:val="0"/>
            <w:vAlign w:val="top"/>
          </w:tcPr>
          <w:p w14:paraId="3E5A8B30">
            <w:pPr>
              <w:shd w:val="clear"/>
              <w:autoSpaceDE w:val="0"/>
              <w:autoSpaceDN w:val="0"/>
              <w:spacing w:line="360" w:lineRule="auto"/>
              <w:rPr>
                <w:rFonts w:hint="eastAsia" w:ascii="宋体" w:hAnsi="宋体" w:eastAsia="宋体" w:cs="宋体"/>
                <w:color w:val="auto"/>
                <w:sz w:val="24"/>
                <w:highlight w:val="none"/>
              </w:rPr>
            </w:pPr>
          </w:p>
        </w:tc>
        <w:tc>
          <w:tcPr>
            <w:tcW w:w="1080" w:type="dxa"/>
            <w:tcBorders>
              <w:top w:val="single" w:color="auto" w:sz="6" w:space="0"/>
              <w:left w:val="single" w:color="auto" w:sz="6" w:space="0"/>
              <w:bottom w:val="single" w:color="auto" w:sz="6" w:space="0"/>
              <w:right w:val="single" w:color="auto" w:sz="6" w:space="0"/>
            </w:tcBorders>
            <w:noWrap w:val="0"/>
            <w:vAlign w:val="top"/>
          </w:tcPr>
          <w:p w14:paraId="4DC33D28">
            <w:pPr>
              <w:shd w:val="clear"/>
              <w:autoSpaceDE w:val="0"/>
              <w:autoSpaceDN w:val="0"/>
              <w:spacing w:line="360" w:lineRule="auto"/>
              <w:rPr>
                <w:rFonts w:hint="eastAsia" w:ascii="宋体" w:hAnsi="宋体" w:eastAsia="宋体" w:cs="宋体"/>
                <w:color w:val="auto"/>
                <w:sz w:val="24"/>
                <w:highlight w:val="none"/>
              </w:rPr>
            </w:pPr>
          </w:p>
        </w:tc>
        <w:tc>
          <w:tcPr>
            <w:tcW w:w="1080" w:type="dxa"/>
            <w:tcBorders>
              <w:top w:val="single" w:color="auto" w:sz="6" w:space="0"/>
              <w:left w:val="single" w:color="auto" w:sz="6" w:space="0"/>
              <w:bottom w:val="single" w:color="auto" w:sz="6" w:space="0"/>
              <w:right w:val="single" w:color="auto" w:sz="6" w:space="0"/>
            </w:tcBorders>
            <w:noWrap w:val="0"/>
            <w:vAlign w:val="top"/>
          </w:tcPr>
          <w:p w14:paraId="7A580A3D">
            <w:pPr>
              <w:shd w:val="clear"/>
              <w:autoSpaceDE w:val="0"/>
              <w:autoSpaceDN w:val="0"/>
              <w:spacing w:line="360" w:lineRule="auto"/>
              <w:rPr>
                <w:rFonts w:hint="eastAsia" w:ascii="宋体" w:hAnsi="宋体" w:eastAsia="宋体" w:cs="宋体"/>
                <w:color w:val="auto"/>
                <w:sz w:val="24"/>
                <w:highlight w:val="none"/>
              </w:rPr>
            </w:pPr>
          </w:p>
        </w:tc>
        <w:tc>
          <w:tcPr>
            <w:tcW w:w="1260" w:type="dxa"/>
            <w:tcBorders>
              <w:top w:val="single" w:color="auto" w:sz="6" w:space="0"/>
              <w:left w:val="single" w:color="auto" w:sz="6" w:space="0"/>
              <w:bottom w:val="single" w:color="auto" w:sz="6" w:space="0"/>
              <w:right w:val="single" w:color="auto" w:sz="6" w:space="0"/>
            </w:tcBorders>
            <w:noWrap w:val="0"/>
            <w:vAlign w:val="top"/>
          </w:tcPr>
          <w:p w14:paraId="222E880E">
            <w:pPr>
              <w:shd w:val="clear"/>
              <w:autoSpaceDE w:val="0"/>
              <w:autoSpaceDN w:val="0"/>
              <w:spacing w:line="360" w:lineRule="auto"/>
              <w:rPr>
                <w:rFonts w:hint="eastAsia" w:ascii="宋体" w:hAnsi="宋体" w:eastAsia="宋体" w:cs="宋体"/>
                <w:color w:val="auto"/>
                <w:sz w:val="24"/>
                <w:highlight w:val="none"/>
              </w:rPr>
            </w:pPr>
          </w:p>
        </w:tc>
        <w:tc>
          <w:tcPr>
            <w:tcW w:w="900" w:type="dxa"/>
            <w:tcBorders>
              <w:top w:val="single" w:color="auto" w:sz="6" w:space="0"/>
              <w:left w:val="single" w:color="auto" w:sz="6" w:space="0"/>
              <w:bottom w:val="single" w:color="auto" w:sz="6" w:space="0"/>
              <w:right w:val="single" w:color="auto" w:sz="6" w:space="0"/>
            </w:tcBorders>
            <w:noWrap w:val="0"/>
            <w:vAlign w:val="top"/>
          </w:tcPr>
          <w:p w14:paraId="0C9B4FDC">
            <w:pPr>
              <w:shd w:val="clear"/>
              <w:autoSpaceDE w:val="0"/>
              <w:autoSpaceDN w:val="0"/>
              <w:spacing w:line="360" w:lineRule="auto"/>
              <w:rPr>
                <w:rFonts w:hint="eastAsia" w:ascii="宋体" w:hAnsi="宋体" w:eastAsia="宋体" w:cs="宋体"/>
                <w:color w:val="auto"/>
                <w:sz w:val="24"/>
                <w:highlight w:val="none"/>
              </w:rPr>
            </w:pPr>
          </w:p>
        </w:tc>
        <w:tc>
          <w:tcPr>
            <w:tcW w:w="1111" w:type="dxa"/>
            <w:tcBorders>
              <w:top w:val="single" w:color="auto" w:sz="6" w:space="0"/>
              <w:left w:val="single" w:color="auto" w:sz="6" w:space="0"/>
              <w:bottom w:val="single" w:color="auto" w:sz="6" w:space="0"/>
              <w:right w:val="single" w:color="auto" w:sz="6" w:space="0"/>
            </w:tcBorders>
            <w:noWrap w:val="0"/>
            <w:vAlign w:val="top"/>
          </w:tcPr>
          <w:p w14:paraId="6953C994">
            <w:pPr>
              <w:shd w:val="clear"/>
              <w:autoSpaceDE w:val="0"/>
              <w:autoSpaceDN w:val="0"/>
              <w:spacing w:line="360" w:lineRule="auto"/>
              <w:rPr>
                <w:rFonts w:hint="eastAsia" w:ascii="宋体" w:hAnsi="宋体" w:eastAsia="宋体" w:cs="宋体"/>
                <w:color w:val="auto"/>
                <w:sz w:val="24"/>
                <w:highlight w:val="none"/>
              </w:rPr>
            </w:pPr>
          </w:p>
        </w:tc>
      </w:tr>
      <w:tr w14:paraId="31CB9117">
        <w:tblPrEx>
          <w:tblCellMar>
            <w:top w:w="0" w:type="dxa"/>
            <w:left w:w="108" w:type="dxa"/>
            <w:bottom w:w="0" w:type="dxa"/>
            <w:right w:w="108" w:type="dxa"/>
          </w:tblCellMar>
        </w:tblPrEx>
        <w:trPr>
          <w:trHeight w:val="595" w:hRule="atLeast"/>
          <w:jc w:val="center"/>
        </w:trPr>
        <w:tc>
          <w:tcPr>
            <w:tcW w:w="646" w:type="dxa"/>
            <w:tcBorders>
              <w:top w:val="single" w:color="auto" w:sz="6" w:space="0"/>
              <w:left w:val="single" w:color="auto" w:sz="6" w:space="0"/>
              <w:bottom w:val="single" w:color="auto" w:sz="6" w:space="0"/>
              <w:right w:val="single" w:color="auto" w:sz="4" w:space="0"/>
            </w:tcBorders>
            <w:noWrap w:val="0"/>
            <w:vAlign w:val="top"/>
          </w:tcPr>
          <w:p w14:paraId="589E7C91">
            <w:pPr>
              <w:shd w:val="clear"/>
              <w:autoSpaceDE w:val="0"/>
              <w:autoSpaceDN w:val="0"/>
              <w:spacing w:line="360" w:lineRule="auto"/>
              <w:jc w:val="center"/>
              <w:rPr>
                <w:rFonts w:hint="eastAsia" w:ascii="宋体" w:hAnsi="宋体" w:eastAsia="宋体" w:cs="宋体"/>
                <w:color w:val="auto"/>
                <w:sz w:val="24"/>
                <w:highlight w:val="none"/>
              </w:rPr>
            </w:pPr>
          </w:p>
        </w:tc>
        <w:tc>
          <w:tcPr>
            <w:tcW w:w="746" w:type="dxa"/>
            <w:tcBorders>
              <w:top w:val="single" w:color="auto" w:sz="6" w:space="0"/>
              <w:left w:val="single" w:color="auto" w:sz="4" w:space="0"/>
              <w:bottom w:val="single" w:color="auto" w:sz="6" w:space="0"/>
              <w:right w:val="single" w:color="auto" w:sz="6" w:space="0"/>
            </w:tcBorders>
            <w:noWrap w:val="0"/>
            <w:vAlign w:val="center"/>
          </w:tcPr>
          <w:p w14:paraId="3D74581B">
            <w:pPr>
              <w:shd w:val="clear"/>
              <w:autoSpaceDE w:val="0"/>
              <w:autoSpaceDN w:val="0"/>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售后人员</w:t>
            </w:r>
          </w:p>
        </w:tc>
        <w:tc>
          <w:tcPr>
            <w:tcW w:w="787" w:type="dxa"/>
            <w:tcBorders>
              <w:top w:val="single" w:color="auto" w:sz="6" w:space="0"/>
              <w:left w:val="single" w:color="auto" w:sz="6" w:space="0"/>
              <w:bottom w:val="single" w:color="auto" w:sz="6" w:space="0"/>
              <w:right w:val="single" w:color="auto" w:sz="6" w:space="0"/>
            </w:tcBorders>
            <w:noWrap w:val="0"/>
            <w:vAlign w:val="top"/>
          </w:tcPr>
          <w:p w14:paraId="14844FC0">
            <w:pPr>
              <w:shd w:val="clear"/>
              <w:autoSpaceDE w:val="0"/>
              <w:autoSpaceDN w:val="0"/>
              <w:spacing w:line="360" w:lineRule="auto"/>
              <w:rPr>
                <w:rFonts w:hint="eastAsia" w:ascii="宋体" w:hAnsi="宋体" w:eastAsia="宋体" w:cs="宋体"/>
                <w:color w:val="auto"/>
                <w:sz w:val="24"/>
                <w:highlight w:val="none"/>
              </w:rPr>
            </w:pPr>
          </w:p>
        </w:tc>
        <w:tc>
          <w:tcPr>
            <w:tcW w:w="412" w:type="dxa"/>
            <w:tcBorders>
              <w:top w:val="single" w:color="auto" w:sz="6" w:space="0"/>
              <w:left w:val="single" w:color="auto" w:sz="6" w:space="0"/>
              <w:bottom w:val="single" w:color="auto" w:sz="6" w:space="0"/>
              <w:right w:val="single" w:color="auto" w:sz="6" w:space="0"/>
            </w:tcBorders>
            <w:noWrap w:val="0"/>
            <w:vAlign w:val="top"/>
          </w:tcPr>
          <w:p w14:paraId="705AF68E">
            <w:pPr>
              <w:shd w:val="clear"/>
              <w:autoSpaceDE w:val="0"/>
              <w:autoSpaceDN w:val="0"/>
              <w:spacing w:line="360" w:lineRule="auto"/>
              <w:rPr>
                <w:rFonts w:hint="eastAsia" w:ascii="宋体" w:hAnsi="宋体" w:eastAsia="宋体" w:cs="宋体"/>
                <w:color w:val="auto"/>
                <w:sz w:val="24"/>
                <w:highlight w:val="none"/>
              </w:rPr>
            </w:pPr>
          </w:p>
        </w:tc>
        <w:tc>
          <w:tcPr>
            <w:tcW w:w="900" w:type="dxa"/>
            <w:tcBorders>
              <w:top w:val="single" w:color="auto" w:sz="6" w:space="0"/>
              <w:left w:val="single" w:color="auto" w:sz="6" w:space="0"/>
              <w:bottom w:val="single" w:color="auto" w:sz="6" w:space="0"/>
              <w:right w:val="single" w:color="auto" w:sz="6" w:space="0"/>
            </w:tcBorders>
            <w:noWrap w:val="0"/>
            <w:vAlign w:val="top"/>
          </w:tcPr>
          <w:p w14:paraId="26B3527E">
            <w:pPr>
              <w:shd w:val="clear"/>
              <w:autoSpaceDE w:val="0"/>
              <w:autoSpaceDN w:val="0"/>
              <w:spacing w:line="360" w:lineRule="auto"/>
              <w:rPr>
                <w:rFonts w:hint="eastAsia" w:ascii="宋体" w:hAnsi="宋体" w:eastAsia="宋体" w:cs="宋体"/>
                <w:color w:val="auto"/>
                <w:sz w:val="24"/>
                <w:highlight w:val="none"/>
              </w:rPr>
            </w:pPr>
          </w:p>
        </w:tc>
        <w:tc>
          <w:tcPr>
            <w:tcW w:w="1080" w:type="dxa"/>
            <w:tcBorders>
              <w:top w:val="single" w:color="auto" w:sz="6" w:space="0"/>
              <w:left w:val="single" w:color="auto" w:sz="6" w:space="0"/>
              <w:bottom w:val="single" w:color="auto" w:sz="6" w:space="0"/>
              <w:right w:val="single" w:color="auto" w:sz="6" w:space="0"/>
            </w:tcBorders>
            <w:noWrap w:val="0"/>
            <w:vAlign w:val="top"/>
          </w:tcPr>
          <w:p w14:paraId="33FE968E">
            <w:pPr>
              <w:shd w:val="clear"/>
              <w:autoSpaceDE w:val="0"/>
              <w:autoSpaceDN w:val="0"/>
              <w:spacing w:line="360" w:lineRule="auto"/>
              <w:rPr>
                <w:rFonts w:hint="eastAsia" w:ascii="宋体" w:hAnsi="宋体" w:eastAsia="宋体" w:cs="宋体"/>
                <w:color w:val="auto"/>
                <w:sz w:val="24"/>
                <w:highlight w:val="none"/>
              </w:rPr>
            </w:pPr>
          </w:p>
        </w:tc>
        <w:tc>
          <w:tcPr>
            <w:tcW w:w="1080" w:type="dxa"/>
            <w:tcBorders>
              <w:top w:val="single" w:color="auto" w:sz="6" w:space="0"/>
              <w:left w:val="single" w:color="auto" w:sz="6" w:space="0"/>
              <w:bottom w:val="single" w:color="auto" w:sz="6" w:space="0"/>
              <w:right w:val="single" w:color="auto" w:sz="6" w:space="0"/>
            </w:tcBorders>
            <w:noWrap w:val="0"/>
            <w:vAlign w:val="top"/>
          </w:tcPr>
          <w:p w14:paraId="268E8551">
            <w:pPr>
              <w:shd w:val="clear"/>
              <w:autoSpaceDE w:val="0"/>
              <w:autoSpaceDN w:val="0"/>
              <w:spacing w:line="360" w:lineRule="auto"/>
              <w:rPr>
                <w:rFonts w:hint="eastAsia" w:ascii="宋体" w:hAnsi="宋体" w:eastAsia="宋体" w:cs="宋体"/>
                <w:color w:val="auto"/>
                <w:sz w:val="24"/>
                <w:highlight w:val="none"/>
              </w:rPr>
            </w:pPr>
          </w:p>
        </w:tc>
        <w:tc>
          <w:tcPr>
            <w:tcW w:w="1080" w:type="dxa"/>
            <w:tcBorders>
              <w:top w:val="single" w:color="auto" w:sz="6" w:space="0"/>
              <w:left w:val="single" w:color="auto" w:sz="6" w:space="0"/>
              <w:bottom w:val="single" w:color="auto" w:sz="6" w:space="0"/>
              <w:right w:val="single" w:color="auto" w:sz="6" w:space="0"/>
            </w:tcBorders>
            <w:noWrap w:val="0"/>
            <w:vAlign w:val="top"/>
          </w:tcPr>
          <w:p w14:paraId="742FE5A0">
            <w:pPr>
              <w:shd w:val="clear"/>
              <w:autoSpaceDE w:val="0"/>
              <w:autoSpaceDN w:val="0"/>
              <w:spacing w:line="360" w:lineRule="auto"/>
              <w:rPr>
                <w:rFonts w:hint="eastAsia" w:ascii="宋体" w:hAnsi="宋体" w:eastAsia="宋体" w:cs="宋体"/>
                <w:color w:val="auto"/>
                <w:sz w:val="24"/>
                <w:highlight w:val="none"/>
              </w:rPr>
            </w:pPr>
          </w:p>
        </w:tc>
        <w:tc>
          <w:tcPr>
            <w:tcW w:w="1260" w:type="dxa"/>
            <w:tcBorders>
              <w:top w:val="single" w:color="auto" w:sz="6" w:space="0"/>
              <w:left w:val="single" w:color="auto" w:sz="6" w:space="0"/>
              <w:bottom w:val="single" w:color="auto" w:sz="6" w:space="0"/>
              <w:right w:val="single" w:color="auto" w:sz="6" w:space="0"/>
            </w:tcBorders>
            <w:noWrap w:val="0"/>
            <w:vAlign w:val="top"/>
          </w:tcPr>
          <w:p w14:paraId="3C0D4F18">
            <w:pPr>
              <w:shd w:val="clear"/>
              <w:autoSpaceDE w:val="0"/>
              <w:autoSpaceDN w:val="0"/>
              <w:spacing w:line="360" w:lineRule="auto"/>
              <w:rPr>
                <w:rFonts w:hint="eastAsia" w:ascii="宋体" w:hAnsi="宋体" w:eastAsia="宋体" w:cs="宋体"/>
                <w:color w:val="auto"/>
                <w:sz w:val="24"/>
                <w:highlight w:val="none"/>
              </w:rPr>
            </w:pPr>
          </w:p>
        </w:tc>
        <w:tc>
          <w:tcPr>
            <w:tcW w:w="900" w:type="dxa"/>
            <w:tcBorders>
              <w:top w:val="single" w:color="auto" w:sz="6" w:space="0"/>
              <w:left w:val="single" w:color="auto" w:sz="6" w:space="0"/>
              <w:bottom w:val="single" w:color="auto" w:sz="6" w:space="0"/>
              <w:right w:val="single" w:color="auto" w:sz="6" w:space="0"/>
            </w:tcBorders>
            <w:noWrap w:val="0"/>
            <w:vAlign w:val="top"/>
          </w:tcPr>
          <w:p w14:paraId="51D20BD9">
            <w:pPr>
              <w:shd w:val="clear"/>
              <w:autoSpaceDE w:val="0"/>
              <w:autoSpaceDN w:val="0"/>
              <w:spacing w:line="360" w:lineRule="auto"/>
              <w:rPr>
                <w:rFonts w:hint="eastAsia" w:ascii="宋体" w:hAnsi="宋体" w:eastAsia="宋体" w:cs="宋体"/>
                <w:color w:val="auto"/>
                <w:sz w:val="24"/>
                <w:highlight w:val="none"/>
              </w:rPr>
            </w:pPr>
          </w:p>
        </w:tc>
        <w:tc>
          <w:tcPr>
            <w:tcW w:w="1111" w:type="dxa"/>
            <w:tcBorders>
              <w:top w:val="single" w:color="auto" w:sz="6" w:space="0"/>
              <w:left w:val="single" w:color="auto" w:sz="6" w:space="0"/>
              <w:bottom w:val="single" w:color="auto" w:sz="6" w:space="0"/>
              <w:right w:val="single" w:color="auto" w:sz="6" w:space="0"/>
            </w:tcBorders>
            <w:noWrap w:val="0"/>
            <w:vAlign w:val="top"/>
          </w:tcPr>
          <w:p w14:paraId="3698C19B">
            <w:pPr>
              <w:shd w:val="clear"/>
              <w:autoSpaceDE w:val="0"/>
              <w:autoSpaceDN w:val="0"/>
              <w:spacing w:line="360" w:lineRule="auto"/>
              <w:rPr>
                <w:rFonts w:hint="eastAsia" w:ascii="宋体" w:hAnsi="宋体" w:eastAsia="宋体" w:cs="宋体"/>
                <w:color w:val="auto"/>
                <w:sz w:val="24"/>
                <w:highlight w:val="none"/>
              </w:rPr>
            </w:pPr>
          </w:p>
        </w:tc>
      </w:tr>
      <w:tr w14:paraId="4D4D9B53">
        <w:tblPrEx>
          <w:tblCellMar>
            <w:top w:w="0" w:type="dxa"/>
            <w:left w:w="108" w:type="dxa"/>
            <w:bottom w:w="0" w:type="dxa"/>
            <w:right w:w="108" w:type="dxa"/>
          </w:tblCellMar>
        </w:tblPrEx>
        <w:trPr>
          <w:trHeight w:val="595" w:hRule="atLeast"/>
          <w:jc w:val="center"/>
        </w:trPr>
        <w:tc>
          <w:tcPr>
            <w:tcW w:w="646" w:type="dxa"/>
            <w:tcBorders>
              <w:top w:val="single" w:color="auto" w:sz="6" w:space="0"/>
              <w:left w:val="single" w:color="auto" w:sz="6" w:space="0"/>
              <w:bottom w:val="single" w:color="auto" w:sz="6" w:space="0"/>
              <w:right w:val="single" w:color="auto" w:sz="4" w:space="0"/>
            </w:tcBorders>
            <w:noWrap w:val="0"/>
            <w:vAlign w:val="top"/>
          </w:tcPr>
          <w:p w14:paraId="1DC28144">
            <w:pPr>
              <w:shd w:val="clear"/>
              <w:autoSpaceDE w:val="0"/>
              <w:autoSpaceDN w:val="0"/>
              <w:spacing w:line="360" w:lineRule="auto"/>
              <w:jc w:val="center"/>
              <w:rPr>
                <w:rFonts w:hint="eastAsia" w:ascii="宋体" w:hAnsi="宋体" w:eastAsia="宋体" w:cs="宋体"/>
                <w:color w:val="auto"/>
                <w:sz w:val="24"/>
                <w:highlight w:val="none"/>
              </w:rPr>
            </w:pPr>
          </w:p>
        </w:tc>
        <w:tc>
          <w:tcPr>
            <w:tcW w:w="746" w:type="dxa"/>
            <w:tcBorders>
              <w:top w:val="single" w:color="auto" w:sz="6" w:space="0"/>
              <w:left w:val="single" w:color="auto" w:sz="4" w:space="0"/>
              <w:bottom w:val="single" w:color="auto" w:sz="6" w:space="0"/>
              <w:right w:val="single" w:color="auto" w:sz="6" w:space="0"/>
            </w:tcBorders>
            <w:noWrap w:val="0"/>
            <w:vAlign w:val="top"/>
          </w:tcPr>
          <w:p w14:paraId="4B050B83">
            <w:pPr>
              <w:shd w:val="clear"/>
              <w:autoSpaceDE w:val="0"/>
              <w:autoSpaceDN w:val="0"/>
              <w:spacing w:line="360" w:lineRule="auto"/>
              <w:jc w:val="center"/>
              <w:rPr>
                <w:rFonts w:hint="eastAsia" w:ascii="宋体" w:hAnsi="宋体" w:eastAsia="宋体" w:cs="宋体"/>
                <w:color w:val="auto"/>
                <w:sz w:val="24"/>
                <w:highlight w:val="none"/>
              </w:rPr>
            </w:pPr>
          </w:p>
        </w:tc>
        <w:tc>
          <w:tcPr>
            <w:tcW w:w="787" w:type="dxa"/>
            <w:tcBorders>
              <w:top w:val="single" w:color="auto" w:sz="6" w:space="0"/>
              <w:left w:val="single" w:color="auto" w:sz="6" w:space="0"/>
              <w:bottom w:val="single" w:color="auto" w:sz="6" w:space="0"/>
              <w:right w:val="single" w:color="auto" w:sz="6" w:space="0"/>
            </w:tcBorders>
            <w:noWrap w:val="0"/>
            <w:vAlign w:val="top"/>
          </w:tcPr>
          <w:p w14:paraId="40419D3C">
            <w:pPr>
              <w:shd w:val="clear"/>
              <w:autoSpaceDE w:val="0"/>
              <w:autoSpaceDN w:val="0"/>
              <w:spacing w:line="360" w:lineRule="auto"/>
              <w:rPr>
                <w:rFonts w:hint="eastAsia" w:ascii="宋体" w:hAnsi="宋体" w:eastAsia="宋体" w:cs="宋体"/>
                <w:color w:val="auto"/>
                <w:sz w:val="24"/>
                <w:highlight w:val="none"/>
              </w:rPr>
            </w:pPr>
          </w:p>
        </w:tc>
        <w:tc>
          <w:tcPr>
            <w:tcW w:w="412" w:type="dxa"/>
            <w:tcBorders>
              <w:top w:val="single" w:color="auto" w:sz="6" w:space="0"/>
              <w:left w:val="single" w:color="auto" w:sz="6" w:space="0"/>
              <w:bottom w:val="single" w:color="auto" w:sz="6" w:space="0"/>
              <w:right w:val="single" w:color="auto" w:sz="6" w:space="0"/>
            </w:tcBorders>
            <w:noWrap w:val="0"/>
            <w:vAlign w:val="top"/>
          </w:tcPr>
          <w:p w14:paraId="37CB7C0A">
            <w:pPr>
              <w:shd w:val="clear"/>
              <w:autoSpaceDE w:val="0"/>
              <w:autoSpaceDN w:val="0"/>
              <w:spacing w:line="360" w:lineRule="auto"/>
              <w:rPr>
                <w:rFonts w:hint="eastAsia" w:ascii="宋体" w:hAnsi="宋体" w:eastAsia="宋体" w:cs="宋体"/>
                <w:color w:val="auto"/>
                <w:sz w:val="24"/>
                <w:highlight w:val="none"/>
              </w:rPr>
            </w:pPr>
          </w:p>
        </w:tc>
        <w:tc>
          <w:tcPr>
            <w:tcW w:w="900" w:type="dxa"/>
            <w:tcBorders>
              <w:top w:val="single" w:color="auto" w:sz="6" w:space="0"/>
              <w:left w:val="single" w:color="auto" w:sz="6" w:space="0"/>
              <w:bottom w:val="single" w:color="auto" w:sz="6" w:space="0"/>
              <w:right w:val="single" w:color="auto" w:sz="6" w:space="0"/>
            </w:tcBorders>
            <w:noWrap w:val="0"/>
            <w:vAlign w:val="top"/>
          </w:tcPr>
          <w:p w14:paraId="4124CD0C">
            <w:pPr>
              <w:shd w:val="clear"/>
              <w:autoSpaceDE w:val="0"/>
              <w:autoSpaceDN w:val="0"/>
              <w:spacing w:line="360" w:lineRule="auto"/>
              <w:rPr>
                <w:rFonts w:hint="eastAsia" w:ascii="宋体" w:hAnsi="宋体" w:eastAsia="宋体" w:cs="宋体"/>
                <w:color w:val="auto"/>
                <w:sz w:val="24"/>
                <w:highlight w:val="none"/>
              </w:rPr>
            </w:pPr>
          </w:p>
        </w:tc>
        <w:tc>
          <w:tcPr>
            <w:tcW w:w="1080" w:type="dxa"/>
            <w:tcBorders>
              <w:top w:val="single" w:color="auto" w:sz="6" w:space="0"/>
              <w:left w:val="single" w:color="auto" w:sz="6" w:space="0"/>
              <w:bottom w:val="single" w:color="auto" w:sz="6" w:space="0"/>
              <w:right w:val="single" w:color="auto" w:sz="6" w:space="0"/>
            </w:tcBorders>
            <w:noWrap w:val="0"/>
            <w:vAlign w:val="top"/>
          </w:tcPr>
          <w:p w14:paraId="1949220D">
            <w:pPr>
              <w:shd w:val="clear"/>
              <w:autoSpaceDE w:val="0"/>
              <w:autoSpaceDN w:val="0"/>
              <w:spacing w:line="360" w:lineRule="auto"/>
              <w:rPr>
                <w:rFonts w:hint="eastAsia" w:ascii="宋体" w:hAnsi="宋体" w:eastAsia="宋体" w:cs="宋体"/>
                <w:color w:val="auto"/>
                <w:sz w:val="24"/>
                <w:highlight w:val="none"/>
              </w:rPr>
            </w:pPr>
          </w:p>
        </w:tc>
        <w:tc>
          <w:tcPr>
            <w:tcW w:w="1080" w:type="dxa"/>
            <w:tcBorders>
              <w:top w:val="single" w:color="auto" w:sz="6" w:space="0"/>
              <w:left w:val="single" w:color="auto" w:sz="6" w:space="0"/>
              <w:bottom w:val="single" w:color="auto" w:sz="6" w:space="0"/>
              <w:right w:val="single" w:color="auto" w:sz="6" w:space="0"/>
            </w:tcBorders>
            <w:noWrap w:val="0"/>
            <w:vAlign w:val="top"/>
          </w:tcPr>
          <w:p w14:paraId="6DCA96BF">
            <w:pPr>
              <w:shd w:val="clear"/>
              <w:autoSpaceDE w:val="0"/>
              <w:autoSpaceDN w:val="0"/>
              <w:spacing w:line="360" w:lineRule="auto"/>
              <w:rPr>
                <w:rFonts w:hint="eastAsia" w:ascii="宋体" w:hAnsi="宋体" w:eastAsia="宋体" w:cs="宋体"/>
                <w:color w:val="auto"/>
                <w:sz w:val="24"/>
                <w:highlight w:val="none"/>
              </w:rPr>
            </w:pPr>
          </w:p>
        </w:tc>
        <w:tc>
          <w:tcPr>
            <w:tcW w:w="1080" w:type="dxa"/>
            <w:tcBorders>
              <w:top w:val="single" w:color="auto" w:sz="6" w:space="0"/>
              <w:left w:val="single" w:color="auto" w:sz="6" w:space="0"/>
              <w:bottom w:val="single" w:color="auto" w:sz="6" w:space="0"/>
              <w:right w:val="single" w:color="auto" w:sz="6" w:space="0"/>
            </w:tcBorders>
            <w:noWrap w:val="0"/>
            <w:vAlign w:val="top"/>
          </w:tcPr>
          <w:p w14:paraId="25B981B5">
            <w:pPr>
              <w:shd w:val="clear"/>
              <w:autoSpaceDE w:val="0"/>
              <w:autoSpaceDN w:val="0"/>
              <w:spacing w:line="360" w:lineRule="auto"/>
              <w:rPr>
                <w:rFonts w:hint="eastAsia" w:ascii="宋体" w:hAnsi="宋体" w:eastAsia="宋体" w:cs="宋体"/>
                <w:color w:val="auto"/>
                <w:sz w:val="24"/>
                <w:highlight w:val="none"/>
              </w:rPr>
            </w:pPr>
          </w:p>
        </w:tc>
        <w:tc>
          <w:tcPr>
            <w:tcW w:w="1260" w:type="dxa"/>
            <w:tcBorders>
              <w:top w:val="single" w:color="auto" w:sz="6" w:space="0"/>
              <w:left w:val="single" w:color="auto" w:sz="6" w:space="0"/>
              <w:bottom w:val="single" w:color="auto" w:sz="6" w:space="0"/>
              <w:right w:val="single" w:color="auto" w:sz="6" w:space="0"/>
            </w:tcBorders>
            <w:noWrap w:val="0"/>
            <w:vAlign w:val="top"/>
          </w:tcPr>
          <w:p w14:paraId="482EFBA5">
            <w:pPr>
              <w:shd w:val="clear"/>
              <w:autoSpaceDE w:val="0"/>
              <w:autoSpaceDN w:val="0"/>
              <w:spacing w:line="360" w:lineRule="auto"/>
              <w:rPr>
                <w:rFonts w:hint="eastAsia" w:ascii="宋体" w:hAnsi="宋体" w:eastAsia="宋体" w:cs="宋体"/>
                <w:color w:val="auto"/>
                <w:sz w:val="24"/>
                <w:highlight w:val="none"/>
              </w:rPr>
            </w:pPr>
          </w:p>
        </w:tc>
        <w:tc>
          <w:tcPr>
            <w:tcW w:w="900" w:type="dxa"/>
            <w:tcBorders>
              <w:top w:val="single" w:color="auto" w:sz="6" w:space="0"/>
              <w:left w:val="single" w:color="auto" w:sz="6" w:space="0"/>
              <w:bottom w:val="single" w:color="auto" w:sz="6" w:space="0"/>
              <w:right w:val="single" w:color="auto" w:sz="6" w:space="0"/>
            </w:tcBorders>
            <w:noWrap w:val="0"/>
            <w:vAlign w:val="top"/>
          </w:tcPr>
          <w:p w14:paraId="2255169D">
            <w:pPr>
              <w:shd w:val="clear"/>
              <w:autoSpaceDE w:val="0"/>
              <w:autoSpaceDN w:val="0"/>
              <w:spacing w:line="360" w:lineRule="auto"/>
              <w:rPr>
                <w:rFonts w:hint="eastAsia" w:ascii="宋体" w:hAnsi="宋体" w:eastAsia="宋体" w:cs="宋体"/>
                <w:color w:val="auto"/>
                <w:sz w:val="24"/>
                <w:highlight w:val="none"/>
              </w:rPr>
            </w:pPr>
          </w:p>
        </w:tc>
        <w:tc>
          <w:tcPr>
            <w:tcW w:w="1111" w:type="dxa"/>
            <w:tcBorders>
              <w:top w:val="single" w:color="auto" w:sz="6" w:space="0"/>
              <w:left w:val="single" w:color="auto" w:sz="6" w:space="0"/>
              <w:bottom w:val="single" w:color="auto" w:sz="6" w:space="0"/>
              <w:right w:val="single" w:color="auto" w:sz="6" w:space="0"/>
            </w:tcBorders>
            <w:noWrap w:val="0"/>
            <w:vAlign w:val="top"/>
          </w:tcPr>
          <w:p w14:paraId="4EC8DB97">
            <w:pPr>
              <w:shd w:val="clear"/>
              <w:autoSpaceDE w:val="0"/>
              <w:autoSpaceDN w:val="0"/>
              <w:spacing w:line="360" w:lineRule="auto"/>
              <w:rPr>
                <w:rFonts w:hint="eastAsia" w:ascii="宋体" w:hAnsi="宋体" w:eastAsia="宋体" w:cs="宋体"/>
                <w:color w:val="auto"/>
                <w:sz w:val="24"/>
                <w:highlight w:val="none"/>
              </w:rPr>
            </w:pPr>
          </w:p>
        </w:tc>
      </w:tr>
      <w:tr w14:paraId="71113ADC">
        <w:tblPrEx>
          <w:tblCellMar>
            <w:top w:w="0" w:type="dxa"/>
            <w:left w:w="108" w:type="dxa"/>
            <w:bottom w:w="0" w:type="dxa"/>
            <w:right w:w="108" w:type="dxa"/>
          </w:tblCellMar>
        </w:tblPrEx>
        <w:trPr>
          <w:trHeight w:val="595" w:hRule="atLeast"/>
          <w:jc w:val="center"/>
        </w:trPr>
        <w:tc>
          <w:tcPr>
            <w:tcW w:w="646" w:type="dxa"/>
            <w:tcBorders>
              <w:top w:val="single" w:color="auto" w:sz="6" w:space="0"/>
              <w:left w:val="single" w:color="auto" w:sz="6" w:space="0"/>
              <w:bottom w:val="single" w:color="auto" w:sz="6" w:space="0"/>
              <w:right w:val="single" w:color="auto" w:sz="4" w:space="0"/>
            </w:tcBorders>
            <w:noWrap w:val="0"/>
            <w:vAlign w:val="top"/>
          </w:tcPr>
          <w:p w14:paraId="63155548">
            <w:pPr>
              <w:shd w:val="clear"/>
              <w:autoSpaceDE w:val="0"/>
              <w:autoSpaceDN w:val="0"/>
              <w:spacing w:line="360" w:lineRule="auto"/>
              <w:jc w:val="center"/>
              <w:rPr>
                <w:rFonts w:hint="eastAsia" w:ascii="宋体" w:hAnsi="宋体" w:eastAsia="宋体" w:cs="宋体"/>
                <w:color w:val="auto"/>
                <w:sz w:val="24"/>
                <w:highlight w:val="none"/>
              </w:rPr>
            </w:pPr>
          </w:p>
        </w:tc>
        <w:tc>
          <w:tcPr>
            <w:tcW w:w="746" w:type="dxa"/>
            <w:tcBorders>
              <w:top w:val="single" w:color="auto" w:sz="6" w:space="0"/>
              <w:left w:val="single" w:color="auto" w:sz="4" w:space="0"/>
              <w:bottom w:val="single" w:color="auto" w:sz="6" w:space="0"/>
              <w:right w:val="single" w:color="auto" w:sz="6" w:space="0"/>
            </w:tcBorders>
            <w:noWrap w:val="0"/>
            <w:vAlign w:val="top"/>
          </w:tcPr>
          <w:p w14:paraId="4ACB8C88">
            <w:pPr>
              <w:shd w:val="clear"/>
              <w:autoSpaceDE w:val="0"/>
              <w:autoSpaceDN w:val="0"/>
              <w:spacing w:line="360" w:lineRule="auto"/>
              <w:jc w:val="center"/>
              <w:rPr>
                <w:rFonts w:hint="eastAsia" w:ascii="宋体" w:hAnsi="宋体" w:eastAsia="宋体" w:cs="宋体"/>
                <w:color w:val="auto"/>
                <w:sz w:val="24"/>
                <w:highlight w:val="none"/>
              </w:rPr>
            </w:pPr>
          </w:p>
        </w:tc>
        <w:tc>
          <w:tcPr>
            <w:tcW w:w="787" w:type="dxa"/>
            <w:tcBorders>
              <w:top w:val="single" w:color="auto" w:sz="6" w:space="0"/>
              <w:left w:val="single" w:color="auto" w:sz="6" w:space="0"/>
              <w:bottom w:val="single" w:color="auto" w:sz="6" w:space="0"/>
              <w:right w:val="single" w:color="auto" w:sz="6" w:space="0"/>
            </w:tcBorders>
            <w:noWrap w:val="0"/>
            <w:vAlign w:val="top"/>
          </w:tcPr>
          <w:p w14:paraId="2A8AF624">
            <w:pPr>
              <w:shd w:val="clear"/>
              <w:autoSpaceDE w:val="0"/>
              <w:autoSpaceDN w:val="0"/>
              <w:spacing w:line="360" w:lineRule="auto"/>
              <w:rPr>
                <w:rFonts w:hint="eastAsia" w:ascii="宋体" w:hAnsi="宋体" w:eastAsia="宋体" w:cs="宋体"/>
                <w:color w:val="auto"/>
                <w:sz w:val="24"/>
                <w:highlight w:val="none"/>
              </w:rPr>
            </w:pPr>
          </w:p>
        </w:tc>
        <w:tc>
          <w:tcPr>
            <w:tcW w:w="412" w:type="dxa"/>
            <w:tcBorders>
              <w:top w:val="single" w:color="auto" w:sz="6" w:space="0"/>
              <w:left w:val="single" w:color="auto" w:sz="6" w:space="0"/>
              <w:bottom w:val="single" w:color="auto" w:sz="6" w:space="0"/>
              <w:right w:val="single" w:color="auto" w:sz="6" w:space="0"/>
            </w:tcBorders>
            <w:noWrap w:val="0"/>
            <w:vAlign w:val="top"/>
          </w:tcPr>
          <w:p w14:paraId="595D2A1F">
            <w:pPr>
              <w:shd w:val="clear"/>
              <w:autoSpaceDE w:val="0"/>
              <w:autoSpaceDN w:val="0"/>
              <w:spacing w:line="360" w:lineRule="auto"/>
              <w:rPr>
                <w:rFonts w:hint="eastAsia" w:ascii="宋体" w:hAnsi="宋体" w:eastAsia="宋体" w:cs="宋体"/>
                <w:color w:val="auto"/>
                <w:sz w:val="24"/>
                <w:highlight w:val="none"/>
              </w:rPr>
            </w:pPr>
          </w:p>
        </w:tc>
        <w:tc>
          <w:tcPr>
            <w:tcW w:w="900" w:type="dxa"/>
            <w:tcBorders>
              <w:top w:val="single" w:color="auto" w:sz="6" w:space="0"/>
              <w:left w:val="single" w:color="auto" w:sz="6" w:space="0"/>
              <w:bottom w:val="single" w:color="auto" w:sz="6" w:space="0"/>
              <w:right w:val="single" w:color="auto" w:sz="6" w:space="0"/>
            </w:tcBorders>
            <w:noWrap w:val="0"/>
            <w:vAlign w:val="top"/>
          </w:tcPr>
          <w:p w14:paraId="15E8456C">
            <w:pPr>
              <w:shd w:val="clear"/>
              <w:autoSpaceDE w:val="0"/>
              <w:autoSpaceDN w:val="0"/>
              <w:spacing w:line="360" w:lineRule="auto"/>
              <w:rPr>
                <w:rFonts w:hint="eastAsia" w:ascii="宋体" w:hAnsi="宋体" w:eastAsia="宋体" w:cs="宋体"/>
                <w:color w:val="auto"/>
                <w:sz w:val="24"/>
                <w:highlight w:val="none"/>
              </w:rPr>
            </w:pPr>
          </w:p>
        </w:tc>
        <w:tc>
          <w:tcPr>
            <w:tcW w:w="1080" w:type="dxa"/>
            <w:tcBorders>
              <w:top w:val="single" w:color="auto" w:sz="6" w:space="0"/>
              <w:left w:val="single" w:color="auto" w:sz="6" w:space="0"/>
              <w:bottom w:val="single" w:color="auto" w:sz="6" w:space="0"/>
              <w:right w:val="single" w:color="auto" w:sz="6" w:space="0"/>
            </w:tcBorders>
            <w:noWrap w:val="0"/>
            <w:vAlign w:val="top"/>
          </w:tcPr>
          <w:p w14:paraId="274795C7">
            <w:pPr>
              <w:shd w:val="clear"/>
              <w:autoSpaceDE w:val="0"/>
              <w:autoSpaceDN w:val="0"/>
              <w:spacing w:line="360" w:lineRule="auto"/>
              <w:rPr>
                <w:rFonts w:hint="eastAsia" w:ascii="宋体" w:hAnsi="宋体" w:eastAsia="宋体" w:cs="宋体"/>
                <w:color w:val="auto"/>
                <w:sz w:val="24"/>
                <w:highlight w:val="none"/>
              </w:rPr>
            </w:pPr>
          </w:p>
        </w:tc>
        <w:tc>
          <w:tcPr>
            <w:tcW w:w="1080" w:type="dxa"/>
            <w:tcBorders>
              <w:top w:val="single" w:color="auto" w:sz="6" w:space="0"/>
              <w:left w:val="single" w:color="auto" w:sz="6" w:space="0"/>
              <w:bottom w:val="single" w:color="auto" w:sz="6" w:space="0"/>
              <w:right w:val="single" w:color="auto" w:sz="6" w:space="0"/>
            </w:tcBorders>
            <w:noWrap w:val="0"/>
            <w:vAlign w:val="top"/>
          </w:tcPr>
          <w:p w14:paraId="17095F4B">
            <w:pPr>
              <w:shd w:val="clear"/>
              <w:autoSpaceDE w:val="0"/>
              <w:autoSpaceDN w:val="0"/>
              <w:spacing w:line="360" w:lineRule="auto"/>
              <w:rPr>
                <w:rFonts w:hint="eastAsia" w:ascii="宋体" w:hAnsi="宋体" w:eastAsia="宋体" w:cs="宋体"/>
                <w:color w:val="auto"/>
                <w:sz w:val="24"/>
                <w:highlight w:val="none"/>
              </w:rPr>
            </w:pPr>
          </w:p>
        </w:tc>
        <w:tc>
          <w:tcPr>
            <w:tcW w:w="1080" w:type="dxa"/>
            <w:tcBorders>
              <w:top w:val="single" w:color="auto" w:sz="6" w:space="0"/>
              <w:left w:val="single" w:color="auto" w:sz="6" w:space="0"/>
              <w:bottom w:val="single" w:color="auto" w:sz="6" w:space="0"/>
              <w:right w:val="single" w:color="auto" w:sz="6" w:space="0"/>
            </w:tcBorders>
            <w:noWrap w:val="0"/>
            <w:vAlign w:val="top"/>
          </w:tcPr>
          <w:p w14:paraId="65A0C9CD">
            <w:pPr>
              <w:shd w:val="clear"/>
              <w:autoSpaceDE w:val="0"/>
              <w:autoSpaceDN w:val="0"/>
              <w:spacing w:line="360" w:lineRule="auto"/>
              <w:rPr>
                <w:rFonts w:hint="eastAsia" w:ascii="宋体" w:hAnsi="宋体" w:eastAsia="宋体" w:cs="宋体"/>
                <w:color w:val="auto"/>
                <w:sz w:val="24"/>
                <w:highlight w:val="none"/>
              </w:rPr>
            </w:pPr>
          </w:p>
        </w:tc>
        <w:tc>
          <w:tcPr>
            <w:tcW w:w="1260" w:type="dxa"/>
            <w:tcBorders>
              <w:top w:val="single" w:color="auto" w:sz="6" w:space="0"/>
              <w:left w:val="single" w:color="auto" w:sz="6" w:space="0"/>
              <w:bottom w:val="single" w:color="auto" w:sz="6" w:space="0"/>
              <w:right w:val="single" w:color="auto" w:sz="6" w:space="0"/>
            </w:tcBorders>
            <w:noWrap w:val="0"/>
            <w:vAlign w:val="top"/>
          </w:tcPr>
          <w:p w14:paraId="722E0421">
            <w:pPr>
              <w:shd w:val="clear"/>
              <w:autoSpaceDE w:val="0"/>
              <w:autoSpaceDN w:val="0"/>
              <w:spacing w:line="360" w:lineRule="auto"/>
              <w:rPr>
                <w:rFonts w:hint="eastAsia" w:ascii="宋体" w:hAnsi="宋体" w:eastAsia="宋体" w:cs="宋体"/>
                <w:color w:val="auto"/>
                <w:sz w:val="24"/>
                <w:highlight w:val="none"/>
              </w:rPr>
            </w:pPr>
          </w:p>
        </w:tc>
        <w:tc>
          <w:tcPr>
            <w:tcW w:w="900" w:type="dxa"/>
            <w:tcBorders>
              <w:top w:val="single" w:color="auto" w:sz="6" w:space="0"/>
              <w:left w:val="single" w:color="auto" w:sz="6" w:space="0"/>
              <w:bottom w:val="single" w:color="auto" w:sz="6" w:space="0"/>
              <w:right w:val="single" w:color="auto" w:sz="6" w:space="0"/>
            </w:tcBorders>
            <w:noWrap w:val="0"/>
            <w:vAlign w:val="top"/>
          </w:tcPr>
          <w:p w14:paraId="29387826">
            <w:pPr>
              <w:shd w:val="clear"/>
              <w:autoSpaceDE w:val="0"/>
              <w:autoSpaceDN w:val="0"/>
              <w:spacing w:line="360" w:lineRule="auto"/>
              <w:rPr>
                <w:rFonts w:hint="eastAsia" w:ascii="宋体" w:hAnsi="宋体" w:eastAsia="宋体" w:cs="宋体"/>
                <w:color w:val="auto"/>
                <w:sz w:val="24"/>
                <w:highlight w:val="none"/>
              </w:rPr>
            </w:pPr>
          </w:p>
        </w:tc>
        <w:tc>
          <w:tcPr>
            <w:tcW w:w="1111" w:type="dxa"/>
            <w:tcBorders>
              <w:top w:val="single" w:color="auto" w:sz="6" w:space="0"/>
              <w:left w:val="single" w:color="auto" w:sz="6" w:space="0"/>
              <w:bottom w:val="single" w:color="auto" w:sz="6" w:space="0"/>
              <w:right w:val="single" w:color="auto" w:sz="6" w:space="0"/>
            </w:tcBorders>
            <w:noWrap w:val="0"/>
            <w:vAlign w:val="top"/>
          </w:tcPr>
          <w:p w14:paraId="4761041B">
            <w:pPr>
              <w:shd w:val="clear"/>
              <w:autoSpaceDE w:val="0"/>
              <w:autoSpaceDN w:val="0"/>
              <w:spacing w:line="360" w:lineRule="auto"/>
              <w:rPr>
                <w:rFonts w:hint="eastAsia" w:ascii="宋体" w:hAnsi="宋体" w:eastAsia="宋体" w:cs="宋体"/>
                <w:color w:val="auto"/>
                <w:sz w:val="24"/>
                <w:highlight w:val="none"/>
              </w:rPr>
            </w:pPr>
          </w:p>
        </w:tc>
      </w:tr>
    </w:tbl>
    <w:p w14:paraId="6F0DA4B6">
      <w:pPr>
        <w:shd w:val="clear"/>
        <w:snapToGrid w:val="0"/>
        <w:spacing w:before="165" w:beforeLines="50" w:after="50"/>
        <w:ind w:left="142"/>
        <w:jc w:val="center"/>
        <w:rPr>
          <w:rFonts w:hint="eastAsia" w:ascii="宋体" w:hAnsi="宋体" w:eastAsia="宋体" w:cs="宋体"/>
          <w:b/>
          <w:color w:val="auto"/>
          <w:sz w:val="32"/>
          <w:szCs w:val="32"/>
          <w:highlight w:val="none"/>
        </w:rPr>
      </w:pPr>
    </w:p>
    <w:p w14:paraId="6147374F">
      <w:pPr>
        <w:shd w:val="clear"/>
        <w:snapToGrid w:val="0"/>
        <w:spacing w:before="165" w:beforeLines="50" w:line="360" w:lineRule="auto"/>
        <w:ind w:right="480" w:firstLine="3967" w:firstLineChars="1653"/>
        <w:rPr>
          <w:rFonts w:hint="eastAsia" w:ascii="宋体" w:hAnsi="宋体" w:eastAsia="宋体" w:cs="宋体"/>
          <w:color w:val="auto"/>
          <w:sz w:val="24"/>
          <w:highlight w:val="none"/>
        </w:rPr>
      </w:pPr>
    </w:p>
    <w:p w14:paraId="3D82CA09">
      <w:pPr>
        <w:shd w:val="clear"/>
        <w:snapToGrid w:val="0"/>
        <w:spacing w:line="360" w:lineRule="auto"/>
        <w:ind w:firstLine="5160" w:firstLineChars="2150"/>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lang w:val="zh-CN"/>
        </w:rPr>
        <w:t>投标人名称(盖公章)：</w:t>
      </w:r>
    </w:p>
    <w:p w14:paraId="2F6132E5">
      <w:pPr>
        <w:shd w:val="clear"/>
        <w:snapToGrid w:val="0"/>
        <w:spacing w:line="360" w:lineRule="auto"/>
        <w:ind w:firstLine="5160" w:firstLineChars="2150"/>
        <w:rPr>
          <w:rFonts w:hint="eastAsia" w:ascii="宋体" w:hAnsi="宋体" w:eastAsia="宋体" w:cs="宋体"/>
          <w:color w:val="auto"/>
          <w:kern w:val="0"/>
          <w:sz w:val="24"/>
          <w:highlight w:val="none"/>
          <w:lang w:val="zh-CN"/>
        </w:rPr>
      </w:pPr>
      <w:r>
        <w:rPr>
          <w:rFonts w:hint="eastAsia" w:ascii="宋体" w:hAnsi="宋体" w:eastAsia="宋体" w:cs="宋体"/>
          <w:color w:val="auto"/>
          <w:kern w:val="0"/>
          <w:sz w:val="24"/>
          <w:highlight w:val="none"/>
          <w:lang w:val="zh-CN"/>
        </w:rPr>
        <w:t>日期</w:t>
      </w:r>
      <w:r>
        <w:rPr>
          <w:rFonts w:hint="eastAsia" w:ascii="宋体" w:hAnsi="宋体" w:eastAsia="宋体" w:cs="宋体"/>
          <w:color w:val="auto"/>
          <w:kern w:val="0"/>
          <w:sz w:val="24"/>
          <w:highlight w:val="none"/>
        </w:rPr>
        <w:t xml:space="preserve">：  年  </w:t>
      </w:r>
      <w:r>
        <w:rPr>
          <w:rFonts w:hint="eastAsia" w:ascii="宋体" w:hAnsi="宋体" w:eastAsia="宋体" w:cs="宋体"/>
          <w:color w:val="auto"/>
          <w:kern w:val="0"/>
          <w:sz w:val="24"/>
          <w:highlight w:val="none"/>
          <w:lang w:val="zh-CN"/>
        </w:rPr>
        <w:t>月</w:t>
      </w:r>
      <w:r>
        <w:rPr>
          <w:rFonts w:hint="eastAsia" w:ascii="宋体" w:hAnsi="宋体" w:eastAsia="宋体" w:cs="宋体"/>
          <w:color w:val="auto"/>
          <w:kern w:val="0"/>
          <w:sz w:val="24"/>
          <w:highlight w:val="none"/>
        </w:rPr>
        <w:t xml:space="preserve">   </w:t>
      </w:r>
      <w:r>
        <w:rPr>
          <w:rFonts w:hint="eastAsia" w:ascii="宋体" w:hAnsi="宋体" w:eastAsia="宋体" w:cs="宋体"/>
          <w:color w:val="auto"/>
          <w:kern w:val="0"/>
          <w:sz w:val="24"/>
          <w:highlight w:val="none"/>
          <w:lang w:val="zh-CN"/>
        </w:rPr>
        <w:t>日</w:t>
      </w:r>
    </w:p>
    <w:p w14:paraId="138DF8F8">
      <w:pPr>
        <w:widowControl/>
        <w:shd w:val="clear"/>
        <w:spacing w:line="360" w:lineRule="auto"/>
        <w:jc w:val="left"/>
        <w:rPr>
          <w:rFonts w:hint="eastAsia" w:ascii="宋体" w:hAnsi="宋体" w:eastAsia="宋体" w:cs="宋体"/>
          <w:color w:val="auto"/>
          <w:sz w:val="24"/>
          <w:highlight w:val="none"/>
        </w:rPr>
        <w:sectPr>
          <w:pgSz w:w="11905" w:h="16838"/>
          <w:pgMar w:top="1134" w:right="1134" w:bottom="1134" w:left="1134" w:header="850" w:footer="850" w:gutter="0"/>
          <w:pgNumType w:fmt="decimal"/>
          <w:cols w:space="0" w:num="1"/>
          <w:titlePg/>
          <w:rtlGutter w:val="0"/>
          <w:docGrid w:linePitch="331" w:charSpace="0"/>
        </w:sectPr>
      </w:pPr>
    </w:p>
    <w:p w14:paraId="7F047980">
      <w:pPr>
        <w:pStyle w:val="16"/>
        <w:shd w:val="clear"/>
        <w:snapToGrid w:val="0"/>
        <w:ind w:left="480" w:hanging="480"/>
        <w:rPr>
          <w:rFonts w:hint="eastAsia" w:ascii="宋体" w:hAnsi="宋体" w:eastAsia="宋体" w:cs="宋体"/>
          <w:i/>
          <w:iCs/>
          <w:color w:val="auto"/>
          <w:sz w:val="24"/>
          <w:highlight w:val="none"/>
        </w:rPr>
      </w:pPr>
      <w:r>
        <w:rPr>
          <w:rFonts w:hint="eastAsia" w:ascii="宋体" w:hAnsi="宋体" w:eastAsia="宋体" w:cs="宋体"/>
          <w:b/>
          <w:color w:val="auto"/>
          <w:sz w:val="28"/>
          <w:szCs w:val="28"/>
          <w:highlight w:val="none"/>
          <w:lang w:val="en-US" w:eastAsia="zh-CN"/>
        </w:rPr>
        <w:t>5</w:t>
      </w:r>
      <w:r>
        <w:rPr>
          <w:rFonts w:hint="eastAsia" w:ascii="宋体" w:hAnsi="宋体" w:eastAsia="宋体" w:cs="宋体"/>
          <w:b/>
          <w:color w:val="auto"/>
          <w:sz w:val="28"/>
          <w:szCs w:val="28"/>
          <w:highlight w:val="none"/>
        </w:rPr>
        <w:t>. 项目实施人员一览表</w:t>
      </w:r>
      <w:r>
        <w:rPr>
          <w:rFonts w:hint="eastAsia" w:ascii="宋体" w:hAnsi="宋体" w:eastAsia="宋体" w:cs="宋体"/>
          <w:b/>
          <w:color w:val="auto"/>
          <w:sz w:val="28"/>
          <w:szCs w:val="28"/>
          <w:highlight w:val="none"/>
          <w:lang w:eastAsia="zh-CN"/>
        </w:rPr>
        <w:t>的</w:t>
      </w:r>
      <w:r>
        <w:rPr>
          <w:rFonts w:hint="eastAsia" w:ascii="宋体" w:hAnsi="宋体" w:eastAsia="宋体" w:cs="宋体"/>
          <w:b/>
          <w:color w:val="auto"/>
          <w:sz w:val="28"/>
          <w:szCs w:val="28"/>
          <w:highlight w:val="none"/>
        </w:rPr>
        <w:t>格式</w:t>
      </w:r>
      <w:r>
        <w:rPr>
          <w:rFonts w:hint="eastAsia" w:ascii="宋体" w:hAnsi="宋体" w:eastAsia="宋体" w:cs="宋体"/>
          <w:b/>
          <w:bCs/>
          <w:color w:val="auto"/>
          <w:sz w:val="30"/>
          <w:szCs w:val="30"/>
          <w:highlight w:val="none"/>
          <w:lang w:eastAsia="zh-CN"/>
        </w:rPr>
        <w:t>：</w:t>
      </w:r>
    </w:p>
    <w:p w14:paraId="5E3A8CCA">
      <w:pPr>
        <w:shd w:val="clear"/>
        <w:snapToGrid w:val="0"/>
        <w:spacing w:before="165" w:beforeLines="50" w:after="50"/>
        <w:ind w:left="142"/>
        <w:jc w:val="left"/>
        <w:rPr>
          <w:rFonts w:hint="eastAsia" w:ascii="宋体" w:hAnsi="宋体" w:eastAsia="宋体" w:cs="宋体"/>
          <w:b/>
          <w:color w:val="auto"/>
          <w:sz w:val="32"/>
          <w:szCs w:val="32"/>
          <w:highlight w:val="none"/>
        </w:rPr>
      </w:pPr>
    </w:p>
    <w:p w14:paraId="0A19F52F">
      <w:pPr>
        <w:shd w:val="clear"/>
        <w:snapToGrid w:val="0"/>
        <w:spacing w:before="165" w:beforeLines="50" w:after="50"/>
        <w:ind w:left="142"/>
        <w:jc w:val="center"/>
        <w:rPr>
          <w:rFonts w:hint="eastAsia" w:ascii="宋体" w:hAnsi="宋体" w:eastAsia="宋体" w:cs="宋体"/>
          <w:b/>
          <w:color w:val="auto"/>
          <w:sz w:val="32"/>
          <w:szCs w:val="32"/>
          <w:highlight w:val="none"/>
        </w:rPr>
      </w:pPr>
      <w:r>
        <w:rPr>
          <w:rFonts w:hint="eastAsia" w:ascii="宋体" w:hAnsi="宋体" w:eastAsia="宋体" w:cs="宋体"/>
          <w:b/>
          <w:color w:val="auto"/>
          <w:sz w:val="32"/>
          <w:szCs w:val="32"/>
          <w:highlight w:val="none"/>
        </w:rPr>
        <w:t>项目实施人员一览表</w:t>
      </w:r>
      <w:r>
        <w:rPr>
          <w:rFonts w:hint="eastAsia" w:ascii="宋体" w:hAnsi="宋体" w:eastAsia="宋体" w:cs="宋体"/>
          <w:b/>
          <w:i w:val="0"/>
          <w:iCs w:val="0"/>
          <w:color w:val="auto"/>
          <w:sz w:val="32"/>
          <w:szCs w:val="32"/>
          <w:highlight w:val="none"/>
        </w:rPr>
        <w:t>（如有要求）</w:t>
      </w:r>
    </w:p>
    <w:p w14:paraId="5F846E8A">
      <w:pPr>
        <w:shd w:val="clear"/>
        <w:spacing w:line="360" w:lineRule="auto"/>
        <w:jc w:val="center"/>
        <w:rPr>
          <w:rFonts w:hint="eastAsia" w:ascii="宋体" w:hAnsi="宋体" w:eastAsia="宋体" w:cs="宋体"/>
          <w:b/>
          <w:bCs/>
          <w:color w:val="auto"/>
          <w:sz w:val="24"/>
          <w:highlight w:val="none"/>
        </w:rPr>
      </w:pPr>
      <w:r>
        <w:rPr>
          <w:rFonts w:hint="eastAsia" w:ascii="宋体" w:hAnsi="宋体" w:eastAsia="宋体" w:cs="宋体"/>
          <w:color w:val="auto"/>
          <w:sz w:val="24"/>
          <w:highlight w:val="none"/>
        </w:rPr>
        <w:t>（由投标人根据采购需求及招标文件要求编制）</w:t>
      </w:r>
    </w:p>
    <w:p w14:paraId="3F969722">
      <w:pPr>
        <w:pStyle w:val="12"/>
        <w:shd w:val="clear"/>
        <w:rPr>
          <w:rFonts w:hint="eastAsia" w:ascii="宋体" w:hAnsi="宋体" w:eastAsia="宋体" w:cs="宋体"/>
          <w:color w:val="auto"/>
          <w:sz w:val="24"/>
          <w:szCs w:val="24"/>
          <w:highlight w:val="none"/>
        </w:rPr>
      </w:pPr>
    </w:p>
    <w:p w14:paraId="16466389">
      <w:pPr>
        <w:pStyle w:val="12"/>
        <w:shd w:val="clea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所投分标（此处有分标时填写具体分标号，无分标时填写“无”）：</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rPr>
        <w:t xml:space="preserve">  </w:t>
      </w:r>
    </w:p>
    <w:p w14:paraId="3E5EE5AD">
      <w:pPr>
        <w:keepNext/>
        <w:shd w:val="clear"/>
        <w:autoSpaceDE w:val="0"/>
        <w:autoSpaceDN w:val="0"/>
        <w:spacing w:line="360" w:lineRule="auto"/>
        <w:ind w:firstLine="0"/>
        <w:rPr>
          <w:rFonts w:hint="eastAsia" w:ascii="宋体" w:hAnsi="宋体" w:eastAsia="宋体" w:cs="宋体"/>
          <w:b/>
          <w:color w:val="auto"/>
          <w:sz w:val="24"/>
          <w:highlight w:val="none"/>
        </w:rPr>
      </w:pPr>
      <w:r>
        <w:rPr>
          <w:rFonts w:hint="eastAsia" w:ascii="宋体" w:hAnsi="宋体" w:eastAsia="宋体" w:cs="宋体"/>
          <w:b/>
          <w:color w:val="auto"/>
          <w:sz w:val="24"/>
          <w:highlight w:val="none"/>
        </w:rPr>
        <w:t>附表A</w:t>
      </w:r>
      <w:r>
        <w:rPr>
          <w:rFonts w:hint="eastAsia" w:ascii="宋体" w:hAnsi="宋体" w:cs="宋体"/>
          <w:b/>
          <w:color w:val="auto"/>
          <w:sz w:val="24"/>
          <w:highlight w:val="none"/>
          <w:lang w:eastAsia="zh-CN"/>
        </w:rPr>
        <w:t>：</w:t>
      </w:r>
      <w:r>
        <w:rPr>
          <w:rFonts w:hint="eastAsia" w:ascii="宋体" w:hAnsi="宋体" w:eastAsia="宋体" w:cs="宋体"/>
          <w:b/>
          <w:color w:val="auto"/>
          <w:sz w:val="24"/>
          <w:highlight w:val="none"/>
        </w:rPr>
        <w:t>本项目的项目经理情况表</w:t>
      </w:r>
    </w:p>
    <w:tbl>
      <w:tblPr>
        <w:tblStyle w:val="18"/>
        <w:tblW w:w="8960" w:type="dxa"/>
        <w:tblInd w:w="116" w:type="dxa"/>
        <w:tblLayout w:type="fixed"/>
        <w:tblCellMar>
          <w:top w:w="0" w:type="dxa"/>
          <w:left w:w="108" w:type="dxa"/>
          <w:bottom w:w="0" w:type="dxa"/>
          <w:right w:w="108" w:type="dxa"/>
        </w:tblCellMar>
      </w:tblPr>
      <w:tblGrid>
        <w:gridCol w:w="2061"/>
        <w:gridCol w:w="1287"/>
        <w:gridCol w:w="5612"/>
      </w:tblGrid>
      <w:tr w14:paraId="7A1F0E5E">
        <w:tblPrEx>
          <w:tblCellMar>
            <w:top w:w="0" w:type="dxa"/>
            <w:left w:w="108" w:type="dxa"/>
            <w:bottom w:w="0" w:type="dxa"/>
            <w:right w:w="108" w:type="dxa"/>
          </w:tblCellMar>
        </w:tblPrEx>
        <w:trPr>
          <w:trHeight w:val="604" w:hRule="atLeast"/>
        </w:trPr>
        <w:tc>
          <w:tcPr>
            <w:tcW w:w="2061" w:type="dxa"/>
            <w:tcBorders>
              <w:top w:val="single" w:color="auto" w:sz="6" w:space="0"/>
              <w:left w:val="single" w:color="auto" w:sz="6" w:space="0"/>
              <w:bottom w:val="single" w:color="auto" w:sz="6" w:space="0"/>
              <w:right w:val="single" w:color="auto" w:sz="6" w:space="0"/>
            </w:tcBorders>
            <w:shd w:val="clear" w:color="auto" w:fill="auto"/>
            <w:noWrap w:val="0"/>
            <w:vAlign w:val="center"/>
          </w:tcPr>
          <w:p w14:paraId="719C2910">
            <w:pPr>
              <w:shd w:val="clear"/>
              <w:autoSpaceDE w:val="0"/>
              <w:autoSpaceDN w:val="0"/>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姓名</w:t>
            </w:r>
          </w:p>
        </w:tc>
        <w:tc>
          <w:tcPr>
            <w:tcW w:w="1287" w:type="dxa"/>
            <w:tcBorders>
              <w:top w:val="single" w:color="auto" w:sz="6" w:space="0"/>
              <w:left w:val="single" w:color="auto" w:sz="6" w:space="0"/>
              <w:bottom w:val="single" w:color="auto" w:sz="6" w:space="0"/>
              <w:right w:val="single" w:color="auto" w:sz="4" w:space="0"/>
            </w:tcBorders>
            <w:shd w:val="clear" w:color="auto" w:fill="auto"/>
            <w:noWrap w:val="0"/>
            <w:vAlign w:val="center"/>
          </w:tcPr>
          <w:p w14:paraId="18802A4A">
            <w:pPr>
              <w:shd w:val="clear"/>
              <w:autoSpaceDE w:val="0"/>
              <w:autoSpaceDN w:val="0"/>
              <w:spacing w:line="360" w:lineRule="auto"/>
              <w:jc w:val="center"/>
              <w:rPr>
                <w:rFonts w:hint="eastAsia" w:ascii="宋体" w:hAnsi="宋体" w:eastAsia="宋体" w:cs="宋体"/>
                <w:color w:val="auto"/>
                <w:sz w:val="24"/>
                <w:highlight w:val="none"/>
              </w:rPr>
            </w:pPr>
          </w:p>
        </w:tc>
        <w:tc>
          <w:tcPr>
            <w:tcW w:w="5612" w:type="dxa"/>
            <w:tcBorders>
              <w:top w:val="single" w:color="auto" w:sz="6" w:space="0"/>
              <w:left w:val="single" w:color="auto" w:sz="6" w:space="0"/>
              <w:bottom w:val="single" w:color="auto" w:sz="6" w:space="0"/>
              <w:right w:val="single" w:color="auto" w:sz="6" w:space="0"/>
            </w:tcBorders>
            <w:noWrap w:val="0"/>
            <w:vAlign w:val="center"/>
          </w:tcPr>
          <w:p w14:paraId="113E7FCA">
            <w:pPr>
              <w:shd w:val="clear"/>
              <w:autoSpaceDE w:val="0"/>
              <w:autoSpaceDN w:val="0"/>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投标截止时间前三年业绩及承担的主要工作情况，曾担任项目经理的项目应列明细</w:t>
            </w:r>
          </w:p>
        </w:tc>
      </w:tr>
      <w:tr w14:paraId="296B67B8">
        <w:tblPrEx>
          <w:tblCellMar>
            <w:top w:w="0" w:type="dxa"/>
            <w:left w:w="108" w:type="dxa"/>
            <w:bottom w:w="0" w:type="dxa"/>
            <w:right w:w="108" w:type="dxa"/>
          </w:tblCellMar>
        </w:tblPrEx>
        <w:trPr>
          <w:cantSplit/>
          <w:trHeight w:val="345" w:hRule="atLeast"/>
        </w:trPr>
        <w:tc>
          <w:tcPr>
            <w:tcW w:w="2061" w:type="dxa"/>
            <w:tcBorders>
              <w:top w:val="single" w:color="auto" w:sz="6" w:space="0"/>
              <w:left w:val="single" w:color="auto" w:sz="6" w:space="0"/>
              <w:bottom w:val="single" w:color="auto" w:sz="6" w:space="0"/>
              <w:right w:val="single" w:color="auto" w:sz="6" w:space="0"/>
            </w:tcBorders>
            <w:shd w:val="clear" w:color="auto" w:fill="auto"/>
            <w:noWrap w:val="0"/>
            <w:vAlign w:val="center"/>
          </w:tcPr>
          <w:p w14:paraId="497FDAE6">
            <w:pPr>
              <w:shd w:val="clear"/>
              <w:autoSpaceDE w:val="0"/>
              <w:autoSpaceDN w:val="0"/>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性别</w:t>
            </w:r>
          </w:p>
        </w:tc>
        <w:tc>
          <w:tcPr>
            <w:tcW w:w="1287" w:type="dxa"/>
            <w:tcBorders>
              <w:top w:val="single" w:color="auto" w:sz="6" w:space="0"/>
              <w:left w:val="single" w:color="auto" w:sz="6" w:space="0"/>
              <w:bottom w:val="single" w:color="auto" w:sz="6" w:space="0"/>
              <w:right w:val="single" w:color="auto" w:sz="4" w:space="0"/>
            </w:tcBorders>
            <w:shd w:val="clear" w:color="auto" w:fill="auto"/>
            <w:noWrap w:val="0"/>
            <w:vAlign w:val="center"/>
          </w:tcPr>
          <w:p w14:paraId="6CF8A008">
            <w:pPr>
              <w:shd w:val="clear"/>
              <w:autoSpaceDE w:val="0"/>
              <w:autoSpaceDN w:val="0"/>
              <w:spacing w:line="360" w:lineRule="auto"/>
              <w:jc w:val="center"/>
              <w:rPr>
                <w:rFonts w:hint="eastAsia" w:ascii="宋体" w:hAnsi="宋体" w:eastAsia="宋体" w:cs="宋体"/>
                <w:color w:val="auto"/>
                <w:sz w:val="24"/>
                <w:highlight w:val="none"/>
              </w:rPr>
            </w:pPr>
          </w:p>
        </w:tc>
        <w:tc>
          <w:tcPr>
            <w:tcW w:w="5612" w:type="dxa"/>
            <w:vMerge w:val="restart"/>
            <w:tcBorders>
              <w:top w:val="single" w:color="auto" w:sz="6" w:space="0"/>
              <w:left w:val="single" w:color="auto" w:sz="6" w:space="0"/>
              <w:bottom w:val="single" w:color="auto" w:sz="6" w:space="0"/>
              <w:right w:val="single" w:color="auto" w:sz="6" w:space="0"/>
            </w:tcBorders>
            <w:noWrap w:val="0"/>
            <w:vAlign w:val="center"/>
          </w:tcPr>
          <w:p w14:paraId="7C627BAE">
            <w:pPr>
              <w:shd w:val="clear"/>
              <w:autoSpaceDE w:val="0"/>
              <w:autoSpaceDN w:val="0"/>
              <w:spacing w:line="360" w:lineRule="auto"/>
              <w:jc w:val="center"/>
              <w:rPr>
                <w:rFonts w:hint="eastAsia" w:ascii="宋体" w:hAnsi="宋体" w:eastAsia="宋体" w:cs="宋体"/>
                <w:color w:val="auto"/>
                <w:sz w:val="24"/>
                <w:highlight w:val="none"/>
              </w:rPr>
            </w:pPr>
          </w:p>
        </w:tc>
      </w:tr>
      <w:tr w14:paraId="147FCF25">
        <w:tblPrEx>
          <w:tblCellMar>
            <w:top w:w="0" w:type="dxa"/>
            <w:left w:w="108" w:type="dxa"/>
            <w:bottom w:w="0" w:type="dxa"/>
            <w:right w:w="108" w:type="dxa"/>
          </w:tblCellMar>
        </w:tblPrEx>
        <w:trPr>
          <w:cantSplit/>
          <w:trHeight w:val="337" w:hRule="atLeast"/>
        </w:trPr>
        <w:tc>
          <w:tcPr>
            <w:tcW w:w="2061" w:type="dxa"/>
            <w:tcBorders>
              <w:top w:val="single" w:color="auto" w:sz="6" w:space="0"/>
              <w:left w:val="single" w:color="auto" w:sz="6" w:space="0"/>
              <w:bottom w:val="single" w:color="auto" w:sz="6" w:space="0"/>
              <w:right w:val="single" w:color="auto" w:sz="6" w:space="0"/>
            </w:tcBorders>
            <w:shd w:val="clear" w:color="auto" w:fill="auto"/>
            <w:noWrap w:val="0"/>
            <w:vAlign w:val="center"/>
          </w:tcPr>
          <w:p w14:paraId="3C47CD7C">
            <w:pPr>
              <w:shd w:val="clear"/>
              <w:autoSpaceDE w:val="0"/>
              <w:autoSpaceDN w:val="0"/>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年龄</w:t>
            </w:r>
          </w:p>
        </w:tc>
        <w:tc>
          <w:tcPr>
            <w:tcW w:w="1287" w:type="dxa"/>
            <w:tcBorders>
              <w:top w:val="single" w:color="auto" w:sz="6" w:space="0"/>
              <w:left w:val="single" w:color="auto" w:sz="6" w:space="0"/>
              <w:bottom w:val="single" w:color="auto" w:sz="6" w:space="0"/>
              <w:right w:val="single" w:color="auto" w:sz="4" w:space="0"/>
            </w:tcBorders>
            <w:shd w:val="clear" w:color="auto" w:fill="auto"/>
            <w:noWrap w:val="0"/>
            <w:vAlign w:val="center"/>
          </w:tcPr>
          <w:p w14:paraId="0A63FBA4">
            <w:pPr>
              <w:shd w:val="clear"/>
              <w:autoSpaceDE w:val="0"/>
              <w:autoSpaceDN w:val="0"/>
              <w:spacing w:line="360" w:lineRule="auto"/>
              <w:jc w:val="center"/>
              <w:rPr>
                <w:rFonts w:hint="eastAsia" w:ascii="宋体" w:hAnsi="宋体" w:eastAsia="宋体" w:cs="宋体"/>
                <w:color w:val="auto"/>
                <w:sz w:val="24"/>
                <w:highlight w:val="none"/>
              </w:rPr>
            </w:pPr>
          </w:p>
        </w:tc>
        <w:tc>
          <w:tcPr>
            <w:tcW w:w="5612" w:type="dxa"/>
            <w:vMerge w:val="continue"/>
            <w:tcBorders>
              <w:top w:val="single" w:color="auto" w:sz="6" w:space="0"/>
              <w:left w:val="single" w:color="auto" w:sz="6" w:space="0"/>
              <w:bottom w:val="single" w:color="auto" w:sz="6" w:space="0"/>
              <w:right w:val="single" w:color="auto" w:sz="6" w:space="0"/>
            </w:tcBorders>
            <w:noWrap w:val="0"/>
            <w:vAlign w:val="center"/>
          </w:tcPr>
          <w:p w14:paraId="53A98449">
            <w:pPr>
              <w:widowControl/>
              <w:shd w:val="clear"/>
              <w:jc w:val="left"/>
              <w:rPr>
                <w:rFonts w:hint="eastAsia" w:ascii="宋体" w:hAnsi="宋体" w:eastAsia="宋体" w:cs="宋体"/>
                <w:color w:val="auto"/>
                <w:sz w:val="24"/>
                <w:highlight w:val="none"/>
              </w:rPr>
            </w:pPr>
          </w:p>
        </w:tc>
      </w:tr>
      <w:tr w14:paraId="18B2AD1C">
        <w:tblPrEx>
          <w:tblCellMar>
            <w:top w:w="0" w:type="dxa"/>
            <w:left w:w="108" w:type="dxa"/>
            <w:bottom w:w="0" w:type="dxa"/>
            <w:right w:w="108" w:type="dxa"/>
          </w:tblCellMar>
        </w:tblPrEx>
        <w:trPr>
          <w:cantSplit/>
          <w:trHeight w:val="345" w:hRule="atLeast"/>
        </w:trPr>
        <w:tc>
          <w:tcPr>
            <w:tcW w:w="2061" w:type="dxa"/>
            <w:tcBorders>
              <w:top w:val="single" w:color="auto" w:sz="6" w:space="0"/>
              <w:left w:val="single" w:color="auto" w:sz="6" w:space="0"/>
              <w:bottom w:val="single" w:color="auto" w:sz="6" w:space="0"/>
              <w:right w:val="single" w:color="auto" w:sz="6" w:space="0"/>
            </w:tcBorders>
            <w:shd w:val="clear" w:color="auto" w:fill="auto"/>
            <w:noWrap w:val="0"/>
            <w:vAlign w:val="center"/>
          </w:tcPr>
          <w:p w14:paraId="07E97C18">
            <w:pPr>
              <w:shd w:val="clear"/>
              <w:autoSpaceDE w:val="0"/>
              <w:autoSpaceDN w:val="0"/>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职称</w:t>
            </w:r>
          </w:p>
        </w:tc>
        <w:tc>
          <w:tcPr>
            <w:tcW w:w="1287" w:type="dxa"/>
            <w:tcBorders>
              <w:top w:val="single" w:color="auto" w:sz="6" w:space="0"/>
              <w:left w:val="single" w:color="auto" w:sz="6" w:space="0"/>
              <w:bottom w:val="single" w:color="auto" w:sz="6" w:space="0"/>
              <w:right w:val="single" w:color="auto" w:sz="4" w:space="0"/>
            </w:tcBorders>
            <w:shd w:val="clear" w:color="auto" w:fill="auto"/>
            <w:noWrap w:val="0"/>
            <w:vAlign w:val="center"/>
          </w:tcPr>
          <w:p w14:paraId="70F3C977">
            <w:pPr>
              <w:shd w:val="clear"/>
              <w:autoSpaceDE w:val="0"/>
              <w:autoSpaceDN w:val="0"/>
              <w:spacing w:line="360" w:lineRule="auto"/>
              <w:jc w:val="center"/>
              <w:rPr>
                <w:rFonts w:hint="eastAsia" w:ascii="宋体" w:hAnsi="宋体" w:eastAsia="宋体" w:cs="宋体"/>
                <w:color w:val="auto"/>
                <w:sz w:val="24"/>
                <w:highlight w:val="none"/>
              </w:rPr>
            </w:pPr>
          </w:p>
        </w:tc>
        <w:tc>
          <w:tcPr>
            <w:tcW w:w="5612" w:type="dxa"/>
            <w:vMerge w:val="continue"/>
            <w:tcBorders>
              <w:top w:val="single" w:color="auto" w:sz="6" w:space="0"/>
              <w:left w:val="single" w:color="auto" w:sz="6" w:space="0"/>
              <w:bottom w:val="single" w:color="auto" w:sz="6" w:space="0"/>
              <w:right w:val="single" w:color="auto" w:sz="6" w:space="0"/>
            </w:tcBorders>
            <w:noWrap w:val="0"/>
            <w:vAlign w:val="center"/>
          </w:tcPr>
          <w:p w14:paraId="7F4F9F9A">
            <w:pPr>
              <w:widowControl/>
              <w:shd w:val="clear"/>
              <w:jc w:val="left"/>
              <w:rPr>
                <w:rFonts w:hint="eastAsia" w:ascii="宋体" w:hAnsi="宋体" w:eastAsia="宋体" w:cs="宋体"/>
                <w:color w:val="auto"/>
                <w:sz w:val="24"/>
                <w:highlight w:val="none"/>
              </w:rPr>
            </w:pPr>
          </w:p>
        </w:tc>
      </w:tr>
      <w:tr w14:paraId="2D2AEDBF">
        <w:tblPrEx>
          <w:tblCellMar>
            <w:top w:w="0" w:type="dxa"/>
            <w:left w:w="108" w:type="dxa"/>
            <w:bottom w:w="0" w:type="dxa"/>
            <w:right w:w="108" w:type="dxa"/>
          </w:tblCellMar>
        </w:tblPrEx>
        <w:trPr>
          <w:cantSplit/>
          <w:trHeight w:val="345" w:hRule="atLeast"/>
        </w:trPr>
        <w:tc>
          <w:tcPr>
            <w:tcW w:w="2061" w:type="dxa"/>
            <w:tcBorders>
              <w:top w:val="single" w:color="auto" w:sz="6" w:space="0"/>
              <w:left w:val="single" w:color="auto" w:sz="6" w:space="0"/>
              <w:bottom w:val="single" w:color="auto" w:sz="6" w:space="0"/>
              <w:right w:val="single" w:color="auto" w:sz="6" w:space="0"/>
            </w:tcBorders>
            <w:shd w:val="clear" w:color="auto" w:fill="auto"/>
            <w:noWrap w:val="0"/>
            <w:vAlign w:val="center"/>
          </w:tcPr>
          <w:p w14:paraId="022BF370">
            <w:pPr>
              <w:shd w:val="clear"/>
              <w:autoSpaceDE w:val="0"/>
              <w:autoSpaceDN w:val="0"/>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毕业时间</w:t>
            </w:r>
          </w:p>
        </w:tc>
        <w:tc>
          <w:tcPr>
            <w:tcW w:w="1287" w:type="dxa"/>
            <w:tcBorders>
              <w:top w:val="single" w:color="auto" w:sz="6" w:space="0"/>
              <w:left w:val="single" w:color="auto" w:sz="6" w:space="0"/>
              <w:bottom w:val="single" w:color="auto" w:sz="6" w:space="0"/>
              <w:right w:val="single" w:color="auto" w:sz="4" w:space="0"/>
            </w:tcBorders>
            <w:shd w:val="clear" w:color="auto" w:fill="auto"/>
            <w:noWrap w:val="0"/>
            <w:vAlign w:val="center"/>
          </w:tcPr>
          <w:p w14:paraId="65A32F42">
            <w:pPr>
              <w:shd w:val="clear"/>
              <w:autoSpaceDE w:val="0"/>
              <w:autoSpaceDN w:val="0"/>
              <w:spacing w:line="360" w:lineRule="auto"/>
              <w:jc w:val="center"/>
              <w:rPr>
                <w:rFonts w:hint="eastAsia" w:ascii="宋体" w:hAnsi="宋体" w:eastAsia="宋体" w:cs="宋体"/>
                <w:color w:val="auto"/>
                <w:sz w:val="24"/>
                <w:highlight w:val="none"/>
              </w:rPr>
            </w:pPr>
          </w:p>
        </w:tc>
        <w:tc>
          <w:tcPr>
            <w:tcW w:w="5612" w:type="dxa"/>
            <w:vMerge w:val="continue"/>
            <w:tcBorders>
              <w:top w:val="single" w:color="auto" w:sz="6" w:space="0"/>
              <w:left w:val="single" w:color="auto" w:sz="6" w:space="0"/>
              <w:bottom w:val="single" w:color="auto" w:sz="6" w:space="0"/>
              <w:right w:val="single" w:color="auto" w:sz="6" w:space="0"/>
            </w:tcBorders>
            <w:noWrap w:val="0"/>
            <w:vAlign w:val="center"/>
          </w:tcPr>
          <w:p w14:paraId="02263053">
            <w:pPr>
              <w:widowControl/>
              <w:shd w:val="clear"/>
              <w:jc w:val="left"/>
              <w:rPr>
                <w:rFonts w:hint="eastAsia" w:ascii="宋体" w:hAnsi="宋体" w:eastAsia="宋体" w:cs="宋体"/>
                <w:color w:val="auto"/>
                <w:sz w:val="24"/>
                <w:highlight w:val="none"/>
              </w:rPr>
            </w:pPr>
          </w:p>
        </w:tc>
      </w:tr>
      <w:tr w14:paraId="3D4C9380">
        <w:tblPrEx>
          <w:tblCellMar>
            <w:top w:w="0" w:type="dxa"/>
            <w:left w:w="108" w:type="dxa"/>
            <w:bottom w:w="0" w:type="dxa"/>
            <w:right w:w="108" w:type="dxa"/>
          </w:tblCellMar>
        </w:tblPrEx>
        <w:trPr>
          <w:cantSplit/>
          <w:trHeight w:val="422" w:hRule="atLeast"/>
        </w:trPr>
        <w:tc>
          <w:tcPr>
            <w:tcW w:w="2061" w:type="dxa"/>
            <w:tcBorders>
              <w:top w:val="single" w:color="auto" w:sz="6" w:space="0"/>
              <w:left w:val="single" w:color="auto" w:sz="6" w:space="0"/>
              <w:bottom w:val="single" w:color="auto" w:sz="6" w:space="0"/>
              <w:right w:val="single" w:color="auto" w:sz="6" w:space="0"/>
            </w:tcBorders>
            <w:shd w:val="clear" w:color="auto" w:fill="auto"/>
            <w:noWrap w:val="0"/>
            <w:vAlign w:val="center"/>
          </w:tcPr>
          <w:p w14:paraId="423B3ED4">
            <w:pPr>
              <w:shd w:val="clear"/>
              <w:autoSpaceDE w:val="0"/>
              <w:autoSpaceDN w:val="0"/>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所学专业</w:t>
            </w:r>
          </w:p>
        </w:tc>
        <w:tc>
          <w:tcPr>
            <w:tcW w:w="1287" w:type="dxa"/>
            <w:tcBorders>
              <w:top w:val="single" w:color="auto" w:sz="6" w:space="0"/>
              <w:left w:val="single" w:color="auto" w:sz="6" w:space="0"/>
              <w:bottom w:val="single" w:color="auto" w:sz="6" w:space="0"/>
              <w:right w:val="single" w:color="auto" w:sz="4" w:space="0"/>
            </w:tcBorders>
            <w:shd w:val="clear" w:color="auto" w:fill="auto"/>
            <w:noWrap w:val="0"/>
            <w:vAlign w:val="center"/>
          </w:tcPr>
          <w:p w14:paraId="71EA8258">
            <w:pPr>
              <w:shd w:val="clear"/>
              <w:autoSpaceDE w:val="0"/>
              <w:autoSpaceDN w:val="0"/>
              <w:spacing w:line="360" w:lineRule="auto"/>
              <w:jc w:val="center"/>
              <w:rPr>
                <w:rFonts w:hint="eastAsia" w:ascii="宋体" w:hAnsi="宋体" w:eastAsia="宋体" w:cs="宋体"/>
                <w:color w:val="auto"/>
                <w:sz w:val="24"/>
                <w:highlight w:val="none"/>
              </w:rPr>
            </w:pPr>
          </w:p>
        </w:tc>
        <w:tc>
          <w:tcPr>
            <w:tcW w:w="5612" w:type="dxa"/>
            <w:vMerge w:val="continue"/>
            <w:tcBorders>
              <w:top w:val="single" w:color="auto" w:sz="6" w:space="0"/>
              <w:left w:val="single" w:color="auto" w:sz="6" w:space="0"/>
              <w:bottom w:val="single" w:color="auto" w:sz="6" w:space="0"/>
              <w:right w:val="single" w:color="auto" w:sz="6" w:space="0"/>
            </w:tcBorders>
            <w:noWrap w:val="0"/>
            <w:vAlign w:val="center"/>
          </w:tcPr>
          <w:p w14:paraId="7D12FCBA">
            <w:pPr>
              <w:widowControl/>
              <w:shd w:val="clear"/>
              <w:jc w:val="left"/>
              <w:rPr>
                <w:rFonts w:hint="eastAsia" w:ascii="宋体" w:hAnsi="宋体" w:eastAsia="宋体" w:cs="宋体"/>
                <w:color w:val="auto"/>
                <w:sz w:val="24"/>
                <w:highlight w:val="none"/>
              </w:rPr>
            </w:pPr>
          </w:p>
        </w:tc>
      </w:tr>
      <w:tr w14:paraId="2D05A181">
        <w:tblPrEx>
          <w:tblCellMar>
            <w:top w:w="0" w:type="dxa"/>
            <w:left w:w="108" w:type="dxa"/>
            <w:bottom w:w="0" w:type="dxa"/>
            <w:right w:w="108" w:type="dxa"/>
          </w:tblCellMar>
        </w:tblPrEx>
        <w:trPr>
          <w:cantSplit/>
          <w:trHeight w:val="416" w:hRule="atLeast"/>
        </w:trPr>
        <w:tc>
          <w:tcPr>
            <w:tcW w:w="2061" w:type="dxa"/>
            <w:tcBorders>
              <w:top w:val="single" w:color="auto" w:sz="6" w:space="0"/>
              <w:left w:val="single" w:color="auto" w:sz="6" w:space="0"/>
              <w:bottom w:val="single" w:color="auto" w:sz="6" w:space="0"/>
              <w:right w:val="single" w:color="auto" w:sz="6" w:space="0"/>
            </w:tcBorders>
            <w:shd w:val="clear" w:color="auto" w:fill="auto"/>
            <w:noWrap w:val="0"/>
            <w:vAlign w:val="center"/>
          </w:tcPr>
          <w:p w14:paraId="4DCD0E67">
            <w:pPr>
              <w:shd w:val="clear"/>
              <w:autoSpaceDE w:val="0"/>
              <w:autoSpaceDN w:val="0"/>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学历</w:t>
            </w:r>
          </w:p>
        </w:tc>
        <w:tc>
          <w:tcPr>
            <w:tcW w:w="1287" w:type="dxa"/>
            <w:tcBorders>
              <w:top w:val="single" w:color="auto" w:sz="6" w:space="0"/>
              <w:left w:val="single" w:color="auto" w:sz="6" w:space="0"/>
              <w:bottom w:val="single" w:color="auto" w:sz="6" w:space="0"/>
              <w:right w:val="single" w:color="auto" w:sz="4" w:space="0"/>
            </w:tcBorders>
            <w:shd w:val="clear" w:color="auto" w:fill="auto"/>
            <w:noWrap w:val="0"/>
            <w:vAlign w:val="center"/>
          </w:tcPr>
          <w:p w14:paraId="494DD115">
            <w:pPr>
              <w:shd w:val="clear"/>
              <w:autoSpaceDE w:val="0"/>
              <w:autoSpaceDN w:val="0"/>
              <w:spacing w:line="360" w:lineRule="auto"/>
              <w:jc w:val="center"/>
              <w:rPr>
                <w:rFonts w:hint="eastAsia" w:ascii="宋体" w:hAnsi="宋体" w:eastAsia="宋体" w:cs="宋体"/>
                <w:color w:val="auto"/>
                <w:sz w:val="24"/>
                <w:highlight w:val="none"/>
              </w:rPr>
            </w:pPr>
          </w:p>
        </w:tc>
        <w:tc>
          <w:tcPr>
            <w:tcW w:w="5612" w:type="dxa"/>
            <w:vMerge w:val="continue"/>
            <w:tcBorders>
              <w:top w:val="single" w:color="auto" w:sz="6" w:space="0"/>
              <w:left w:val="single" w:color="auto" w:sz="6" w:space="0"/>
              <w:bottom w:val="single" w:color="auto" w:sz="6" w:space="0"/>
              <w:right w:val="single" w:color="auto" w:sz="6" w:space="0"/>
            </w:tcBorders>
            <w:noWrap w:val="0"/>
            <w:vAlign w:val="center"/>
          </w:tcPr>
          <w:p w14:paraId="628A5BF6">
            <w:pPr>
              <w:widowControl/>
              <w:shd w:val="clear"/>
              <w:jc w:val="left"/>
              <w:rPr>
                <w:rFonts w:hint="eastAsia" w:ascii="宋体" w:hAnsi="宋体" w:eastAsia="宋体" w:cs="宋体"/>
                <w:color w:val="auto"/>
                <w:sz w:val="24"/>
                <w:highlight w:val="none"/>
              </w:rPr>
            </w:pPr>
          </w:p>
        </w:tc>
      </w:tr>
      <w:tr w14:paraId="01836A74">
        <w:tblPrEx>
          <w:tblCellMar>
            <w:top w:w="0" w:type="dxa"/>
            <w:left w:w="108" w:type="dxa"/>
            <w:bottom w:w="0" w:type="dxa"/>
            <w:right w:w="108" w:type="dxa"/>
          </w:tblCellMar>
        </w:tblPrEx>
        <w:trPr>
          <w:cantSplit/>
          <w:trHeight w:val="356" w:hRule="atLeast"/>
        </w:trPr>
        <w:tc>
          <w:tcPr>
            <w:tcW w:w="2061" w:type="dxa"/>
            <w:tcBorders>
              <w:top w:val="single" w:color="auto" w:sz="6" w:space="0"/>
              <w:left w:val="single" w:color="auto" w:sz="6" w:space="0"/>
              <w:bottom w:val="single" w:color="auto" w:sz="6" w:space="0"/>
              <w:right w:val="single" w:color="auto" w:sz="6" w:space="0"/>
            </w:tcBorders>
            <w:shd w:val="clear" w:color="auto" w:fill="auto"/>
            <w:noWrap w:val="0"/>
            <w:vAlign w:val="center"/>
          </w:tcPr>
          <w:p w14:paraId="79DED8F1">
            <w:pPr>
              <w:shd w:val="clear"/>
              <w:autoSpaceDE w:val="0"/>
              <w:autoSpaceDN w:val="0"/>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资质证书编号</w:t>
            </w:r>
          </w:p>
        </w:tc>
        <w:tc>
          <w:tcPr>
            <w:tcW w:w="1287" w:type="dxa"/>
            <w:tcBorders>
              <w:top w:val="single" w:color="auto" w:sz="6" w:space="0"/>
              <w:left w:val="single" w:color="auto" w:sz="6" w:space="0"/>
              <w:bottom w:val="single" w:color="auto" w:sz="6" w:space="0"/>
              <w:right w:val="single" w:color="auto" w:sz="4" w:space="0"/>
            </w:tcBorders>
            <w:shd w:val="clear" w:color="auto" w:fill="auto"/>
            <w:noWrap w:val="0"/>
            <w:vAlign w:val="center"/>
          </w:tcPr>
          <w:p w14:paraId="283BACBD">
            <w:pPr>
              <w:shd w:val="clear"/>
              <w:autoSpaceDE w:val="0"/>
              <w:autoSpaceDN w:val="0"/>
              <w:spacing w:line="360" w:lineRule="auto"/>
              <w:jc w:val="center"/>
              <w:rPr>
                <w:rFonts w:hint="eastAsia" w:ascii="宋体" w:hAnsi="宋体" w:eastAsia="宋体" w:cs="宋体"/>
                <w:color w:val="auto"/>
                <w:sz w:val="24"/>
                <w:highlight w:val="none"/>
              </w:rPr>
            </w:pPr>
          </w:p>
        </w:tc>
        <w:tc>
          <w:tcPr>
            <w:tcW w:w="5612" w:type="dxa"/>
            <w:vMerge w:val="continue"/>
            <w:tcBorders>
              <w:top w:val="single" w:color="auto" w:sz="6" w:space="0"/>
              <w:left w:val="single" w:color="auto" w:sz="6" w:space="0"/>
              <w:bottom w:val="single" w:color="auto" w:sz="6" w:space="0"/>
              <w:right w:val="single" w:color="auto" w:sz="6" w:space="0"/>
            </w:tcBorders>
            <w:noWrap w:val="0"/>
            <w:vAlign w:val="center"/>
          </w:tcPr>
          <w:p w14:paraId="0CDD0F2D">
            <w:pPr>
              <w:widowControl/>
              <w:shd w:val="clear"/>
              <w:jc w:val="left"/>
              <w:rPr>
                <w:rFonts w:hint="eastAsia" w:ascii="宋体" w:hAnsi="宋体" w:eastAsia="宋体" w:cs="宋体"/>
                <w:color w:val="auto"/>
                <w:sz w:val="24"/>
                <w:highlight w:val="none"/>
              </w:rPr>
            </w:pPr>
          </w:p>
        </w:tc>
      </w:tr>
      <w:tr w14:paraId="28CE2E42">
        <w:tblPrEx>
          <w:tblCellMar>
            <w:top w:w="0" w:type="dxa"/>
            <w:left w:w="108" w:type="dxa"/>
            <w:bottom w:w="0" w:type="dxa"/>
            <w:right w:w="108" w:type="dxa"/>
          </w:tblCellMar>
        </w:tblPrEx>
        <w:trPr>
          <w:cantSplit/>
          <w:trHeight w:val="177" w:hRule="atLeast"/>
        </w:trPr>
        <w:tc>
          <w:tcPr>
            <w:tcW w:w="2061" w:type="dxa"/>
            <w:tcBorders>
              <w:top w:val="single" w:color="auto" w:sz="6" w:space="0"/>
              <w:left w:val="single" w:color="auto" w:sz="6" w:space="0"/>
              <w:bottom w:val="single" w:color="auto" w:sz="6" w:space="0"/>
              <w:right w:val="single" w:color="auto" w:sz="6" w:space="0"/>
            </w:tcBorders>
            <w:shd w:val="clear" w:color="auto" w:fill="auto"/>
            <w:noWrap w:val="0"/>
            <w:vAlign w:val="center"/>
          </w:tcPr>
          <w:p w14:paraId="38BC7936">
            <w:pPr>
              <w:shd w:val="clear"/>
              <w:autoSpaceDE w:val="0"/>
              <w:autoSpaceDN w:val="0"/>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其他资质情况</w:t>
            </w:r>
          </w:p>
        </w:tc>
        <w:tc>
          <w:tcPr>
            <w:tcW w:w="1287" w:type="dxa"/>
            <w:tcBorders>
              <w:top w:val="single" w:color="auto" w:sz="6" w:space="0"/>
              <w:left w:val="single" w:color="auto" w:sz="6" w:space="0"/>
              <w:bottom w:val="single" w:color="auto" w:sz="6" w:space="0"/>
              <w:right w:val="single" w:color="auto" w:sz="4" w:space="0"/>
            </w:tcBorders>
            <w:shd w:val="clear" w:color="auto" w:fill="auto"/>
            <w:noWrap w:val="0"/>
            <w:vAlign w:val="center"/>
          </w:tcPr>
          <w:p w14:paraId="592D7EE7">
            <w:pPr>
              <w:shd w:val="clear"/>
              <w:autoSpaceDE w:val="0"/>
              <w:autoSpaceDN w:val="0"/>
              <w:spacing w:line="360" w:lineRule="auto"/>
              <w:jc w:val="center"/>
              <w:rPr>
                <w:rFonts w:hint="eastAsia" w:ascii="宋体" w:hAnsi="宋体" w:eastAsia="宋体" w:cs="宋体"/>
                <w:color w:val="auto"/>
                <w:sz w:val="24"/>
                <w:highlight w:val="none"/>
              </w:rPr>
            </w:pPr>
          </w:p>
        </w:tc>
        <w:tc>
          <w:tcPr>
            <w:tcW w:w="5612" w:type="dxa"/>
            <w:vMerge w:val="continue"/>
            <w:tcBorders>
              <w:top w:val="single" w:color="auto" w:sz="6" w:space="0"/>
              <w:left w:val="single" w:color="auto" w:sz="6" w:space="0"/>
              <w:bottom w:val="single" w:color="auto" w:sz="6" w:space="0"/>
              <w:right w:val="single" w:color="auto" w:sz="6" w:space="0"/>
            </w:tcBorders>
            <w:noWrap w:val="0"/>
            <w:vAlign w:val="center"/>
          </w:tcPr>
          <w:p w14:paraId="47460AD1">
            <w:pPr>
              <w:widowControl/>
              <w:shd w:val="clear"/>
              <w:jc w:val="left"/>
              <w:rPr>
                <w:rFonts w:hint="eastAsia" w:ascii="宋体" w:hAnsi="宋体" w:eastAsia="宋体" w:cs="宋体"/>
                <w:color w:val="auto"/>
                <w:sz w:val="24"/>
                <w:highlight w:val="none"/>
              </w:rPr>
            </w:pPr>
          </w:p>
        </w:tc>
      </w:tr>
      <w:tr w14:paraId="7EBD5397">
        <w:tblPrEx>
          <w:tblCellMar>
            <w:top w:w="0" w:type="dxa"/>
            <w:left w:w="108" w:type="dxa"/>
            <w:bottom w:w="0" w:type="dxa"/>
            <w:right w:w="108" w:type="dxa"/>
          </w:tblCellMar>
        </w:tblPrEx>
        <w:trPr>
          <w:cantSplit/>
          <w:trHeight w:val="169" w:hRule="atLeast"/>
        </w:trPr>
        <w:tc>
          <w:tcPr>
            <w:tcW w:w="2061" w:type="dxa"/>
            <w:tcBorders>
              <w:top w:val="single" w:color="auto" w:sz="6" w:space="0"/>
              <w:left w:val="single" w:color="auto" w:sz="6" w:space="0"/>
              <w:bottom w:val="single" w:color="auto" w:sz="6" w:space="0"/>
              <w:right w:val="single" w:color="auto" w:sz="6" w:space="0"/>
            </w:tcBorders>
            <w:shd w:val="clear" w:color="auto" w:fill="auto"/>
            <w:noWrap w:val="0"/>
            <w:vAlign w:val="center"/>
          </w:tcPr>
          <w:p w14:paraId="14456460">
            <w:pPr>
              <w:shd w:val="clear"/>
              <w:autoSpaceDE w:val="0"/>
              <w:autoSpaceDN w:val="0"/>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联系电话</w:t>
            </w:r>
          </w:p>
        </w:tc>
        <w:tc>
          <w:tcPr>
            <w:tcW w:w="1287" w:type="dxa"/>
            <w:tcBorders>
              <w:top w:val="single" w:color="auto" w:sz="6" w:space="0"/>
              <w:left w:val="single" w:color="auto" w:sz="6" w:space="0"/>
              <w:bottom w:val="single" w:color="auto" w:sz="6" w:space="0"/>
              <w:right w:val="single" w:color="auto" w:sz="4" w:space="0"/>
            </w:tcBorders>
            <w:shd w:val="clear" w:color="auto" w:fill="auto"/>
            <w:noWrap w:val="0"/>
            <w:vAlign w:val="center"/>
          </w:tcPr>
          <w:p w14:paraId="5297772E">
            <w:pPr>
              <w:shd w:val="clear"/>
              <w:autoSpaceDE w:val="0"/>
              <w:autoSpaceDN w:val="0"/>
              <w:spacing w:line="360" w:lineRule="auto"/>
              <w:jc w:val="center"/>
              <w:rPr>
                <w:rFonts w:hint="eastAsia" w:ascii="宋体" w:hAnsi="宋体" w:eastAsia="宋体" w:cs="宋体"/>
                <w:color w:val="auto"/>
                <w:sz w:val="24"/>
                <w:highlight w:val="none"/>
              </w:rPr>
            </w:pPr>
          </w:p>
        </w:tc>
        <w:tc>
          <w:tcPr>
            <w:tcW w:w="5612" w:type="dxa"/>
            <w:vMerge w:val="continue"/>
            <w:tcBorders>
              <w:top w:val="single" w:color="auto" w:sz="6" w:space="0"/>
              <w:left w:val="single" w:color="auto" w:sz="6" w:space="0"/>
              <w:bottom w:val="single" w:color="auto" w:sz="6" w:space="0"/>
              <w:right w:val="single" w:color="auto" w:sz="6" w:space="0"/>
            </w:tcBorders>
            <w:noWrap w:val="0"/>
            <w:vAlign w:val="center"/>
          </w:tcPr>
          <w:p w14:paraId="084ABD06">
            <w:pPr>
              <w:widowControl/>
              <w:shd w:val="clear"/>
              <w:jc w:val="left"/>
              <w:rPr>
                <w:rFonts w:hint="eastAsia" w:ascii="宋体" w:hAnsi="宋体" w:eastAsia="宋体" w:cs="宋体"/>
                <w:color w:val="auto"/>
                <w:sz w:val="24"/>
                <w:highlight w:val="none"/>
              </w:rPr>
            </w:pPr>
          </w:p>
        </w:tc>
      </w:tr>
    </w:tbl>
    <w:p w14:paraId="4D1DA745">
      <w:pPr>
        <w:shd w:val="clear"/>
        <w:autoSpaceDE w:val="0"/>
        <w:autoSpaceDN w:val="0"/>
        <w:spacing w:line="360" w:lineRule="auto"/>
        <w:rPr>
          <w:rFonts w:hint="eastAsia" w:ascii="宋体" w:hAnsi="宋体" w:eastAsia="宋体" w:cs="宋体"/>
          <w:b/>
          <w:color w:val="auto"/>
          <w:sz w:val="24"/>
          <w:highlight w:val="none"/>
        </w:rPr>
      </w:pPr>
      <w:r>
        <w:rPr>
          <w:rFonts w:hint="eastAsia" w:ascii="宋体" w:hAnsi="宋体" w:eastAsia="宋体" w:cs="宋体"/>
          <w:b/>
          <w:color w:val="auto"/>
          <w:sz w:val="24"/>
          <w:highlight w:val="none"/>
        </w:rPr>
        <w:t>注：投标人可</w:t>
      </w:r>
      <w:r>
        <w:rPr>
          <w:rFonts w:hint="eastAsia" w:ascii="宋体" w:hAnsi="宋体" w:eastAsia="宋体" w:cs="宋体"/>
          <w:b/>
          <w:color w:val="auto"/>
          <w:sz w:val="24"/>
          <w:highlight w:val="none"/>
          <w:lang w:eastAsia="zh-CN"/>
        </w:rPr>
        <w:t>参照</w:t>
      </w:r>
      <w:r>
        <w:rPr>
          <w:rFonts w:hint="eastAsia" w:ascii="宋体" w:hAnsi="宋体" w:eastAsia="宋体" w:cs="宋体"/>
          <w:b/>
          <w:color w:val="auto"/>
          <w:sz w:val="24"/>
          <w:highlight w:val="none"/>
        </w:rPr>
        <w:t>上述的格式自行编制。</w:t>
      </w:r>
    </w:p>
    <w:p w14:paraId="22BD2B13">
      <w:pPr>
        <w:shd w:val="clear"/>
        <w:autoSpaceDE w:val="0"/>
        <w:autoSpaceDN w:val="0"/>
        <w:spacing w:line="360" w:lineRule="auto"/>
        <w:rPr>
          <w:rFonts w:hint="eastAsia" w:ascii="宋体" w:hAnsi="宋体" w:eastAsia="宋体" w:cs="宋体"/>
          <w:b/>
          <w:color w:val="auto"/>
          <w:sz w:val="24"/>
          <w:highlight w:val="none"/>
        </w:rPr>
      </w:pPr>
    </w:p>
    <w:p w14:paraId="33683346">
      <w:pPr>
        <w:shd w:val="clear"/>
        <w:autoSpaceDE w:val="0"/>
        <w:autoSpaceDN w:val="0"/>
        <w:spacing w:line="360" w:lineRule="auto"/>
        <w:rPr>
          <w:rFonts w:hint="eastAsia" w:ascii="宋体" w:hAnsi="宋体" w:eastAsia="宋体" w:cs="宋体"/>
          <w:b/>
          <w:color w:val="auto"/>
          <w:sz w:val="24"/>
          <w:highlight w:val="none"/>
        </w:rPr>
      </w:pPr>
      <w:r>
        <w:rPr>
          <w:rFonts w:hint="eastAsia" w:ascii="宋体" w:hAnsi="宋体" w:eastAsia="宋体" w:cs="宋体"/>
          <w:b/>
          <w:color w:val="auto"/>
          <w:sz w:val="24"/>
          <w:highlight w:val="none"/>
        </w:rPr>
        <w:t>附表B</w:t>
      </w:r>
      <w:r>
        <w:rPr>
          <w:rFonts w:hint="eastAsia" w:ascii="宋体" w:hAnsi="宋体" w:cs="宋体"/>
          <w:b/>
          <w:color w:val="auto"/>
          <w:sz w:val="24"/>
          <w:highlight w:val="none"/>
          <w:lang w:eastAsia="zh-CN"/>
        </w:rPr>
        <w:t>：</w:t>
      </w:r>
      <w:r>
        <w:rPr>
          <w:rFonts w:hint="eastAsia" w:ascii="宋体" w:hAnsi="宋体" w:eastAsia="宋体" w:cs="宋体"/>
          <w:b/>
          <w:color w:val="auto"/>
          <w:sz w:val="24"/>
          <w:highlight w:val="none"/>
        </w:rPr>
        <w:t>本项目的项目小组人员情况表</w:t>
      </w:r>
      <w:r>
        <w:rPr>
          <w:rFonts w:hint="eastAsia" w:ascii="宋体" w:hAnsi="宋体" w:eastAsia="宋体" w:cs="宋体"/>
          <w:color w:val="auto"/>
          <w:sz w:val="24"/>
          <w:highlight w:val="none"/>
        </w:rPr>
        <w:t>（</w:t>
      </w:r>
      <w:r>
        <w:rPr>
          <w:rFonts w:hint="eastAsia" w:ascii="宋体" w:hAnsi="宋体" w:eastAsia="宋体" w:cs="宋体"/>
          <w:color w:val="auto"/>
          <w:sz w:val="24"/>
          <w:highlight w:val="none"/>
          <w:lang w:eastAsia="zh-CN"/>
        </w:rPr>
        <w:t>参照</w:t>
      </w:r>
      <w:r>
        <w:rPr>
          <w:rFonts w:hint="eastAsia" w:ascii="宋体" w:hAnsi="宋体" w:eastAsia="宋体" w:cs="宋体"/>
          <w:color w:val="auto"/>
          <w:sz w:val="24"/>
          <w:highlight w:val="none"/>
        </w:rPr>
        <w:t>此格式自制）</w:t>
      </w:r>
    </w:p>
    <w:tbl>
      <w:tblPr>
        <w:tblStyle w:val="18"/>
        <w:tblW w:w="9030" w:type="dxa"/>
        <w:tblInd w:w="108" w:type="dxa"/>
        <w:tblLayout w:type="fixed"/>
        <w:tblCellMar>
          <w:top w:w="0" w:type="dxa"/>
          <w:left w:w="108" w:type="dxa"/>
          <w:bottom w:w="0" w:type="dxa"/>
          <w:right w:w="108" w:type="dxa"/>
        </w:tblCellMar>
      </w:tblPr>
      <w:tblGrid>
        <w:gridCol w:w="420"/>
        <w:gridCol w:w="787"/>
        <w:gridCol w:w="412"/>
        <w:gridCol w:w="586"/>
        <w:gridCol w:w="1035"/>
        <w:gridCol w:w="1080"/>
        <w:gridCol w:w="1080"/>
        <w:gridCol w:w="1260"/>
        <w:gridCol w:w="900"/>
        <w:gridCol w:w="1470"/>
      </w:tblGrid>
      <w:tr w14:paraId="17FB66F6">
        <w:tblPrEx>
          <w:tblCellMar>
            <w:top w:w="0" w:type="dxa"/>
            <w:left w:w="108" w:type="dxa"/>
            <w:bottom w:w="0" w:type="dxa"/>
            <w:right w:w="108" w:type="dxa"/>
          </w:tblCellMar>
        </w:tblPrEx>
        <w:tc>
          <w:tcPr>
            <w:tcW w:w="420" w:type="dxa"/>
            <w:tcBorders>
              <w:top w:val="single" w:color="auto" w:sz="6" w:space="0"/>
              <w:left w:val="single" w:color="auto" w:sz="6" w:space="0"/>
              <w:bottom w:val="single" w:color="auto" w:sz="6" w:space="0"/>
              <w:right w:val="single" w:color="auto" w:sz="6" w:space="0"/>
            </w:tcBorders>
            <w:noWrap w:val="0"/>
            <w:vAlign w:val="center"/>
          </w:tcPr>
          <w:p w14:paraId="14A75215">
            <w:pPr>
              <w:shd w:val="clear"/>
              <w:autoSpaceDE w:val="0"/>
              <w:autoSpaceDN w:val="0"/>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序号</w:t>
            </w:r>
          </w:p>
        </w:tc>
        <w:tc>
          <w:tcPr>
            <w:tcW w:w="787" w:type="dxa"/>
            <w:tcBorders>
              <w:top w:val="single" w:color="auto" w:sz="6" w:space="0"/>
              <w:left w:val="single" w:color="auto" w:sz="6" w:space="0"/>
              <w:bottom w:val="single" w:color="auto" w:sz="6" w:space="0"/>
              <w:right w:val="single" w:color="auto" w:sz="6" w:space="0"/>
            </w:tcBorders>
            <w:noWrap w:val="0"/>
            <w:vAlign w:val="center"/>
          </w:tcPr>
          <w:p w14:paraId="3780013C">
            <w:pPr>
              <w:shd w:val="clear"/>
              <w:autoSpaceDE w:val="0"/>
              <w:autoSpaceDN w:val="0"/>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姓名</w:t>
            </w:r>
          </w:p>
        </w:tc>
        <w:tc>
          <w:tcPr>
            <w:tcW w:w="412" w:type="dxa"/>
            <w:tcBorders>
              <w:top w:val="single" w:color="auto" w:sz="6" w:space="0"/>
              <w:left w:val="single" w:color="auto" w:sz="6" w:space="0"/>
              <w:bottom w:val="single" w:color="auto" w:sz="6" w:space="0"/>
              <w:right w:val="single" w:color="auto" w:sz="6" w:space="0"/>
            </w:tcBorders>
            <w:noWrap w:val="0"/>
            <w:vAlign w:val="center"/>
          </w:tcPr>
          <w:p w14:paraId="49D2C368">
            <w:pPr>
              <w:shd w:val="clear"/>
              <w:autoSpaceDE w:val="0"/>
              <w:autoSpaceDN w:val="0"/>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性别</w:t>
            </w:r>
          </w:p>
        </w:tc>
        <w:tc>
          <w:tcPr>
            <w:tcW w:w="586" w:type="dxa"/>
            <w:tcBorders>
              <w:top w:val="single" w:color="auto" w:sz="6" w:space="0"/>
              <w:left w:val="single" w:color="auto" w:sz="6" w:space="0"/>
              <w:bottom w:val="single" w:color="auto" w:sz="6" w:space="0"/>
              <w:right w:val="single" w:color="auto" w:sz="6" w:space="0"/>
            </w:tcBorders>
            <w:noWrap w:val="0"/>
            <w:vAlign w:val="center"/>
          </w:tcPr>
          <w:p w14:paraId="5CA63DCB">
            <w:pPr>
              <w:shd w:val="clear"/>
              <w:autoSpaceDE w:val="0"/>
              <w:autoSpaceDN w:val="0"/>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年龄</w:t>
            </w:r>
          </w:p>
        </w:tc>
        <w:tc>
          <w:tcPr>
            <w:tcW w:w="1035" w:type="dxa"/>
            <w:tcBorders>
              <w:top w:val="single" w:color="auto" w:sz="6" w:space="0"/>
              <w:left w:val="single" w:color="auto" w:sz="6" w:space="0"/>
              <w:bottom w:val="single" w:color="auto" w:sz="6" w:space="0"/>
              <w:right w:val="single" w:color="auto" w:sz="6" w:space="0"/>
            </w:tcBorders>
            <w:noWrap w:val="0"/>
            <w:vAlign w:val="center"/>
          </w:tcPr>
          <w:p w14:paraId="62734596">
            <w:pPr>
              <w:shd w:val="clear"/>
              <w:autoSpaceDE w:val="0"/>
              <w:autoSpaceDN w:val="0"/>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学历</w:t>
            </w:r>
          </w:p>
        </w:tc>
        <w:tc>
          <w:tcPr>
            <w:tcW w:w="1080" w:type="dxa"/>
            <w:tcBorders>
              <w:top w:val="single" w:color="auto" w:sz="6" w:space="0"/>
              <w:left w:val="single" w:color="auto" w:sz="6" w:space="0"/>
              <w:bottom w:val="single" w:color="auto" w:sz="6" w:space="0"/>
              <w:right w:val="single" w:color="auto" w:sz="6" w:space="0"/>
            </w:tcBorders>
            <w:noWrap w:val="0"/>
            <w:vAlign w:val="center"/>
          </w:tcPr>
          <w:p w14:paraId="5189AC94">
            <w:pPr>
              <w:shd w:val="clear"/>
              <w:autoSpaceDE w:val="0"/>
              <w:autoSpaceDN w:val="0"/>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专业</w:t>
            </w:r>
          </w:p>
        </w:tc>
        <w:tc>
          <w:tcPr>
            <w:tcW w:w="1080" w:type="dxa"/>
            <w:tcBorders>
              <w:top w:val="single" w:color="auto" w:sz="6" w:space="0"/>
              <w:left w:val="single" w:color="auto" w:sz="6" w:space="0"/>
              <w:bottom w:val="single" w:color="auto" w:sz="6" w:space="0"/>
              <w:right w:val="single" w:color="auto" w:sz="6" w:space="0"/>
            </w:tcBorders>
            <w:noWrap w:val="0"/>
            <w:vAlign w:val="center"/>
          </w:tcPr>
          <w:p w14:paraId="6D0ED96B">
            <w:pPr>
              <w:shd w:val="clear"/>
              <w:autoSpaceDE w:val="0"/>
              <w:autoSpaceDN w:val="0"/>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职称</w:t>
            </w:r>
          </w:p>
        </w:tc>
        <w:tc>
          <w:tcPr>
            <w:tcW w:w="1260" w:type="dxa"/>
            <w:tcBorders>
              <w:top w:val="single" w:color="auto" w:sz="6" w:space="0"/>
              <w:left w:val="single" w:color="auto" w:sz="6" w:space="0"/>
              <w:bottom w:val="single" w:color="auto" w:sz="6" w:space="0"/>
              <w:right w:val="single" w:color="auto" w:sz="6" w:space="0"/>
            </w:tcBorders>
            <w:noWrap w:val="0"/>
            <w:vAlign w:val="center"/>
          </w:tcPr>
          <w:p w14:paraId="5FE2AE7B">
            <w:pPr>
              <w:shd w:val="clear"/>
              <w:autoSpaceDE w:val="0"/>
              <w:autoSpaceDN w:val="0"/>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本项目中的职责</w:t>
            </w:r>
          </w:p>
        </w:tc>
        <w:tc>
          <w:tcPr>
            <w:tcW w:w="900" w:type="dxa"/>
            <w:tcBorders>
              <w:top w:val="single" w:color="auto" w:sz="6" w:space="0"/>
              <w:left w:val="single" w:color="auto" w:sz="6" w:space="0"/>
              <w:bottom w:val="single" w:color="auto" w:sz="6" w:space="0"/>
              <w:right w:val="single" w:color="auto" w:sz="6" w:space="0"/>
            </w:tcBorders>
            <w:noWrap w:val="0"/>
            <w:vAlign w:val="center"/>
          </w:tcPr>
          <w:p w14:paraId="7EEE64A2">
            <w:pPr>
              <w:shd w:val="clear"/>
              <w:autoSpaceDE w:val="0"/>
              <w:autoSpaceDN w:val="0"/>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项目经历</w:t>
            </w:r>
          </w:p>
        </w:tc>
        <w:tc>
          <w:tcPr>
            <w:tcW w:w="1470" w:type="dxa"/>
            <w:tcBorders>
              <w:top w:val="single" w:color="auto" w:sz="6" w:space="0"/>
              <w:left w:val="single" w:color="auto" w:sz="6" w:space="0"/>
              <w:bottom w:val="single" w:color="auto" w:sz="6" w:space="0"/>
              <w:right w:val="single" w:color="auto" w:sz="6" w:space="0"/>
            </w:tcBorders>
            <w:noWrap w:val="0"/>
            <w:vAlign w:val="center"/>
          </w:tcPr>
          <w:p w14:paraId="6E60FCF3">
            <w:pPr>
              <w:shd w:val="clear"/>
              <w:autoSpaceDE w:val="0"/>
              <w:autoSpaceDN w:val="0"/>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参与本项目的到位情况</w:t>
            </w:r>
          </w:p>
        </w:tc>
      </w:tr>
      <w:tr w14:paraId="73A4ECA4">
        <w:tblPrEx>
          <w:tblCellMar>
            <w:top w:w="0" w:type="dxa"/>
            <w:left w:w="108" w:type="dxa"/>
            <w:bottom w:w="0" w:type="dxa"/>
            <w:right w:w="108" w:type="dxa"/>
          </w:tblCellMar>
        </w:tblPrEx>
        <w:trPr>
          <w:trHeight w:val="479" w:hRule="atLeast"/>
        </w:trPr>
        <w:tc>
          <w:tcPr>
            <w:tcW w:w="420" w:type="dxa"/>
            <w:tcBorders>
              <w:top w:val="single" w:color="auto" w:sz="6" w:space="0"/>
              <w:left w:val="single" w:color="auto" w:sz="6" w:space="0"/>
              <w:bottom w:val="single" w:color="auto" w:sz="6" w:space="0"/>
              <w:right w:val="single" w:color="auto" w:sz="6" w:space="0"/>
            </w:tcBorders>
            <w:noWrap w:val="0"/>
            <w:vAlign w:val="top"/>
          </w:tcPr>
          <w:p w14:paraId="1CA53A4F">
            <w:pPr>
              <w:shd w:val="clear"/>
              <w:autoSpaceDE w:val="0"/>
              <w:autoSpaceDN w:val="0"/>
              <w:spacing w:line="360" w:lineRule="auto"/>
              <w:jc w:val="center"/>
              <w:rPr>
                <w:rFonts w:hint="eastAsia" w:ascii="宋体" w:hAnsi="宋体" w:eastAsia="宋体" w:cs="宋体"/>
                <w:color w:val="auto"/>
                <w:sz w:val="24"/>
                <w:highlight w:val="none"/>
              </w:rPr>
            </w:pPr>
          </w:p>
        </w:tc>
        <w:tc>
          <w:tcPr>
            <w:tcW w:w="787" w:type="dxa"/>
            <w:tcBorders>
              <w:top w:val="single" w:color="auto" w:sz="6" w:space="0"/>
              <w:left w:val="single" w:color="auto" w:sz="6" w:space="0"/>
              <w:bottom w:val="single" w:color="auto" w:sz="6" w:space="0"/>
              <w:right w:val="single" w:color="auto" w:sz="6" w:space="0"/>
            </w:tcBorders>
            <w:noWrap w:val="0"/>
            <w:vAlign w:val="top"/>
          </w:tcPr>
          <w:p w14:paraId="4E2E20AE">
            <w:pPr>
              <w:shd w:val="clear"/>
              <w:autoSpaceDE w:val="0"/>
              <w:autoSpaceDN w:val="0"/>
              <w:spacing w:line="360" w:lineRule="auto"/>
              <w:rPr>
                <w:rFonts w:hint="eastAsia" w:ascii="宋体" w:hAnsi="宋体" w:eastAsia="宋体" w:cs="宋体"/>
                <w:color w:val="auto"/>
                <w:sz w:val="24"/>
                <w:highlight w:val="none"/>
              </w:rPr>
            </w:pPr>
          </w:p>
        </w:tc>
        <w:tc>
          <w:tcPr>
            <w:tcW w:w="412" w:type="dxa"/>
            <w:tcBorders>
              <w:top w:val="single" w:color="auto" w:sz="6" w:space="0"/>
              <w:left w:val="single" w:color="auto" w:sz="6" w:space="0"/>
              <w:bottom w:val="single" w:color="auto" w:sz="6" w:space="0"/>
              <w:right w:val="single" w:color="auto" w:sz="6" w:space="0"/>
            </w:tcBorders>
            <w:noWrap w:val="0"/>
            <w:vAlign w:val="top"/>
          </w:tcPr>
          <w:p w14:paraId="3F2D5E63">
            <w:pPr>
              <w:shd w:val="clear"/>
              <w:autoSpaceDE w:val="0"/>
              <w:autoSpaceDN w:val="0"/>
              <w:spacing w:line="360" w:lineRule="auto"/>
              <w:rPr>
                <w:rFonts w:hint="eastAsia" w:ascii="宋体" w:hAnsi="宋体" w:eastAsia="宋体" w:cs="宋体"/>
                <w:color w:val="auto"/>
                <w:sz w:val="24"/>
                <w:highlight w:val="none"/>
              </w:rPr>
            </w:pPr>
          </w:p>
        </w:tc>
        <w:tc>
          <w:tcPr>
            <w:tcW w:w="586" w:type="dxa"/>
            <w:tcBorders>
              <w:top w:val="single" w:color="auto" w:sz="6" w:space="0"/>
              <w:left w:val="single" w:color="auto" w:sz="6" w:space="0"/>
              <w:bottom w:val="single" w:color="auto" w:sz="6" w:space="0"/>
              <w:right w:val="single" w:color="auto" w:sz="6" w:space="0"/>
            </w:tcBorders>
            <w:noWrap w:val="0"/>
            <w:vAlign w:val="top"/>
          </w:tcPr>
          <w:p w14:paraId="56A8D2FD">
            <w:pPr>
              <w:shd w:val="clear"/>
              <w:autoSpaceDE w:val="0"/>
              <w:autoSpaceDN w:val="0"/>
              <w:spacing w:line="360" w:lineRule="auto"/>
              <w:rPr>
                <w:rFonts w:hint="eastAsia" w:ascii="宋体" w:hAnsi="宋体" w:eastAsia="宋体" w:cs="宋体"/>
                <w:color w:val="auto"/>
                <w:sz w:val="24"/>
                <w:highlight w:val="none"/>
              </w:rPr>
            </w:pPr>
          </w:p>
        </w:tc>
        <w:tc>
          <w:tcPr>
            <w:tcW w:w="1035" w:type="dxa"/>
            <w:tcBorders>
              <w:top w:val="single" w:color="auto" w:sz="6" w:space="0"/>
              <w:left w:val="single" w:color="auto" w:sz="6" w:space="0"/>
              <w:bottom w:val="single" w:color="auto" w:sz="6" w:space="0"/>
              <w:right w:val="single" w:color="auto" w:sz="6" w:space="0"/>
            </w:tcBorders>
            <w:noWrap w:val="0"/>
            <w:vAlign w:val="top"/>
          </w:tcPr>
          <w:p w14:paraId="59052715">
            <w:pPr>
              <w:shd w:val="clear"/>
              <w:autoSpaceDE w:val="0"/>
              <w:autoSpaceDN w:val="0"/>
              <w:spacing w:line="360" w:lineRule="auto"/>
              <w:rPr>
                <w:rFonts w:hint="eastAsia" w:ascii="宋体" w:hAnsi="宋体" w:eastAsia="宋体" w:cs="宋体"/>
                <w:color w:val="auto"/>
                <w:sz w:val="24"/>
                <w:highlight w:val="none"/>
              </w:rPr>
            </w:pPr>
          </w:p>
        </w:tc>
        <w:tc>
          <w:tcPr>
            <w:tcW w:w="1080" w:type="dxa"/>
            <w:tcBorders>
              <w:top w:val="single" w:color="auto" w:sz="6" w:space="0"/>
              <w:left w:val="single" w:color="auto" w:sz="6" w:space="0"/>
              <w:bottom w:val="single" w:color="auto" w:sz="6" w:space="0"/>
              <w:right w:val="single" w:color="auto" w:sz="6" w:space="0"/>
            </w:tcBorders>
            <w:noWrap w:val="0"/>
            <w:vAlign w:val="top"/>
          </w:tcPr>
          <w:p w14:paraId="497569AC">
            <w:pPr>
              <w:shd w:val="clear"/>
              <w:autoSpaceDE w:val="0"/>
              <w:autoSpaceDN w:val="0"/>
              <w:spacing w:line="360" w:lineRule="auto"/>
              <w:rPr>
                <w:rFonts w:hint="eastAsia" w:ascii="宋体" w:hAnsi="宋体" w:eastAsia="宋体" w:cs="宋体"/>
                <w:color w:val="auto"/>
                <w:sz w:val="24"/>
                <w:highlight w:val="none"/>
              </w:rPr>
            </w:pPr>
          </w:p>
        </w:tc>
        <w:tc>
          <w:tcPr>
            <w:tcW w:w="1080" w:type="dxa"/>
            <w:tcBorders>
              <w:top w:val="single" w:color="auto" w:sz="6" w:space="0"/>
              <w:left w:val="single" w:color="auto" w:sz="6" w:space="0"/>
              <w:bottom w:val="single" w:color="auto" w:sz="6" w:space="0"/>
              <w:right w:val="single" w:color="auto" w:sz="6" w:space="0"/>
            </w:tcBorders>
            <w:noWrap w:val="0"/>
            <w:vAlign w:val="top"/>
          </w:tcPr>
          <w:p w14:paraId="15045F7F">
            <w:pPr>
              <w:shd w:val="clear"/>
              <w:autoSpaceDE w:val="0"/>
              <w:autoSpaceDN w:val="0"/>
              <w:spacing w:line="360" w:lineRule="auto"/>
              <w:rPr>
                <w:rFonts w:hint="eastAsia" w:ascii="宋体" w:hAnsi="宋体" w:eastAsia="宋体" w:cs="宋体"/>
                <w:color w:val="auto"/>
                <w:sz w:val="24"/>
                <w:highlight w:val="none"/>
              </w:rPr>
            </w:pPr>
          </w:p>
        </w:tc>
        <w:tc>
          <w:tcPr>
            <w:tcW w:w="1260" w:type="dxa"/>
            <w:tcBorders>
              <w:top w:val="single" w:color="auto" w:sz="6" w:space="0"/>
              <w:left w:val="single" w:color="auto" w:sz="6" w:space="0"/>
              <w:bottom w:val="single" w:color="auto" w:sz="6" w:space="0"/>
              <w:right w:val="single" w:color="auto" w:sz="6" w:space="0"/>
            </w:tcBorders>
            <w:noWrap w:val="0"/>
            <w:vAlign w:val="top"/>
          </w:tcPr>
          <w:p w14:paraId="64F8B228">
            <w:pPr>
              <w:shd w:val="clear"/>
              <w:autoSpaceDE w:val="0"/>
              <w:autoSpaceDN w:val="0"/>
              <w:spacing w:line="360" w:lineRule="auto"/>
              <w:rPr>
                <w:rFonts w:hint="eastAsia" w:ascii="宋体" w:hAnsi="宋体" w:eastAsia="宋体" w:cs="宋体"/>
                <w:color w:val="auto"/>
                <w:sz w:val="24"/>
                <w:highlight w:val="none"/>
              </w:rPr>
            </w:pPr>
          </w:p>
        </w:tc>
        <w:tc>
          <w:tcPr>
            <w:tcW w:w="900" w:type="dxa"/>
            <w:tcBorders>
              <w:top w:val="single" w:color="auto" w:sz="6" w:space="0"/>
              <w:left w:val="single" w:color="auto" w:sz="6" w:space="0"/>
              <w:bottom w:val="single" w:color="auto" w:sz="6" w:space="0"/>
              <w:right w:val="single" w:color="auto" w:sz="6" w:space="0"/>
            </w:tcBorders>
            <w:noWrap w:val="0"/>
            <w:vAlign w:val="top"/>
          </w:tcPr>
          <w:p w14:paraId="75D0CB46">
            <w:pPr>
              <w:shd w:val="clear"/>
              <w:autoSpaceDE w:val="0"/>
              <w:autoSpaceDN w:val="0"/>
              <w:spacing w:line="360" w:lineRule="auto"/>
              <w:rPr>
                <w:rFonts w:hint="eastAsia" w:ascii="宋体" w:hAnsi="宋体" w:eastAsia="宋体" w:cs="宋体"/>
                <w:color w:val="auto"/>
                <w:sz w:val="24"/>
                <w:highlight w:val="none"/>
              </w:rPr>
            </w:pPr>
          </w:p>
        </w:tc>
        <w:tc>
          <w:tcPr>
            <w:tcW w:w="1470" w:type="dxa"/>
            <w:tcBorders>
              <w:top w:val="single" w:color="auto" w:sz="6" w:space="0"/>
              <w:left w:val="single" w:color="auto" w:sz="6" w:space="0"/>
              <w:bottom w:val="single" w:color="auto" w:sz="6" w:space="0"/>
              <w:right w:val="single" w:color="auto" w:sz="6" w:space="0"/>
            </w:tcBorders>
            <w:noWrap w:val="0"/>
            <w:vAlign w:val="top"/>
          </w:tcPr>
          <w:p w14:paraId="27232091">
            <w:pPr>
              <w:shd w:val="clear"/>
              <w:autoSpaceDE w:val="0"/>
              <w:autoSpaceDN w:val="0"/>
              <w:spacing w:line="360" w:lineRule="auto"/>
              <w:rPr>
                <w:rFonts w:hint="eastAsia" w:ascii="宋体" w:hAnsi="宋体" w:eastAsia="宋体" w:cs="宋体"/>
                <w:color w:val="auto"/>
                <w:sz w:val="24"/>
                <w:highlight w:val="none"/>
              </w:rPr>
            </w:pPr>
          </w:p>
        </w:tc>
      </w:tr>
      <w:tr w14:paraId="0922F5BC">
        <w:tblPrEx>
          <w:tblCellMar>
            <w:top w:w="0" w:type="dxa"/>
            <w:left w:w="108" w:type="dxa"/>
            <w:bottom w:w="0" w:type="dxa"/>
            <w:right w:w="108" w:type="dxa"/>
          </w:tblCellMar>
        </w:tblPrEx>
        <w:trPr>
          <w:trHeight w:val="473" w:hRule="atLeast"/>
        </w:trPr>
        <w:tc>
          <w:tcPr>
            <w:tcW w:w="420" w:type="dxa"/>
            <w:tcBorders>
              <w:top w:val="single" w:color="auto" w:sz="6" w:space="0"/>
              <w:left w:val="single" w:color="auto" w:sz="6" w:space="0"/>
              <w:bottom w:val="single" w:color="auto" w:sz="6" w:space="0"/>
              <w:right w:val="single" w:color="auto" w:sz="6" w:space="0"/>
            </w:tcBorders>
            <w:noWrap w:val="0"/>
            <w:vAlign w:val="top"/>
          </w:tcPr>
          <w:p w14:paraId="4EDF2E42">
            <w:pPr>
              <w:shd w:val="clear"/>
              <w:autoSpaceDE w:val="0"/>
              <w:autoSpaceDN w:val="0"/>
              <w:spacing w:line="360" w:lineRule="auto"/>
              <w:jc w:val="center"/>
              <w:rPr>
                <w:rFonts w:hint="eastAsia" w:ascii="宋体" w:hAnsi="宋体" w:eastAsia="宋体" w:cs="宋体"/>
                <w:color w:val="auto"/>
                <w:sz w:val="24"/>
                <w:highlight w:val="none"/>
              </w:rPr>
            </w:pPr>
          </w:p>
        </w:tc>
        <w:tc>
          <w:tcPr>
            <w:tcW w:w="787" w:type="dxa"/>
            <w:tcBorders>
              <w:top w:val="single" w:color="auto" w:sz="6" w:space="0"/>
              <w:left w:val="single" w:color="auto" w:sz="6" w:space="0"/>
              <w:bottom w:val="single" w:color="auto" w:sz="6" w:space="0"/>
              <w:right w:val="single" w:color="auto" w:sz="6" w:space="0"/>
            </w:tcBorders>
            <w:noWrap w:val="0"/>
            <w:vAlign w:val="top"/>
          </w:tcPr>
          <w:p w14:paraId="2C4B77B5">
            <w:pPr>
              <w:shd w:val="clear"/>
              <w:autoSpaceDE w:val="0"/>
              <w:autoSpaceDN w:val="0"/>
              <w:spacing w:line="360" w:lineRule="auto"/>
              <w:rPr>
                <w:rFonts w:hint="eastAsia" w:ascii="宋体" w:hAnsi="宋体" w:eastAsia="宋体" w:cs="宋体"/>
                <w:color w:val="auto"/>
                <w:sz w:val="24"/>
                <w:highlight w:val="none"/>
              </w:rPr>
            </w:pPr>
          </w:p>
        </w:tc>
        <w:tc>
          <w:tcPr>
            <w:tcW w:w="412" w:type="dxa"/>
            <w:tcBorders>
              <w:top w:val="single" w:color="auto" w:sz="6" w:space="0"/>
              <w:left w:val="single" w:color="auto" w:sz="6" w:space="0"/>
              <w:bottom w:val="single" w:color="auto" w:sz="6" w:space="0"/>
              <w:right w:val="single" w:color="auto" w:sz="6" w:space="0"/>
            </w:tcBorders>
            <w:noWrap w:val="0"/>
            <w:vAlign w:val="top"/>
          </w:tcPr>
          <w:p w14:paraId="0EE30CC0">
            <w:pPr>
              <w:shd w:val="clear"/>
              <w:autoSpaceDE w:val="0"/>
              <w:autoSpaceDN w:val="0"/>
              <w:spacing w:line="360" w:lineRule="auto"/>
              <w:rPr>
                <w:rFonts w:hint="eastAsia" w:ascii="宋体" w:hAnsi="宋体" w:eastAsia="宋体" w:cs="宋体"/>
                <w:color w:val="auto"/>
                <w:sz w:val="24"/>
                <w:highlight w:val="none"/>
              </w:rPr>
            </w:pPr>
          </w:p>
        </w:tc>
        <w:tc>
          <w:tcPr>
            <w:tcW w:w="586" w:type="dxa"/>
            <w:tcBorders>
              <w:top w:val="single" w:color="auto" w:sz="6" w:space="0"/>
              <w:left w:val="single" w:color="auto" w:sz="6" w:space="0"/>
              <w:bottom w:val="single" w:color="auto" w:sz="6" w:space="0"/>
              <w:right w:val="single" w:color="auto" w:sz="6" w:space="0"/>
            </w:tcBorders>
            <w:noWrap w:val="0"/>
            <w:vAlign w:val="top"/>
          </w:tcPr>
          <w:p w14:paraId="6E41EE2A">
            <w:pPr>
              <w:shd w:val="clear"/>
              <w:autoSpaceDE w:val="0"/>
              <w:autoSpaceDN w:val="0"/>
              <w:spacing w:line="360" w:lineRule="auto"/>
              <w:rPr>
                <w:rFonts w:hint="eastAsia" w:ascii="宋体" w:hAnsi="宋体" w:eastAsia="宋体" w:cs="宋体"/>
                <w:color w:val="auto"/>
                <w:sz w:val="24"/>
                <w:highlight w:val="none"/>
              </w:rPr>
            </w:pPr>
          </w:p>
        </w:tc>
        <w:tc>
          <w:tcPr>
            <w:tcW w:w="1035" w:type="dxa"/>
            <w:tcBorders>
              <w:top w:val="single" w:color="auto" w:sz="6" w:space="0"/>
              <w:left w:val="single" w:color="auto" w:sz="6" w:space="0"/>
              <w:bottom w:val="single" w:color="auto" w:sz="6" w:space="0"/>
              <w:right w:val="single" w:color="auto" w:sz="6" w:space="0"/>
            </w:tcBorders>
            <w:noWrap w:val="0"/>
            <w:vAlign w:val="top"/>
          </w:tcPr>
          <w:p w14:paraId="7C3273C7">
            <w:pPr>
              <w:shd w:val="clear"/>
              <w:autoSpaceDE w:val="0"/>
              <w:autoSpaceDN w:val="0"/>
              <w:spacing w:line="360" w:lineRule="auto"/>
              <w:rPr>
                <w:rFonts w:hint="eastAsia" w:ascii="宋体" w:hAnsi="宋体" w:eastAsia="宋体" w:cs="宋体"/>
                <w:color w:val="auto"/>
                <w:sz w:val="24"/>
                <w:highlight w:val="none"/>
              </w:rPr>
            </w:pPr>
          </w:p>
        </w:tc>
        <w:tc>
          <w:tcPr>
            <w:tcW w:w="1080" w:type="dxa"/>
            <w:tcBorders>
              <w:top w:val="single" w:color="auto" w:sz="6" w:space="0"/>
              <w:left w:val="single" w:color="auto" w:sz="6" w:space="0"/>
              <w:bottom w:val="single" w:color="auto" w:sz="6" w:space="0"/>
              <w:right w:val="single" w:color="auto" w:sz="6" w:space="0"/>
            </w:tcBorders>
            <w:noWrap w:val="0"/>
            <w:vAlign w:val="top"/>
          </w:tcPr>
          <w:p w14:paraId="75B04FBB">
            <w:pPr>
              <w:shd w:val="clear"/>
              <w:autoSpaceDE w:val="0"/>
              <w:autoSpaceDN w:val="0"/>
              <w:spacing w:line="360" w:lineRule="auto"/>
              <w:rPr>
                <w:rFonts w:hint="eastAsia" w:ascii="宋体" w:hAnsi="宋体" w:eastAsia="宋体" w:cs="宋体"/>
                <w:color w:val="auto"/>
                <w:sz w:val="24"/>
                <w:highlight w:val="none"/>
              </w:rPr>
            </w:pPr>
          </w:p>
        </w:tc>
        <w:tc>
          <w:tcPr>
            <w:tcW w:w="1080" w:type="dxa"/>
            <w:tcBorders>
              <w:top w:val="single" w:color="auto" w:sz="6" w:space="0"/>
              <w:left w:val="single" w:color="auto" w:sz="6" w:space="0"/>
              <w:bottom w:val="single" w:color="auto" w:sz="6" w:space="0"/>
              <w:right w:val="single" w:color="auto" w:sz="6" w:space="0"/>
            </w:tcBorders>
            <w:noWrap w:val="0"/>
            <w:vAlign w:val="top"/>
          </w:tcPr>
          <w:p w14:paraId="7CE0DC1E">
            <w:pPr>
              <w:shd w:val="clear"/>
              <w:autoSpaceDE w:val="0"/>
              <w:autoSpaceDN w:val="0"/>
              <w:spacing w:line="360" w:lineRule="auto"/>
              <w:rPr>
                <w:rFonts w:hint="eastAsia" w:ascii="宋体" w:hAnsi="宋体" w:eastAsia="宋体" w:cs="宋体"/>
                <w:color w:val="auto"/>
                <w:sz w:val="24"/>
                <w:highlight w:val="none"/>
              </w:rPr>
            </w:pPr>
          </w:p>
        </w:tc>
        <w:tc>
          <w:tcPr>
            <w:tcW w:w="1260" w:type="dxa"/>
            <w:tcBorders>
              <w:top w:val="single" w:color="auto" w:sz="6" w:space="0"/>
              <w:left w:val="single" w:color="auto" w:sz="6" w:space="0"/>
              <w:bottom w:val="single" w:color="auto" w:sz="6" w:space="0"/>
              <w:right w:val="single" w:color="auto" w:sz="6" w:space="0"/>
            </w:tcBorders>
            <w:noWrap w:val="0"/>
            <w:vAlign w:val="top"/>
          </w:tcPr>
          <w:p w14:paraId="03584A2D">
            <w:pPr>
              <w:shd w:val="clear"/>
              <w:autoSpaceDE w:val="0"/>
              <w:autoSpaceDN w:val="0"/>
              <w:spacing w:line="360" w:lineRule="auto"/>
              <w:rPr>
                <w:rFonts w:hint="eastAsia" w:ascii="宋体" w:hAnsi="宋体" w:eastAsia="宋体" w:cs="宋体"/>
                <w:color w:val="auto"/>
                <w:sz w:val="24"/>
                <w:highlight w:val="none"/>
              </w:rPr>
            </w:pPr>
          </w:p>
        </w:tc>
        <w:tc>
          <w:tcPr>
            <w:tcW w:w="900" w:type="dxa"/>
            <w:tcBorders>
              <w:top w:val="single" w:color="auto" w:sz="6" w:space="0"/>
              <w:left w:val="single" w:color="auto" w:sz="6" w:space="0"/>
              <w:bottom w:val="single" w:color="auto" w:sz="6" w:space="0"/>
              <w:right w:val="single" w:color="auto" w:sz="6" w:space="0"/>
            </w:tcBorders>
            <w:noWrap w:val="0"/>
            <w:vAlign w:val="top"/>
          </w:tcPr>
          <w:p w14:paraId="77D3BDF2">
            <w:pPr>
              <w:shd w:val="clear"/>
              <w:autoSpaceDE w:val="0"/>
              <w:autoSpaceDN w:val="0"/>
              <w:spacing w:line="360" w:lineRule="auto"/>
              <w:rPr>
                <w:rFonts w:hint="eastAsia" w:ascii="宋体" w:hAnsi="宋体" w:eastAsia="宋体" w:cs="宋体"/>
                <w:color w:val="auto"/>
                <w:sz w:val="24"/>
                <w:highlight w:val="none"/>
              </w:rPr>
            </w:pPr>
          </w:p>
        </w:tc>
        <w:tc>
          <w:tcPr>
            <w:tcW w:w="1470" w:type="dxa"/>
            <w:tcBorders>
              <w:top w:val="single" w:color="auto" w:sz="6" w:space="0"/>
              <w:left w:val="single" w:color="auto" w:sz="6" w:space="0"/>
              <w:bottom w:val="single" w:color="auto" w:sz="6" w:space="0"/>
              <w:right w:val="single" w:color="auto" w:sz="6" w:space="0"/>
            </w:tcBorders>
            <w:noWrap w:val="0"/>
            <w:vAlign w:val="top"/>
          </w:tcPr>
          <w:p w14:paraId="5493A841">
            <w:pPr>
              <w:shd w:val="clear"/>
              <w:autoSpaceDE w:val="0"/>
              <w:autoSpaceDN w:val="0"/>
              <w:spacing w:line="360" w:lineRule="auto"/>
              <w:rPr>
                <w:rFonts w:hint="eastAsia" w:ascii="宋体" w:hAnsi="宋体" w:eastAsia="宋体" w:cs="宋体"/>
                <w:color w:val="auto"/>
                <w:sz w:val="24"/>
                <w:highlight w:val="none"/>
              </w:rPr>
            </w:pPr>
          </w:p>
        </w:tc>
      </w:tr>
    </w:tbl>
    <w:p w14:paraId="18FB92BF">
      <w:pPr>
        <w:shd w:val="clear"/>
        <w:spacing w:line="360" w:lineRule="auto"/>
        <w:rPr>
          <w:rFonts w:hint="eastAsia" w:ascii="宋体" w:hAnsi="宋体" w:eastAsia="宋体" w:cs="宋体"/>
          <w:b/>
          <w:bCs/>
          <w:color w:val="auto"/>
          <w:sz w:val="24"/>
          <w:highlight w:val="none"/>
        </w:rPr>
      </w:pPr>
      <w:r>
        <w:rPr>
          <w:rFonts w:hint="eastAsia" w:ascii="宋体" w:hAnsi="宋体" w:eastAsia="宋体" w:cs="宋体"/>
          <w:b/>
          <w:color w:val="auto"/>
          <w:sz w:val="24"/>
          <w:highlight w:val="none"/>
        </w:rPr>
        <w:t>注：投标人可</w:t>
      </w:r>
      <w:r>
        <w:rPr>
          <w:rFonts w:hint="eastAsia" w:ascii="宋体" w:hAnsi="宋体" w:eastAsia="宋体" w:cs="宋体"/>
          <w:b/>
          <w:color w:val="auto"/>
          <w:sz w:val="24"/>
          <w:highlight w:val="none"/>
          <w:lang w:eastAsia="zh-CN"/>
        </w:rPr>
        <w:t>参照</w:t>
      </w:r>
      <w:r>
        <w:rPr>
          <w:rFonts w:hint="eastAsia" w:ascii="宋体" w:hAnsi="宋体" w:eastAsia="宋体" w:cs="宋体"/>
          <w:b/>
          <w:color w:val="auto"/>
          <w:sz w:val="24"/>
          <w:highlight w:val="none"/>
        </w:rPr>
        <w:t>上述的格式自行编制。</w:t>
      </w:r>
    </w:p>
    <w:p w14:paraId="46C9924D">
      <w:pPr>
        <w:shd w:val="clear"/>
        <w:snapToGrid w:val="0"/>
        <w:spacing w:line="360" w:lineRule="auto"/>
        <w:ind w:firstLine="4320" w:firstLineChars="1800"/>
        <w:rPr>
          <w:rFonts w:hint="eastAsia" w:ascii="宋体" w:hAnsi="宋体" w:eastAsia="宋体" w:cs="宋体"/>
          <w:color w:val="auto"/>
          <w:kern w:val="0"/>
          <w:sz w:val="24"/>
          <w:highlight w:val="none"/>
          <w:lang w:val="zh-CN"/>
        </w:rPr>
      </w:pPr>
    </w:p>
    <w:p w14:paraId="717FA702">
      <w:pPr>
        <w:shd w:val="clear"/>
        <w:snapToGrid w:val="0"/>
        <w:spacing w:line="360" w:lineRule="auto"/>
        <w:ind w:firstLine="4320" w:firstLineChars="1800"/>
        <w:rPr>
          <w:rFonts w:hint="eastAsia" w:ascii="宋体" w:hAnsi="宋体" w:eastAsia="宋体" w:cs="宋体"/>
          <w:color w:val="auto"/>
          <w:kern w:val="0"/>
          <w:sz w:val="24"/>
          <w:highlight w:val="none"/>
          <w:lang w:val="zh-CN"/>
        </w:rPr>
      </w:pPr>
    </w:p>
    <w:p w14:paraId="2C0CE3DB">
      <w:pPr>
        <w:shd w:val="clear"/>
        <w:snapToGrid w:val="0"/>
        <w:spacing w:line="360" w:lineRule="auto"/>
        <w:ind w:firstLine="5040" w:firstLineChars="2100"/>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lang w:val="zh-CN"/>
        </w:rPr>
        <w:t>投标人名称(盖公章)：</w:t>
      </w:r>
    </w:p>
    <w:p w14:paraId="3ECBD321">
      <w:pPr>
        <w:shd w:val="clear"/>
        <w:autoSpaceDE w:val="0"/>
        <w:autoSpaceDN w:val="0"/>
        <w:spacing w:line="360" w:lineRule="auto"/>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 xml:space="preserve">                                    </w:t>
      </w:r>
      <w:r>
        <w:rPr>
          <w:rFonts w:hint="eastAsia" w:ascii="宋体" w:hAnsi="宋体" w:eastAsia="宋体" w:cs="宋体"/>
          <w:color w:val="auto"/>
          <w:kern w:val="0"/>
          <w:sz w:val="24"/>
          <w:highlight w:val="none"/>
          <w:lang w:val="en-US" w:eastAsia="zh-CN"/>
        </w:rPr>
        <w:t xml:space="preserve">     </w:t>
      </w:r>
      <w:r>
        <w:rPr>
          <w:rFonts w:hint="eastAsia" w:ascii="宋体" w:hAnsi="宋体" w:eastAsia="宋体" w:cs="宋体"/>
          <w:color w:val="auto"/>
          <w:kern w:val="0"/>
          <w:sz w:val="24"/>
          <w:highlight w:val="none"/>
        </w:rPr>
        <w:t xml:space="preserve"> </w:t>
      </w:r>
      <w:r>
        <w:rPr>
          <w:rFonts w:hint="eastAsia" w:ascii="宋体" w:hAnsi="宋体" w:eastAsia="宋体" w:cs="宋体"/>
          <w:color w:val="auto"/>
          <w:kern w:val="0"/>
          <w:sz w:val="24"/>
          <w:highlight w:val="none"/>
          <w:lang w:val="zh-CN"/>
        </w:rPr>
        <w:t>日期：  年  月   日</w:t>
      </w:r>
    </w:p>
    <w:p w14:paraId="44E8B647">
      <w:pPr>
        <w:shd w:val="clear"/>
        <w:snapToGrid w:val="0"/>
        <w:spacing w:before="50" w:after="50"/>
        <w:rPr>
          <w:rFonts w:hint="eastAsia" w:ascii="宋体" w:hAnsi="宋体" w:eastAsia="宋体" w:cs="宋体"/>
          <w:color w:val="auto"/>
          <w:sz w:val="24"/>
          <w:highlight w:val="none"/>
        </w:rPr>
      </w:pPr>
    </w:p>
    <w:p w14:paraId="006DA5D3">
      <w:pPr>
        <w:pStyle w:val="12"/>
        <w:shd w:val="clear"/>
        <w:jc w:val="center"/>
        <w:outlineLvl w:val="1"/>
        <w:rPr>
          <w:rFonts w:hint="eastAsia" w:ascii="宋体" w:hAnsi="宋体" w:eastAsia="宋体" w:cs="宋体"/>
          <w:b/>
          <w:bCs/>
          <w:color w:val="auto"/>
          <w:sz w:val="28"/>
          <w:szCs w:val="28"/>
          <w:highlight w:val="none"/>
        </w:rPr>
      </w:pPr>
      <w:bookmarkStart w:id="383" w:name="_Toc31920"/>
      <w:bookmarkStart w:id="384" w:name="_Toc28617"/>
      <w:bookmarkStart w:id="385" w:name="_Toc9015"/>
      <w:bookmarkStart w:id="386" w:name="_Toc17719"/>
      <w:bookmarkStart w:id="387" w:name="_Toc3481"/>
      <w:bookmarkStart w:id="388" w:name="_Toc30951"/>
      <w:bookmarkStart w:id="389" w:name="_Toc12868"/>
      <w:bookmarkStart w:id="390" w:name="_Toc1343"/>
      <w:bookmarkStart w:id="391" w:name="_Toc12675"/>
      <w:bookmarkStart w:id="392" w:name="_Toc22926"/>
    </w:p>
    <w:p w14:paraId="715882BA">
      <w:pPr>
        <w:pStyle w:val="12"/>
        <w:shd w:val="clear"/>
        <w:jc w:val="center"/>
        <w:outlineLvl w:val="1"/>
        <w:rPr>
          <w:rFonts w:hint="eastAsia" w:ascii="宋体" w:hAnsi="宋体" w:eastAsia="宋体" w:cs="宋体"/>
          <w:b/>
          <w:bCs/>
          <w:color w:val="auto"/>
          <w:sz w:val="28"/>
          <w:szCs w:val="28"/>
          <w:highlight w:val="none"/>
        </w:rPr>
      </w:pPr>
      <w:r>
        <w:rPr>
          <w:rFonts w:hint="eastAsia" w:ascii="宋体" w:hAnsi="宋体" w:eastAsia="宋体" w:cs="宋体"/>
          <w:b/>
          <w:bCs/>
          <w:color w:val="auto"/>
          <w:sz w:val="28"/>
          <w:szCs w:val="28"/>
          <w:highlight w:val="none"/>
        </w:rPr>
        <w:t>第</w:t>
      </w:r>
      <w:r>
        <w:rPr>
          <w:rFonts w:hint="eastAsia" w:ascii="宋体" w:hAnsi="宋体" w:eastAsia="宋体" w:cs="宋体"/>
          <w:b/>
          <w:bCs/>
          <w:color w:val="auto"/>
          <w:sz w:val="28"/>
          <w:szCs w:val="28"/>
          <w:highlight w:val="none"/>
          <w:lang w:eastAsia="zh-CN"/>
        </w:rPr>
        <w:t>四</w:t>
      </w:r>
      <w:r>
        <w:rPr>
          <w:rFonts w:hint="eastAsia" w:ascii="宋体" w:hAnsi="宋体" w:eastAsia="宋体" w:cs="宋体"/>
          <w:b/>
          <w:bCs/>
          <w:color w:val="auto"/>
          <w:sz w:val="28"/>
          <w:szCs w:val="28"/>
          <w:highlight w:val="none"/>
        </w:rPr>
        <w:t>节 报价文件格式</w:t>
      </w:r>
      <w:bookmarkEnd w:id="383"/>
      <w:bookmarkEnd w:id="384"/>
      <w:bookmarkEnd w:id="385"/>
      <w:bookmarkEnd w:id="386"/>
      <w:bookmarkEnd w:id="387"/>
      <w:bookmarkEnd w:id="388"/>
      <w:bookmarkEnd w:id="389"/>
      <w:bookmarkEnd w:id="390"/>
      <w:bookmarkEnd w:id="391"/>
      <w:bookmarkEnd w:id="392"/>
    </w:p>
    <w:p w14:paraId="171CBADD">
      <w:pPr>
        <w:shd w:val="clear"/>
        <w:snapToGrid w:val="0"/>
        <w:spacing w:before="165" w:beforeLines="50" w:after="50" w:line="400" w:lineRule="exact"/>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  </w:t>
      </w:r>
      <w:r>
        <w:rPr>
          <w:rFonts w:hint="eastAsia" w:ascii="宋体" w:hAnsi="宋体" w:eastAsia="宋体" w:cs="宋体"/>
          <w:b/>
          <w:bCs/>
          <w:color w:val="auto"/>
          <w:sz w:val="28"/>
          <w:szCs w:val="28"/>
          <w:highlight w:val="none"/>
          <w:lang w:val="en-US" w:eastAsia="zh-CN"/>
        </w:rPr>
        <w:t>1.</w:t>
      </w:r>
      <w:r>
        <w:rPr>
          <w:rFonts w:hint="eastAsia" w:ascii="宋体" w:hAnsi="宋体" w:eastAsia="宋体" w:cs="宋体"/>
          <w:b/>
          <w:bCs/>
          <w:color w:val="auto"/>
          <w:sz w:val="28"/>
          <w:szCs w:val="28"/>
          <w:highlight w:val="none"/>
        </w:rPr>
        <w:t>报价文件</w:t>
      </w:r>
      <w:r>
        <w:rPr>
          <w:rFonts w:hint="eastAsia" w:ascii="宋体" w:hAnsi="宋体" w:eastAsia="宋体" w:cs="宋体"/>
          <w:b/>
          <w:bCs/>
          <w:color w:val="auto"/>
          <w:sz w:val="28"/>
          <w:szCs w:val="28"/>
          <w:highlight w:val="none"/>
          <w:lang w:eastAsia="zh-CN"/>
        </w:rPr>
        <w:t>封面的格式（参照此格式自拟）：</w:t>
      </w:r>
      <w:r>
        <w:rPr>
          <w:rFonts w:hint="eastAsia" w:ascii="宋体" w:hAnsi="宋体" w:eastAsia="宋体" w:cs="宋体"/>
          <w:color w:val="auto"/>
          <w:sz w:val="24"/>
          <w:highlight w:val="none"/>
        </w:rPr>
        <w:t xml:space="preserve">                                </w:t>
      </w:r>
    </w:p>
    <w:p w14:paraId="30F5410A">
      <w:pPr>
        <w:shd w:val="clear"/>
        <w:snapToGrid w:val="0"/>
        <w:spacing w:before="165" w:beforeLines="50" w:after="50" w:line="400" w:lineRule="exact"/>
        <w:rPr>
          <w:rFonts w:hint="eastAsia" w:ascii="宋体" w:hAnsi="宋体" w:eastAsia="宋体" w:cs="宋体"/>
          <w:color w:val="auto"/>
          <w:sz w:val="24"/>
          <w:highlight w:val="none"/>
        </w:rPr>
      </w:pPr>
    </w:p>
    <w:p w14:paraId="5DAE095B">
      <w:pPr>
        <w:shd w:val="clear"/>
        <w:snapToGrid w:val="0"/>
        <w:spacing w:before="165" w:beforeLines="50" w:after="50" w:line="400" w:lineRule="exact"/>
        <w:rPr>
          <w:rFonts w:hint="eastAsia" w:ascii="宋体" w:hAnsi="宋体" w:eastAsia="宋体" w:cs="宋体"/>
          <w:bCs/>
          <w:color w:val="auto"/>
          <w:sz w:val="32"/>
          <w:szCs w:val="20"/>
          <w:highlight w:val="none"/>
        </w:rPr>
      </w:pPr>
      <w:r>
        <w:rPr>
          <w:rFonts w:hint="eastAsia" w:ascii="宋体" w:hAnsi="宋体" w:eastAsia="宋体" w:cs="宋体"/>
          <w:color w:val="auto"/>
          <w:sz w:val="24"/>
          <w:highlight w:val="none"/>
        </w:rPr>
        <w:t xml:space="preserve">                        </w:t>
      </w:r>
      <w:r>
        <w:rPr>
          <w:rFonts w:hint="eastAsia" w:ascii="宋体" w:hAnsi="宋体" w:eastAsia="宋体" w:cs="宋体"/>
          <w:color w:val="auto"/>
          <w:sz w:val="24"/>
          <w:highlight w:val="none"/>
          <w:lang w:val="en-US" w:eastAsia="zh-CN"/>
        </w:rPr>
        <w:t xml:space="preserve">                                  </w:t>
      </w:r>
      <w:r>
        <w:rPr>
          <w:rFonts w:hint="eastAsia" w:ascii="宋体" w:hAnsi="宋体" w:eastAsia="宋体" w:cs="宋体"/>
          <w:bCs/>
          <w:color w:val="auto"/>
          <w:highlight w:val="none"/>
        </w:rPr>
        <w:t>电子投标文件</w:t>
      </w:r>
    </w:p>
    <w:p w14:paraId="5AC1A5B4">
      <w:pPr>
        <w:shd w:val="clear"/>
        <w:snapToGrid w:val="0"/>
        <w:spacing w:before="165" w:beforeLines="50" w:after="50" w:line="400" w:lineRule="exact"/>
        <w:jc w:val="center"/>
        <w:rPr>
          <w:rFonts w:hint="eastAsia" w:ascii="宋体" w:hAnsi="宋体" w:eastAsia="宋体" w:cs="宋体"/>
          <w:bCs/>
          <w:color w:val="auto"/>
          <w:sz w:val="24"/>
          <w:szCs w:val="20"/>
          <w:highlight w:val="none"/>
        </w:rPr>
      </w:pPr>
    </w:p>
    <w:p w14:paraId="5CD78D39">
      <w:pPr>
        <w:shd w:val="clear"/>
        <w:snapToGrid w:val="0"/>
        <w:spacing w:before="165" w:beforeLines="50" w:after="50" w:line="400" w:lineRule="exact"/>
        <w:jc w:val="center"/>
        <w:rPr>
          <w:rFonts w:hint="eastAsia" w:ascii="宋体" w:hAnsi="宋体" w:eastAsia="宋体" w:cs="宋体"/>
          <w:b/>
          <w:bCs/>
          <w:color w:val="auto"/>
          <w:sz w:val="32"/>
          <w:szCs w:val="32"/>
          <w:highlight w:val="none"/>
        </w:rPr>
      </w:pPr>
      <w:r>
        <w:rPr>
          <w:rFonts w:hint="eastAsia" w:ascii="宋体" w:hAnsi="宋体" w:eastAsia="宋体" w:cs="宋体"/>
          <w:b/>
          <w:bCs/>
          <w:color w:val="auto"/>
          <w:sz w:val="32"/>
          <w:szCs w:val="32"/>
          <w:highlight w:val="none"/>
        </w:rPr>
        <w:t>报价文件</w:t>
      </w:r>
    </w:p>
    <w:p w14:paraId="4138C15F">
      <w:pPr>
        <w:shd w:val="clear"/>
        <w:snapToGrid w:val="0"/>
        <w:spacing w:before="165" w:beforeLines="50" w:after="50" w:line="400" w:lineRule="exact"/>
        <w:rPr>
          <w:rFonts w:hint="eastAsia" w:ascii="宋体" w:hAnsi="宋体" w:eastAsia="宋体" w:cs="宋体"/>
          <w:bCs/>
          <w:color w:val="auto"/>
          <w:sz w:val="24"/>
          <w:szCs w:val="20"/>
          <w:highlight w:val="none"/>
        </w:rPr>
      </w:pPr>
    </w:p>
    <w:p w14:paraId="3E008A78">
      <w:pPr>
        <w:shd w:val="clear"/>
        <w:snapToGrid w:val="0"/>
        <w:spacing w:before="165" w:beforeLines="50" w:after="50" w:line="400" w:lineRule="exact"/>
        <w:rPr>
          <w:rFonts w:hint="eastAsia" w:ascii="宋体" w:hAnsi="宋体" w:eastAsia="宋体" w:cs="宋体"/>
          <w:bCs/>
          <w:color w:val="auto"/>
          <w:sz w:val="24"/>
          <w:szCs w:val="20"/>
          <w:highlight w:val="none"/>
        </w:rPr>
      </w:pPr>
    </w:p>
    <w:p w14:paraId="2C64F986">
      <w:pPr>
        <w:shd w:val="clear"/>
        <w:snapToGrid w:val="0"/>
        <w:spacing w:before="165" w:beforeLines="50" w:after="50" w:line="400" w:lineRule="exact"/>
        <w:rPr>
          <w:rFonts w:hint="eastAsia" w:ascii="宋体" w:hAnsi="宋体" w:eastAsia="宋体" w:cs="宋体"/>
          <w:bCs/>
          <w:color w:val="auto"/>
          <w:sz w:val="24"/>
          <w:szCs w:val="20"/>
          <w:highlight w:val="none"/>
        </w:rPr>
      </w:pPr>
    </w:p>
    <w:p w14:paraId="3DD9BA89">
      <w:pPr>
        <w:shd w:val="clear"/>
        <w:snapToGrid w:val="0"/>
        <w:spacing w:before="165" w:beforeLines="50" w:after="50" w:line="400" w:lineRule="exact"/>
        <w:rPr>
          <w:rFonts w:hint="eastAsia" w:ascii="宋体" w:hAnsi="宋体" w:eastAsia="宋体" w:cs="宋体"/>
          <w:bCs/>
          <w:color w:val="auto"/>
          <w:sz w:val="24"/>
          <w:szCs w:val="20"/>
          <w:highlight w:val="none"/>
        </w:rPr>
      </w:pPr>
    </w:p>
    <w:p w14:paraId="5632B31A">
      <w:pPr>
        <w:shd w:val="clear"/>
        <w:snapToGrid w:val="0"/>
        <w:spacing w:before="165" w:beforeLines="50" w:after="50" w:line="400" w:lineRule="exact"/>
        <w:ind w:firstLine="360" w:firstLineChars="150"/>
        <w:rPr>
          <w:rFonts w:hint="eastAsia" w:ascii="宋体" w:hAnsi="宋体" w:eastAsia="宋体" w:cs="宋体"/>
          <w:bCs/>
          <w:color w:val="auto"/>
          <w:sz w:val="24"/>
          <w:highlight w:val="none"/>
          <w:lang w:eastAsia="zh-CN"/>
        </w:rPr>
      </w:pPr>
      <w:r>
        <w:rPr>
          <w:rFonts w:hint="eastAsia" w:ascii="宋体" w:hAnsi="宋体" w:eastAsia="宋体" w:cs="宋体"/>
          <w:bCs/>
          <w:color w:val="auto"/>
          <w:sz w:val="24"/>
          <w:highlight w:val="none"/>
        </w:rPr>
        <w:t xml:space="preserve">项目名称： </w:t>
      </w:r>
    </w:p>
    <w:p w14:paraId="336CC4A1">
      <w:pPr>
        <w:shd w:val="clear"/>
        <w:snapToGrid w:val="0"/>
        <w:spacing w:before="165" w:beforeLines="50" w:after="50" w:line="400" w:lineRule="exact"/>
        <w:ind w:firstLine="360" w:firstLineChars="150"/>
        <w:rPr>
          <w:rFonts w:hint="eastAsia" w:ascii="宋体" w:hAnsi="宋体" w:eastAsia="宋体" w:cs="宋体"/>
          <w:bCs/>
          <w:color w:val="auto"/>
          <w:sz w:val="24"/>
          <w:highlight w:val="none"/>
        </w:rPr>
      </w:pPr>
    </w:p>
    <w:p w14:paraId="42ECBA7D">
      <w:pPr>
        <w:shd w:val="clear"/>
        <w:snapToGrid w:val="0"/>
        <w:spacing w:before="165" w:beforeLines="50" w:after="50" w:line="400" w:lineRule="exact"/>
        <w:ind w:firstLine="360" w:firstLineChars="150"/>
        <w:rPr>
          <w:rFonts w:hint="eastAsia" w:ascii="宋体" w:hAnsi="宋体" w:eastAsia="宋体" w:cs="宋体"/>
          <w:bCs/>
          <w:color w:val="auto"/>
          <w:sz w:val="24"/>
          <w:highlight w:val="none"/>
        </w:rPr>
      </w:pPr>
      <w:r>
        <w:rPr>
          <w:rFonts w:hint="eastAsia" w:ascii="宋体" w:hAnsi="宋体" w:eastAsia="宋体" w:cs="宋体"/>
          <w:bCs/>
          <w:color w:val="auto"/>
          <w:sz w:val="24"/>
          <w:highlight w:val="none"/>
        </w:rPr>
        <w:t xml:space="preserve">项目编号： </w:t>
      </w:r>
    </w:p>
    <w:p w14:paraId="12810013">
      <w:pPr>
        <w:shd w:val="clear"/>
        <w:snapToGrid w:val="0"/>
        <w:spacing w:before="165" w:beforeLines="50" w:after="50" w:line="400" w:lineRule="exact"/>
        <w:ind w:firstLine="360" w:firstLineChars="150"/>
        <w:rPr>
          <w:rFonts w:hint="eastAsia" w:ascii="宋体" w:hAnsi="宋体" w:eastAsia="宋体" w:cs="宋体"/>
          <w:bCs/>
          <w:color w:val="auto"/>
          <w:sz w:val="24"/>
          <w:highlight w:val="none"/>
        </w:rPr>
      </w:pPr>
    </w:p>
    <w:p w14:paraId="42C444D0">
      <w:pPr>
        <w:shd w:val="clear"/>
        <w:snapToGrid w:val="0"/>
        <w:spacing w:before="165" w:beforeLines="50" w:after="50" w:line="400" w:lineRule="exact"/>
        <w:ind w:firstLine="360" w:firstLineChars="150"/>
        <w:rPr>
          <w:rFonts w:hint="eastAsia" w:ascii="宋体" w:hAnsi="宋体" w:eastAsia="宋体" w:cs="宋体"/>
          <w:bCs/>
          <w:color w:val="auto"/>
          <w:sz w:val="24"/>
          <w:highlight w:val="none"/>
        </w:rPr>
      </w:pPr>
      <w:r>
        <w:rPr>
          <w:rFonts w:hint="eastAsia" w:ascii="宋体" w:hAnsi="宋体" w:eastAsia="宋体" w:cs="宋体"/>
          <w:bCs/>
          <w:color w:val="auto"/>
          <w:sz w:val="24"/>
          <w:highlight w:val="none"/>
        </w:rPr>
        <w:t>所投分标（如有则填写，无分标时填写“无”或者留空）：</w:t>
      </w:r>
    </w:p>
    <w:p w14:paraId="7012E9AD">
      <w:pPr>
        <w:shd w:val="clear"/>
        <w:snapToGrid w:val="0"/>
        <w:spacing w:before="165" w:beforeLines="50" w:after="50" w:line="400" w:lineRule="exact"/>
        <w:ind w:firstLine="360" w:firstLineChars="150"/>
        <w:rPr>
          <w:rFonts w:hint="eastAsia" w:ascii="宋体" w:hAnsi="宋体" w:eastAsia="宋体" w:cs="宋体"/>
          <w:bCs/>
          <w:color w:val="auto"/>
          <w:sz w:val="24"/>
          <w:highlight w:val="none"/>
        </w:rPr>
      </w:pPr>
    </w:p>
    <w:p w14:paraId="61FE56F9">
      <w:pPr>
        <w:shd w:val="clear"/>
        <w:snapToGrid w:val="0"/>
        <w:spacing w:before="165" w:beforeLines="50" w:after="50" w:line="400" w:lineRule="exact"/>
        <w:ind w:firstLine="360" w:firstLineChars="150"/>
        <w:rPr>
          <w:rFonts w:hint="eastAsia" w:ascii="宋体" w:hAnsi="宋体" w:eastAsia="宋体" w:cs="宋体"/>
          <w:bCs/>
          <w:color w:val="auto"/>
          <w:sz w:val="24"/>
          <w:highlight w:val="none"/>
        </w:rPr>
      </w:pPr>
      <w:r>
        <w:rPr>
          <w:rFonts w:hint="eastAsia" w:ascii="宋体" w:hAnsi="宋体" w:eastAsia="宋体" w:cs="宋体"/>
          <w:bCs/>
          <w:color w:val="auto"/>
          <w:sz w:val="24"/>
          <w:highlight w:val="none"/>
        </w:rPr>
        <w:t>投标人名称：</w:t>
      </w:r>
    </w:p>
    <w:p w14:paraId="29FADA5E">
      <w:pPr>
        <w:shd w:val="clear"/>
        <w:snapToGrid w:val="0"/>
        <w:spacing w:before="165" w:beforeLines="50" w:after="50" w:line="400" w:lineRule="exact"/>
        <w:ind w:firstLine="360" w:firstLineChars="150"/>
        <w:rPr>
          <w:rFonts w:hint="eastAsia" w:ascii="宋体" w:hAnsi="宋体" w:eastAsia="宋体" w:cs="宋体"/>
          <w:bCs/>
          <w:color w:val="auto"/>
          <w:sz w:val="24"/>
          <w:highlight w:val="none"/>
        </w:rPr>
      </w:pPr>
    </w:p>
    <w:p w14:paraId="5891C255">
      <w:pPr>
        <w:pStyle w:val="6"/>
        <w:shd w:val="clear"/>
        <w:snapToGrid w:val="0"/>
        <w:spacing w:before="50" w:after="50" w:line="400" w:lineRule="exact"/>
        <w:ind w:firstLine="960" w:firstLineChars="400"/>
        <w:rPr>
          <w:rFonts w:hint="eastAsia" w:ascii="宋体" w:hAnsi="宋体" w:eastAsia="宋体" w:cs="宋体"/>
          <w:bCs/>
          <w:color w:val="auto"/>
          <w:sz w:val="24"/>
          <w:szCs w:val="24"/>
          <w:highlight w:val="none"/>
        </w:rPr>
      </w:pPr>
    </w:p>
    <w:p w14:paraId="6EBE977E">
      <w:pPr>
        <w:shd w:val="clear"/>
        <w:snapToGrid w:val="0"/>
        <w:spacing w:before="165" w:beforeLines="50" w:after="50" w:line="400" w:lineRule="exact"/>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                                                     </w:t>
      </w:r>
    </w:p>
    <w:p w14:paraId="478FA841">
      <w:pPr>
        <w:shd w:val="clear"/>
        <w:snapToGrid w:val="0"/>
        <w:spacing w:before="165" w:beforeLines="50" w:after="50" w:line="400" w:lineRule="exact"/>
        <w:ind w:firstLine="3120" w:firstLineChars="1300"/>
        <w:rPr>
          <w:rFonts w:hint="eastAsia" w:ascii="宋体" w:hAnsi="宋体" w:eastAsia="宋体" w:cs="宋体"/>
          <w:color w:val="auto"/>
          <w:sz w:val="24"/>
          <w:highlight w:val="none"/>
        </w:rPr>
      </w:pPr>
    </w:p>
    <w:p w14:paraId="0DB2FE97">
      <w:pPr>
        <w:shd w:val="clear"/>
        <w:snapToGrid w:val="0"/>
        <w:spacing w:before="165" w:beforeLines="50" w:after="50" w:line="400" w:lineRule="exact"/>
        <w:ind w:firstLine="4320" w:firstLineChars="1800"/>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  年  月  日</w:t>
      </w:r>
    </w:p>
    <w:p w14:paraId="57E2E357">
      <w:pPr>
        <w:widowControl/>
        <w:shd w:val="clear"/>
        <w:jc w:val="left"/>
        <w:rPr>
          <w:rFonts w:hint="eastAsia" w:ascii="宋体" w:hAnsi="宋体" w:eastAsia="宋体" w:cs="宋体"/>
          <w:color w:val="auto"/>
          <w:sz w:val="24"/>
          <w:highlight w:val="none"/>
        </w:rPr>
        <w:sectPr>
          <w:pgSz w:w="11905" w:h="16838"/>
          <w:pgMar w:top="1134" w:right="1134" w:bottom="1134" w:left="1134" w:header="850" w:footer="850" w:gutter="0"/>
          <w:pgNumType w:fmt="decimal"/>
          <w:cols w:space="0" w:num="1"/>
          <w:titlePg/>
          <w:rtlGutter w:val="0"/>
          <w:docGrid w:linePitch="331" w:charSpace="0"/>
        </w:sectPr>
      </w:pPr>
    </w:p>
    <w:p w14:paraId="56DF6F34">
      <w:pPr>
        <w:shd w:val="clear"/>
        <w:snapToGrid w:val="0"/>
        <w:spacing w:before="120" w:beforeLines="50" w:after="50" w:line="360" w:lineRule="auto"/>
        <w:jc w:val="left"/>
        <w:rPr>
          <w:rFonts w:hint="eastAsia" w:ascii="宋体" w:hAnsi="宋体" w:eastAsia="宋体" w:cs="宋体"/>
          <w:color w:val="auto"/>
          <w:sz w:val="28"/>
          <w:szCs w:val="28"/>
          <w:highlight w:val="none"/>
        </w:rPr>
      </w:pPr>
      <w:r>
        <w:rPr>
          <w:rFonts w:hint="eastAsia" w:ascii="宋体" w:hAnsi="宋体" w:eastAsia="宋体" w:cs="宋体"/>
          <w:b/>
          <w:color w:val="auto"/>
          <w:sz w:val="28"/>
          <w:szCs w:val="28"/>
          <w:highlight w:val="none"/>
          <w:lang w:val="en-US"/>
        </w:rPr>
        <w:t>2</w:t>
      </w:r>
      <w:r>
        <w:rPr>
          <w:rFonts w:hint="eastAsia" w:ascii="宋体" w:hAnsi="宋体" w:eastAsia="宋体" w:cs="宋体"/>
          <w:b/>
          <w:color w:val="auto"/>
          <w:sz w:val="28"/>
          <w:szCs w:val="28"/>
          <w:highlight w:val="none"/>
        </w:rPr>
        <w:t>.</w:t>
      </w:r>
      <w:r>
        <w:rPr>
          <w:rFonts w:hint="eastAsia" w:ascii="宋体" w:hAnsi="宋体" w:eastAsia="宋体" w:cs="宋体"/>
          <w:b/>
          <w:bCs/>
          <w:color w:val="auto"/>
          <w:sz w:val="28"/>
          <w:szCs w:val="28"/>
          <w:highlight w:val="none"/>
        </w:rPr>
        <w:t>报价文件目录</w:t>
      </w:r>
    </w:p>
    <w:p w14:paraId="3BBC0A3A">
      <w:pPr>
        <w:shd w:val="clear"/>
        <w:snapToGrid w:val="0"/>
        <w:spacing w:before="50" w:after="120" w:afterLines="50" w:line="360" w:lineRule="auto"/>
        <w:jc w:val="left"/>
        <w:rPr>
          <w:rFonts w:hint="eastAsia" w:ascii="宋体" w:hAnsi="宋体" w:eastAsia="宋体" w:cs="宋体"/>
          <w:b/>
          <w:color w:val="auto"/>
          <w:sz w:val="28"/>
          <w:szCs w:val="28"/>
          <w:highlight w:val="none"/>
        </w:rPr>
      </w:pPr>
      <w:r>
        <w:rPr>
          <w:rFonts w:hint="eastAsia" w:ascii="宋体" w:hAnsi="宋体" w:eastAsia="宋体" w:cs="宋体"/>
          <w:color w:val="auto"/>
          <w:sz w:val="28"/>
          <w:szCs w:val="28"/>
          <w:highlight w:val="none"/>
        </w:rPr>
        <w:t>根据招标文件规定及投标人提供的材料自行编写目录</w:t>
      </w:r>
      <w:r>
        <w:rPr>
          <w:rFonts w:hint="eastAsia" w:ascii="宋体" w:hAnsi="宋体" w:eastAsia="宋体" w:cs="宋体"/>
          <w:color w:val="auto"/>
          <w:kern w:val="0"/>
          <w:sz w:val="28"/>
          <w:szCs w:val="28"/>
          <w:highlight w:val="none"/>
        </w:rPr>
        <w:t>（部分格式后附）</w:t>
      </w:r>
      <w:r>
        <w:rPr>
          <w:rFonts w:hint="eastAsia" w:ascii="宋体" w:hAnsi="宋体" w:eastAsia="宋体" w:cs="宋体"/>
          <w:color w:val="auto"/>
          <w:sz w:val="28"/>
          <w:szCs w:val="28"/>
          <w:highlight w:val="none"/>
        </w:rPr>
        <w:t>。</w:t>
      </w:r>
    </w:p>
    <w:p w14:paraId="278E1D26">
      <w:pPr>
        <w:shd w:val="clear"/>
        <w:spacing w:line="500" w:lineRule="exact"/>
        <w:jc w:val="center"/>
        <w:rPr>
          <w:rFonts w:hint="eastAsia" w:ascii="宋体" w:hAnsi="宋体" w:eastAsia="宋体" w:cs="宋体"/>
          <w:b/>
          <w:bCs/>
          <w:color w:val="auto"/>
          <w:sz w:val="30"/>
          <w:szCs w:val="30"/>
          <w:highlight w:val="none"/>
        </w:rPr>
      </w:pPr>
      <w:r>
        <w:rPr>
          <w:rFonts w:hint="eastAsia" w:ascii="宋体" w:hAnsi="宋体" w:eastAsia="宋体" w:cs="宋体"/>
          <w:b/>
          <w:bCs/>
          <w:color w:val="auto"/>
          <w:sz w:val="30"/>
          <w:szCs w:val="30"/>
          <w:highlight w:val="none"/>
        </w:rPr>
        <w:br w:type="page"/>
      </w:r>
    </w:p>
    <w:p w14:paraId="610DF2EF">
      <w:pPr>
        <w:pStyle w:val="12"/>
        <w:shd w:val="clear"/>
        <w:spacing w:line="500" w:lineRule="exact"/>
        <w:jc w:val="left"/>
        <w:rPr>
          <w:rFonts w:hint="eastAsia" w:ascii="宋体" w:hAnsi="宋体" w:eastAsia="宋体" w:cs="宋体"/>
          <w:b/>
          <w:bCs/>
          <w:color w:val="auto"/>
          <w:sz w:val="30"/>
          <w:szCs w:val="30"/>
          <w:highlight w:val="none"/>
        </w:rPr>
      </w:pPr>
      <w:r>
        <w:rPr>
          <w:rFonts w:hint="eastAsia" w:ascii="宋体" w:hAnsi="宋体" w:eastAsia="宋体" w:cs="宋体"/>
          <w:b/>
          <w:bCs/>
          <w:color w:val="auto"/>
          <w:sz w:val="28"/>
          <w:szCs w:val="28"/>
          <w:highlight w:val="none"/>
          <w:lang w:val="en-US" w:eastAsia="zh-CN"/>
        </w:rPr>
        <w:t>3.投标函的格式：</w:t>
      </w:r>
    </w:p>
    <w:p w14:paraId="04E5B11B">
      <w:pPr>
        <w:pStyle w:val="12"/>
        <w:shd w:val="clear"/>
        <w:spacing w:line="500" w:lineRule="exact"/>
        <w:jc w:val="center"/>
        <w:rPr>
          <w:rFonts w:hint="eastAsia" w:ascii="宋体" w:hAnsi="宋体" w:eastAsia="宋体" w:cs="宋体"/>
          <w:b/>
          <w:bCs/>
          <w:color w:val="auto"/>
          <w:sz w:val="30"/>
          <w:szCs w:val="30"/>
          <w:highlight w:val="none"/>
        </w:rPr>
      </w:pPr>
      <w:r>
        <w:rPr>
          <w:rFonts w:hint="eastAsia" w:ascii="宋体" w:hAnsi="宋体" w:eastAsia="宋体" w:cs="宋体"/>
          <w:b/>
          <w:bCs/>
          <w:color w:val="auto"/>
          <w:sz w:val="30"/>
          <w:szCs w:val="30"/>
          <w:highlight w:val="none"/>
        </w:rPr>
        <w:t>投标函</w:t>
      </w:r>
    </w:p>
    <w:p w14:paraId="559B1140">
      <w:pPr>
        <w:pStyle w:val="12"/>
        <w:shd w:val="clear"/>
        <w:spacing w:line="440" w:lineRule="exact"/>
        <w:ind w:firstLine="420" w:firstLineChars="200"/>
        <w:rPr>
          <w:rFonts w:hint="eastAsia" w:ascii="宋体" w:hAnsi="宋体" w:eastAsia="宋体" w:cs="宋体"/>
          <w:color w:val="auto"/>
          <w:highlight w:val="none"/>
        </w:rPr>
      </w:pPr>
    </w:p>
    <w:p w14:paraId="103952F1">
      <w:pPr>
        <w:pStyle w:val="12"/>
        <w:keepNext w:val="0"/>
        <w:keepLines w:val="0"/>
        <w:pageBreakBefore w:val="0"/>
        <w:widowControl w:val="0"/>
        <w:shd w:val="clear"/>
        <w:kinsoku/>
        <w:wordWrap/>
        <w:overflowPunct/>
        <w:topLinePunct w:val="0"/>
        <w:autoSpaceDE/>
        <w:autoSpaceDN/>
        <w:bidi w:val="0"/>
        <w:adjustRightInd/>
        <w:snapToGrid/>
        <w:spacing w:line="420" w:lineRule="exact"/>
        <w:ind w:firstLine="420" w:firstLineChars="200"/>
        <w:textAlignment w:val="auto"/>
        <w:rPr>
          <w:rFonts w:hint="eastAsia" w:ascii="宋体" w:hAnsi="宋体" w:eastAsia="宋体" w:cs="宋体"/>
          <w:color w:val="auto"/>
          <w:highlight w:val="none"/>
          <w:lang w:eastAsia="zh-CN"/>
        </w:rPr>
      </w:pPr>
      <w:r>
        <w:rPr>
          <w:rFonts w:hint="eastAsia" w:ascii="宋体" w:hAnsi="宋体" w:eastAsia="宋体" w:cs="宋体"/>
          <w:color w:val="auto"/>
          <w:highlight w:val="none"/>
        </w:rPr>
        <w:t>致：</w:t>
      </w:r>
      <w:r>
        <w:rPr>
          <w:rFonts w:hint="eastAsia" w:ascii="宋体" w:hAnsi="宋体" w:eastAsia="宋体" w:cs="宋体"/>
          <w:color w:val="auto"/>
          <w:highlight w:val="none"/>
          <w:u w:val="single"/>
          <w:lang w:eastAsia="zh-CN"/>
        </w:rPr>
        <w:t>广西至胜招标有限公司</w:t>
      </w:r>
    </w:p>
    <w:p w14:paraId="0F05D495">
      <w:pPr>
        <w:pStyle w:val="12"/>
        <w:keepNext w:val="0"/>
        <w:keepLines w:val="0"/>
        <w:pageBreakBefore w:val="0"/>
        <w:widowControl w:val="0"/>
        <w:shd w:val="clear"/>
        <w:kinsoku/>
        <w:wordWrap/>
        <w:overflowPunct/>
        <w:topLinePunct w:val="0"/>
        <w:autoSpaceDE/>
        <w:autoSpaceDN/>
        <w:bidi w:val="0"/>
        <w:adjustRightInd/>
        <w:snapToGrid/>
        <w:spacing w:line="420" w:lineRule="exact"/>
        <w:ind w:firstLine="42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我方已仔细阅读了贵方组织的</w:t>
      </w:r>
      <w:r>
        <w:rPr>
          <w:rFonts w:hint="eastAsia" w:ascii="宋体" w:hAnsi="宋体" w:eastAsia="宋体" w:cs="宋体"/>
          <w:i w:val="0"/>
          <w:iCs w:val="0"/>
          <w:color w:val="auto"/>
          <w:highlight w:val="none"/>
          <w:u w:val="single"/>
          <w:lang w:eastAsia="zh-CN"/>
        </w:rPr>
        <w:t>（项目名称）</w:t>
      </w:r>
      <w:r>
        <w:rPr>
          <w:rFonts w:hint="eastAsia" w:ascii="宋体" w:hAnsi="宋体" w:eastAsia="宋体" w:cs="宋体"/>
          <w:i w:val="0"/>
          <w:iCs w:val="0"/>
          <w:color w:val="auto"/>
          <w:highlight w:val="none"/>
          <w:u w:val="single"/>
        </w:rPr>
        <w:t xml:space="preserve"> </w:t>
      </w:r>
      <w:r>
        <w:rPr>
          <w:rFonts w:hint="eastAsia" w:ascii="宋体" w:hAnsi="宋体" w:eastAsia="宋体" w:cs="宋体"/>
          <w:color w:val="auto"/>
          <w:highlight w:val="none"/>
        </w:rPr>
        <w:t>项目（项目编号：</w:t>
      </w:r>
      <w:r>
        <w:rPr>
          <w:rFonts w:hint="eastAsia" w:ascii="宋体" w:hAnsi="宋体" w:eastAsia="宋体" w:cs="宋体"/>
          <w:color w:val="auto"/>
          <w:highlight w:val="none"/>
          <w:u w:val="single"/>
          <w:lang w:val="en-US" w:eastAsia="zh-CN"/>
        </w:rPr>
        <w:t xml:space="preserve">        </w:t>
      </w:r>
      <w:r>
        <w:rPr>
          <w:rFonts w:hint="eastAsia" w:ascii="宋体" w:hAnsi="宋体" w:eastAsia="宋体" w:cs="宋体"/>
          <w:color w:val="auto"/>
          <w:highlight w:val="none"/>
        </w:rPr>
        <w:t>）的招标文件的全部内容，授权</w:t>
      </w: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rPr>
        <w:t>(全权代表姓名)</w:t>
      </w: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rPr>
        <w:t xml:space="preserve"> (职务、职称)为全权代表，现正式递交下述文件参加贵方组织的本次政府采购活动： </w:t>
      </w:r>
    </w:p>
    <w:p w14:paraId="36009C9E">
      <w:pPr>
        <w:pStyle w:val="12"/>
        <w:keepNext w:val="0"/>
        <w:keepLines w:val="0"/>
        <w:pageBreakBefore w:val="0"/>
        <w:widowControl w:val="0"/>
        <w:shd w:val="clear"/>
        <w:kinsoku/>
        <w:wordWrap/>
        <w:overflowPunct/>
        <w:topLinePunct w:val="0"/>
        <w:autoSpaceDE/>
        <w:autoSpaceDN/>
        <w:bidi w:val="0"/>
        <w:adjustRightInd/>
        <w:snapToGrid/>
        <w:spacing w:line="420" w:lineRule="exact"/>
        <w:ind w:firstLine="42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一、报价文件电子版（包含按投标人须知前附表要求提交的全部文件）；</w:t>
      </w:r>
    </w:p>
    <w:p w14:paraId="09F129A8">
      <w:pPr>
        <w:pStyle w:val="12"/>
        <w:keepNext w:val="0"/>
        <w:keepLines w:val="0"/>
        <w:pageBreakBefore w:val="0"/>
        <w:widowControl w:val="0"/>
        <w:shd w:val="clear"/>
        <w:kinsoku/>
        <w:wordWrap/>
        <w:overflowPunct/>
        <w:topLinePunct w:val="0"/>
        <w:autoSpaceDE/>
        <w:autoSpaceDN/>
        <w:bidi w:val="0"/>
        <w:adjustRightInd/>
        <w:snapToGrid/>
        <w:spacing w:line="420" w:lineRule="exact"/>
        <w:ind w:firstLine="482"/>
        <w:textAlignment w:val="auto"/>
        <w:rPr>
          <w:rFonts w:hint="eastAsia" w:ascii="宋体" w:hAnsi="宋体" w:eastAsia="宋体" w:cs="宋体"/>
          <w:color w:val="auto"/>
          <w:highlight w:val="none"/>
        </w:rPr>
      </w:pPr>
      <w:r>
        <w:rPr>
          <w:rFonts w:hint="eastAsia" w:ascii="宋体" w:hAnsi="宋体" w:eastAsia="宋体" w:cs="宋体"/>
          <w:color w:val="auto"/>
          <w:highlight w:val="none"/>
        </w:rPr>
        <w:t>二、资格文件电子版（包含按投标人须知前附表要求提交的全部文件）；</w:t>
      </w:r>
    </w:p>
    <w:p w14:paraId="45649908">
      <w:pPr>
        <w:pStyle w:val="12"/>
        <w:keepNext w:val="0"/>
        <w:keepLines w:val="0"/>
        <w:pageBreakBefore w:val="0"/>
        <w:widowControl w:val="0"/>
        <w:shd w:val="clear"/>
        <w:kinsoku/>
        <w:wordWrap/>
        <w:overflowPunct/>
        <w:topLinePunct w:val="0"/>
        <w:autoSpaceDE/>
        <w:autoSpaceDN/>
        <w:bidi w:val="0"/>
        <w:adjustRightInd/>
        <w:snapToGrid/>
        <w:spacing w:line="420" w:lineRule="exact"/>
        <w:ind w:firstLine="482"/>
        <w:textAlignment w:val="auto"/>
        <w:rPr>
          <w:rFonts w:hint="eastAsia" w:ascii="宋体" w:hAnsi="宋体" w:eastAsia="宋体" w:cs="宋体"/>
          <w:color w:val="auto"/>
          <w:highlight w:val="none"/>
        </w:rPr>
      </w:pPr>
      <w:r>
        <w:rPr>
          <w:rFonts w:hint="eastAsia" w:ascii="宋体" w:hAnsi="宋体" w:eastAsia="宋体" w:cs="宋体"/>
          <w:color w:val="auto"/>
          <w:highlight w:val="none"/>
        </w:rPr>
        <w:t>三、技术文件电子版（包含按投标人须知前附表要求提交的全部文件）；</w:t>
      </w:r>
    </w:p>
    <w:p w14:paraId="049FB8D4">
      <w:pPr>
        <w:pStyle w:val="12"/>
        <w:keepNext w:val="0"/>
        <w:keepLines w:val="0"/>
        <w:pageBreakBefore w:val="0"/>
        <w:widowControl w:val="0"/>
        <w:shd w:val="clear"/>
        <w:kinsoku/>
        <w:wordWrap/>
        <w:overflowPunct/>
        <w:topLinePunct w:val="0"/>
        <w:autoSpaceDE/>
        <w:autoSpaceDN/>
        <w:bidi w:val="0"/>
        <w:adjustRightInd/>
        <w:snapToGrid/>
        <w:spacing w:line="420" w:lineRule="exact"/>
        <w:ind w:firstLine="482"/>
        <w:textAlignment w:val="auto"/>
        <w:rPr>
          <w:rFonts w:hint="eastAsia" w:ascii="宋体" w:hAnsi="宋体" w:eastAsia="宋体" w:cs="宋体"/>
          <w:color w:val="auto"/>
          <w:highlight w:val="none"/>
        </w:rPr>
      </w:pPr>
      <w:r>
        <w:rPr>
          <w:rFonts w:hint="eastAsia" w:ascii="宋体" w:hAnsi="宋体" w:eastAsia="宋体" w:cs="宋体"/>
          <w:color w:val="auto"/>
          <w:highlight w:val="none"/>
        </w:rPr>
        <w:t>四、商务文件电子版（包含按投标人须知前附表要求提交的全部文件）；</w:t>
      </w:r>
    </w:p>
    <w:p w14:paraId="0FE5BFB8">
      <w:pPr>
        <w:pStyle w:val="12"/>
        <w:keepNext w:val="0"/>
        <w:keepLines w:val="0"/>
        <w:pageBreakBefore w:val="0"/>
        <w:widowControl w:val="0"/>
        <w:shd w:val="clear"/>
        <w:kinsoku/>
        <w:wordWrap/>
        <w:overflowPunct/>
        <w:topLinePunct w:val="0"/>
        <w:autoSpaceDE/>
        <w:autoSpaceDN/>
        <w:bidi w:val="0"/>
        <w:adjustRightInd/>
        <w:snapToGrid/>
        <w:spacing w:line="420" w:lineRule="exact"/>
        <w:ind w:firstLine="482"/>
        <w:textAlignment w:val="auto"/>
        <w:rPr>
          <w:rFonts w:hint="eastAsia" w:ascii="宋体" w:hAnsi="宋体" w:eastAsia="宋体" w:cs="宋体"/>
          <w:color w:val="auto"/>
          <w:highlight w:val="none"/>
        </w:rPr>
      </w:pPr>
      <w:r>
        <w:rPr>
          <w:rFonts w:hint="eastAsia" w:ascii="宋体" w:hAnsi="宋体" w:eastAsia="宋体" w:cs="宋体"/>
          <w:color w:val="auto"/>
          <w:highlight w:val="none"/>
        </w:rPr>
        <w:t>据此函，</w:t>
      </w:r>
      <w:r>
        <w:rPr>
          <w:rFonts w:hint="eastAsia" w:ascii="宋体" w:hAnsi="宋体" w:eastAsia="宋体" w:cs="宋体"/>
          <w:color w:val="auto"/>
          <w:highlight w:val="none"/>
          <w:lang w:val="en-US" w:eastAsia="zh-CN"/>
        </w:rPr>
        <w:t>我方</w:t>
      </w:r>
      <w:r>
        <w:rPr>
          <w:rFonts w:hint="eastAsia" w:ascii="宋体" w:hAnsi="宋体" w:eastAsia="宋体" w:cs="宋体"/>
          <w:color w:val="auto"/>
          <w:highlight w:val="none"/>
          <w:lang w:val="en-US"/>
        </w:rPr>
        <w:t>兹</w:t>
      </w:r>
      <w:r>
        <w:rPr>
          <w:rFonts w:hint="eastAsia" w:ascii="宋体" w:hAnsi="宋体" w:eastAsia="宋体" w:cs="宋体"/>
          <w:color w:val="auto"/>
          <w:highlight w:val="none"/>
        </w:rPr>
        <w:t>宣布：</w:t>
      </w:r>
    </w:p>
    <w:p w14:paraId="44191976">
      <w:pPr>
        <w:pStyle w:val="12"/>
        <w:keepNext w:val="0"/>
        <w:keepLines w:val="0"/>
        <w:pageBreakBefore w:val="0"/>
        <w:widowControl w:val="0"/>
        <w:shd w:val="clear"/>
        <w:kinsoku/>
        <w:wordWrap/>
        <w:overflowPunct/>
        <w:topLinePunct w:val="0"/>
        <w:autoSpaceDE/>
        <w:autoSpaceDN/>
        <w:bidi w:val="0"/>
        <w:adjustRightInd/>
        <w:snapToGrid/>
        <w:spacing w:line="420" w:lineRule="exact"/>
        <w:ind w:firstLine="42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1、我方愿意以投标时提供</w:t>
      </w:r>
      <w:r>
        <w:rPr>
          <w:rFonts w:hint="eastAsia" w:ascii="宋体" w:hAnsi="宋体" w:eastAsia="宋体" w:cs="宋体"/>
          <w:color w:val="auto"/>
          <w:highlight w:val="none"/>
          <w:lang w:eastAsia="zh-CN"/>
        </w:rPr>
        <w:t>的开标一览表中的投标</w:t>
      </w:r>
      <w:r>
        <w:rPr>
          <w:rFonts w:hint="eastAsia" w:hAnsi="宋体" w:cs="宋体"/>
          <w:color w:val="auto"/>
          <w:kern w:val="0"/>
          <w:highlight w:val="none"/>
          <w:shd w:val="clear" w:color="auto" w:fill="auto"/>
          <w:rtl w:val="0"/>
          <w:lang w:val="zh-TW" w:eastAsia="zh-CN"/>
        </w:rPr>
        <w:t>报价</w:t>
      </w:r>
      <w:r>
        <w:rPr>
          <w:rFonts w:hint="eastAsia" w:ascii="宋体" w:hAnsi="宋体" w:eastAsia="宋体" w:cs="宋体"/>
          <w:color w:val="auto"/>
          <w:szCs w:val="22"/>
          <w:highlight w:val="none"/>
          <w:lang w:eastAsia="zh-CN"/>
        </w:rPr>
        <w:t>，</w:t>
      </w:r>
      <w:r>
        <w:rPr>
          <w:rFonts w:hint="eastAsia" w:ascii="宋体" w:hAnsi="宋体" w:eastAsia="宋体" w:cs="宋体"/>
          <w:color w:val="auto"/>
          <w:highlight w:val="none"/>
          <w:lang w:val="en-US" w:eastAsia="zh-CN"/>
        </w:rPr>
        <w:t>在承诺的服务期限内</w:t>
      </w:r>
      <w:r>
        <w:rPr>
          <w:rFonts w:hint="eastAsia" w:ascii="宋体" w:hAnsi="宋体" w:eastAsia="宋体" w:cs="宋体"/>
          <w:color w:val="auto"/>
          <w:highlight w:val="none"/>
        </w:rPr>
        <w:t>提供本项目招标文件“第二章  采购需求”相应的采购内容</w:t>
      </w:r>
      <w:r>
        <w:rPr>
          <w:rFonts w:hint="eastAsia" w:ascii="宋体" w:hAnsi="宋体" w:eastAsia="宋体" w:cs="宋体"/>
          <w:color w:val="auto"/>
          <w:highlight w:val="none"/>
          <w:lang w:eastAsia="zh-CN"/>
        </w:rPr>
        <w:t>，具体详见开标一览表</w:t>
      </w:r>
      <w:r>
        <w:rPr>
          <w:rFonts w:hint="eastAsia" w:ascii="宋体" w:hAnsi="宋体" w:eastAsia="宋体" w:cs="宋体"/>
          <w:color w:val="auto"/>
          <w:highlight w:val="none"/>
        </w:rPr>
        <w:t>。</w:t>
      </w:r>
    </w:p>
    <w:p w14:paraId="3D96D6B0">
      <w:pPr>
        <w:pStyle w:val="12"/>
        <w:keepNext w:val="0"/>
        <w:keepLines w:val="0"/>
        <w:pageBreakBefore w:val="0"/>
        <w:widowControl w:val="0"/>
        <w:shd w:val="clear"/>
        <w:kinsoku/>
        <w:wordWrap/>
        <w:overflowPunct/>
        <w:topLinePunct w:val="0"/>
        <w:autoSpaceDE/>
        <w:autoSpaceDN/>
        <w:bidi w:val="0"/>
        <w:adjustRightInd/>
        <w:snapToGrid/>
        <w:spacing w:line="420" w:lineRule="exact"/>
        <w:ind w:firstLine="420" w:firstLineChars="200"/>
        <w:textAlignment w:val="auto"/>
        <w:rPr>
          <w:rFonts w:hint="eastAsia" w:ascii="宋体" w:hAnsi="宋体" w:eastAsia="宋体" w:cs="宋体"/>
          <w:color w:val="auto"/>
          <w:highlight w:val="none"/>
          <w:u w:val="single"/>
        </w:rPr>
      </w:pPr>
      <w:r>
        <w:rPr>
          <w:rFonts w:hint="eastAsia" w:ascii="宋体" w:hAnsi="宋体" w:eastAsia="宋体" w:cs="宋体"/>
          <w:color w:val="auto"/>
          <w:highlight w:val="none"/>
        </w:rPr>
        <w:t>2、我方同意自本项目招标文件“第三章 投标人须知”第一节 投标人须知前附表 第21.</w:t>
      </w:r>
      <w:r>
        <w:rPr>
          <w:rFonts w:hint="eastAsia" w:ascii="宋体" w:hAnsi="宋体" w:eastAsia="宋体" w:cs="宋体"/>
          <w:color w:val="auto"/>
          <w:highlight w:val="none"/>
          <w:lang w:val="en-US" w:eastAsia="zh-CN"/>
        </w:rPr>
        <w:t>1</w:t>
      </w:r>
      <w:r>
        <w:rPr>
          <w:rFonts w:hint="eastAsia" w:ascii="宋体" w:hAnsi="宋体" w:eastAsia="宋体" w:cs="宋体"/>
          <w:color w:val="auto"/>
          <w:highlight w:val="none"/>
        </w:rPr>
        <w:t>项规定的投标截止时间（开标时间）起遵循本投标函，并承诺在“投标人须知前附表”第17.2项规定的投标有效期内不修改、撤销投标文件。</w:t>
      </w:r>
    </w:p>
    <w:p w14:paraId="61B117C8">
      <w:pPr>
        <w:pStyle w:val="12"/>
        <w:keepNext w:val="0"/>
        <w:keepLines w:val="0"/>
        <w:pageBreakBefore w:val="0"/>
        <w:widowControl w:val="0"/>
        <w:shd w:val="clear"/>
        <w:kinsoku/>
        <w:wordWrap/>
        <w:overflowPunct/>
        <w:topLinePunct w:val="0"/>
        <w:autoSpaceDE/>
        <w:autoSpaceDN/>
        <w:bidi w:val="0"/>
        <w:adjustRightInd/>
        <w:snapToGrid/>
        <w:spacing w:line="420" w:lineRule="exact"/>
        <w:ind w:firstLine="420" w:firstLineChars="200"/>
        <w:textAlignment w:val="auto"/>
        <w:rPr>
          <w:rFonts w:hint="eastAsia" w:ascii="宋体" w:hAnsi="宋体" w:eastAsia="宋体" w:cs="宋体"/>
          <w:color w:val="auto"/>
          <w:highlight w:val="none"/>
          <w:u w:val="single"/>
        </w:rPr>
      </w:pPr>
      <w:r>
        <w:rPr>
          <w:rFonts w:hint="eastAsia" w:ascii="宋体" w:hAnsi="宋体" w:eastAsia="宋体" w:cs="宋体"/>
          <w:color w:val="auto"/>
          <w:highlight w:val="none"/>
        </w:rPr>
        <w:t>3、我方</w:t>
      </w:r>
      <w:r>
        <w:rPr>
          <w:rFonts w:hint="eastAsia" w:ascii="宋体" w:hAnsi="宋体" w:eastAsia="宋体" w:cs="宋体"/>
          <w:color w:val="auto"/>
          <w:kern w:val="0"/>
          <w:sz w:val="20"/>
          <w:szCs w:val="21"/>
          <w:highlight w:val="none"/>
          <w:lang w:val="zh-CN" w:eastAsia="zh-CN"/>
        </w:rPr>
        <w:t>在此声明</w:t>
      </w:r>
      <w:r>
        <w:rPr>
          <w:rFonts w:hint="eastAsia" w:ascii="宋体" w:hAnsi="宋体" w:eastAsia="宋体" w:cs="宋体"/>
          <w:color w:val="auto"/>
          <w:highlight w:val="none"/>
        </w:rPr>
        <w:t>所递交的投标文件及有关资料都是内容完整、真实和准确的。</w:t>
      </w:r>
    </w:p>
    <w:p w14:paraId="4A9BB02C">
      <w:pPr>
        <w:pStyle w:val="12"/>
        <w:keepNext w:val="0"/>
        <w:keepLines w:val="0"/>
        <w:pageBreakBefore w:val="0"/>
        <w:widowControl w:val="0"/>
        <w:shd w:val="clear"/>
        <w:kinsoku/>
        <w:wordWrap/>
        <w:overflowPunct/>
        <w:topLinePunct w:val="0"/>
        <w:autoSpaceDE/>
        <w:autoSpaceDN/>
        <w:bidi w:val="0"/>
        <w:adjustRightInd/>
        <w:snapToGrid/>
        <w:spacing w:line="420" w:lineRule="exact"/>
        <w:ind w:firstLine="42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4、</w:t>
      </w:r>
      <w:r>
        <w:rPr>
          <w:rFonts w:hint="eastAsia" w:ascii="宋体" w:hAnsi="宋体" w:eastAsia="宋体" w:cs="宋体"/>
          <w:color w:val="auto"/>
          <w:szCs w:val="21"/>
          <w:highlight w:val="none"/>
        </w:rPr>
        <w:t>如本项目采购内容涉及须符合国家强制规定的，我方承诺我方本次投标（包括资格条件和所投产品）均符合国家有关强制规定。</w:t>
      </w:r>
    </w:p>
    <w:p w14:paraId="7B6603C8">
      <w:pPr>
        <w:pStyle w:val="12"/>
        <w:keepNext w:val="0"/>
        <w:keepLines w:val="0"/>
        <w:pageBreakBefore w:val="0"/>
        <w:widowControl w:val="0"/>
        <w:shd w:val="clear"/>
        <w:kinsoku/>
        <w:wordWrap/>
        <w:overflowPunct/>
        <w:topLinePunct w:val="0"/>
        <w:autoSpaceDE/>
        <w:autoSpaceDN/>
        <w:bidi w:val="0"/>
        <w:adjustRightInd/>
        <w:snapToGrid/>
        <w:spacing w:line="420" w:lineRule="exact"/>
        <w:ind w:firstLine="42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5、如我方中标，我方承诺在收到中标通知书后，在中标通知书规定的期限内，根据招标文件、我方的投标文件及有关澄清承诺书的要求按第五章“拟签订的合同文本”与采购人订立书面合同，并按照合同约定承担完成合同的责任和义务。</w:t>
      </w:r>
    </w:p>
    <w:p w14:paraId="7BEE8CB7">
      <w:pPr>
        <w:pStyle w:val="12"/>
        <w:keepNext w:val="0"/>
        <w:keepLines w:val="0"/>
        <w:pageBreakBefore w:val="0"/>
        <w:widowControl w:val="0"/>
        <w:shd w:val="clear"/>
        <w:kinsoku/>
        <w:wordWrap/>
        <w:overflowPunct/>
        <w:topLinePunct w:val="0"/>
        <w:autoSpaceDE/>
        <w:autoSpaceDN/>
        <w:bidi w:val="0"/>
        <w:adjustRightInd/>
        <w:snapToGrid/>
        <w:spacing w:line="420" w:lineRule="exact"/>
        <w:ind w:firstLine="42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6、我方已详细审核招标文件，我方知道必须放弃提出含糊不清或误解问题的权利。</w:t>
      </w:r>
    </w:p>
    <w:p w14:paraId="0A99A8D6">
      <w:pPr>
        <w:pStyle w:val="12"/>
        <w:keepNext w:val="0"/>
        <w:keepLines w:val="0"/>
        <w:pageBreakBefore w:val="0"/>
        <w:widowControl w:val="0"/>
        <w:shd w:val="clear"/>
        <w:kinsoku/>
        <w:wordWrap/>
        <w:overflowPunct/>
        <w:topLinePunct w:val="0"/>
        <w:autoSpaceDE/>
        <w:autoSpaceDN/>
        <w:bidi w:val="0"/>
        <w:adjustRightInd/>
        <w:snapToGrid/>
        <w:spacing w:line="420" w:lineRule="exact"/>
        <w:ind w:firstLine="42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7、我方同意应贵方要求提供与本投标有关的任何数据或资料。若贵方需要，我方愿意提供我方作出的一切承诺的证明材料。</w:t>
      </w:r>
    </w:p>
    <w:p w14:paraId="6E5B5FCA">
      <w:pPr>
        <w:pStyle w:val="12"/>
        <w:keepNext w:val="0"/>
        <w:keepLines w:val="0"/>
        <w:pageBreakBefore w:val="0"/>
        <w:widowControl w:val="0"/>
        <w:shd w:val="clear"/>
        <w:kinsoku/>
        <w:wordWrap/>
        <w:overflowPunct/>
        <w:topLinePunct w:val="0"/>
        <w:autoSpaceDE/>
        <w:autoSpaceDN/>
        <w:bidi w:val="0"/>
        <w:adjustRightInd/>
        <w:snapToGrid/>
        <w:spacing w:line="420" w:lineRule="exact"/>
        <w:ind w:firstLine="42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8、我方完全理解贵方不一定接受投标报价最低的投标人为中标</w:t>
      </w:r>
      <w:r>
        <w:rPr>
          <w:rFonts w:hint="eastAsia" w:ascii="宋体" w:hAnsi="宋体" w:eastAsia="宋体" w:cs="宋体"/>
          <w:color w:val="auto"/>
          <w:highlight w:val="none"/>
          <w:lang w:val="en-US" w:eastAsia="zh-CN"/>
        </w:rPr>
        <w:t>人</w:t>
      </w:r>
      <w:r>
        <w:rPr>
          <w:rFonts w:hint="eastAsia" w:ascii="宋体" w:hAnsi="宋体" w:eastAsia="宋体" w:cs="宋体"/>
          <w:color w:val="auto"/>
          <w:highlight w:val="none"/>
        </w:rPr>
        <w:t>的行为。</w:t>
      </w:r>
    </w:p>
    <w:p w14:paraId="6B3EC012">
      <w:pPr>
        <w:pStyle w:val="12"/>
        <w:keepNext w:val="0"/>
        <w:keepLines w:val="0"/>
        <w:pageBreakBefore w:val="0"/>
        <w:widowControl w:val="0"/>
        <w:shd w:val="clear"/>
        <w:kinsoku/>
        <w:wordWrap/>
        <w:overflowPunct/>
        <w:topLinePunct w:val="0"/>
        <w:autoSpaceDE/>
        <w:autoSpaceDN/>
        <w:bidi w:val="0"/>
        <w:adjustRightInd/>
        <w:snapToGrid/>
        <w:spacing w:line="420" w:lineRule="exact"/>
        <w:ind w:firstLine="42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9、我方将严格遵守《中华人民共和国政府采购法》第七十七条的规定，即供应商有下列情形之一的，处以采购金额千分之五以上千分之十以下的罚款，列入不良行为记录名单，在一至三年内禁止参加政府采购活动，有违法所得的，并处没收违法所得，情节严重的，由工商行政管理机关吊销营业执照；构成犯罪的，依法追究刑事责任：</w:t>
      </w:r>
    </w:p>
    <w:p w14:paraId="601A3FE2">
      <w:pPr>
        <w:pStyle w:val="12"/>
        <w:keepNext w:val="0"/>
        <w:keepLines w:val="0"/>
        <w:pageBreakBefore w:val="0"/>
        <w:widowControl w:val="0"/>
        <w:numPr>
          <w:ilvl w:val="0"/>
          <w:numId w:val="9"/>
        </w:numPr>
        <w:shd w:val="clear"/>
        <w:kinsoku/>
        <w:wordWrap/>
        <w:overflowPunct/>
        <w:topLinePunct w:val="0"/>
        <w:autoSpaceDE/>
        <w:autoSpaceDN/>
        <w:bidi w:val="0"/>
        <w:adjustRightInd/>
        <w:snapToGrid/>
        <w:spacing w:line="420" w:lineRule="exact"/>
        <w:ind w:left="1140" w:hanging="720"/>
        <w:textAlignment w:val="auto"/>
        <w:rPr>
          <w:rFonts w:hint="eastAsia" w:ascii="宋体" w:hAnsi="宋体" w:eastAsia="宋体" w:cs="宋体"/>
          <w:color w:val="auto"/>
          <w:highlight w:val="none"/>
        </w:rPr>
      </w:pPr>
      <w:r>
        <w:rPr>
          <w:rFonts w:hint="eastAsia" w:ascii="宋体" w:hAnsi="宋体" w:eastAsia="宋体" w:cs="宋体"/>
          <w:color w:val="auto"/>
          <w:highlight w:val="none"/>
        </w:rPr>
        <w:t>提供虚假材料谋取中标、成交的；</w:t>
      </w:r>
    </w:p>
    <w:p w14:paraId="1B8508E1">
      <w:pPr>
        <w:pStyle w:val="12"/>
        <w:keepNext w:val="0"/>
        <w:keepLines w:val="0"/>
        <w:pageBreakBefore w:val="0"/>
        <w:widowControl w:val="0"/>
        <w:numPr>
          <w:ilvl w:val="0"/>
          <w:numId w:val="9"/>
        </w:numPr>
        <w:shd w:val="clear"/>
        <w:kinsoku/>
        <w:wordWrap/>
        <w:overflowPunct/>
        <w:topLinePunct w:val="0"/>
        <w:autoSpaceDE/>
        <w:autoSpaceDN/>
        <w:bidi w:val="0"/>
        <w:adjustRightInd/>
        <w:snapToGrid/>
        <w:spacing w:line="420" w:lineRule="exact"/>
        <w:ind w:left="1140" w:hanging="720"/>
        <w:textAlignment w:val="auto"/>
        <w:rPr>
          <w:rFonts w:hint="eastAsia" w:ascii="宋体" w:hAnsi="宋体" w:eastAsia="宋体" w:cs="宋体"/>
          <w:color w:val="auto"/>
          <w:highlight w:val="none"/>
        </w:rPr>
      </w:pPr>
      <w:r>
        <w:rPr>
          <w:rFonts w:hint="eastAsia" w:ascii="宋体" w:hAnsi="宋体" w:eastAsia="宋体" w:cs="宋体"/>
          <w:color w:val="auto"/>
          <w:highlight w:val="none"/>
        </w:rPr>
        <w:t>采取不正当手段诋毁、排挤其他供应商的；</w:t>
      </w:r>
    </w:p>
    <w:p w14:paraId="2EDCF17D">
      <w:pPr>
        <w:pStyle w:val="12"/>
        <w:keepNext w:val="0"/>
        <w:keepLines w:val="0"/>
        <w:pageBreakBefore w:val="0"/>
        <w:widowControl w:val="0"/>
        <w:numPr>
          <w:ilvl w:val="0"/>
          <w:numId w:val="9"/>
        </w:numPr>
        <w:shd w:val="clear"/>
        <w:kinsoku/>
        <w:wordWrap/>
        <w:overflowPunct/>
        <w:topLinePunct w:val="0"/>
        <w:autoSpaceDE/>
        <w:autoSpaceDN/>
        <w:bidi w:val="0"/>
        <w:adjustRightInd/>
        <w:snapToGrid/>
        <w:spacing w:line="420" w:lineRule="exact"/>
        <w:ind w:left="1140" w:hanging="720"/>
        <w:textAlignment w:val="auto"/>
        <w:rPr>
          <w:rFonts w:hint="eastAsia" w:ascii="宋体" w:hAnsi="宋体" w:eastAsia="宋体" w:cs="宋体"/>
          <w:color w:val="auto"/>
          <w:highlight w:val="none"/>
        </w:rPr>
      </w:pPr>
      <w:r>
        <w:rPr>
          <w:rFonts w:hint="eastAsia" w:ascii="宋体" w:hAnsi="宋体" w:eastAsia="宋体" w:cs="宋体"/>
          <w:color w:val="auto"/>
          <w:highlight w:val="none"/>
        </w:rPr>
        <w:t>与采购人、其他供应商或者采购代理机构恶意串通的；</w:t>
      </w:r>
    </w:p>
    <w:p w14:paraId="0D97166E">
      <w:pPr>
        <w:pStyle w:val="12"/>
        <w:keepNext w:val="0"/>
        <w:keepLines w:val="0"/>
        <w:pageBreakBefore w:val="0"/>
        <w:widowControl w:val="0"/>
        <w:numPr>
          <w:ilvl w:val="0"/>
          <w:numId w:val="9"/>
        </w:numPr>
        <w:shd w:val="clear"/>
        <w:kinsoku/>
        <w:wordWrap/>
        <w:overflowPunct/>
        <w:topLinePunct w:val="0"/>
        <w:autoSpaceDE/>
        <w:autoSpaceDN/>
        <w:bidi w:val="0"/>
        <w:adjustRightInd/>
        <w:snapToGrid/>
        <w:spacing w:line="420" w:lineRule="exact"/>
        <w:ind w:left="1140" w:hanging="720"/>
        <w:textAlignment w:val="auto"/>
        <w:rPr>
          <w:rFonts w:hint="eastAsia" w:ascii="宋体" w:hAnsi="宋体" w:eastAsia="宋体" w:cs="宋体"/>
          <w:color w:val="auto"/>
          <w:highlight w:val="none"/>
        </w:rPr>
      </w:pPr>
      <w:r>
        <w:rPr>
          <w:rFonts w:hint="eastAsia" w:ascii="宋体" w:hAnsi="宋体" w:eastAsia="宋体" w:cs="宋体"/>
          <w:color w:val="auto"/>
          <w:highlight w:val="none"/>
        </w:rPr>
        <w:t>向采购人、采购代理机构行贿或者提供其他不正当利益的；</w:t>
      </w:r>
    </w:p>
    <w:p w14:paraId="48A5AA30">
      <w:pPr>
        <w:pStyle w:val="12"/>
        <w:keepNext w:val="0"/>
        <w:keepLines w:val="0"/>
        <w:pageBreakBefore w:val="0"/>
        <w:widowControl w:val="0"/>
        <w:numPr>
          <w:ilvl w:val="0"/>
          <w:numId w:val="9"/>
        </w:numPr>
        <w:shd w:val="clear"/>
        <w:kinsoku/>
        <w:wordWrap/>
        <w:overflowPunct/>
        <w:topLinePunct w:val="0"/>
        <w:autoSpaceDE/>
        <w:autoSpaceDN/>
        <w:bidi w:val="0"/>
        <w:adjustRightInd/>
        <w:snapToGrid/>
        <w:spacing w:line="420" w:lineRule="exact"/>
        <w:ind w:left="1140" w:hanging="720"/>
        <w:textAlignment w:val="auto"/>
        <w:rPr>
          <w:rFonts w:hint="eastAsia" w:ascii="宋体" w:hAnsi="宋体" w:eastAsia="宋体" w:cs="宋体"/>
          <w:color w:val="auto"/>
          <w:highlight w:val="none"/>
        </w:rPr>
      </w:pPr>
      <w:r>
        <w:rPr>
          <w:rFonts w:hint="eastAsia" w:ascii="宋体" w:hAnsi="宋体" w:eastAsia="宋体" w:cs="宋体"/>
          <w:color w:val="auto"/>
          <w:highlight w:val="none"/>
        </w:rPr>
        <w:t>在招标采购过程中与采购人进行协商谈判的；</w:t>
      </w:r>
    </w:p>
    <w:p w14:paraId="78D448F9">
      <w:pPr>
        <w:pStyle w:val="12"/>
        <w:keepNext w:val="0"/>
        <w:keepLines w:val="0"/>
        <w:pageBreakBefore w:val="0"/>
        <w:widowControl w:val="0"/>
        <w:numPr>
          <w:ilvl w:val="0"/>
          <w:numId w:val="9"/>
        </w:numPr>
        <w:shd w:val="clear"/>
        <w:kinsoku/>
        <w:wordWrap/>
        <w:overflowPunct/>
        <w:topLinePunct w:val="0"/>
        <w:autoSpaceDE/>
        <w:autoSpaceDN/>
        <w:bidi w:val="0"/>
        <w:adjustRightInd/>
        <w:snapToGrid/>
        <w:spacing w:line="420" w:lineRule="exact"/>
        <w:ind w:left="1140" w:hanging="720"/>
        <w:textAlignment w:val="auto"/>
        <w:rPr>
          <w:rFonts w:hint="eastAsia" w:ascii="宋体" w:hAnsi="宋体" w:eastAsia="宋体" w:cs="宋体"/>
          <w:color w:val="auto"/>
          <w:highlight w:val="none"/>
        </w:rPr>
      </w:pPr>
      <w:r>
        <w:rPr>
          <w:rFonts w:hint="eastAsia" w:ascii="宋体" w:hAnsi="宋体" w:eastAsia="宋体" w:cs="宋体"/>
          <w:color w:val="auto"/>
          <w:highlight w:val="none"/>
        </w:rPr>
        <w:t>拒绝有关部门监督检查或提供虚假情况的。</w:t>
      </w:r>
    </w:p>
    <w:p w14:paraId="43952A5F">
      <w:pPr>
        <w:pStyle w:val="12"/>
        <w:keepNext w:val="0"/>
        <w:keepLines w:val="0"/>
        <w:pageBreakBefore w:val="0"/>
        <w:widowControl w:val="0"/>
        <w:shd w:val="clear"/>
        <w:kinsoku/>
        <w:wordWrap/>
        <w:overflowPunct/>
        <w:topLinePunct w:val="0"/>
        <w:autoSpaceDE/>
        <w:autoSpaceDN/>
        <w:bidi w:val="0"/>
        <w:adjustRightInd/>
        <w:snapToGrid/>
        <w:spacing w:line="420" w:lineRule="exact"/>
        <w:ind w:firstLine="420"/>
        <w:textAlignment w:val="auto"/>
        <w:rPr>
          <w:rFonts w:hint="eastAsia" w:ascii="宋体" w:hAnsi="宋体" w:eastAsia="宋体" w:cs="宋体"/>
          <w:color w:val="auto"/>
          <w:highlight w:val="none"/>
        </w:rPr>
      </w:pPr>
      <w:r>
        <w:rPr>
          <w:rFonts w:hint="eastAsia" w:ascii="宋体" w:hAnsi="宋体" w:eastAsia="宋体" w:cs="宋体"/>
          <w:color w:val="auto"/>
          <w:highlight w:val="none"/>
        </w:rPr>
        <w:t>10、以上事项如有虚假或</w:t>
      </w:r>
      <w:r>
        <w:rPr>
          <w:rFonts w:hint="eastAsia" w:ascii="宋体" w:hAnsi="宋体" w:eastAsia="宋体" w:cs="宋体"/>
          <w:color w:val="auto"/>
          <w:highlight w:val="none"/>
          <w:lang w:val="en-US" w:eastAsia="zh-CN"/>
        </w:rPr>
        <w:t>者</w:t>
      </w:r>
      <w:r>
        <w:rPr>
          <w:rFonts w:hint="eastAsia" w:ascii="宋体" w:hAnsi="宋体" w:eastAsia="宋体" w:cs="宋体"/>
          <w:color w:val="auto"/>
          <w:highlight w:val="none"/>
        </w:rPr>
        <w:t>隐瞒，我方愿意承担一切后果，并不再寻求任何旨在减轻或</w:t>
      </w:r>
      <w:r>
        <w:rPr>
          <w:rFonts w:hint="eastAsia" w:ascii="宋体" w:hAnsi="宋体" w:eastAsia="宋体" w:cs="宋体"/>
          <w:color w:val="auto"/>
          <w:highlight w:val="none"/>
          <w:lang w:val="en-US" w:eastAsia="zh-CN"/>
        </w:rPr>
        <w:t>者</w:t>
      </w:r>
      <w:r>
        <w:rPr>
          <w:rFonts w:hint="eastAsia" w:ascii="宋体" w:hAnsi="宋体" w:eastAsia="宋体" w:cs="宋体"/>
          <w:color w:val="auto"/>
          <w:highlight w:val="none"/>
        </w:rPr>
        <w:t>免除法律责任的辩解。</w:t>
      </w:r>
    </w:p>
    <w:p w14:paraId="4315A2F2">
      <w:pPr>
        <w:pStyle w:val="12"/>
        <w:keepNext w:val="0"/>
        <w:keepLines w:val="0"/>
        <w:pageBreakBefore w:val="0"/>
        <w:widowControl w:val="0"/>
        <w:shd w:val="clear"/>
        <w:kinsoku/>
        <w:wordWrap/>
        <w:overflowPunct/>
        <w:topLinePunct w:val="0"/>
        <w:autoSpaceDE/>
        <w:autoSpaceDN/>
        <w:bidi w:val="0"/>
        <w:adjustRightInd/>
        <w:snapToGrid/>
        <w:spacing w:line="420" w:lineRule="exact"/>
        <w:ind w:firstLine="420"/>
        <w:textAlignment w:val="auto"/>
        <w:rPr>
          <w:rFonts w:hint="eastAsia" w:ascii="宋体" w:hAnsi="宋体" w:eastAsia="宋体" w:cs="宋体"/>
          <w:color w:val="auto"/>
          <w:highlight w:val="none"/>
        </w:rPr>
      </w:pPr>
      <w:r>
        <w:rPr>
          <w:rFonts w:hint="eastAsia" w:ascii="宋体" w:hAnsi="宋体" w:eastAsia="宋体" w:cs="宋体"/>
          <w:color w:val="auto"/>
          <w:highlight w:val="none"/>
        </w:rPr>
        <w:t>1</w:t>
      </w:r>
      <w:r>
        <w:rPr>
          <w:rFonts w:hint="eastAsia" w:ascii="宋体" w:hAnsi="宋体" w:eastAsia="宋体" w:cs="宋体"/>
          <w:color w:val="auto"/>
          <w:highlight w:val="none"/>
          <w:lang w:val="en-US" w:eastAsia="zh-CN"/>
        </w:rPr>
        <w:t>1</w:t>
      </w:r>
      <w:r>
        <w:rPr>
          <w:rFonts w:hint="eastAsia" w:ascii="宋体" w:hAnsi="宋体" w:eastAsia="宋体" w:cs="宋体"/>
          <w:color w:val="auto"/>
          <w:highlight w:val="none"/>
        </w:rPr>
        <w:t>、与本投标有关的一切正式往来信函请寄：</w:t>
      </w:r>
    </w:p>
    <w:p w14:paraId="0539C129">
      <w:pPr>
        <w:pStyle w:val="12"/>
        <w:shd w:val="clear"/>
        <w:spacing w:line="360" w:lineRule="auto"/>
        <w:ind w:firstLine="420"/>
        <w:rPr>
          <w:rFonts w:hint="eastAsia" w:ascii="宋体" w:hAnsi="宋体" w:eastAsia="宋体" w:cs="宋体"/>
          <w:color w:val="auto"/>
          <w:highlight w:val="none"/>
        </w:rPr>
      </w:pPr>
      <w:r>
        <w:rPr>
          <w:rFonts w:hint="eastAsia" w:ascii="宋体" w:hAnsi="宋体" w:eastAsia="宋体" w:cs="宋体"/>
          <w:color w:val="auto"/>
          <w:highlight w:val="none"/>
        </w:rPr>
        <w:t>地址：</w:t>
      </w: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rPr>
        <w:t xml:space="preserve"> </w:t>
      </w:r>
    </w:p>
    <w:p w14:paraId="3B5A15AB">
      <w:pPr>
        <w:pStyle w:val="12"/>
        <w:shd w:val="clear"/>
        <w:spacing w:line="360" w:lineRule="auto"/>
        <w:ind w:firstLine="420"/>
        <w:rPr>
          <w:rFonts w:hint="eastAsia" w:ascii="宋体" w:hAnsi="宋体" w:eastAsia="宋体" w:cs="宋体"/>
          <w:color w:val="auto"/>
          <w:highlight w:val="none"/>
          <w:u w:val="single"/>
        </w:rPr>
      </w:pPr>
      <w:r>
        <w:rPr>
          <w:rFonts w:hint="eastAsia" w:ascii="宋体" w:hAnsi="宋体" w:eastAsia="宋体" w:cs="宋体"/>
          <w:color w:val="auto"/>
          <w:highlight w:val="none"/>
        </w:rPr>
        <w:t>电话：</w:t>
      </w:r>
      <w:r>
        <w:rPr>
          <w:rFonts w:hint="eastAsia" w:ascii="宋体" w:hAnsi="宋体" w:eastAsia="宋体" w:cs="宋体"/>
          <w:color w:val="auto"/>
          <w:highlight w:val="none"/>
          <w:u w:val="single"/>
        </w:rPr>
        <w:t xml:space="preserve">                                      　　　　　　　　　</w:t>
      </w:r>
    </w:p>
    <w:p w14:paraId="131DAF31">
      <w:pPr>
        <w:pStyle w:val="12"/>
        <w:shd w:val="clear"/>
        <w:spacing w:line="360" w:lineRule="auto"/>
        <w:ind w:firstLine="420"/>
        <w:rPr>
          <w:rFonts w:hint="eastAsia" w:ascii="宋体" w:hAnsi="宋体" w:eastAsia="宋体" w:cs="宋体"/>
          <w:color w:val="auto"/>
          <w:highlight w:val="none"/>
          <w:u w:val="single"/>
        </w:rPr>
      </w:pPr>
      <w:r>
        <w:rPr>
          <w:rFonts w:hint="eastAsia" w:ascii="宋体" w:hAnsi="宋体" w:eastAsia="宋体" w:cs="宋体"/>
          <w:color w:val="auto"/>
          <w:highlight w:val="none"/>
        </w:rPr>
        <w:t>传真：</w:t>
      </w:r>
      <w:r>
        <w:rPr>
          <w:rFonts w:hint="eastAsia" w:ascii="宋体" w:hAnsi="宋体" w:eastAsia="宋体" w:cs="宋体"/>
          <w:color w:val="auto"/>
          <w:highlight w:val="none"/>
          <w:u w:val="single"/>
        </w:rPr>
        <w:t>　　　　　　　　　　　　　　　　　　　　　　　　　　　　</w:t>
      </w:r>
    </w:p>
    <w:p w14:paraId="59194AD1">
      <w:pPr>
        <w:pStyle w:val="7"/>
        <w:shd w:val="clear"/>
        <w:spacing w:line="360" w:lineRule="auto"/>
        <w:ind w:left="0" w:firstLine="420" w:firstLineChars="200"/>
        <w:rPr>
          <w:rFonts w:hint="eastAsia" w:ascii="宋体" w:hAnsi="宋体" w:eastAsia="宋体" w:cs="宋体"/>
          <w:color w:val="auto"/>
          <w:highlight w:val="none"/>
        </w:rPr>
      </w:pPr>
      <w:r>
        <w:rPr>
          <w:rFonts w:hint="eastAsia" w:ascii="宋体" w:hAnsi="宋体" w:eastAsia="宋体" w:cs="宋体"/>
          <w:color w:val="auto"/>
          <w:highlight w:val="none"/>
          <w:u w:val="none"/>
        </w:rPr>
        <w:t>电子邮箱：</w:t>
      </w:r>
      <w:r>
        <w:rPr>
          <w:rFonts w:hint="eastAsia" w:ascii="宋体" w:hAnsi="宋体" w:eastAsia="宋体" w:cs="宋体"/>
          <w:color w:val="auto"/>
          <w:highlight w:val="none"/>
          <w:u w:val="single"/>
        </w:rPr>
        <w:t>　　　　　　　　　　　　　　　　　　　　　　　　　　</w:t>
      </w:r>
    </w:p>
    <w:p w14:paraId="4530A4EE">
      <w:pPr>
        <w:pStyle w:val="12"/>
        <w:shd w:val="clear"/>
        <w:spacing w:line="360" w:lineRule="auto"/>
        <w:ind w:firstLine="420"/>
        <w:rPr>
          <w:rFonts w:hint="eastAsia" w:ascii="宋体" w:hAnsi="宋体" w:eastAsia="宋体" w:cs="宋体"/>
          <w:color w:val="auto"/>
          <w:highlight w:val="none"/>
          <w:u w:val="single"/>
        </w:rPr>
      </w:pPr>
      <w:r>
        <w:rPr>
          <w:rFonts w:hint="eastAsia" w:ascii="宋体" w:hAnsi="宋体" w:eastAsia="宋体" w:cs="宋体"/>
          <w:color w:val="auto"/>
          <w:highlight w:val="none"/>
        </w:rPr>
        <w:t>邮政编码：</w:t>
      </w:r>
      <w:r>
        <w:rPr>
          <w:rFonts w:hint="eastAsia" w:ascii="宋体" w:hAnsi="宋体" w:eastAsia="宋体" w:cs="宋体"/>
          <w:color w:val="auto"/>
          <w:highlight w:val="none"/>
          <w:u w:val="single"/>
        </w:rPr>
        <w:t xml:space="preserve">                                                    </w:t>
      </w:r>
    </w:p>
    <w:p w14:paraId="2E71538A">
      <w:pPr>
        <w:pStyle w:val="12"/>
        <w:shd w:val="clear"/>
        <w:spacing w:line="360" w:lineRule="auto"/>
        <w:ind w:firstLine="420"/>
        <w:rPr>
          <w:rFonts w:hint="eastAsia" w:ascii="宋体" w:hAnsi="宋体" w:eastAsia="宋体" w:cs="宋体"/>
          <w:color w:val="auto"/>
          <w:highlight w:val="none"/>
          <w:u w:val="single"/>
        </w:rPr>
      </w:pPr>
      <w:r>
        <w:rPr>
          <w:rFonts w:hint="eastAsia" w:ascii="宋体" w:hAnsi="宋体" w:eastAsia="宋体" w:cs="宋体"/>
          <w:color w:val="auto"/>
          <w:highlight w:val="none"/>
        </w:rPr>
        <w:t>开户名称：</w:t>
      </w:r>
      <w:r>
        <w:rPr>
          <w:rFonts w:hint="eastAsia" w:ascii="宋体" w:hAnsi="宋体" w:eastAsia="宋体" w:cs="宋体"/>
          <w:color w:val="auto"/>
          <w:highlight w:val="none"/>
          <w:u w:val="single"/>
        </w:rPr>
        <w:t xml:space="preserve">                                                    </w:t>
      </w:r>
    </w:p>
    <w:p w14:paraId="3703AC44">
      <w:pPr>
        <w:pStyle w:val="12"/>
        <w:shd w:val="clear"/>
        <w:spacing w:line="360" w:lineRule="auto"/>
        <w:ind w:firstLine="420"/>
        <w:rPr>
          <w:rFonts w:hint="eastAsia" w:ascii="宋体" w:hAnsi="宋体" w:eastAsia="宋体" w:cs="宋体"/>
          <w:color w:val="auto"/>
          <w:highlight w:val="none"/>
          <w:u w:val="single"/>
        </w:rPr>
      </w:pPr>
      <w:r>
        <w:rPr>
          <w:rFonts w:hint="eastAsia" w:ascii="宋体" w:hAnsi="宋体" w:eastAsia="宋体" w:cs="宋体"/>
          <w:color w:val="auto"/>
          <w:highlight w:val="none"/>
        </w:rPr>
        <w:t>开户银行：</w:t>
      </w:r>
      <w:r>
        <w:rPr>
          <w:rFonts w:hint="eastAsia" w:ascii="宋体" w:hAnsi="宋体" w:eastAsia="宋体" w:cs="宋体"/>
          <w:color w:val="auto"/>
          <w:highlight w:val="none"/>
          <w:u w:val="single"/>
        </w:rPr>
        <w:t xml:space="preserve">                                                    </w:t>
      </w:r>
    </w:p>
    <w:p w14:paraId="67E4EF79">
      <w:pPr>
        <w:pStyle w:val="12"/>
        <w:shd w:val="clear"/>
        <w:spacing w:line="360" w:lineRule="auto"/>
        <w:ind w:firstLine="420"/>
        <w:rPr>
          <w:rFonts w:hint="eastAsia" w:ascii="宋体" w:hAnsi="宋体" w:eastAsia="宋体" w:cs="宋体"/>
          <w:color w:val="auto"/>
          <w:highlight w:val="none"/>
          <w:u w:val="single"/>
        </w:rPr>
      </w:pPr>
      <w:r>
        <w:rPr>
          <w:rFonts w:hint="eastAsia" w:ascii="宋体" w:hAnsi="宋体" w:eastAsia="宋体" w:cs="宋体"/>
          <w:color w:val="auto"/>
          <w:highlight w:val="none"/>
        </w:rPr>
        <w:t>银行账号：</w:t>
      </w:r>
      <w:r>
        <w:rPr>
          <w:rFonts w:hint="eastAsia" w:ascii="宋体" w:hAnsi="宋体" w:eastAsia="宋体" w:cs="宋体"/>
          <w:color w:val="auto"/>
          <w:highlight w:val="none"/>
          <w:u w:val="single"/>
        </w:rPr>
        <w:t xml:space="preserve">                                                    </w:t>
      </w:r>
    </w:p>
    <w:p w14:paraId="00AAB6EE">
      <w:pPr>
        <w:shd w:val="clear"/>
        <w:snapToGrid w:val="0"/>
        <w:spacing w:line="360" w:lineRule="auto"/>
        <w:ind w:firstLine="5040" w:firstLineChars="2100"/>
        <w:rPr>
          <w:rFonts w:hint="eastAsia" w:ascii="宋体" w:hAnsi="宋体" w:eastAsia="宋体" w:cs="宋体"/>
          <w:color w:val="auto"/>
          <w:kern w:val="0"/>
          <w:sz w:val="24"/>
          <w:highlight w:val="none"/>
          <w:lang w:val="zh-CN"/>
        </w:rPr>
      </w:pPr>
    </w:p>
    <w:p w14:paraId="43920B9C">
      <w:pPr>
        <w:shd w:val="clear"/>
        <w:snapToGrid w:val="0"/>
        <w:spacing w:line="360" w:lineRule="auto"/>
        <w:ind w:firstLine="5040" w:firstLineChars="2100"/>
        <w:rPr>
          <w:rFonts w:hint="eastAsia" w:ascii="宋体" w:hAnsi="宋体" w:eastAsia="宋体" w:cs="宋体"/>
          <w:color w:val="auto"/>
          <w:kern w:val="0"/>
          <w:sz w:val="24"/>
          <w:highlight w:val="none"/>
          <w:lang w:val="zh-CN"/>
        </w:rPr>
      </w:pPr>
    </w:p>
    <w:p w14:paraId="4FF01573">
      <w:pPr>
        <w:shd w:val="clear"/>
        <w:snapToGrid w:val="0"/>
        <w:spacing w:line="360" w:lineRule="auto"/>
        <w:ind w:firstLine="5280" w:firstLineChars="2200"/>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lang w:val="zh-CN"/>
        </w:rPr>
        <w:t>投标人名称(盖公章)：</w:t>
      </w:r>
    </w:p>
    <w:p w14:paraId="5617F066">
      <w:pPr>
        <w:shd w:val="clear"/>
        <w:snapToGrid w:val="0"/>
        <w:spacing w:line="360" w:lineRule="auto"/>
        <w:ind w:firstLine="5280" w:firstLineChars="2200"/>
        <w:rPr>
          <w:rFonts w:hint="eastAsia" w:ascii="宋体" w:hAnsi="宋体" w:eastAsia="宋体" w:cs="宋体"/>
          <w:color w:val="auto"/>
          <w:kern w:val="0"/>
          <w:sz w:val="24"/>
          <w:highlight w:val="none"/>
          <w:lang w:val="zh-CN"/>
        </w:rPr>
      </w:pPr>
      <w:r>
        <w:rPr>
          <w:rFonts w:hint="eastAsia" w:ascii="宋体" w:hAnsi="宋体" w:eastAsia="宋体" w:cs="宋体"/>
          <w:color w:val="auto"/>
          <w:kern w:val="0"/>
          <w:sz w:val="24"/>
          <w:highlight w:val="none"/>
          <w:lang w:val="zh-CN"/>
        </w:rPr>
        <w:t>日期</w:t>
      </w:r>
      <w:r>
        <w:rPr>
          <w:rFonts w:hint="eastAsia" w:ascii="宋体" w:hAnsi="宋体" w:eastAsia="宋体" w:cs="宋体"/>
          <w:color w:val="auto"/>
          <w:kern w:val="0"/>
          <w:sz w:val="24"/>
          <w:highlight w:val="none"/>
        </w:rPr>
        <w:t xml:space="preserve">：  年  </w:t>
      </w:r>
      <w:r>
        <w:rPr>
          <w:rFonts w:hint="eastAsia" w:ascii="宋体" w:hAnsi="宋体" w:eastAsia="宋体" w:cs="宋体"/>
          <w:color w:val="auto"/>
          <w:kern w:val="0"/>
          <w:sz w:val="24"/>
          <w:highlight w:val="none"/>
          <w:lang w:val="zh-CN"/>
        </w:rPr>
        <w:t>月</w:t>
      </w:r>
      <w:r>
        <w:rPr>
          <w:rFonts w:hint="eastAsia" w:ascii="宋体" w:hAnsi="宋体" w:eastAsia="宋体" w:cs="宋体"/>
          <w:color w:val="auto"/>
          <w:kern w:val="0"/>
          <w:sz w:val="24"/>
          <w:highlight w:val="none"/>
        </w:rPr>
        <w:t xml:space="preserve">   </w:t>
      </w:r>
      <w:r>
        <w:rPr>
          <w:rFonts w:hint="eastAsia" w:ascii="宋体" w:hAnsi="宋体" w:eastAsia="宋体" w:cs="宋体"/>
          <w:color w:val="auto"/>
          <w:kern w:val="0"/>
          <w:sz w:val="24"/>
          <w:highlight w:val="none"/>
          <w:lang w:val="zh-CN"/>
        </w:rPr>
        <w:t>日</w:t>
      </w:r>
    </w:p>
    <w:p w14:paraId="3319EF73">
      <w:pPr>
        <w:widowControl/>
        <w:shd w:val="clear"/>
        <w:spacing w:line="360" w:lineRule="auto"/>
        <w:jc w:val="left"/>
        <w:rPr>
          <w:rFonts w:hint="eastAsia" w:ascii="宋体" w:hAnsi="宋体" w:eastAsia="宋体" w:cs="宋体"/>
          <w:color w:val="auto"/>
          <w:kern w:val="0"/>
          <w:sz w:val="24"/>
          <w:highlight w:val="none"/>
          <w:lang w:val="zh-CN"/>
        </w:rPr>
        <w:sectPr>
          <w:pgSz w:w="11905" w:h="16838"/>
          <w:pgMar w:top="1134" w:right="1134" w:bottom="1134" w:left="1134" w:header="850" w:footer="850" w:gutter="0"/>
          <w:pgNumType w:fmt="decimal"/>
          <w:cols w:space="0" w:num="1"/>
          <w:titlePg/>
          <w:rtlGutter w:val="0"/>
          <w:docGrid w:linePitch="331" w:charSpace="0"/>
        </w:sectPr>
      </w:pPr>
    </w:p>
    <w:p w14:paraId="12B07BDE">
      <w:pPr>
        <w:pStyle w:val="12"/>
        <w:shd w:val="clear"/>
        <w:spacing w:line="360" w:lineRule="auto"/>
        <w:jc w:val="left"/>
        <w:rPr>
          <w:rFonts w:hint="eastAsia" w:ascii="宋体" w:hAnsi="宋体" w:eastAsia="宋体" w:cs="宋体"/>
          <w:b/>
          <w:bCs w:val="0"/>
          <w:color w:val="auto"/>
          <w:sz w:val="28"/>
          <w:szCs w:val="28"/>
          <w:highlight w:val="none"/>
        </w:rPr>
      </w:pPr>
      <w:r>
        <w:rPr>
          <w:rFonts w:hint="eastAsia" w:ascii="宋体" w:hAnsi="宋体" w:eastAsia="宋体" w:cs="宋体"/>
          <w:b/>
          <w:bCs w:val="0"/>
          <w:color w:val="auto"/>
          <w:sz w:val="28"/>
          <w:szCs w:val="28"/>
          <w:highlight w:val="none"/>
          <w:lang w:val="en-US"/>
        </w:rPr>
        <w:t>4</w:t>
      </w:r>
      <w:r>
        <w:rPr>
          <w:rFonts w:hint="eastAsia" w:ascii="宋体" w:hAnsi="宋体" w:eastAsia="宋体" w:cs="宋体"/>
          <w:b/>
          <w:bCs w:val="0"/>
          <w:color w:val="auto"/>
          <w:sz w:val="28"/>
          <w:szCs w:val="28"/>
          <w:highlight w:val="none"/>
        </w:rPr>
        <w:t>. 开标一览表</w:t>
      </w:r>
      <w:r>
        <w:rPr>
          <w:rFonts w:hint="eastAsia" w:ascii="宋体" w:hAnsi="宋体" w:eastAsia="宋体" w:cs="宋体"/>
          <w:b/>
          <w:bCs w:val="0"/>
          <w:color w:val="auto"/>
          <w:sz w:val="28"/>
          <w:szCs w:val="28"/>
          <w:highlight w:val="none"/>
          <w:lang w:eastAsia="zh-CN"/>
        </w:rPr>
        <w:t>的</w:t>
      </w:r>
      <w:r>
        <w:rPr>
          <w:rFonts w:hint="eastAsia" w:ascii="宋体" w:hAnsi="宋体" w:eastAsia="宋体" w:cs="宋体"/>
          <w:b/>
          <w:bCs w:val="0"/>
          <w:color w:val="auto"/>
          <w:sz w:val="28"/>
          <w:szCs w:val="28"/>
          <w:highlight w:val="none"/>
        </w:rPr>
        <w:t>格式</w:t>
      </w:r>
      <w:r>
        <w:rPr>
          <w:rFonts w:hint="eastAsia" w:ascii="宋体" w:hAnsi="宋体" w:eastAsia="宋体" w:cs="宋体"/>
          <w:b/>
          <w:bCs w:val="0"/>
          <w:color w:val="auto"/>
          <w:sz w:val="28"/>
          <w:szCs w:val="28"/>
          <w:highlight w:val="none"/>
          <w:lang w:eastAsia="zh-CN"/>
        </w:rPr>
        <w:t>：</w:t>
      </w:r>
    </w:p>
    <w:p w14:paraId="618D68E7">
      <w:pPr>
        <w:pStyle w:val="12"/>
        <w:shd w:val="clear"/>
        <w:spacing w:line="360" w:lineRule="auto"/>
        <w:jc w:val="center"/>
        <w:rPr>
          <w:rFonts w:hint="eastAsia" w:ascii="宋体" w:hAnsi="宋体" w:eastAsia="宋体" w:cs="宋体"/>
          <w:b/>
          <w:color w:val="auto"/>
          <w:sz w:val="30"/>
          <w:szCs w:val="30"/>
          <w:highlight w:val="none"/>
        </w:rPr>
      </w:pPr>
      <w:r>
        <w:rPr>
          <w:rFonts w:hint="eastAsia" w:ascii="宋体" w:hAnsi="宋体" w:eastAsia="宋体" w:cs="宋体"/>
          <w:b/>
          <w:color w:val="auto"/>
          <w:sz w:val="30"/>
          <w:szCs w:val="30"/>
          <w:highlight w:val="none"/>
        </w:rPr>
        <w:t>开标一览表</w:t>
      </w:r>
      <w:r>
        <w:rPr>
          <w:rFonts w:hint="eastAsia" w:ascii="宋体" w:hAnsi="宋体" w:eastAsia="宋体" w:cs="宋体"/>
          <w:b/>
          <w:color w:val="auto"/>
          <w:kern w:val="0"/>
          <w:sz w:val="24"/>
          <w:highlight w:val="none"/>
          <w:lang w:val="zh-CN"/>
        </w:rPr>
        <w:t>(单位均为人民币元)</w:t>
      </w:r>
    </w:p>
    <w:p w14:paraId="7578A365">
      <w:pPr>
        <w:shd w:val="clear"/>
        <w:snapToGrid w:val="0"/>
        <w:spacing w:before="50" w:after="50" w:line="360" w:lineRule="auto"/>
        <w:rPr>
          <w:rFonts w:hint="eastAsia" w:ascii="宋体" w:hAnsi="宋体" w:eastAsia="宋体" w:cs="宋体"/>
          <w:color w:val="auto"/>
          <w:sz w:val="24"/>
          <w:highlight w:val="none"/>
          <w:u w:val="none"/>
          <w:lang w:val="en-US" w:eastAsia="zh-CN"/>
        </w:rPr>
      </w:pPr>
      <w:r>
        <w:rPr>
          <w:rFonts w:hint="eastAsia" w:ascii="宋体" w:hAnsi="宋体" w:eastAsia="宋体" w:cs="宋体"/>
          <w:color w:val="auto"/>
          <w:sz w:val="24"/>
          <w:highlight w:val="none"/>
        </w:rPr>
        <w:t>项目名称：</w:t>
      </w:r>
      <w:r>
        <w:rPr>
          <w:rFonts w:hint="eastAsia" w:ascii="宋体" w:hAnsi="宋体" w:eastAsia="宋体" w:cs="宋体"/>
          <w:color w:val="auto"/>
          <w:sz w:val="24"/>
          <w:highlight w:val="none"/>
          <w:u w:val="none"/>
          <w:lang w:eastAsia="zh-CN"/>
        </w:rPr>
        <w:t xml:space="preserve"> </w:t>
      </w:r>
      <w:r>
        <w:rPr>
          <w:rFonts w:hint="eastAsia" w:ascii="宋体" w:hAnsi="宋体" w:eastAsia="宋体" w:cs="宋体"/>
          <w:color w:val="auto"/>
          <w:sz w:val="24"/>
          <w:highlight w:val="none"/>
          <w:u w:val="none"/>
          <w:lang w:val="en-US" w:eastAsia="zh-CN"/>
        </w:rPr>
        <w:t xml:space="preserve">                      </w:t>
      </w:r>
    </w:p>
    <w:p w14:paraId="5584D1BF">
      <w:pPr>
        <w:shd w:val="clear"/>
        <w:snapToGrid w:val="0"/>
        <w:spacing w:before="50" w:after="50" w:line="360" w:lineRule="auto"/>
        <w:rPr>
          <w:rFonts w:hint="eastAsia" w:ascii="宋体" w:hAnsi="宋体" w:eastAsia="宋体" w:cs="宋体"/>
          <w:color w:val="auto"/>
          <w:sz w:val="24"/>
          <w:highlight w:val="none"/>
          <w:u w:val="none"/>
          <w:lang w:val="en-US" w:eastAsia="zh-CN"/>
        </w:rPr>
      </w:pPr>
      <w:r>
        <w:rPr>
          <w:rFonts w:hint="eastAsia" w:ascii="宋体" w:hAnsi="宋体" w:eastAsia="宋体" w:cs="宋体"/>
          <w:color w:val="auto"/>
          <w:sz w:val="24"/>
          <w:highlight w:val="none"/>
        </w:rPr>
        <w:t>项目编号：</w:t>
      </w:r>
      <w:r>
        <w:rPr>
          <w:rFonts w:hint="eastAsia" w:ascii="宋体" w:hAnsi="宋体" w:eastAsia="宋体" w:cs="宋体"/>
          <w:color w:val="auto"/>
          <w:sz w:val="24"/>
          <w:highlight w:val="none"/>
          <w:u w:val="none"/>
          <w:lang w:eastAsia="zh-CN"/>
        </w:rPr>
        <w:t xml:space="preserve"> </w:t>
      </w:r>
      <w:r>
        <w:rPr>
          <w:rFonts w:hint="eastAsia" w:ascii="宋体" w:hAnsi="宋体" w:eastAsia="宋体" w:cs="宋体"/>
          <w:color w:val="auto"/>
          <w:sz w:val="24"/>
          <w:highlight w:val="none"/>
          <w:u w:val="none"/>
          <w:lang w:val="en-US" w:eastAsia="zh-CN"/>
        </w:rPr>
        <w:t xml:space="preserve">  </w:t>
      </w:r>
    </w:p>
    <w:p w14:paraId="12160C14">
      <w:pPr>
        <w:shd w:val="clear"/>
        <w:snapToGrid w:val="0"/>
        <w:spacing w:before="50" w:after="50" w:line="360" w:lineRule="auto"/>
        <w:rPr>
          <w:rFonts w:hint="eastAsia" w:ascii="宋体" w:hAnsi="宋体" w:eastAsia="宋体" w:cs="宋体"/>
          <w:color w:val="auto"/>
          <w:sz w:val="24"/>
          <w:highlight w:val="none"/>
          <w:u w:val="single"/>
        </w:rPr>
      </w:pPr>
      <w:r>
        <w:rPr>
          <w:rFonts w:hint="eastAsia" w:ascii="宋体" w:hAnsi="宋体" w:eastAsia="宋体" w:cs="宋体"/>
          <w:bCs/>
          <w:color w:val="auto"/>
          <w:sz w:val="24"/>
          <w:highlight w:val="none"/>
        </w:rPr>
        <w:t>所投分标（如有则填写，无分标时填写“无”或者留空）：</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u w:val="none"/>
          <w:lang w:val="en-US" w:eastAsia="zh-CN"/>
        </w:rPr>
        <w:t xml:space="preserve">                    </w:t>
      </w:r>
    </w:p>
    <w:tbl>
      <w:tblPr>
        <w:tblStyle w:val="18"/>
        <w:tblW w:w="9701" w:type="dxa"/>
        <w:tblInd w:w="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88"/>
        <w:gridCol w:w="2238"/>
        <w:gridCol w:w="2702"/>
        <w:gridCol w:w="1308"/>
        <w:gridCol w:w="1998"/>
        <w:gridCol w:w="767"/>
      </w:tblGrid>
      <w:tr w14:paraId="60C056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28" w:hRule="atLeast"/>
        </w:trPr>
        <w:tc>
          <w:tcPr>
            <w:tcW w:w="688" w:type="dxa"/>
            <w:tcBorders>
              <w:top w:val="single" w:color="auto" w:sz="4" w:space="0"/>
              <w:left w:val="single" w:color="auto" w:sz="4" w:space="0"/>
              <w:bottom w:val="single" w:color="auto" w:sz="4" w:space="0"/>
              <w:right w:val="single" w:color="auto" w:sz="4" w:space="0"/>
            </w:tcBorders>
            <w:noWrap w:val="0"/>
            <w:vAlign w:val="center"/>
          </w:tcPr>
          <w:p w14:paraId="108EFA6B">
            <w:pPr>
              <w:shd w:val="clear"/>
              <w:rPr>
                <w:rFonts w:hint="eastAsia" w:ascii="宋体" w:hAnsi="宋体" w:eastAsia="宋体" w:cs="宋体"/>
                <w:color w:val="auto"/>
                <w:szCs w:val="22"/>
                <w:highlight w:val="none"/>
              </w:rPr>
            </w:pPr>
            <w:r>
              <w:rPr>
                <w:rFonts w:hint="eastAsia" w:ascii="宋体" w:hAnsi="宋体" w:eastAsia="宋体" w:cs="宋体"/>
                <w:color w:val="auto"/>
                <w:szCs w:val="22"/>
                <w:highlight w:val="none"/>
              </w:rPr>
              <w:t>序号</w:t>
            </w:r>
          </w:p>
        </w:tc>
        <w:tc>
          <w:tcPr>
            <w:tcW w:w="2238" w:type="dxa"/>
            <w:tcBorders>
              <w:top w:val="single" w:color="auto" w:sz="4" w:space="0"/>
              <w:left w:val="single" w:color="auto" w:sz="4" w:space="0"/>
              <w:bottom w:val="single" w:color="auto" w:sz="4" w:space="0"/>
              <w:right w:val="single" w:color="auto" w:sz="4" w:space="0"/>
            </w:tcBorders>
            <w:noWrap w:val="0"/>
            <w:vAlign w:val="center"/>
          </w:tcPr>
          <w:p w14:paraId="61639D77">
            <w:pPr>
              <w:snapToGrid w:val="0"/>
              <w:spacing w:before="120" w:beforeLines="50" w:after="50"/>
              <w:jc w:val="center"/>
              <w:rPr>
                <w:rFonts w:hint="default" w:ascii="宋体" w:hAnsi="宋体" w:eastAsia="宋体" w:cs="宋体"/>
                <w:color w:val="auto"/>
                <w:szCs w:val="22"/>
                <w:highlight w:val="none"/>
                <w:lang w:val="en-US" w:eastAsia="zh-CN"/>
              </w:rPr>
            </w:pPr>
            <w:r>
              <w:rPr>
                <w:rFonts w:hint="eastAsia" w:ascii="宋体" w:hAnsi="宋体" w:cs="宋体"/>
                <w:color w:val="auto"/>
                <w:szCs w:val="21"/>
                <w:highlight w:val="none"/>
                <w:lang w:val="en-US" w:eastAsia="zh-CN"/>
              </w:rPr>
              <w:t>标的名称</w:t>
            </w:r>
          </w:p>
        </w:tc>
        <w:tc>
          <w:tcPr>
            <w:tcW w:w="2702" w:type="dxa"/>
            <w:tcBorders>
              <w:top w:val="single" w:color="auto" w:sz="4" w:space="0"/>
              <w:left w:val="single" w:color="auto" w:sz="4" w:space="0"/>
              <w:bottom w:val="single" w:color="auto" w:sz="4" w:space="0"/>
              <w:right w:val="single" w:color="auto" w:sz="4" w:space="0"/>
            </w:tcBorders>
            <w:noWrap w:val="0"/>
            <w:vAlign w:val="center"/>
          </w:tcPr>
          <w:p w14:paraId="04ABA36F">
            <w:pPr>
              <w:snapToGrid w:val="0"/>
              <w:spacing w:before="120" w:beforeLines="50" w:after="50"/>
              <w:jc w:val="center"/>
              <w:rPr>
                <w:rFonts w:hint="eastAsia" w:ascii="宋体" w:hAnsi="宋体" w:eastAsia="宋体" w:cs="宋体"/>
                <w:color w:val="auto"/>
                <w:szCs w:val="22"/>
                <w:highlight w:val="none"/>
              </w:rPr>
            </w:pPr>
            <w:r>
              <w:rPr>
                <w:rFonts w:hint="eastAsia" w:ascii="宋体" w:hAnsi="宋体" w:eastAsia="宋体" w:cs="宋体"/>
                <w:color w:val="auto"/>
                <w:szCs w:val="21"/>
                <w:highlight w:val="none"/>
              </w:rPr>
              <w:t>服务内容</w:t>
            </w:r>
          </w:p>
        </w:tc>
        <w:tc>
          <w:tcPr>
            <w:tcW w:w="1308" w:type="dxa"/>
            <w:tcBorders>
              <w:top w:val="single" w:color="auto" w:sz="4" w:space="0"/>
              <w:left w:val="single" w:color="auto" w:sz="4" w:space="0"/>
              <w:bottom w:val="single" w:color="auto" w:sz="4" w:space="0"/>
              <w:right w:val="single" w:color="auto" w:sz="4" w:space="0"/>
            </w:tcBorders>
            <w:noWrap w:val="0"/>
            <w:vAlign w:val="center"/>
          </w:tcPr>
          <w:p w14:paraId="046EA626">
            <w:pPr>
              <w:snapToGrid w:val="0"/>
              <w:spacing w:before="120" w:beforeLines="50" w:after="50"/>
              <w:jc w:val="center"/>
              <w:rPr>
                <w:rFonts w:hint="default" w:ascii="宋体" w:hAnsi="宋体" w:eastAsia="宋体" w:cs="宋体"/>
                <w:color w:val="auto"/>
                <w:szCs w:val="21"/>
                <w:highlight w:val="none"/>
                <w:lang w:val="en-US" w:eastAsia="zh-CN"/>
              </w:rPr>
            </w:pPr>
            <w:r>
              <w:rPr>
                <w:rFonts w:hint="eastAsia" w:ascii="宋体" w:hAnsi="宋体" w:cs="宋体"/>
                <w:color w:val="auto"/>
                <w:szCs w:val="21"/>
                <w:highlight w:val="none"/>
                <w:lang w:val="en-US" w:eastAsia="zh-CN"/>
              </w:rPr>
              <w:t>及数量单位</w:t>
            </w:r>
          </w:p>
        </w:tc>
        <w:tc>
          <w:tcPr>
            <w:tcW w:w="1998" w:type="dxa"/>
            <w:tcBorders>
              <w:top w:val="single" w:color="auto" w:sz="4" w:space="0"/>
              <w:left w:val="single" w:color="auto" w:sz="4" w:space="0"/>
              <w:bottom w:val="single" w:color="auto" w:sz="4" w:space="0"/>
              <w:right w:val="single" w:color="auto" w:sz="4" w:space="0"/>
            </w:tcBorders>
            <w:noWrap w:val="0"/>
            <w:vAlign w:val="center"/>
          </w:tcPr>
          <w:p w14:paraId="2BC4986A">
            <w:pPr>
              <w:snapToGrid w:val="0"/>
              <w:spacing w:before="120" w:beforeLines="50" w:after="50"/>
              <w:jc w:val="center"/>
              <w:rPr>
                <w:rFonts w:hint="eastAsia" w:ascii="宋体" w:hAnsi="宋体" w:eastAsia="宋体" w:cs="宋体"/>
                <w:color w:val="auto"/>
                <w:szCs w:val="22"/>
                <w:highlight w:val="none"/>
                <w:lang w:eastAsia="zh-CN"/>
              </w:rPr>
            </w:pPr>
            <w:r>
              <w:rPr>
                <w:rFonts w:hint="eastAsia" w:ascii="宋体" w:hAnsi="宋体" w:eastAsia="宋体" w:cs="宋体"/>
                <w:color w:val="auto"/>
                <w:szCs w:val="21"/>
                <w:highlight w:val="none"/>
                <w:rtl w:val="0"/>
                <w:lang w:val="zh-TW" w:eastAsia="zh-CN"/>
              </w:rPr>
              <w:t>投标</w:t>
            </w:r>
            <w:r>
              <w:rPr>
                <w:rFonts w:hint="eastAsia" w:ascii="宋体" w:hAnsi="宋体" w:eastAsia="宋体" w:cs="宋体"/>
                <w:color w:val="auto"/>
                <w:szCs w:val="21"/>
                <w:highlight w:val="none"/>
                <w:rtl w:val="0"/>
                <w:lang w:val="en-US" w:eastAsia="zh-CN"/>
              </w:rPr>
              <w:t>报价</w:t>
            </w:r>
            <w:r>
              <w:rPr>
                <w:rFonts w:hint="eastAsia" w:ascii="宋体" w:hAnsi="宋体" w:cs="宋体"/>
                <w:color w:val="auto"/>
                <w:szCs w:val="21"/>
                <w:highlight w:val="none"/>
                <w:rtl w:val="0"/>
                <w:lang w:val="en-US" w:eastAsia="zh-CN"/>
              </w:rPr>
              <w:t>（元）</w:t>
            </w:r>
          </w:p>
        </w:tc>
        <w:tc>
          <w:tcPr>
            <w:tcW w:w="767" w:type="dxa"/>
            <w:tcBorders>
              <w:top w:val="single" w:color="auto" w:sz="4" w:space="0"/>
              <w:left w:val="single" w:color="auto" w:sz="4" w:space="0"/>
              <w:bottom w:val="single" w:color="auto" w:sz="4" w:space="0"/>
              <w:right w:val="single" w:color="auto" w:sz="4" w:space="0"/>
            </w:tcBorders>
            <w:noWrap w:val="0"/>
            <w:vAlign w:val="center"/>
          </w:tcPr>
          <w:p w14:paraId="7F749BBA">
            <w:pPr>
              <w:shd w:val="clear"/>
              <w:rPr>
                <w:rFonts w:hint="eastAsia" w:ascii="宋体" w:hAnsi="宋体" w:eastAsia="宋体" w:cs="宋体"/>
                <w:color w:val="auto"/>
                <w:szCs w:val="22"/>
                <w:highlight w:val="none"/>
              </w:rPr>
            </w:pPr>
            <w:r>
              <w:rPr>
                <w:rFonts w:hint="eastAsia" w:ascii="宋体" w:hAnsi="宋体" w:eastAsia="宋体" w:cs="宋体"/>
                <w:color w:val="auto"/>
                <w:szCs w:val="22"/>
                <w:highlight w:val="none"/>
              </w:rPr>
              <w:t>备注</w:t>
            </w:r>
          </w:p>
        </w:tc>
      </w:tr>
      <w:tr w14:paraId="62D01D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2" w:hRule="atLeast"/>
        </w:trPr>
        <w:tc>
          <w:tcPr>
            <w:tcW w:w="688" w:type="dxa"/>
            <w:tcBorders>
              <w:top w:val="single" w:color="auto" w:sz="4" w:space="0"/>
              <w:left w:val="single" w:color="auto" w:sz="4" w:space="0"/>
              <w:bottom w:val="single" w:color="auto" w:sz="4" w:space="0"/>
              <w:right w:val="single" w:color="auto" w:sz="4" w:space="0"/>
            </w:tcBorders>
            <w:noWrap w:val="0"/>
            <w:vAlign w:val="center"/>
          </w:tcPr>
          <w:p w14:paraId="40FE188F">
            <w:pPr>
              <w:shd w:val="clear"/>
              <w:jc w:val="center"/>
              <w:rPr>
                <w:rFonts w:hint="eastAsia" w:ascii="宋体" w:hAnsi="宋体" w:eastAsia="宋体" w:cs="宋体"/>
                <w:color w:val="auto"/>
                <w:szCs w:val="22"/>
                <w:highlight w:val="none"/>
              </w:rPr>
            </w:pPr>
            <w:r>
              <w:rPr>
                <w:rFonts w:hint="eastAsia" w:ascii="宋体" w:hAnsi="宋体" w:eastAsia="宋体" w:cs="宋体"/>
                <w:color w:val="auto"/>
                <w:szCs w:val="22"/>
                <w:highlight w:val="none"/>
              </w:rPr>
              <w:t>1</w:t>
            </w:r>
          </w:p>
        </w:tc>
        <w:tc>
          <w:tcPr>
            <w:tcW w:w="2238" w:type="dxa"/>
            <w:tcBorders>
              <w:top w:val="single" w:color="auto" w:sz="4" w:space="0"/>
              <w:left w:val="single" w:color="auto" w:sz="4" w:space="0"/>
              <w:bottom w:val="single" w:color="auto" w:sz="4" w:space="0"/>
              <w:right w:val="single" w:color="auto" w:sz="4" w:space="0"/>
            </w:tcBorders>
            <w:noWrap w:val="0"/>
            <w:vAlign w:val="center"/>
          </w:tcPr>
          <w:p w14:paraId="5C60BB96">
            <w:pPr>
              <w:shd w:val="clear"/>
              <w:rPr>
                <w:rFonts w:hint="eastAsia" w:ascii="宋体" w:hAnsi="宋体" w:eastAsia="宋体" w:cs="宋体"/>
                <w:color w:val="auto"/>
                <w:szCs w:val="22"/>
                <w:highlight w:val="none"/>
                <w:lang w:eastAsia="zh-CN"/>
              </w:rPr>
            </w:pPr>
          </w:p>
        </w:tc>
        <w:tc>
          <w:tcPr>
            <w:tcW w:w="2702" w:type="dxa"/>
            <w:tcBorders>
              <w:top w:val="single" w:color="auto" w:sz="4" w:space="0"/>
              <w:left w:val="single" w:color="auto" w:sz="4" w:space="0"/>
              <w:bottom w:val="single" w:color="auto" w:sz="4" w:space="0"/>
              <w:right w:val="single" w:color="auto" w:sz="4" w:space="0"/>
            </w:tcBorders>
            <w:noWrap w:val="0"/>
            <w:vAlign w:val="center"/>
          </w:tcPr>
          <w:p w14:paraId="1C08CBC3">
            <w:pPr>
              <w:shd w:val="clear"/>
              <w:rPr>
                <w:rFonts w:hint="eastAsia" w:ascii="宋体" w:hAnsi="宋体" w:eastAsia="宋体" w:cs="宋体"/>
                <w:color w:val="auto"/>
                <w:szCs w:val="22"/>
                <w:highlight w:val="none"/>
                <w:lang w:eastAsia="zh-CN"/>
              </w:rPr>
            </w:pPr>
          </w:p>
        </w:tc>
        <w:tc>
          <w:tcPr>
            <w:tcW w:w="1308" w:type="dxa"/>
            <w:tcBorders>
              <w:top w:val="single" w:color="auto" w:sz="4" w:space="0"/>
              <w:left w:val="single" w:color="auto" w:sz="4" w:space="0"/>
              <w:bottom w:val="single" w:color="auto" w:sz="4" w:space="0"/>
              <w:right w:val="single" w:color="auto" w:sz="4" w:space="0"/>
            </w:tcBorders>
            <w:noWrap w:val="0"/>
            <w:vAlign w:val="center"/>
          </w:tcPr>
          <w:p w14:paraId="1E2CC075">
            <w:pPr>
              <w:shd w:val="clear"/>
              <w:rPr>
                <w:rFonts w:hint="eastAsia" w:ascii="宋体" w:hAnsi="宋体" w:eastAsia="宋体" w:cs="宋体"/>
                <w:color w:val="auto"/>
                <w:szCs w:val="22"/>
                <w:highlight w:val="none"/>
                <w:lang w:eastAsia="zh-CN"/>
              </w:rPr>
            </w:pPr>
          </w:p>
        </w:tc>
        <w:tc>
          <w:tcPr>
            <w:tcW w:w="1998" w:type="dxa"/>
            <w:tcBorders>
              <w:top w:val="single" w:color="auto" w:sz="4" w:space="0"/>
              <w:left w:val="single" w:color="auto" w:sz="4" w:space="0"/>
              <w:bottom w:val="single" w:color="auto" w:sz="4" w:space="0"/>
              <w:right w:val="single" w:color="auto" w:sz="4" w:space="0"/>
            </w:tcBorders>
            <w:noWrap w:val="0"/>
            <w:vAlign w:val="center"/>
          </w:tcPr>
          <w:p w14:paraId="75158A76">
            <w:pPr>
              <w:shd w:val="clear"/>
              <w:rPr>
                <w:rFonts w:hint="eastAsia" w:ascii="宋体" w:hAnsi="宋体" w:eastAsia="宋体" w:cs="宋体"/>
                <w:color w:val="auto"/>
                <w:szCs w:val="22"/>
                <w:highlight w:val="none"/>
              </w:rPr>
            </w:pPr>
          </w:p>
        </w:tc>
        <w:tc>
          <w:tcPr>
            <w:tcW w:w="767" w:type="dxa"/>
            <w:tcBorders>
              <w:top w:val="single" w:color="auto" w:sz="4" w:space="0"/>
              <w:left w:val="single" w:color="auto" w:sz="4" w:space="0"/>
              <w:bottom w:val="single" w:color="auto" w:sz="4" w:space="0"/>
              <w:right w:val="single" w:color="auto" w:sz="4" w:space="0"/>
            </w:tcBorders>
            <w:noWrap w:val="0"/>
            <w:vAlign w:val="center"/>
          </w:tcPr>
          <w:p w14:paraId="15232035">
            <w:pPr>
              <w:shd w:val="clear"/>
              <w:rPr>
                <w:rFonts w:hint="eastAsia" w:ascii="宋体" w:hAnsi="宋体" w:eastAsia="宋体" w:cs="宋体"/>
                <w:color w:val="auto"/>
                <w:szCs w:val="22"/>
                <w:highlight w:val="none"/>
              </w:rPr>
            </w:pPr>
          </w:p>
        </w:tc>
      </w:tr>
      <w:tr w14:paraId="6CDB02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8" w:hRule="atLeast"/>
        </w:trPr>
        <w:tc>
          <w:tcPr>
            <w:tcW w:w="688" w:type="dxa"/>
            <w:tcBorders>
              <w:top w:val="single" w:color="auto" w:sz="4" w:space="0"/>
              <w:left w:val="single" w:color="auto" w:sz="4" w:space="0"/>
              <w:bottom w:val="single" w:color="auto" w:sz="4" w:space="0"/>
              <w:right w:val="single" w:color="auto" w:sz="4" w:space="0"/>
            </w:tcBorders>
            <w:noWrap w:val="0"/>
            <w:vAlign w:val="center"/>
          </w:tcPr>
          <w:p w14:paraId="15CFE622">
            <w:pPr>
              <w:shd w:val="clear"/>
              <w:jc w:val="center"/>
              <w:rPr>
                <w:rFonts w:hint="eastAsia" w:ascii="宋体" w:hAnsi="宋体" w:eastAsia="宋体" w:cs="宋体"/>
                <w:color w:val="auto"/>
                <w:szCs w:val="22"/>
                <w:highlight w:val="none"/>
              </w:rPr>
            </w:pPr>
          </w:p>
        </w:tc>
        <w:tc>
          <w:tcPr>
            <w:tcW w:w="2238" w:type="dxa"/>
            <w:tcBorders>
              <w:top w:val="single" w:color="auto" w:sz="4" w:space="0"/>
              <w:left w:val="single" w:color="auto" w:sz="4" w:space="0"/>
              <w:bottom w:val="single" w:color="auto" w:sz="4" w:space="0"/>
              <w:right w:val="single" w:color="auto" w:sz="4" w:space="0"/>
            </w:tcBorders>
            <w:noWrap w:val="0"/>
            <w:vAlign w:val="center"/>
          </w:tcPr>
          <w:p w14:paraId="27B32684">
            <w:pPr>
              <w:shd w:val="clear"/>
              <w:rPr>
                <w:rFonts w:hint="eastAsia" w:ascii="宋体" w:hAnsi="宋体" w:eastAsia="宋体" w:cs="宋体"/>
                <w:color w:val="auto"/>
                <w:szCs w:val="22"/>
                <w:highlight w:val="none"/>
                <w:lang w:eastAsia="zh-CN"/>
              </w:rPr>
            </w:pPr>
          </w:p>
        </w:tc>
        <w:tc>
          <w:tcPr>
            <w:tcW w:w="2702" w:type="dxa"/>
            <w:tcBorders>
              <w:top w:val="single" w:color="auto" w:sz="4" w:space="0"/>
              <w:left w:val="single" w:color="auto" w:sz="4" w:space="0"/>
              <w:bottom w:val="single" w:color="auto" w:sz="4" w:space="0"/>
              <w:right w:val="single" w:color="auto" w:sz="4" w:space="0"/>
            </w:tcBorders>
            <w:noWrap w:val="0"/>
            <w:vAlign w:val="center"/>
          </w:tcPr>
          <w:p w14:paraId="5257C6CA">
            <w:pPr>
              <w:shd w:val="clear"/>
              <w:rPr>
                <w:rFonts w:hint="eastAsia" w:ascii="宋体" w:hAnsi="宋体" w:eastAsia="宋体" w:cs="宋体"/>
                <w:color w:val="auto"/>
                <w:szCs w:val="22"/>
                <w:highlight w:val="none"/>
                <w:lang w:eastAsia="zh-CN"/>
              </w:rPr>
            </w:pPr>
          </w:p>
        </w:tc>
        <w:tc>
          <w:tcPr>
            <w:tcW w:w="1308" w:type="dxa"/>
            <w:tcBorders>
              <w:top w:val="single" w:color="auto" w:sz="4" w:space="0"/>
              <w:left w:val="single" w:color="auto" w:sz="4" w:space="0"/>
              <w:bottom w:val="single" w:color="auto" w:sz="4" w:space="0"/>
              <w:right w:val="single" w:color="auto" w:sz="4" w:space="0"/>
            </w:tcBorders>
            <w:noWrap w:val="0"/>
            <w:vAlign w:val="center"/>
          </w:tcPr>
          <w:p w14:paraId="2C17741F">
            <w:pPr>
              <w:shd w:val="clear"/>
              <w:rPr>
                <w:rFonts w:hint="eastAsia" w:ascii="宋体" w:hAnsi="宋体" w:eastAsia="宋体" w:cs="宋体"/>
                <w:color w:val="auto"/>
                <w:szCs w:val="22"/>
                <w:highlight w:val="none"/>
                <w:lang w:eastAsia="zh-CN"/>
              </w:rPr>
            </w:pPr>
          </w:p>
        </w:tc>
        <w:tc>
          <w:tcPr>
            <w:tcW w:w="1998" w:type="dxa"/>
            <w:tcBorders>
              <w:top w:val="single" w:color="auto" w:sz="4" w:space="0"/>
              <w:left w:val="single" w:color="auto" w:sz="4" w:space="0"/>
              <w:bottom w:val="single" w:color="auto" w:sz="4" w:space="0"/>
              <w:right w:val="single" w:color="auto" w:sz="4" w:space="0"/>
            </w:tcBorders>
            <w:noWrap w:val="0"/>
            <w:vAlign w:val="center"/>
          </w:tcPr>
          <w:p w14:paraId="0C242D62">
            <w:pPr>
              <w:shd w:val="clear"/>
              <w:rPr>
                <w:rFonts w:hint="eastAsia" w:ascii="宋体" w:hAnsi="宋体" w:eastAsia="宋体" w:cs="宋体"/>
                <w:color w:val="auto"/>
                <w:szCs w:val="22"/>
                <w:highlight w:val="none"/>
              </w:rPr>
            </w:pPr>
          </w:p>
        </w:tc>
        <w:tc>
          <w:tcPr>
            <w:tcW w:w="767" w:type="dxa"/>
            <w:tcBorders>
              <w:top w:val="single" w:color="auto" w:sz="4" w:space="0"/>
              <w:left w:val="single" w:color="auto" w:sz="4" w:space="0"/>
              <w:bottom w:val="single" w:color="auto" w:sz="4" w:space="0"/>
              <w:right w:val="single" w:color="auto" w:sz="4" w:space="0"/>
            </w:tcBorders>
            <w:noWrap w:val="0"/>
            <w:vAlign w:val="center"/>
          </w:tcPr>
          <w:p w14:paraId="044032DE">
            <w:pPr>
              <w:shd w:val="clear"/>
              <w:rPr>
                <w:rFonts w:hint="eastAsia" w:ascii="宋体" w:hAnsi="宋体" w:eastAsia="宋体" w:cs="宋体"/>
                <w:color w:val="auto"/>
                <w:szCs w:val="22"/>
                <w:highlight w:val="none"/>
              </w:rPr>
            </w:pPr>
          </w:p>
        </w:tc>
      </w:tr>
      <w:tr w14:paraId="51F873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8" w:hRule="atLeast"/>
        </w:trPr>
        <w:tc>
          <w:tcPr>
            <w:tcW w:w="688" w:type="dxa"/>
            <w:tcBorders>
              <w:top w:val="single" w:color="auto" w:sz="4" w:space="0"/>
              <w:left w:val="single" w:color="auto" w:sz="4" w:space="0"/>
              <w:bottom w:val="single" w:color="auto" w:sz="4" w:space="0"/>
              <w:right w:val="single" w:color="auto" w:sz="4" w:space="0"/>
            </w:tcBorders>
            <w:noWrap w:val="0"/>
            <w:vAlign w:val="center"/>
          </w:tcPr>
          <w:p w14:paraId="39B781A1">
            <w:pPr>
              <w:shd w:val="clear"/>
              <w:jc w:val="center"/>
              <w:rPr>
                <w:rFonts w:hint="default" w:ascii="宋体" w:hAnsi="宋体" w:eastAsia="宋体" w:cs="宋体"/>
                <w:color w:val="auto"/>
                <w:szCs w:val="22"/>
                <w:highlight w:val="none"/>
                <w:lang w:val="en-US" w:eastAsia="zh-CN"/>
              </w:rPr>
            </w:pPr>
            <w:r>
              <w:rPr>
                <w:rFonts w:hint="eastAsia" w:ascii="宋体" w:hAnsi="宋体" w:cs="宋体"/>
                <w:color w:val="auto"/>
                <w:szCs w:val="22"/>
                <w:highlight w:val="none"/>
                <w:lang w:val="en-US" w:eastAsia="zh-CN"/>
              </w:rPr>
              <w:t>...</w:t>
            </w:r>
          </w:p>
        </w:tc>
        <w:tc>
          <w:tcPr>
            <w:tcW w:w="2238" w:type="dxa"/>
            <w:tcBorders>
              <w:top w:val="single" w:color="auto" w:sz="4" w:space="0"/>
              <w:left w:val="single" w:color="auto" w:sz="4" w:space="0"/>
              <w:bottom w:val="single" w:color="auto" w:sz="4" w:space="0"/>
              <w:right w:val="single" w:color="auto" w:sz="4" w:space="0"/>
            </w:tcBorders>
            <w:noWrap w:val="0"/>
            <w:vAlign w:val="center"/>
          </w:tcPr>
          <w:p w14:paraId="633809B0">
            <w:pPr>
              <w:shd w:val="clear"/>
              <w:rPr>
                <w:rFonts w:hint="eastAsia" w:ascii="宋体" w:hAnsi="宋体" w:eastAsia="宋体" w:cs="宋体"/>
                <w:color w:val="auto"/>
                <w:szCs w:val="22"/>
                <w:highlight w:val="none"/>
                <w:lang w:eastAsia="zh-CN"/>
              </w:rPr>
            </w:pPr>
          </w:p>
        </w:tc>
        <w:tc>
          <w:tcPr>
            <w:tcW w:w="2702" w:type="dxa"/>
            <w:tcBorders>
              <w:top w:val="single" w:color="auto" w:sz="4" w:space="0"/>
              <w:left w:val="single" w:color="auto" w:sz="4" w:space="0"/>
              <w:bottom w:val="single" w:color="auto" w:sz="4" w:space="0"/>
              <w:right w:val="single" w:color="auto" w:sz="4" w:space="0"/>
            </w:tcBorders>
            <w:noWrap w:val="0"/>
            <w:vAlign w:val="center"/>
          </w:tcPr>
          <w:p w14:paraId="1DD94048">
            <w:pPr>
              <w:shd w:val="clear"/>
              <w:rPr>
                <w:rFonts w:hint="eastAsia" w:ascii="宋体" w:hAnsi="宋体" w:eastAsia="宋体" w:cs="宋体"/>
                <w:color w:val="auto"/>
                <w:szCs w:val="22"/>
                <w:highlight w:val="none"/>
                <w:lang w:eastAsia="zh-CN"/>
              </w:rPr>
            </w:pPr>
          </w:p>
        </w:tc>
        <w:tc>
          <w:tcPr>
            <w:tcW w:w="1308" w:type="dxa"/>
            <w:tcBorders>
              <w:top w:val="single" w:color="auto" w:sz="4" w:space="0"/>
              <w:left w:val="single" w:color="auto" w:sz="4" w:space="0"/>
              <w:bottom w:val="single" w:color="auto" w:sz="4" w:space="0"/>
              <w:right w:val="single" w:color="auto" w:sz="4" w:space="0"/>
            </w:tcBorders>
            <w:noWrap w:val="0"/>
            <w:vAlign w:val="center"/>
          </w:tcPr>
          <w:p w14:paraId="51E7E03B">
            <w:pPr>
              <w:shd w:val="clear"/>
              <w:rPr>
                <w:rFonts w:hint="eastAsia" w:ascii="宋体" w:hAnsi="宋体" w:eastAsia="宋体" w:cs="宋体"/>
                <w:color w:val="auto"/>
                <w:szCs w:val="22"/>
                <w:highlight w:val="none"/>
                <w:lang w:eastAsia="zh-CN"/>
              </w:rPr>
            </w:pPr>
          </w:p>
        </w:tc>
        <w:tc>
          <w:tcPr>
            <w:tcW w:w="1998" w:type="dxa"/>
            <w:tcBorders>
              <w:top w:val="single" w:color="auto" w:sz="4" w:space="0"/>
              <w:left w:val="single" w:color="auto" w:sz="4" w:space="0"/>
              <w:bottom w:val="single" w:color="auto" w:sz="4" w:space="0"/>
              <w:right w:val="single" w:color="auto" w:sz="4" w:space="0"/>
            </w:tcBorders>
            <w:noWrap w:val="0"/>
            <w:vAlign w:val="center"/>
          </w:tcPr>
          <w:p w14:paraId="56F1E0E4">
            <w:pPr>
              <w:shd w:val="clear"/>
              <w:rPr>
                <w:rFonts w:hint="eastAsia" w:ascii="宋体" w:hAnsi="宋体" w:eastAsia="宋体" w:cs="宋体"/>
                <w:color w:val="auto"/>
                <w:szCs w:val="22"/>
                <w:highlight w:val="none"/>
              </w:rPr>
            </w:pPr>
          </w:p>
        </w:tc>
        <w:tc>
          <w:tcPr>
            <w:tcW w:w="767" w:type="dxa"/>
            <w:tcBorders>
              <w:top w:val="single" w:color="auto" w:sz="4" w:space="0"/>
              <w:left w:val="single" w:color="auto" w:sz="4" w:space="0"/>
              <w:bottom w:val="single" w:color="auto" w:sz="4" w:space="0"/>
              <w:right w:val="single" w:color="auto" w:sz="4" w:space="0"/>
            </w:tcBorders>
            <w:noWrap w:val="0"/>
            <w:vAlign w:val="center"/>
          </w:tcPr>
          <w:p w14:paraId="28EC18FD">
            <w:pPr>
              <w:shd w:val="clear"/>
              <w:rPr>
                <w:rFonts w:hint="eastAsia" w:ascii="宋体" w:hAnsi="宋体" w:eastAsia="宋体" w:cs="宋体"/>
                <w:color w:val="auto"/>
                <w:szCs w:val="22"/>
                <w:highlight w:val="none"/>
              </w:rPr>
            </w:pPr>
          </w:p>
        </w:tc>
      </w:tr>
      <w:tr w14:paraId="4598E5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8" w:hRule="atLeast"/>
        </w:trPr>
        <w:tc>
          <w:tcPr>
            <w:tcW w:w="9701" w:type="dxa"/>
            <w:gridSpan w:val="6"/>
            <w:tcBorders>
              <w:top w:val="single" w:color="auto" w:sz="4" w:space="0"/>
              <w:left w:val="single" w:color="auto" w:sz="4" w:space="0"/>
              <w:bottom w:val="single" w:color="auto" w:sz="4" w:space="0"/>
              <w:right w:val="single" w:color="auto" w:sz="4" w:space="0"/>
            </w:tcBorders>
            <w:noWrap w:val="0"/>
            <w:vAlign w:val="center"/>
          </w:tcPr>
          <w:p w14:paraId="449784C2">
            <w:pPr>
              <w:shd w:val="clear"/>
              <w:rPr>
                <w:rFonts w:hint="default" w:ascii="宋体" w:hAnsi="宋体" w:eastAsia="宋体" w:cs="宋体"/>
                <w:color w:val="auto"/>
                <w:szCs w:val="22"/>
                <w:highlight w:val="none"/>
                <w:lang w:val="en-US" w:eastAsia="zh-CN"/>
              </w:rPr>
            </w:pPr>
            <w:r>
              <w:rPr>
                <w:rFonts w:hint="eastAsia" w:ascii="宋体" w:hAnsi="宋体" w:cs="宋体"/>
                <w:color w:val="auto"/>
                <w:szCs w:val="22"/>
                <w:highlight w:val="none"/>
                <w:lang w:eastAsia="zh-CN"/>
              </w:rPr>
              <w:t>合计金额：大写</w:t>
            </w:r>
            <w:r>
              <w:rPr>
                <w:rFonts w:hint="eastAsia" w:ascii="宋体" w:hAnsi="宋体" w:cs="宋体"/>
                <w:color w:val="auto"/>
                <w:szCs w:val="22"/>
                <w:highlight w:val="none"/>
                <w:u w:val="single"/>
                <w:lang w:val="en-US" w:eastAsia="zh-CN"/>
              </w:rPr>
              <w:t xml:space="preserve">               </w:t>
            </w:r>
            <w:r>
              <w:rPr>
                <w:rFonts w:hint="eastAsia" w:ascii="宋体" w:hAnsi="宋体" w:cs="宋体"/>
                <w:color w:val="auto"/>
                <w:szCs w:val="22"/>
                <w:highlight w:val="none"/>
                <w:lang w:val="en-US" w:eastAsia="zh-CN"/>
              </w:rPr>
              <w:t xml:space="preserve"> （小写：¥ </w:t>
            </w:r>
            <w:r>
              <w:rPr>
                <w:rFonts w:hint="eastAsia" w:ascii="宋体" w:hAnsi="宋体" w:cs="宋体"/>
                <w:color w:val="auto"/>
                <w:szCs w:val="22"/>
                <w:highlight w:val="none"/>
                <w:u w:val="single"/>
                <w:lang w:val="en-US" w:eastAsia="zh-CN"/>
              </w:rPr>
              <w:t xml:space="preserve">               </w:t>
            </w:r>
            <w:r>
              <w:rPr>
                <w:rFonts w:hint="eastAsia" w:ascii="宋体" w:hAnsi="宋体" w:cs="宋体"/>
                <w:color w:val="auto"/>
                <w:szCs w:val="22"/>
                <w:highlight w:val="none"/>
                <w:lang w:val="en-US" w:eastAsia="zh-CN"/>
              </w:rPr>
              <w:t>）</w:t>
            </w:r>
          </w:p>
        </w:tc>
      </w:tr>
      <w:tr w14:paraId="40BF0A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48" w:hRule="atLeast"/>
        </w:trPr>
        <w:tc>
          <w:tcPr>
            <w:tcW w:w="9701" w:type="dxa"/>
            <w:gridSpan w:val="6"/>
            <w:tcBorders>
              <w:top w:val="single" w:color="auto" w:sz="4" w:space="0"/>
              <w:left w:val="single" w:color="auto" w:sz="4" w:space="0"/>
              <w:bottom w:val="single" w:color="auto" w:sz="4" w:space="0"/>
              <w:right w:val="single" w:color="auto" w:sz="4" w:space="0"/>
            </w:tcBorders>
            <w:noWrap w:val="0"/>
            <w:vAlign w:val="center"/>
          </w:tcPr>
          <w:p w14:paraId="47090E5B">
            <w:pPr>
              <w:shd w:val="clear"/>
              <w:jc w:val="left"/>
              <w:rPr>
                <w:rFonts w:hint="eastAsia" w:ascii="宋体" w:hAnsi="宋体" w:eastAsia="宋体" w:cs="宋体"/>
                <w:color w:val="auto"/>
                <w:szCs w:val="21"/>
                <w:highlight w:val="none"/>
                <w:lang w:eastAsia="zh-CN"/>
              </w:rPr>
            </w:pPr>
            <w:r>
              <w:rPr>
                <w:rFonts w:hint="eastAsia" w:ascii="宋体" w:hAnsi="宋体" w:cs="宋体"/>
                <w:color w:val="auto"/>
                <w:szCs w:val="21"/>
                <w:highlight w:val="none"/>
                <w:lang w:val="en-US" w:eastAsia="zh-CN"/>
              </w:rPr>
              <w:t>提交服务成果时间</w:t>
            </w:r>
            <w:r>
              <w:rPr>
                <w:rFonts w:hint="eastAsia" w:ascii="宋体" w:hAnsi="宋体" w:eastAsia="宋体" w:cs="宋体"/>
                <w:color w:val="auto"/>
                <w:szCs w:val="21"/>
                <w:highlight w:val="none"/>
                <w:lang w:eastAsia="zh-CN"/>
              </w:rPr>
              <w:t>：</w:t>
            </w:r>
            <w:r>
              <w:rPr>
                <w:rFonts w:hint="eastAsia" w:ascii="宋体" w:hAnsi="宋体" w:eastAsia="宋体" w:cs="宋体"/>
                <w:color w:val="auto"/>
                <w:highlight w:val="none"/>
                <w:u w:val="single"/>
                <w:lang w:val="en-US" w:eastAsia="zh-CN"/>
              </w:rPr>
              <w:t xml:space="preserve"> </w:t>
            </w:r>
            <w:r>
              <w:rPr>
                <w:rFonts w:hint="eastAsia" w:ascii="宋体" w:hAnsi="宋体" w:cs="宋体"/>
                <w:color w:val="auto"/>
                <w:highlight w:val="none"/>
                <w:u w:val="single"/>
                <w:lang w:val="en-US" w:eastAsia="zh-CN"/>
              </w:rPr>
              <w:t xml:space="preserve">                 </w:t>
            </w:r>
          </w:p>
        </w:tc>
      </w:tr>
    </w:tbl>
    <w:p w14:paraId="6BAB5020">
      <w:pPr>
        <w:shd w:val="clear"/>
        <w:snapToGrid w:val="0"/>
        <w:spacing w:before="50" w:after="50" w:line="360" w:lineRule="auto"/>
        <w:ind w:firstLine="480" w:firstLineChars="200"/>
        <w:jc w:val="left"/>
        <w:rPr>
          <w:rFonts w:hint="eastAsia" w:ascii="宋体" w:hAnsi="宋体" w:eastAsia="宋体" w:cs="宋体"/>
          <w:color w:val="auto"/>
          <w:kern w:val="0"/>
          <w:sz w:val="24"/>
          <w:highlight w:val="none"/>
          <w:lang w:val="zh-CN"/>
        </w:rPr>
      </w:pPr>
      <w:r>
        <w:rPr>
          <w:rFonts w:hint="eastAsia" w:ascii="宋体" w:hAnsi="宋体" w:eastAsia="宋体" w:cs="宋体"/>
          <w:color w:val="auto"/>
          <w:kern w:val="0"/>
          <w:sz w:val="24"/>
          <w:highlight w:val="none"/>
          <w:lang w:val="zh-CN"/>
        </w:rPr>
        <w:t xml:space="preserve">注： </w:t>
      </w:r>
    </w:p>
    <w:p w14:paraId="092E50FA">
      <w:pPr>
        <w:shd w:val="clear"/>
        <w:snapToGrid w:val="0"/>
        <w:spacing w:before="50" w:after="50" w:line="360" w:lineRule="auto"/>
        <w:ind w:firstLine="480" w:firstLineChars="200"/>
        <w:jc w:val="left"/>
        <w:rPr>
          <w:rFonts w:hint="eastAsia" w:ascii="宋体" w:hAnsi="宋体" w:eastAsia="宋体" w:cs="宋体"/>
          <w:color w:val="auto"/>
          <w:kern w:val="0"/>
          <w:sz w:val="24"/>
          <w:highlight w:val="none"/>
          <w:lang w:val="zh-CN"/>
        </w:rPr>
      </w:pPr>
      <w:r>
        <w:rPr>
          <w:rFonts w:hint="eastAsia" w:ascii="宋体" w:hAnsi="宋体" w:eastAsia="宋体" w:cs="宋体"/>
          <w:color w:val="auto"/>
          <w:kern w:val="0"/>
          <w:sz w:val="24"/>
          <w:highlight w:val="none"/>
          <w:lang w:val="zh-CN"/>
        </w:rPr>
        <w:t>1、 投标人需按本表格式填写，不得自行更改，也不得留空</w:t>
      </w:r>
      <w:r>
        <w:rPr>
          <w:rFonts w:hint="eastAsia" w:ascii="宋体" w:hAnsi="宋体" w:eastAsia="宋体" w:cs="宋体"/>
          <w:color w:val="auto"/>
          <w:kern w:val="0"/>
          <w:sz w:val="24"/>
          <w:szCs w:val="24"/>
          <w:highlight w:val="none"/>
          <w:lang w:val="zh-CN"/>
        </w:rPr>
        <w:t>（</w:t>
      </w:r>
      <w:r>
        <w:rPr>
          <w:rFonts w:hint="eastAsia" w:ascii="宋体" w:hAnsi="宋体" w:eastAsia="宋体" w:cs="宋体"/>
          <w:color w:val="auto"/>
          <w:sz w:val="24"/>
          <w:szCs w:val="24"/>
          <w:highlight w:val="none"/>
        </w:rPr>
        <w:t>备注</w:t>
      </w:r>
      <w:r>
        <w:rPr>
          <w:rFonts w:hint="eastAsia" w:ascii="宋体" w:hAnsi="宋体" w:eastAsia="宋体" w:cs="宋体"/>
          <w:color w:val="auto"/>
          <w:sz w:val="24"/>
          <w:szCs w:val="24"/>
          <w:highlight w:val="none"/>
          <w:lang w:eastAsia="zh-CN"/>
        </w:rPr>
        <w:t>除外</w:t>
      </w:r>
      <w:r>
        <w:rPr>
          <w:rFonts w:hint="eastAsia" w:ascii="宋体" w:hAnsi="宋体" w:eastAsia="宋体" w:cs="宋体"/>
          <w:color w:val="auto"/>
          <w:kern w:val="0"/>
          <w:sz w:val="24"/>
          <w:szCs w:val="24"/>
          <w:highlight w:val="none"/>
          <w:lang w:val="zh-CN"/>
        </w:rPr>
        <w:t>）</w:t>
      </w:r>
      <w:r>
        <w:rPr>
          <w:rFonts w:hint="eastAsia" w:ascii="宋体" w:hAnsi="宋体" w:eastAsia="宋体" w:cs="宋体"/>
          <w:color w:val="auto"/>
          <w:kern w:val="0"/>
          <w:sz w:val="24"/>
          <w:highlight w:val="none"/>
          <w:lang w:val="zh-CN"/>
        </w:rPr>
        <w:t>, 如有多分标，按分标分别提供开标一览表，必须加盖投标人有效公章，</w:t>
      </w:r>
      <w:r>
        <w:rPr>
          <w:rFonts w:hint="eastAsia" w:ascii="宋体" w:hAnsi="宋体" w:eastAsia="宋体" w:cs="宋体"/>
          <w:b/>
          <w:color w:val="auto"/>
          <w:kern w:val="0"/>
          <w:sz w:val="24"/>
          <w:highlight w:val="none"/>
          <w:lang w:val="zh-CN"/>
        </w:rPr>
        <w:t>否则其投标作无效标处理。</w:t>
      </w:r>
    </w:p>
    <w:p w14:paraId="1DAB72F1">
      <w:pPr>
        <w:shd w:val="clear"/>
        <w:snapToGrid w:val="0"/>
        <w:spacing w:before="50" w:after="50" w:line="360" w:lineRule="auto"/>
        <w:ind w:firstLine="480" w:firstLineChars="200"/>
        <w:jc w:val="left"/>
        <w:rPr>
          <w:rFonts w:hint="eastAsia" w:ascii="宋体" w:hAnsi="宋体" w:eastAsia="宋体" w:cs="宋体"/>
          <w:color w:val="auto"/>
          <w:kern w:val="0"/>
          <w:sz w:val="24"/>
          <w:highlight w:val="none"/>
          <w:lang w:val="zh-CN"/>
        </w:rPr>
      </w:pPr>
      <w:r>
        <w:rPr>
          <w:rFonts w:hint="eastAsia" w:ascii="宋体" w:hAnsi="宋体" w:eastAsia="宋体" w:cs="宋体"/>
          <w:color w:val="auto"/>
          <w:kern w:val="0"/>
          <w:sz w:val="24"/>
          <w:highlight w:val="none"/>
          <w:lang w:val="zh-CN"/>
        </w:rPr>
        <w:t>2、本表内容均不能涂改，</w:t>
      </w:r>
      <w:r>
        <w:rPr>
          <w:rFonts w:hint="eastAsia" w:ascii="宋体" w:hAnsi="宋体" w:eastAsia="宋体" w:cs="宋体"/>
          <w:b/>
          <w:color w:val="auto"/>
          <w:kern w:val="0"/>
          <w:sz w:val="24"/>
          <w:highlight w:val="none"/>
          <w:lang w:val="zh-CN"/>
        </w:rPr>
        <w:t>否则其投标作无效标处理。</w:t>
      </w:r>
    </w:p>
    <w:p w14:paraId="6C1B02DB">
      <w:pPr>
        <w:shd w:val="clear"/>
        <w:snapToGrid w:val="0"/>
        <w:spacing w:before="50" w:after="50" w:line="360" w:lineRule="auto"/>
        <w:ind w:firstLine="480" w:firstLineChars="200"/>
        <w:jc w:val="left"/>
        <w:rPr>
          <w:rFonts w:hint="eastAsia" w:ascii="宋体" w:hAnsi="宋体" w:eastAsia="宋体" w:cs="宋体"/>
          <w:b/>
          <w:color w:val="auto"/>
          <w:kern w:val="0"/>
          <w:sz w:val="24"/>
          <w:highlight w:val="none"/>
          <w:lang w:val="zh-CN"/>
        </w:rPr>
      </w:pPr>
      <w:r>
        <w:rPr>
          <w:rFonts w:hint="eastAsia" w:ascii="宋体" w:hAnsi="宋体" w:eastAsia="宋体" w:cs="宋体"/>
          <w:color w:val="auto"/>
          <w:kern w:val="0"/>
          <w:sz w:val="24"/>
          <w:highlight w:val="none"/>
          <w:lang w:val="zh-CN"/>
        </w:rPr>
        <w:t>3、如为联合体投标，“投标人名称”处必须列明联合体各方名称，并标注联合体牵头人名称，且盖章处须加盖联合体各方公章，</w:t>
      </w:r>
      <w:r>
        <w:rPr>
          <w:rFonts w:hint="eastAsia" w:ascii="宋体" w:hAnsi="宋体" w:eastAsia="宋体" w:cs="宋体"/>
          <w:b/>
          <w:color w:val="auto"/>
          <w:kern w:val="0"/>
          <w:sz w:val="24"/>
          <w:highlight w:val="none"/>
          <w:lang w:val="zh-CN"/>
        </w:rPr>
        <w:t>否则其投标作无效标处理。</w:t>
      </w:r>
    </w:p>
    <w:p w14:paraId="67AB87DF">
      <w:pPr>
        <w:shd w:val="clear"/>
        <w:snapToGrid w:val="0"/>
        <w:spacing w:line="360" w:lineRule="auto"/>
        <w:ind w:firstLine="480" w:firstLineChars="200"/>
        <w:jc w:val="left"/>
        <w:rPr>
          <w:rFonts w:hint="eastAsia" w:ascii="宋体" w:hAnsi="宋体" w:eastAsia="宋体" w:cs="宋体"/>
          <w:color w:val="auto"/>
          <w:kern w:val="0"/>
          <w:sz w:val="24"/>
          <w:highlight w:val="none"/>
          <w:lang w:val="zh-CN"/>
        </w:rPr>
      </w:pPr>
      <w:r>
        <w:rPr>
          <w:rFonts w:hint="eastAsia" w:ascii="宋体" w:hAnsi="宋体" w:eastAsia="宋体" w:cs="宋体"/>
          <w:color w:val="auto"/>
          <w:kern w:val="0"/>
          <w:sz w:val="24"/>
          <w:highlight w:val="none"/>
          <w:lang w:val="en-US" w:eastAsia="zh-CN"/>
        </w:rPr>
        <w:t>4</w:t>
      </w:r>
      <w:r>
        <w:rPr>
          <w:rFonts w:hint="eastAsia" w:ascii="宋体" w:hAnsi="宋体" w:eastAsia="宋体" w:cs="宋体"/>
          <w:color w:val="auto"/>
          <w:kern w:val="0"/>
          <w:sz w:val="24"/>
          <w:highlight w:val="none"/>
          <w:lang w:val="zh-CN"/>
        </w:rPr>
        <w:t>、特别提示：采购代理机构将对项目名称和项目编号，中标</w:t>
      </w:r>
      <w:r>
        <w:rPr>
          <w:rFonts w:hint="eastAsia" w:ascii="宋体" w:hAnsi="宋体" w:eastAsia="宋体" w:cs="宋体"/>
          <w:color w:val="auto"/>
          <w:kern w:val="0"/>
          <w:sz w:val="24"/>
          <w:highlight w:val="none"/>
          <w:lang w:val="en-US" w:eastAsia="zh-CN"/>
        </w:rPr>
        <w:t>人</w:t>
      </w:r>
      <w:r>
        <w:rPr>
          <w:rFonts w:hint="eastAsia" w:ascii="宋体" w:hAnsi="宋体" w:eastAsia="宋体" w:cs="宋体"/>
          <w:color w:val="auto"/>
          <w:kern w:val="0"/>
          <w:sz w:val="24"/>
          <w:highlight w:val="none"/>
          <w:lang w:val="zh-CN"/>
        </w:rPr>
        <w:t>名称、地址和中标金额，主要中标标的的名称、服务范围、服务要求、服务时间、服务标准等予以公示。</w:t>
      </w:r>
    </w:p>
    <w:p w14:paraId="1341DDE1">
      <w:pPr>
        <w:shd w:val="clear"/>
        <w:snapToGrid w:val="0"/>
        <w:spacing w:line="360" w:lineRule="auto"/>
        <w:ind w:firstLine="480" w:firstLineChars="200"/>
        <w:jc w:val="left"/>
        <w:rPr>
          <w:rFonts w:hint="eastAsia" w:ascii="宋体" w:hAnsi="宋体" w:eastAsia="宋体" w:cs="宋体"/>
          <w:color w:val="auto"/>
          <w:kern w:val="0"/>
          <w:sz w:val="24"/>
          <w:highlight w:val="none"/>
          <w:lang w:val="zh-CN"/>
        </w:rPr>
      </w:pPr>
      <w:r>
        <w:rPr>
          <w:rFonts w:hint="eastAsia" w:ascii="宋体" w:hAnsi="宋体" w:eastAsia="宋体" w:cs="宋体"/>
          <w:color w:val="auto"/>
          <w:kern w:val="0"/>
          <w:sz w:val="24"/>
          <w:szCs w:val="22"/>
          <w:highlight w:val="none"/>
          <w:lang w:val="en-US" w:eastAsia="zh-CN"/>
        </w:rPr>
        <w:t>5</w:t>
      </w:r>
      <w:r>
        <w:rPr>
          <w:rFonts w:hint="eastAsia" w:ascii="宋体" w:hAnsi="宋体" w:eastAsia="宋体" w:cs="宋体"/>
          <w:color w:val="auto"/>
          <w:kern w:val="0"/>
          <w:sz w:val="24"/>
          <w:szCs w:val="22"/>
          <w:highlight w:val="none"/>
          <w:lang w:val="zh-CN"/>
        </w:rPr>
        <w:t>、</w:t>
      </w:r>
      <w:r>
        <w:rPr>
          <w:rFonts w:hint="eastAsia" w:ascii="宋体" w:hAnsi="宋体" w:eastAsia="宋体" w:cs="宋体"/>
          <w:color w:val="auto"/>
          <w:kern w:val="0"/>
          <w:sz w:val="24"/>
          <w:highlight w:val="none"/>
          <w:lang w:val="zh-CN"/>
        </w:rPr>
        <w:t>符合招标文件中列明的可享受中小企业扶持政策的投标人，请填写中小企业声明函。注：投标人提供的中小企业声明函内容不实的，属于提供虚假材料谋取中标、成交，依照《中华人民共和国政府采购法》等国家有关规定追究相应责任。</w:t>
      </w:r>
    </w:p>
    <w:p w14:paraId="17DCBD53">
      <w:pPr>
        <w:pStyle w:val="9"/>
        <w:shd w:val="clear"/>
        <w:rPr>
          <w:rFonts w:hint="eastAsia" w:ascii="宋体" w:hAnsi="宋体" w:eastAsia="宋体" w:cs="宋体"/>
          <w:color w:val="auto"/>
          <w:highlight w:val="none"/>
          <w:lang w:val="zh-CN"/>
        </w:rPr>
      </w:pPr>
    </w:p>
    <w:p w14:paraId="0969CC34">
      <w:pPr>
        <w:shd w:val="clear"/>
        <w:snapToGrid w:val="0"/>
        <w:spacing w:line="360" w:lineRule="auto"/>
        <w:ind w:firstLine="5040" w:firstLineChars="2100"/>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lang w:val="zh-CN"/>
        </w:rPr>
        <w:t>投标人名称(盖公章)：</w:t>
      </w:r>
    </w:p>
    <w:p w14:paraId="6AF9EC5E">
      <w:pPr>
        <w:shd w:val="clear"/>
        <w:snapToGrid w:val="0"/>
        <w:spacing w:line="360" w:lineRule="auto"/>
        <w:ind w:firstLine="5160" w:firstLineChars="2150"/>
        <w:rPr>
          <w:rFonts w:hint="eastAsia" w:ascii="宋体" w:hAnsi="宋体" w:eastAsia="宋体" w:cs="宋体"/>
          <w:color w:val="auto"/>
          <w:kern w:val="0"/>
          <w:sz w:val="24"/>
          <w:highlight w:val="none"/>
          <w:lang w:val="zh-CN"/>
        </w:rPr>
      </w:pPr>
      <w:r>
        <w:rPr>
          <w:rFonts w:hint="eastAsia" w:ascii="宋体" w:hAnsi="宋体" w:eastAsia="宋体" w:cs="宋体"/>
          <w:color w:val="auto"/>
          <w:kern w:val="0"/>
          <w:sz w:val="24"/>
          <w:highlight w:val="none"/>
          <w:lang w:val="zh-CN"/>
        </w:rPr>
        <w:t>日期</w:t>
      </w:r>
      <w:r>
        <w:rPr>
          <w:rFonts w:hint="eastAsia" w:ascii="宋体" w:hAnsi="宋体" w:eastAsia="宋体" w:cs="宋体"/>
          <w:color w:val="auto"/>
          <w:kern w:val="0"/>
          <w:sz w:val="24"/>
          <w:highlight w:val="none"/>
        </w:rPr>
        <w:t xml:space="preserve">：  年  </w:t>
      </w:r>
      <w:r>
        <w:rPr>
          <w:rFonts w:hint="eastAsia" w:ascii="宋体" w:hAnsi="宋体" w:eastAsia="宋体" w:cs="宋体"/>
          <w:color w:val="auto"/>
          <w:kern w:val="0"/>
          <w:sz w:val="24"/>
          <w:highlight w:val="none"/>
          <w:lang w:val="zh-CN"/>
        </w:rPr>
        <w:t>月</w:t>
      </w:r>
      <w:r>
        <w:rPr>
          <w:rFonts w:hint="eastAsia" w:ascii="宋体" w:hAnsi="宋体" w:eastAsia="宋体" w:cs="宋体"/>
          <w:color w:val="auto"/>
          <w:kern w:val="0"/>
          <w:sz w:val="24"/>
          <w:highlight w:val="none"/>
        </w:rPr>
        <w:t xml:space="preserve">   </w:t>
      </w:r>
      <w:r>
        <w:rPr>
          <w:rFonts w:hint="eastAsia" w:ascii="宋体" w:hAnsi="宋体" w:eastAsia="宋体" w:cs="宋体"/>
          <w:color w:val="auto"/>
          <w:kern w:val="0"/>
          <w:sz w:val="24"/>
          <w:highlight w:val="none"/>
          <w:lang w:val="zh-CN"/>
        </w:rPr>
        <w:t>日</w:t>
      </w:r>
    </w:p>
    <w:p w14:paraId="319722A5">
      <w:pPr>
        <w:widowControl/>
        <w:shd w:val="clear"/>
        <w:jc w:val="left"/>
        <w:rPr>
          <w:rFonts w:hint="eastAsia" w:ascii="宋体" w:hAnsi="宋体" w:eastAsia="宋体" w:cs="宋体"/>
          <w:color w:val="auto"/>
          <w:sz w:val="30"/>
          <w:szCs w:val="20"/>
          <w:highlight w:val="none"/>
        </w:rPr>
        <w:sectPr>
          <w:pgSz w:w="11905" w:h="16838"/>
          <w:pgMar w:top="1134" w:right="1134" w:bottom="1134" w:left="1134" w:header="850" w:footer="850" w:gutter="0"/>
          <w:pgNumType w:fmt="decimal"/>
          <w:cols w:space="0" w:num="1"/>
          <w:titlePg/>
          <w:rtlGutter w:val="0"/>
          <w:docGrid w:linePitch="331" w:charSpace="0"/>
        </w:sectPr>
      </w:pPr>
    </w:p>
    <w:p w14:paraId="03993FC8">
      <w:pPr>
        <w:shd w:val="clear"/>
        <w:snapToGrid w:val="0"/>
        <w:spacing w:before="165" w:beforeLines="50" w:after="50"/>
        <w:jc w:val="center"/>
        <w:outlineLvl w:val="1"/>
        <w:rPr>
          <w:rFonts w:hint="eastAsia" w:ascii="宋体" w:hAnsi="宋体" w:eastAsia="宋体" w:cs="宋体"/>
          <w:color w:val="auto"/>
          <w:sz w:val="20"/>
          <w:highlight w:val="none"/>
        </w:rPr>
      </w:pPr>
      <w:bookmarkStart w:id="393" w:name="_Toc2783"/>
      <w:r>
        <w:rPr>
          <w:rFonts w:hint="eastAsia" w:ascii="宋体" w:hAnsi="宋体" w:eastAsia="宋体" w:cs="宋体"/>
          <w:b/>
          <w:bCs/>
          <w:color w:val="auto"/>
          <w:sz w:val="28"/>
          <w:szCs w:val="28"/>
          <w:highlight w:val="none"/>
        </w:rPr>
        <w:t>第</w:t>
      </w:r>
      <w:r>
        <w:rPr>
          <w:rFonts w:hint="eastAsia" w:ascii="宋体" w:hAnsi="宋体" w:eastAsia="宋体" w:cs="宋体"/>
          <w:b/>
          <w:bCs/>
          <w:color w:val="auto"/>
          <w:sz w:val="28"/>
          <w:szCs w:val="28"/>
          <w:highlight w:val="none"/>
          <w:lang w:eastAsia="zh-CN"/>
        </w:rPr>
        <w:t>五</w:t>
      </w:r>
      <w:r>
        <w:rPr>
          <w:rFonts w:hint="eastAsia" w:ascii="宋体" w:hAnsi="宋体" w:eastAsia="宋体" w:cs="宋体"/>
          <w:b/>
          <w:bCs/>
          <w:color w:val="auto"/>
          <w:sz w:val="28"/>
          <w:szCs w:val="28"/>
          <w:highlight w:val="none"/>
        </w:rPr>
        <w:t>节 其他文书、文件格式</w:t>
      </w:r>
      <w:bookmarkEnd w:id="393"/>
    </w:p>
    <w:p w14:paraId="62842051">
      <w:pPr>
        <w:pStyle w:val="13"/>
        <w:numPr>
          <w:ilvl w:val="0"/>
          <w:numId w:val="0"/>
        </w:numPr>
        <w:shd w:val="clear"/>
        <w:rPr>
          <w:rFonts w:hint="eastAsia" w:ascii="宋体" w:hAnsi="宋体" w:eastAsia="宋体" w:cs="宋体"/>
          <w:color w:val="auto"/>
          <w:kern w:val="0"/>
          <w:sz w:val="28"/>
          <w:szCs w:val="28"/>
          <w:highlight w:val="none"/>
        </w:rPr>
      </w:pPr>
    </w:p>
    <w:p w14:paraId="7C661FC7">
      <w:pPr>
        <w:pStyle w:val="13"/>
        <w:numPr>
          <w:ilvl w:val="0"/>
          <w:numId w:val="0"/>
        </w:numPr>
        <w:shd w:val="clear"/>
        <w:rPr>
          <w:rFonts w:hint="eastAsia" w:ascii="宋体" w:hAnsi="宋体" w:eastAsia="宋体" w:cs="宋体"/>
          <w:color w:val="auto"/>
          <w:kern w:val="0"/>
          <w:sz w:val="28"/>
          <w:szCs w:val="28"/>
          <w:highlight w:val="none"/>
          <w:lang w:eastAsia="zh-CN"/>
        </w:rPr>
      </w:pPr>
      <w:r>
        <w:rPr>
          <w:rFonts w:hint="eastAsia" w:ascii="宋体" w:hAnsi="宋体" w:cs="宋体"/>
          <w:color w:val="auto"/>
          <w:kern w:val="0"/>
          <w:sz w:val="28"/>
          <w:szCs w:val="28"/>
          <w:highlight w:val="none"/>
          <w:lang w:val="en-US" w:eastAsia="zh-CN"/>
        </w:rPr>
        <w:t>1.</w:t>
      </w:r>
      <w:r>
        <w:rPr>
          <w:rFonts w:hint="eastAsia" w:ascii="宋体" w:hAnsi="宋体" w:eastAsia="宋体" w:cs="宋体"/>
          <w:color w:val="auto"/>
          <w:kern w:val="0"/>
          <w:sz w:val="28"/>
          <w:szCs w:val="28"/>
          <w:highlight w:val="none"/>
        </w:rPr>
        <w:t>广西壮族自治区政府采购项目合同验收书</w:t>
      </w:r>
      <w:r>
        <w:rPr>
          <w:rFonts w:hint="eastAsia" w:ascii="宋体" w:hAnsi="宋体" w:eastAsia="宋体" w:cs="宋体"/>
          <w:color w:val="auto"/>
          <w:kern w:val="0"/>
          <w:sz w:val="28"/>
          <w:szCs w:val="28"/>
          <w:highlight w:val="none"/>
          <w:lang w:eastAsia="zh-CN"/>
        </w:rPr>
        <w:t>的</w:t>
      </w:r>
      <w:r>
        <w:rPr>
          <w:rFonts w:hint="eastAsia" w:ascii="宋体" w:hAnsi="宋体" w:eastAsia="宋体" w:cs="宋体"/>
          <w:color w:val="auto"/>
          <w:kern w:val="0"/>
          <w:sz w:val="28"/>
          <w:szCs w:val="28"/>
          <w:highlight w:val="none"/>
        </w:rPr>
        <w:t>格式</w:t>
      </w:r>
      <w:r>
        <w:rPr>
          <w:rFonts w:hint="eastAsia" w:ascii="宋体" w:hAnsi="宋体" w:eastAsia="宋体" w:cs="宋体"/>
          <w:color w:val="auto"/>
          <w:kern w:val="0"/>
          <w:sz w:val="28"/>
          <w:szCs w:val="28"/>
          <w:highlight w:val="none"/>
          <w:lang w:eastAsia="zh-CN"/>
        </w:rPr>
        <w:t>：</w:t>
      </w:r>
    </w:p>
    <w:p w14:paraId="4F66590E">
      <w:pPr>
        <w:pStyle w:val="13"/>
        <w:numPr>
          <w:ilvl w:val="0"/>
          <w:numId w:val="0"/>
        </w:numPr>
        <w:shd w:val="clear"/>
        <w:rPr>
          <w:rFonts w:hint="eastAsia" w:ascii="宋体" w:hAnsi="宋体" w:eastAsia="宋体" w:cs="宋体"/>
          <w:color w:val="auto"/>
          <w:kern w:val="0"/>
          <w:sz w:val="28"/>
          <w:szCs w:val="28"/>
          <w:highlight w:val="none"/>
          <w:lang w:eastAsia="zh-CN"/>
        </w:rPr>
      </w:pPr>
    </w:p>
    <w:p w14:paraId="71A7CC7B">
      <w:pPr>
        <w:shd w:val="clear" w:color="auto"/>
        <w:spacing w:line="480" w:lineRule="atLeast"/>
        <w:jc w:val="center"/>
        <w:rPr>
          <w:rFonts w:hint="eastAsia" w:ascii="宋体" w:hAnsi="宋体" w:eastAsia="宋体" w:cs="宋体"/>
          <w:color w:val="auto"/>
          <w:kern w:val="0"/>
          <w:sz w:val="32"/>
          <w:szCs w:val="32"/>
          <w:highlight w:val="none"/>
        </w:rPr>
      </w:pPr>
      <w:r>
        <w:rPr>
          <w:rFonts w:hint="eastAsia" w:ascii="宋体" w:hAnsi="宋体" w:eastAsia="宋体" w:cs="宋体"/>
          <w:color w:val="auto"/>
          <w:kern w:val="0"/>
          <w:sz w:val="32"/>
          <w:szCs w:val="32"/>
          <w:highlight w:val="none"/>
        </w:rPr>
        <w:t>广西壮族自治区政府采购项目合同验收书</w:t>
      </w:r>
    </w:p>
    <w:p w14:paraId="6C97CDD0">
      <w:pPr>
        <w:shd w:val="clear" w:color="auto"/>
        <w:spacing w:line="480" w:lineRule="atLeast"/>
        <w:jc w:val="center"/>
        <w:rPr>
          <w:rFonts w:hint="eastAsia" w:ascii="宋体" w:hAnsi="宋体" w:eastAsia="宋体" w:cs="宋体"/>
          <w:color w:val="auto"/>
          <w:kern w:val="0"/>
          <w:sz w:val="32"/>
          <w:szCs w:val="32"/>
          <w:highlight w:val="none"/>
        </w:rPr>
      </w:pPr>
    </w:p>
    <w:p w14:paraId="115732EA">
      <w:pPr>
        <w:shd w:val="clear" w:color="auto"/>
        <w:snapToGrid w:val="0"/>
        <w:spacing w:line="320" w:lineRule="atLeast"/>
        <w:ind w:firstLine="48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根据政府采购项目（</w:t>
      </w:r>
      <w:r>
        <w:rPr>
          <w:rFonts w:hint="eastAsia" w:ascii="宋体" w:hAnsi="宋体" w:eastAsia="宋体" w:cs="宋体"/>
          <w:color w:val="auto"/>
          <w:kern w:val="0"/>
          <w:szCs w:val="21"/>
          <w:highlight w:val="none"/>
          <w:u w:val="single"/>
        </w:rPr>
        <w:t>采购合同编号：</w:t>
      </w:r>
      <w:r>
        <w:rPr>
          <w:rFonts w:hint="eastAsia" w:ascii="宋体" w:hAnsi="宋体" w:eastAsia="宋体" w:cs="宋体"/>
          <w:color w:val="auto"/>
          <w:kern w:val="0"/>
          <w:szCs w:val="21"/>
          <w:highlight w:val="none"/>
          <w:u w:val="single"/>
        </w:rPr>
        <w:softHyphen/>
      </w:r>
      <w:r>
        <w:rPr>
          <w:rFonts w:hint="eastAsia" w:ascii="宋体" w:hAnsi="宋体" w:eastAsia="宋体" w:cs="宋体"/>
          <w:color w:val="auto"/>
          <w:kern w:val="0"/>
          <w:szCs w:val="21"/>
          <w:highlight w:val="none"/>
          <w:u w:val="single"/>
        </w:rPr>
        <w:t xml:space="preserve"> </w:t>
      </w:r>
      <w:r>
        <w:rPr>
          <w:rFonts w:hint="eastAsia" w:ascii="宋体" w:hAnsi="宋体" w:eastAsia="宋体" w:cs="宋体"/>
          <w:color w:val="auto"/>
          <w:kern w:val="0"/>
          <w:szCs w:val="21"/>
          <w:highlight w:val="none"/>
        </w:rPr>
        <w:t>）的约定，我单位对（</w:t>
      </w:r>
      <w:r>
        <w:rPr>
          <w:rFonts w:hint="eastAsia" w:ascii="宋体" w:hAnsi="宋体" w:eastAsia="宋体" w:cs="宋体"/>
          <w:color w:val="auto"/>
          <w:kern w:val="0"/>
          <w:szCs w:val="21"/>
          <w:highlight w:val="none"/>
          <w:u w:val="single"/>
        </w:rPr>
        <w:t xml:space="preserve"> 项目名称 </w:t>
      </w:r>
      <w:r>
        <w:rPr>
          <w:rFonts w:hint="eastAsia" w:ascii="宋体" w:hAnsi="宋体" w:eastAsia="宋体" w:cs="宋体"/>
          <w:color w:val="auto"/>
          <w:kern w:val="0"/>
          <w:szCs w:val="21"/>
          <w:highlight w:val="none"/>
        </w:rPr>
        <w:t>） 政府采购项目中标（或者成交）投标人（</w:t>
      </w:r>
      <w:r>
        <w:rPr>
          <w:rFonts w:hint="eastAsia" w:ascii="宋体" w:hAnsi="宋体" w:eastAsia="宋体" w:cs="宋体"/>
          <w:color w:val="auto"/>
          <w:kern w:val="0"/>
          <w:szCs w:val="21"/>
          <w:highlight w:val="none"/>
          <w:u w:val="single"/>
        </w:rPr>
        <w:t xml:space="preserve"> 公司名称 </w:t>
      </w:r>
      <w:r>
        <w:rPr>
          <w:rFonts w:hint="eastAsia" w:ascii="宋体" w:hAnsi="宋体" w:eastAsia="宋体" w:cs="宋体"/>
          <w:color w:val="auto"/>
          <w:kern w:val="0"/>
          <w:szCs w:val="21"/>
          <w:highlight w:val="none"/>
        </w:rPr>
        <w:t>） 提供的货物（或者工程、服务）进行了验收，验收情况如下：</w:t>
      </w:r>
    </w:p>
    <w:tbl>
      <w:tblPr>
        <w:tblStyle w:val="18"/>
        <w:tblW w:w="9371" w:type="dxa"/>
        <w:jc w:val="center"/>
        <w:tblLayout w:type="fixed"/>
        <w:tblCellMar>
          <w:top w:w="0" w:type="dxa"/>
          <w:left w:w="0" w:type="dxa"/>
          <w:bottom w:w="0" w:type="dxa"/>
          <w:right w:w="0" w:type="dxa"/>
        </w:tblCellMar>
      </w:tblPr>
      <w:tblGrid>
        <w:gridCol w:w="1331"/>
        <w:gridCol w:w="1921"/>
        <w:gridCol w:w="798"/>
        <w:gridCol w:w="102"/>
        <w:gridCol w:w="2002"/>
        <w:gridCol w:w="178"/>
        <w:gridCol w:w="685"/>
        <w:gridCol w:w="2354"/>
      </w:tblGrid>
      <w:tr w14:paraId="667892F5">
        <w:tblPrEx>
          <w:tblCellMar>
            <w:top w:w="0" w:type="dxa"/>
            <w:left w:w="0" w:type="dxa"/>
            <w:bottom w:w="0" w:type="dxa"/>
            <w:right w:w="0" w:type="dxa"/>
          </w:tblCellMar>
        </w:tblPrEx>
        <w:trPr>
          <w:trHeight w:val="497" w:hRule="atLeast"/>
          <w:jc w:val="center"/>
        </w:trPr>
        <w:tc>
          <w:tcPr>
            <w:tcW w:w="3252" w:type="dxa"/>
            <w:gridSpan w:val="2"/>
            <w:tcBorders>
              <w:top w:val="single" w:color="auto" w:sz="8" w:space="0"/>
              <w:left w:val="single" w:color="auto" w:sz="8" w:space="0"/>
              <w:bottom w:val="single" w:color="auto" w:sz="8" w:space="0"/>
              <w:right w:val="single" w:color="auto" w:sz="8" w:space="0"/>
            </w:tcBorders>
            <w:noWrap w:val="0"/>
            <w:vAlign w:val="center"/>
          </w:tcPr>
          <w:p w14:paraId="1636B0F0">
            <w:pPr>
              <w:shd w:val="clear"/>
              <w:snapToGrid w:val="0"/>
              <w:spacing w:before="100" w:beforeAutospacing="1" w:after="100" w:afterAutospacing="1" w:line="320" w:lineRule="atLeast"/>
              <w:ind w:firstLine="5"/>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验收方式：</w:t>
            </w:r>
          </w:p>
        </w:tc>
        <w:tc>
          <w:tcPr>
            <w:tcW w:w="6119" w:type="dxa"/>
            <w:gridSpan w:val="6"/>
            <w:tcBorders>
              <w:top w:val="single" w:color="auto" w:sz="8" w:space="0"/>
              <w:left w:val="nil"/>
              <w:bottom w:val="single" w:color="auto" w:sz="8" w:space="0"/>
              <w:right w:val="single" w:color="auto" w:sz="8" w:space="0"/>
            </w:tcBorders>
            <w:noWrap w:val="0"/>
            <w:vAlign w:val="center"/>
          </w:tcPr>
          <w:p w14:paraId="38C223C9">
            <w:pPr>
              <w:shd w:val="clear"/>
              <w:snapToGrid w:val="0"/>
              <w:spacing w:before="100" w:beforeAutospacing="1" w:after="100" w:afterAutospacing="1" w:line="320" w:lineRule="atLeast"/>
              <w:ind w:firstLine="480"/>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□自行验收 □委托验收</w:t>
            </w:r>
          </w:p>
        </w:tc>
      </w:tr>
      <w:tr w14:paraId="1FBF0BD7">
        <w:tblPrEx>
          <w:tblCellMar>
            <w:top w:w="0" w:type="dxa"/>
            <w:left w:w="0" w:type="dxa"/>
            <w:bottom w:w="0" w:type="dxa"/>
            <w:right w:w="0" w:type="dxa"/>
          </w:tblCellMar>
        </w:tblPrEx>
        <w:trPr>
          <w:trHeight w:val="622" w:hRule="atLeast"/>
          <w:jc w:val="center"/>
        </w:trPr>
        <w:tc>
          <w:tcPr>
            <w:tcW w:w="1331" w:type="dxa"/>
            <w:tcBorders>
              <w:top w:val="nil"/>
              <w:left w:val="single" w:color="auto" w:sz="8" w:space="0"/>
              <w:bottom w:val="single" w:color="auto" w:sz="8" w:space="0"/>
              <w:right w:val="single" w:color="auto" w:sz="8" w:space="0"/>
            </w:tcBorders>
            <w:noWrap w:val="0"/>
            <w:vAlign w:val="center"/>
          </w:tcPr>
          <w:p w14:paraId="796BE320">
            <w:pPr>
              <w:shd w:val="clear"/>
              <w:snapToGrid w:val="0"/>
              <w:spacing w:before="100" w:beforeAutospacing="1" w:after="100" w:afterAutospacing="1" w:line="320" w:lineRule="atLeast"/>
              <w:ind w:firstLine="2"/>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序号</w:t>
            </w:r>
          </w:p>
        </w:tc>
        <w:tc>
          <w:tcPr>
            <w:tcW w:w="1921" w:type="dxa"/>
            <w:tcBorders>
              <w:top w:val="nil"/>
              <w:left w:val="nil"/>
              <w:bottom w:val="single" w:color="auto" w:sz="8" w:space="0"/>
              <w:right w:val="single" w:color="auto" w:sz="8" w:space="0"/>
            </w:tcBorders>
            <w:noWrap w:val="0"/>
            <w:vAlign w:val="center"/>
          </w:tcPr>
          <w:p w14:paraId="76818612">
            <w:pPr>
              <w:shd w:val="clear"/>
              <w:snapToGrid w:val="0"/>
              <w:spacing w:before="100" w:beforeAutospacing="1" w:after="100" w:afterAutospacing="1" w:line="320" w:lineRule="atLeast"/>
              <w:ind w:firstLine="2"/>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名 称</w:t>
            </w:r>
          </w:p>
        </w:tc>
        <w:tc>
          <w:tcPr>
            <w:tcW w:w="2902" w:type="dxa"/>
            <w:gridSpan w:val="3"/>
            <w:tcBorders>
              <w:top w:val="nil"/>
              <w:left w:val="nil"/>
              <w:bottom w:val="single" w:color="auto" w:sz="8" w:space="0"/>
              <w:right w:val="single" w:color="auto" w:sz="8" w:space="0"/>
            </w:tcBorders>
            <w:noWrap w:val="0"/>
            <w:vAlign w:val="center"/>
          </w:tcPr>
          <w:p w14:paraId="12AD0B84">
            <w:pPr>
              <w:shd w:val="clear"/>
              <w:snapToGrid w:val="0"/>
              <w:spacing w:before="100" w:beforeAutospacing="1" w:after="100" w:afterAutospacing="1" w:line="320" w:lineRule="atLeast"/>
              <w:ind w:firstLine="2"/>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货物型号规格、标准及配置等（或者服务内容、标准）</w:t>
            </w:r>
          </w:p>
        </w:tc>
        <w:tc>
          <w:tcPr>
            <w:tcW w:w="863" w:type="dxa"/>
            <w:gridSpan w:val="2"/>
            <w:tcBorders>
              <w:top w:val="nil"/>
              <w:left w:val="nil"/>
              <w:bottom w:val="single" w:color="auto" w:sz="8" w:space="0"/>
              <w:right w:val="single" w:color="auto" w:sz="8" w:space="0"/>
            </w:tcBorders>
            <w:noWrap w:val="0"/>
            <w:vAlign w:val="center"/>
          </w:tcPr>
          <w:p w14:paraId="7629E75F">
            <w:pPr>
              <w:shd w:val="clear"/>
              <w:snapToGrid w:val="0"/>
              <w:spacing w:before="100" w:beforeAutospacing="1" w:after="100" w:afterAutospacing="1" w:line="320" w:lineRule="atLeast"/>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数量</w:t>
            </w:r>
          </w:p>
        </w:tc>
        <w:tc>
          <w:tcPr>
            <w:tcW w:w="2354" w:type="dxa"/>
            <w:tcBorders>
              <w:top w:val="nil"/>
              <w:left w:val="nil"/>
              <w:bottom w:val="single" w:color="auto" w:sz="8" w:space="0"/>
              <w:right w:val="single" w:color="auto" w:sz="8" w:space="0"/>
            </w:tcBorders>
            <w:noWrap w:val="0"/>
            <w:vAlign w:val="center"/>
          </w:tcPr>
          <w:p w14:paraId="0480B835">
            <w:pPr>
              <w:shd w:val="clear"/>
              <w:snapToGrid w:val="0"/>
              <w:spacing w:before="100" w:beforeAutospacing="1" w:after="100" w:afterAutospacing="1" w:line="320" w:lineRule="atLeast"/>
              <w:ind w:firstLine="2"/>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金 额</w:t>
            </w:r>
          </w:p>
        </w:tc>
      </w:tr>
      <w:tr w14:paraId="03487655">
        <w:tblPrEx>
          <w:tblCellMar>
            <w:top w:w="0" w:type="dxa"/>
            <w:left w:w="0" w:type="dxa"/>
            <w:bottom w:w="0" w:type="dxa"/>
            <w:right w:w="0" w:type="dxa"/>
          </w:tblCellMar>
        </w:tblPrEx>
        <w:trPr>
          <w:trHeight w:val="487" w:hRule="atLeast"/>
          <w:jc w:val="center"/>
        </w:trPr>
        <w:tc>
          <w:tcPr>
            <w:tcW w:w="1331" w:type="dxa"/>
            <w:tcBorders>
              <w:top w:val="nil"/>
              <w:left w:val="single" w:color="auto" w:sz="8" w:space="0"/>
              <w:bottom w:val="single" w:color="auto" w:sz="8" w:space="0"/>
              <w:right w:val="single" w:color="auto" w:sz="8" w:space="0"/>
            </w:tcBorders>
            <w:noWrap w:val="0"/>
            <w:vAlign w:val="center"/>
          </w:tcPr>
          <w:p w14:paraId="7865750B">
            <w:pPr>
              <w:shd w:val="clear"/>
              <w:spacing w:before="100" w:beforeAutospacing="1" w:after="100" w:afterAutospacing="1" w:line="240" w:lineRule="atLeast"/>
              <w:jc w:val="center"/>
              <w:rPr>
                <w:rFonts w:hint="eastAsia" w:ascii="宋体" w:hAnsi="宋体" w:eastAsia="宋体" w:cs="宋体"/>
                <w:color w:val="auto"/>
                <w:kern w:val="0"/>
                <w:szCs w:val="21"/>
                <w:highlight w:val="none"/>
              </w:rPr>
            </w:pPr>
          </w:p>
        </w:tc>
        <w:tc>
          <w:tcPr>
            <w:tcW w:w="1921" w:type="dxa"/>
            <w:tcBorders>
              <w:top w:val="nil"/>
              <w:left w:val="nil"/>
              <w:bottom w:val="single" w:color="auto" w:sz="8" w:space="0"/>
              <w:right w:val="single" w:color="auto" w:sz="8" w:space="0"/>
            </w:tcBorders>
            <w:noWrap w:val="0"/>
            <w:vAlign w:val="center"/>
          </w:tcPr>
          <w:p w14:paraId="63942DB0">
            <w:pPr>
              <w:shd w:val="clear"/>
              <w:spacing w:before="100" w:beforeAutospacing="1" w:after="100" w:afterAutospacing="1" w:line="240" w:lineRule="atLeast"/>
              <w:jc w:val="center"/>
              <w:rPr>
                <w:rFonts w:hint="eastAsia" w:ascii="宋体" w:hAnsi="宋体" w:eastAsia="宋体" w:cs="宋体"/>
                <w:color w:val="auto"/>
                <w:kern w:val="0"/>
                <w:szCs w:val="21"/>
                <w:highlight w:val="none"/>
              </w:rPr>
            </w:pPr>
          </w:p>
        </w:tc>
        <w:tc>
          <w:tcPr>
            <w:tcW w:w="2902" w:type="dxa"/>
            <w:gridSpan w:val="3"/>
            <w:tcBorders>
              <w:top w:val="nil"/>
              <w:left w:val="nil"/>
              <w:bottom w:val="single" w:color="auto" w:sz="8" w:space="0"/>
              <w:right w:val="single" w:color="auto" w:sz="8" w:space="0"/>
            </w:tcBorders>
            <w:noWrap w:val="0"/>
            <w:vAlign w:val="center"/>
          </w:tcPr>
          <w:p w14:paraId="1FBBD9F1">
            <w:pPr>
              <w:shd w:val="clear"/>
              <w:spacing w:before="100" w:beforeAutospacing="1" w:after="100" w:afterAutospacing="1" w:line="240" w:lineRule="atLeast"/>
              <w:jc w:val="center"/>
              <w:rPr>
                <w:rFonts w:hint="eastAsia" w:ascii="宋体" w:hAnsi="宋体" w:eastAsia="宋体" w:cs="宋体"/>
                <w:color w:val="auto"/>
                <w:kern w:val="0"/>
                <w:szCs w:val="21"/>
                <w:highlight w:val="none"/>
              </w:rPr>
            </w:pPr>
          </w:p>
        </w:tc>
        <w:tc>
          <w:tcPr>
            <w:tcW w:w="863" w:type="dxa"/>
            <w:gridSpan w:val="2"/>
            <w:tcBorders>
              <w:top w:val="nil"/>
              <w:left w:val="nil"/>
              <w:bottom w:val="single" w:color="auto" w:sz="8" w:space="0"/>
              <w:right w:val="single" w:color="auto" w:sz="8" w:space="0"/>
            </w:tcBorders>
            <w:noWrap w:val="0"/>
            <w:vAlign w:val="center"/>
          </w:tcPr>
          <w:p w14:paraId="5B19FCF3">
            <w:pPr>
              <w:shd w:val="clear"/>
              <w:spacing w:before="100" w:beforeAutospacing="1" w:after="100" w:afterAutospacing="1" w:line="240" w:lineRule="atLeast"/>
              <w:jc w:val="center"/>
              <w:rPr>
                <w:rFonts w:hint="eastAsia" w:ascii="宋体" w:hAnsi="宋体" w:eastAsia="宋体" w:cs="宋体"/>
                <w:color w:val="auto"/>
                <w:kern w:val="0"/>
                <w:szCs w:val="21"/>
                <w:highlight w:val="none"/>
              </w:rPr>
            </w:pPr>
          </w:p>
        </w:tc>
        <w:tc>
          <w:tcPr>
            <w:tcW w:w="2354" w:type="dxa"/>
            <w:tcBorders>
              <w:top w:val="nil"/>
              <w:left w:val="nil"/>
              <w:bottom w:val="single" w:color="auto" w:sz="8" w:space="0"/>
              <w:right w:val="single" w:color="auto" w:sz="8" w:space="0"/>
            </w:tcBorders>
            <w:noWrap w:val="0"/>
            <w:vAlign w:val="center"/>
          </w:tcPr>
          <w:p w14:paraId="6A29C1FA">
            <w:pPr>
              <w:shd w:val="clear"/>
              <w:spacing w:before="100" w:beforeAutospacing="1" w:after="100" w:afterAutospacing="1" w:line="240" w:lineRule="atLeast"/>
              <w:jc w:val="center"/>
              <w:rPr>
                <w:rFonts w:hint="eastAsia" w:ascii="宋体" w:hAnsi="宋体" w:eastAsia="宋体" w:cs="宋体"/>
                <w:color w:val="auto"/>
                <w:kern w:val="0"/>
                <w:szCs w:val="21"/>
                <w:highlight w:val="none"/>
              </w:rPr>
            </w:pPr>
          </w:p>
        </w:tc>
      </w:tr>
      <w:tr w14:paraId="46A4FFAB">
        <w:tblPrEx>
          <w:tblCellMar>
            <w:top w:w="0" w:type="dxa"/>
            <w:left w:w="0" w:type="dxa"/>
            <w:bottom w:w="0" w:type="dxa"/>
            <w:right w:w="0" w:type="dxa"/>
          </w:tblCellMar>
        </w:tblPrEx>
        <w:trPr>
          <w:trHeight w:val="487" w:hRule="atLeast"/>
          <w:jc w:val="center"/>
        </w:trPr>
        <w:tc>
          <w:tcPr>
            <w:tcW w:w="1331" w:type="dxa"/>
            <w:tcBorders>
              <w:top w:val="nil"/>
              <w:left w:val="single" w:color="auto" w:sz="8" w:space="0"/>
              <w:bottom w:val="single" w:color="auto" w:sz="8" w:space="0"/>
              <w:right w:val="single" w:color="auto" w:sz="8" w:space="0"/>
            </w:tcBorders>
            <w:noWrap w:val="0"/>
            <w:vAlign w:val="center"/>
          </w:tcPr>
          <w:p w14:paraId="1474565F">
            <w:pPr>
              <w:shd w:val="clear"/>
              <w:spacing w:before="100" w:beforeAutospacing="1" w:after="100" w:afterAutospacing="1" w:line="240" w:lineRule="atLeast"/>
              <w:jc w:val="center"/>
              <w:rPr>
                <w:rFonts w:hint="eastAsia" w:ascii="宋体" w:hAnsi="宋体" w:eastAsia="宋体" w:cs="宋体"/>
                <w:color w:val="auto"/>
                <w:kern w:val="0"/>
                <w:szCs w:val="21"/>
                <w:highlight w:val="none"/>
              </w:rPr>
            </w:pPr>
          </w:p>
        </w:tc>
        <w:tc>
          <w:tcPr>
            <w:tcW w:w="1921" w:type="dxa"/>
            <w:tcBorders>
              <w:top w:val="nil"/>
              <w:left w:val="nil"/>
              <w:bottom w:val="single" w:color="auto" w:sz="8" w:space="0"/>
              <w:right w:val="single" w:color="auto" w:sz="8" w:space="0"/>
            </w:tcBorders>
            <w:noWrap w:val="0"/>
            <w:vAlign w:val="center"/>
          </w:tcPr>
          <w:p w14:paraId="23A47756">
            <w:pPr>
              <w:shd w:val="clear"/>
              <w:spacing w:before="100" w:beforeAutospacing="1" w:after="100" w:afterAutospacing="1" w:line="240" w:lineRule="atLeast"/>
              <w:jc w:val="center"/>
              <w:rPr>
                <w:rFonts w:hint="eastAsia" w:ascii="宋体" w:hAnsi="宋体" w:eastAsia="宋体" w:cs="宋体"/>
                <w:color w:val="auto"/>
                <w:kern w:val="0"/>
                <w:szCs w:val="21"/>
                <w:highlight w:val="none"/>
              </w:rPr>
            </w:pPr>
          </w:p>
        </w:tc>
        <w:tc>
          <w:tcPr>
            <w:tcW w:w="2902" w:type="dxa"/>
            <w:gridSpan w:val="3"/>
            <w:tcBorders>
              <w:top w:val="nil"/>
              <w:left w:val="nil"/>
              <w:bottom w:val="single" w:color="auto" w:sz="8" w:space="0"/>
              <w:right w:val="single" w:color="auto" w:sz="8" w:space="0"/>
            </w:tcBorders>
            <w:noWrap w:val="0"/>
            <w:vAlign w:val="center"/>
          </w:tcPr>
          <w:p w14:paraId="59F7C340">
            <w:pPr>
              <w:shd w:val="clear"/>
              <w:spacing w:before="100" w:beforeAutospacing="1" w:after="100" w:afterAutospacing="1" w:line="240" w:lineRule="atLeast"/>
              <w:jc w:val="center"/>
              <w:rPr>
                <w:rFonts w:hint="eastAsia" w:ascii="宋体" w:hAnsi="宋体" w:eastAsia="宋体" w:cs="宋体"/>
                <w:color w:val="auto"/>
                <w:kern w:val="0"/>
                <w:szCs w:val="21"/>
                <w:highlight w:val="none"/>
              </w:rPr>
            </w:pPr>
          </w:p>
        </w:tc>
        <w:tc>
          <w:tcPr>
            <w:tcW w:w="863" w:type="dxa"/>
            <w:gridSpan w:val="2"/>
            <w:tcBorders>
              <w:top w:val="nil"/>
              <w:left w:val="nil"/>
              <w:bottom w:val="single" w:color="auto" w:sz="8" w:space="0"/>
              <w:right w:val="single" w:color="auto" w:sz="8" w:space="0"/>
            </w:tcBorders>
            <w:noWrap w:val="0"/>
            <w:vAlign w:val="center"/>
          </w:tcPr>
          <w:p w14:paraId="42BFF4F9">
            <w:pPr>
              <w:shd w:val="clear"/>
              <w:spacing w:before="100" w:beforeAutospacing="1" w:after="100" w:afterAutospacing="1" w:line="240" w:lineRule="atLeast"/>
              <w:jc w:val="center"/>
              <w:rPr>
                <w:rFonts w:hint="eastAsia" w:ascii="宋体" w:hAnsi="宋体" w:eastAsia="宋体" w:cs="宋体"/>
                <w:color w:val="auto"/>
                <w:kern w:val="0"/>
                <w:szCs w:val="21"/>
                <w:highlight w:val="none"/>
              </w:rPr>
            </w:pPr>
          </w:p>
        </w:tc>
        <w:tc>
          <w:tcPr>
            <w:tcW w:w="2354" w:type="dxa"/>
            <w:tcBorders>
              <w:top w:val="nil"/>
              <w:left w:val="nil"/>
              <w:bottom w:val="single" w:color="auto" w:sz="8" w:space="0"/>
              <w:right w:val="single" w:color="auto" w:sz="8" w:space="0"/>
            </w:tcBorders>
            <w:noWrap w:val="0"/>
            <w:vAlign w:val="center"/>
          </w:tcPr>
          <w:p w14:paraId="57D10E81">
            <w:pPr>
              <w:shd w:val="clear"/>
              <w:spacing w:before="100" w:beforeAutospacing="1" w:after="100" w:afterAutospacing="1" w:line="240" w:lineRule="atLeast"/>
              <w:jc w:val="center"/>
              <w:rPr>
                <w:rFonts w:hint="eastAsia" w:ascii="宋体" w:hAnsi="宋体" w:eastAsia="宋体" w:cs="宋体"/>
                <w:color w:val="auto"/>
                <w:kern w:val="0"/>
                <w:szCs w:val="21"/>
                <w:highlight w:val="none"/>
              </w:rPr>
            </w:pPr>
          </w:p>
        </w:tc>
      </w:tr>
      <w:tr w14:paraId="22DA6C77">
        <w:tblPrEx>
          <w:tblCellMar>
            <w:top w:w="0" w:type="dxa"/>
            <w:left w:w="0" w:type="dxa"/>
            <w:bottom w:w="0" w:type="dxa"/>
            <w:right w:w="0" w:type="dxa"/>
          </w:tblCellMar>
        </w:tblPrEx>
        <w:trPr>
          <w:trHeight w:val="487" w:hRule="atLeast"/>
          <w:jc w:val="center"/>
        </w:trPr>
        <w:tc>
          <w:tcPr>
            <w:tcW w:w="1331" w:type="dxa"/>
            <w:tcBorders>
              <w:top w:val="nil"/>
              <w:left w:val="single" w:color="auto" w:sz="8" w:space="0"/>
              <w:bottom w:val="single" w:color="auto" w:sz="8" w:space="0"/>
              <w:right w:val="single" w:color="auto" w:sz="8" w:space="0"/>
            </w:tcBorders>
            <w:noWrap w:val="0"/>
            <w:vAlign w:val="center"/>
          </w:tcPr>
          <w:p w14:paraId="17AD3576">
            <w:pPr>
              <w:shd w:val="clear"/>
              <w:spacing w:before="100" w:beforeAutospacing="1" w:after="100" w:afterAutospacing="1" w:line="240" w:lineRule="atLeast"/>
              <w:jc w:val="center"/>
              <w:rPr>
                <w:rFonts w:hint="eastAsia" w:ascii="宋体" w:hAnsi="宋体" w:eastAsia="宋体" w:cs="宋体"/>
                <w:color w:val="auto"/>
                <w:kern w:val="0"/>
                <w:szCs w:val="21"/>
                <w:highlight w:val="none"/>
              </w:rPr>
            </w:pPr>
          </w:p>
        </w:tc>
        <w:tc>
          <w:tcPr>
            <w:tcW w:w="1921" w:type="dxa"/>
            <w:tcBorders>
              <w:top w:val="nil"/>
              <w:left w:val="nil"/>
              <w:bottom w:val="single" w:color="auto" w:sz="8" w:space="0"/>
              <w:right w:val="single" w:color="auto" w:sz="8" w:space="0"/>
            </w:tcBorders>
            <w:noWrap w:val="0"/>
            <w:vAlign w:val="center"/>
          </w:tcPr>
          <w:p w14:paraId="356CA671">
            <w:pPr>
              <w:shd w:val="clear"/>
              <w:spacing w:before="100" w:beforeAutospacing="1" w:after="100" w:afterAutospacing="1" w:line="240" w:lineRule="atLeast"/>
              <w:jc w:val="center"/>
              <w:rPr>
                <w:rFonts w:hint="eastAsia" w:ascii="宋体" w:hAnsi="宋体" w:eastAsia="宋体" w:cs="宋体"/>
                <w:color w:val="auto"/>
                <w:kern w:val="0"/>
                <w:szCs w:val="21"/>
                <w:highlight w:val="none"/>
              </w:rPr>
            </w:pPr>
          </w:p>
        </w:tc>
        <w:tc>
          <w:tcPr>
            <w:tcW w:w="2902" w:type="dxa"/>
            <w:gridSpan w:val="3"/>
            <w:tcBorders>
              <w:top w:val="nil"/>
              <w:left w:val="nil"/>
              <w:bottom w:val="single" w:color="auto" w:sz="8" w:space="0"/>
              <w:right w:val="single" w:color="auto" w:sz="8" w:space="0"/>
            </w:tcBorders>
            <w:noWrap w:val="0"/>
            <w:vAlign w:val="center"/>
          </w:tcPr>
          <w:p w14:paraId="49851E8A">
            <w:pPr>
              <w:shd w:val="clear"/>
              <w:spacing w:before="100" w:beforeAutospacing="1" w:after="100" w:afterAutospacing="1" w:line="240" w:lineRule="atLeast"/>
              <w:jc w:val="center"/>
              <w:rPr>
                <w:rFonts w:hint="eastAsia" w:ascii="宋体" w:hAnsi="宋体" w:eastAsia="宋体" w:cs="宋体"/>
                <w:color w:val="auto"/>
                <w:kern w:val="0"/>
                <w:szCs w:val="21"/>
                <w:highlight w:val="none"/>
              </w:rPr>
            </w:pPr>
          </w:p>
        </w:tc>
        <w:tc>
          <w:tcPr>
            <w:tcW w:w="863" w:type="dxa"/>
            <w:gridSpan w:val="2"/>
            <w:tcBorders>
              <w:top w:val="nil"/>
              <w:left w:val="nil"/>
              <w:bottom w:val="single" w:color="auto" w:sz="8" w:space="0"/>
              <w:right w:val="single" w:color="auto" w:sz="8" w:space="0"/>
            </w:tcBorders>
            <w:noWrap w:val="0"/>
            <w:vAlign w:val="center"/>
          </w:tcPr>
          <w:p w14:paraId="134D82CD">
            <w:pPr>
              <w:shd w:val="clear"/>
              <w:spacing w:before="100" w:beforeAutospacing="1" w:after="100" w:afterAutospacing="1" w:line="240" w:lineRule="atLeast"/>
              <w:jc w:val="center"/>
              <w:rPr>
                <w:rFonts w:hint="eastAsia" w:ascii="宋体" w:hAnsi="宋体" w:eastAsia="宋体" w:cs="宋体"/>
                <w:color w:val="auto"/>
                <w:kern w:val="0"/>
                <w:szCs w:val="21"/>
                <w:highlight w:val="none"/>
              </w:rPr>
            </w:pPr>
          </w:p>
        </w:tc>
        <w:tc>
          <w:tcPr>
            <w:tcW w:w="2354" w:type="dxa"/>
            <w:tcBorders>
              <w:top w:val="nil"/>
              <w:left w:val="nil"/>
              <w:bottom w:val="single" w:color="auto" w:sz="8" w:space="0"/>
              <w:right w:val="single" w:color="auto" w:sz="8" w:space="0"/>
            </w:tcBorders>
            <w:noWrap w:val="0"/>
            <w:vAlign w:val="center"/>
          </w:tcPr>
          <w:p w14:paraId="43B2BE39">
            <w:pPr>
              <w:shd w:val="clear"/>
              <w:spacing w:before="100" w:beforeAutospacing="1" w:after="100" w:afterAutospacing="1" w:line="240" w:lineRule="atLeast"/>
              <w:jc w:val="center"/>
              <w:rPr>
                <w:rFonts w:hint="eastAsia" w:ascii="宋体" w:hAnsi="宋体" w:eastAsia="宋体" w:cs="宋体"/>
                <w:color w:val="auto"/>
                <w:kern w:val="0"/>
                <w:szCs w:val="21"/>
                <w:highlight w:val="none"/>
              </w:rPr>
            </w:pPr>
          </w:p>
        </w:tc>
      </w:tr>
      <w:tr w14:paraId="54F37E45">
        <w:tblPrEx>
          <w:tblCellMar>
            <w:top w:w="0" w:type="dxa"/>
            <w:left w:w="0" w:type="dxa"/>
            <w:bottom w:w="0" w:type="dxa"/>
            <w:right w:w="0" w:type="dxa"/>
          </w:tblCellMar>
        </w:tblPrEx>
        <w:trPr>
          <w:trHeight w:val="487" w:hRule="atLeast"/>
          <w:jc w:val="center"/>
        </w:trPr>
        <w:tc>
          <w:tcPr>
            <w:tcW w:w="6154" w:type="dxa"/>
            <w:gridSpan w:val="5"/>
            <w:tcBorders>
              <w:top w:val="nil"/>
              <w:left w:val="single" w:color="auto" w:sz="8" w:space="0"/>
              <w:bottom w:val="single" w:color="auto" w:sz="8" w:space="0"/>
              <w:right w:val="single" w:color="auto" w:sz="8" w:space="0"/>
            </w:tcBorders>
            <w:noWrap w:val="0"/>
            <w:vAlign w:val="center"/>
          </w:tcPr>
          <w:p w14:paraId="5259507E">
            <w:pPr>
              <w:shd w:val="clear"/>
              <w:snapToGrid w:val="0"/>
              <w:spacing w:before="100" w:beforeAutospacing="1" w:after="100" w:afterAutospacing="1" w:line="320" w:lineRule="atLeast"/>
              <w:ind w:firstLine="5"/>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合 计</w:t>
            </w:r>
          </w:p>
        </w:tc>
        <w:tc>
          <w:tcPr>
            <w:tcW w:w="863" w:type="dxa"/>
            <w:gridSpan w:val="2"/>
            <w:tcBorders>
              <w:top w:val="nil"/>
              <w:left w:val="nil"/>
              <w:bottom w:val="single" w:color="auto" w:sz="8" w:space="0"/>
              <w:right w:val="single" w:color="auto" w:sz="8" w:space="0"/>
            </w:tcBorders>
            <w:noWrap w:val="0"/>
            <w:vAlign w:val="center"/>
          </w:tcPr>
          <w:p w14:paraId="028AAEA5">
            <w:pPr>
              <w:shd w:val="clear"/>
              <w:spacing w:before="100" w:beforeAutospacing="1" w:after="100" w:afterAutospacing="1" w:line="240" w:lineRule="atLeast"/>
              <w:jc w:val="center"/>
              <w:rPr>
                <w:rFonts w:hint="eastAsia" w:ascii="宋体" w:hAnsi="宋体" w:eastAsia="宋体" w:cs="宋体"/>
                <w:color w:val="auto"/>
                <w:kern w:val="0"/>
                <w:szCs w:val="21"/>
                <w:highlight w:val="none"/>
              </w:rPr>
            </w:pPr>
          </w:p>
        </w:tc>
        <w:tc>
          <w:tcPr>
            <w:tcW w:w="2354" w:type="dxa"/>
            <w:tcBorders>
              <w:top w:val="nil"/>
              <w:left w:val="nil"/>
              <w:bottom w:val="single" w:color="auto" w:sz="8" w:space="0"/>
              <w:right w:val="single" w:color="auto" w:sz="8" w:space="0"/>
            </w:tcBorders>
            <w:noWrap w:val="0"/>
            <w:vAlign w:val="center"/>
          </w:tcPr>
          <w:p w14:paraId="26C5C5F3">
            <w:pPr>
              <w:shd w:val="clear"/>
              <w:spacing w:before="100" w:beforeAutospacing="1" w:after="100" w:afterAutospacing="1" w:line="240" w:lineRule="atLeast"/>
              <w:jc w:val="center"/>
              <w:rPr>
                <w:rFonts w:hint="eastAsia" w:ascii="宋体" w:hAnsi="宋体" w:eastAsia="宋体" w:cs="宋体"/>
                <w:color w:val="auto"/>
                <w:kern w:val="0"/>
                <w:szCs w:val="21"/>
                <w:highlight w:val="none"/>
              </w:rPr>
            </w:pPr>
          </w:p>
        </w:tc>
      </w:tr>
      <w:tr w14:paraId="5B9F55AB">
        <w:tblPrEx>
          <w:tblCellMar>
            <w:top w:w="0" w:type="dxa"/>
            <w:left w:w="0" w:type="dxa"/>
            <w:bottom w:w="0" w:type="dxa"/>
            <w:right w:w="0" w:type="dxa"/>
          </w:tblCellMar>
        </w:tblPrEx>
        <w:trPr>
          <w:trHeight w:val="641" w:hRule="atLeast"/>
          <w:jc w:val="center"/>
        </w:trPr>
        <w:tc>
          <w:tcPr>
            <w:tcW w:w="9371" w:type="dxa"/>
            <w:gridSpan w:val="8"/>
            <w:tcBorders>
              <w:top w:val="nil"/>
              <w:left w:val="single" w:color="auto" w:sz="8" w:space="0"/>
              <w:bottom w:val="single" w:color="auto" w:sz="8" w:space="0"/>
              <w:right w:val="single" w:color="auto" w:sz="8" w:space="0"/>
            </w:tcBorders>
            <w:noWrap w:val="0"/>
            <w:vAlign w:val="center"/>
          </w:tcPr>
          <w:p w14:paraId="573F092D">
            <w:pPr>
              <w:shd w:val="clear"/>
              <w:snapToGrid w:val="0"/>
              <w:spacing w:before="100" w:beforeAutospacing="1" w:after="100" w:afterAutospacing="1" w:line="320" w:lineRule="atLeast"/>
              <w:ind w:firstLine="2"/>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合计大写金额： 亿 仟 佰 拾 万 仟 佰 拾 元</w:t>
            </w:r>
          </w:p>
        </w:tc>
      </w:tr>
      <w:tr w14:paraId="1935E310">
        <w:tblPrEx>
          <w:tblCellMar>
            <w:top w:w="0" w:type="dxa"/>
            <w:left w:w="0" w:type="dxa"/>
            <w:bottom w:w="0" w:type="dxa"/>
            <w:right w:w="0" w:type="dxa"/>
          </w:tblCellMar>
        </w:tblPrEx>
        <w:trPr>
          <w:trHeight w:val="641" w:hRule="atLeast"/>
          <w:jc w:val="center"/>
        </w:trPr>
        <w:tc>
          <w:tcPr>
            <w:tcW w:w="1331" w:type="dxa"/>
            <w:tcBorders>
              <w:top w:val="nil"/>
              <w:left w:val="single" w:color="auto" w:sz="8" w:space="0"/>
              <w:bottom w:val="single" w:color="auto" w:sz="8" w:space="0"/>
              <w:right w:val="single" w:color="auto" w:sz="8" w:space="0"/>
            </w:tcBorders>
            <w:noWrap w:val="0"/>
            <w:vAlign w:val="center"/>
          </w:tcPr>
          <w:p w14:paraId="7B9B836D">
            <w:pPr>
              <w:shd w:val="clear"/>
              <w:snapToGrid w:val="0"/>
              <w:spacing w:before="100" w:beforeAutospacing="1" w:after="100" w:afterAutospacing="1" w:line="320" w:lineRule="atLeast"/>
              <w:ind w:firstLine="2"/>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实际供货日期</w:t>
            </w:r>
          </w:p>
        </w:tc>
        <w:tc>
          <w:tcPr>
            <w:tcW w:w="2719" w:type="dxa"/>
            <w:gridSpan w:val="2"/>
            <w:tcBorders>
              <w:top w:val="nil"/>
              <w:left w:val="nil"/>
              <w:bottom w:val="single" w:color="auto" w:sz="8" w:space="0"/>
              <w:right w:val="single" w:color="auto" w:sz="8" w:space="0"/>
            </w:tcBorders>
            <w:noWrap w:val="0"/>
            <w:vAlign w:val="center"/>
          </w:tcPr>
          <w:p w14:paraId="4A29E59C">
            <w:pPr>
              <w:shd w:val="clear"/>
              <w:spacing w:before="100" w:beforeAutospacing="1" w:after="100" w:afterAutospacing="1" w:line="240" w:lineRule="atLeast"/>
              <w:jc w:val="center"/>
              <w:rPr>
                <w:rFonts w:hint="eastAsia" w:ascii="宋体" w:hAnsi="宋体" w:eastAsia="宋体" w:cs="宋体"/>
                <w:color w:val="auto"/>
                <w:kern w:val="0"/>
                <w:szCs w:val="21"/>
                <w:highlight w:val="none"/>
              </w:rPr>
            </w:pPr>
          </w:p>
        </w:tc>
        <w:tc>
          <w:tcPr>
            <w:tcW w:w="2282" w:type="dxa"/>
            <w:gridSpan w:val="3"/>
            <w:tcBorders>
              <w:top w:val="nil"/>
              <w:left w:val="nil"/>
              <w:bottom w:val="single" w:color="auto" w:sz="8" w:space="0"/>
              <w:right w:val="single" w:color="auto" w:sz="8" w:space="0"/>
            </w:tcBorders>
            <w:noWrap w:val="0"/>
            <w:vAlign w:val="center"/>
          </w:tcPr>
          <w:p w14:paraId="29E8E858">
            <w:pPr>
              <w:shd w:val="clear"/>
              <w:snapToGrid w:val="0"/>
              <w:spacing w:before="100" w:beforeAutospacing="1" w:after="100" w:afterAutospacing="1" w:line="320" w:lineRule="atLeast"/>
              <w:ind w:firstLine="46"/>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合同交货验收日期</w:t>
            </w:r>
          </w:p>
        </w:tc>
        <w:tc>
          <w:tcPr>
            <w:tcW w:w="3039" w:type="dxa"/>
            <w:gridSpan w:val="2"/>
            <w:tcBorders>
              <w:top w:val="nil"/>
              <w:left w:val="nil"/>
              <w:bottom w:val="single" w:color="auto" w:sz="8" w:space="0"/>
              <w:right w:val="single" w:color="auto" w:sz="8" w:space="0"/>
            </w:tcBorders>
            <w:noWrap w:val="0"/>
            <w:vAlign w:val="center"/>
          </w:tcPr>
          <w:p w14:paraId="4B0D6D32">
            <w:pPr>
              <w:shd w:val="clear"/>
              <w:spacing w:before="100" w:beforeAutospacing="1" w:after="100" w:afterAutospacing="1" w:line="240" w:lineRule="atLeast"/>
              <w:jc w:val="center"/>
              <w:rPr>
                <w:rFonts w:hint="eastAsia" w:ascii="宋体" w:hAnsi="宋体" w:eastAsia="宋体" w:cs="宋体"/>
                <w:color w:val="auto"/>
                <w:kern w:val="0"/>
                <w:szCs w:val="21"/>
                <w:highlight w:val="none"/>
              </w:rPr>
            </w:pPr>
          </w:p>
        </w:tc>
      </w:tr>
      <w:tr w14:paraId="1B0342B9">
        <w:tblPrEx>
          <w:tblCellMar>
            <w:top w:w="0" w:type="dxa"/>
            <w:left w:w="0" w:type="dxa"/>
            <w:bottom w:w="0" w:type="dxa"/>
            <w:right w:w="0" w:type="dxa"/>
          </w:tblCellMar>
        </w:tblPrEx>
        <w:trPr>
          <w:trHeight w:val="394" w:hRule="atLeast"/>
          <w:jc w:val="center"/>
        </w:trPr>
        <w:tc>
          <w:tcPr>
            <w:tcW w:w="1331" w:type="dxa"/>
            <w:tcBorders>
              <w:top w:val="nil"/>
              <w:left w:val="single" w:color="auto" w:sz="8" w:space="0"/>
              <w:bottom w:val="single" w:color="auto" w:sz="8" w:space="0"/>
              <w:right w:val="single" w:color="auto" w:sz="8" w:space="0"/>
            </w:tcBorders>
            <w:noWrap w:val="0"/>
            <w:vAlign w:val="center"/>
          </w:tcPr>
          <w:p w14:paraId="48B75642">
            <w:pPr>
              <w:shd w:val="clear"/>
              <w:spacing w:before="100" w:beforeAutospacing="1" w:after="100" w:afterAutospacing="1" w:line="240" w:lineRule="atLeast"/>
              <w:jc w:val="center"/>
              <w:rPr>
                <w:rFonts w:hint="eastAsia" w:ascii="宋体" w:hAnsi="宋体" w:eastAsia="宋体" w:cs="宋体"/>
                <w:color w:val="auto"/>
                <w:kern w:val="0"/>
                <w:szCs w:val="21"/>
                <w:highlight w:val="none"/>
              </w:rPr>
            </w:pPr>
          </w:p>
        </w:tc>
        <w:tc>
          <w:tcPr>
            <w:tcW w:w="2719" w:type="dxa"/>
            <w:gridSpan w:val="2"/>
            <w:tcBorders>
              <w:top w:val="nil"/>
              <w:left w:val="nil"/>
              <w:bottom w:val="single" w:color="auto" w:sz="8" w:space="0"/>
              <w:right w:val="single" w:color="auto" w:sz="8" w:space="0"/>
            </w:tcBorders>
            <w:noWrap w:val="0"/>
            <w:vAlign w:val="center"/>
          </w:tcPr>
          <w:p w14:paraId="77A1F9F9">
            <w:pPr>
              <w:shd w:val="clear"/>
              <w:spacing w:before="100" w:beforeAutospacing="1" w:after="100" w:afterAutospacing="1" w:line="240" w:lineRule="atLeast"/>
              <w:jc w:val="center"/>
              <w:rPr>
                <w:rFonts w:hint="eastAsia" w:ascii="宋体" w:hAnsi="宋体" w:eastAsia="宋体" w:cs="宋体"/>
                <w:color w:val="auto"/>
                <w:kern w:val="0"/>
                <w:szCs w:val="21"/>
                <w:highlight w:val="none"/>
              </w:rPr>
            </w:pPr>
          </w:p>
        </w:tc>
        <w:tc>
          <w:tcPr>
            <w:tcW w:w="2282" w:type="dxa"/>
            <w:gridSpan w:val="3"/>
            <w:tcBorders>
              <w:top w:val="nil"/>
              <w:left w:val="nil"/>
              <w:bottom w:val="single" w:color="auto" w:sz="8" w:space="0"/>
              <w:right w:val="single" w:color="auto" w:sz="8" w:space="0"/>
            </w:tcBorders>
            <w:noWrap w:val="0"/>
            <w:vAlign w:val="center"/>
          </w:tcPr>
          <w:p w14:paraId="7CE92620">
            <w:pPr>
              <w:shd w:val="clear"/>
              <w:spacing w:before="100" w:beforeAutospacing="1" w:after="100" w:afterAutospacing="1" w:line="240" w:lineRule="atLeast"/>
              <w:jc w:val="center"/>
              <w:rPr>
                <w:rFonts w:hint="eastAsia" w:ascii="宋体" w:hAnsi="宋体" w:eastAsia="宋体" w:cs="宋体"/>
                <w:color w:val="auto"/>
                <w:kern w:val="0"/>
                <w:szCs w:val="21"/>
                <w:highlight w:val="none"/>
              </w:rPr>
            </w:pPr>
          </w:p>
        </w:tc>
        <w:tc>
          <w:tcPr>
            <w:tcW w:w="3039" w:type="dxa"/>
            <w:gridSpan w:val="2"/>
            <w:tcBorders>
              <w:top w:val="nil"/>
              <w:left w:val="nil"/>
              <w:bottom w:val="single" w:color="auto" w:sz="8" w:space="0"/>
              <w:right w:val="single" w:color="auto" w:sz="8" w:space="0"/>
            </w:tcBorders>
            <w:noWrap w:val="0"/>
            <w:vAlign w:val="center"/>
          </w:tcPr>
          <w:p w14:paraId="380C32C1">
            <w:pPr>
              <w:shd w:val="clear"/>
              <w:spacing w:before="100" w:beforeAutospacing="1" w:after="100" w:afterAutospacing="1" w:line="240" w:lineRule="atLeast"/>
              <w:jc w:val="center"/>
              <w:rPr>
                <w:rFonts w:hint="eastAsia" w:ascii="宋体" w:hAnsi="宋体" w:eastAsia="宋体" w:cs="宋体"/>
                <w:color w:val="auto"/>
                <w:kern w:val="0"/>
                <w:szCs w:val="21"/>
                <w:highlight w:val="none"/>
              </w:rPr>
            </w:pPr>
          </w:p>
        </w:tc>
      </w:tr>
      <w:tr w14:paraId="112D9AE9">
        <w:tblPrEx>
          <w:tblCellMar>
            <w:top w:w="0" w:type="dxa"/>
            <w:left w:w="0" w:type="dxa"/>
            <w:bottom w:w="0" w:type="dxa"/>
            <w:right w:w="0" w:type="dxa"/>
          </w:tblCellMar>
        </w:tblPrEx>
        <w:trPr>
          <w:trHeight w:val="693" w:hRule="atLeast"/>
          <w:jc w:val="center"/>
        </w:trPr>
        <w:tc>
          <w:tcPr>
            <w:tcW w:w="1331" w:type="dxa"/>
            <w:tcBorders>
              <w:top w:val="nil"/>
              <w:left w:val="single" w:color="auto" w:sz="8" w:space="0"/>
              <w:bottom w:val="single" w:color="auto" w:sz="8" w:space="0"/>
              <w:right w:val="single" w:color="auto" w:sz="8" w:space="0"/>
            </w:tcBorders>
            <w:noWrap w:val="0"/>
            <w:tcMar>
              <w:top w:w="0" w:type="dxa"/>
              <w:left w:w="108" w:type="dxa"/>
              <w:bottom w:w="0" w:type="dxa"/>
              <w:right w:w="108" w:type="dxa"/>
            </w:tcMar>
            <w:vAlign w:val="center"/>
          </w:tcPr>
          <w:p w14:paraId="052E595F">
            <w:pPr>
              <w:shd w:val="clear"/>
              <w:snapToGrid w:val="0"/>
              <w:spacing w:before="100" w:beforeAutospacing="1" w:after="100" w:afterAutospacing="1" w:line="320" w:lineRule="atLeast"/>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验收具体内容</w:t>
            </w:r>
          </w:p>
        </w:tc>
        <w:tc>
          <w:tcPr>
            <w:tcW w:w="8040" w:type="dxa"/>
            <w:gridSpan w:val="7"/>
            <w:tcBorders>
              <w:top w:val="nil"/>
              <w:left w:val="nil"/>
              <w:bottom w:val="single" w:color="auto" w:sz="8" w:space="0"/>
              <w:right w:val="single" w:color="auto" w:sz="8" w:space="0"/>
            </w:tcBorders>
            <w:noWrap w:val="0"/>
            <w:tcMar>
              <w:top w:w="0" w:type="dxa"/>
              <w:left w:w="108" w:type="dxa"/>
              <w:bottom w:w="0" w:type="dxa"/>
              <w:right w:w="108" w:type="dxa"/>
            </w:tcMar>
            <w:vAlign w:val="center"/>
          </w:tcPr>
          <w:p w14:paraId="2742DFF0">
            <w:pPr>
              <w:shd w:val="clear"/>
              <w:snapToGrid w:val="0"/>
              <w:spacing w:before="100" w:beforeAutospacing="1" w:after="100" w:afterAutospacing="1" w:line="320" w:lineRule="atLeast"/>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应按采购合同、采购文件、投标文件及验收方案等进行验收；并核对中标或者成交投标人在安装调试等方面是否违反合同约定或者服务规范要求、提供的质量保证证明材料是否齐全、应有的配件及附件是否达到合同约定等。可附件)</w:t>
            </w:r>
          </w:p>
        </w:tc>
      </w:tr>
      <w:tr w14:paraId="7A6D3C65">
        <w:tblPrEx>
          <w:tblCellMar>
            <w:top w:w="0" w:type="dxa"/>
            <w:left w:w="0" w:type="dxa"/>
            <w:bottom w:w="0" w:type="dxa"/>
            <w:right w:w="0" w:type="dxa"/>
          </w:tblCellMar>
        </w:tblPrEx>
        <w:trPr>
          <w:trHeight w:val="1281" w:hRule="atLeast"/>
          <w:jc w:val="center"/>
        </w:trPr>
        <w:tc>
          <w:tcPr>
            <w:tcW w:w="1331" w:type="dxa"/>
            <w:vMerge w:val="restart"/>
            <w:tcBorders>
              <w:top w:val="nil"/>
              <w:left w:val="single" w:color="auto" w:sz="8" w:space="0"/>
              <w:bottom w:val="single" w:color="auto" w:sz="8" w:space="0"/>
              <w:right w:val="single" w:color="auto" w:sz="8" w:space="0"/>
            </w:tcBorders>
            <w:noWrap w:val="0"/>
            <w:tcMar>
              <w:top w:w="0" w:type="dxa"/>
              <w:left w:w="108" w:type="dxa"/>
              <w:bottom w:w="0" w:type="dxa"/>
              <w:right w:w="108" w:type="dxa"/>
            </w:tcMar>
            <w:vAlign w:val="center"/>
          </w:tcPr>
          <w:p w14:paraId="518195AD">
            <w:pPr>
              <w:shd w:val="clear"/>
              <w:spacing w:before="100" w:beforeAutospacing="1" w:after="100" w:afterAutospacing="1" w:line="320" w:lineRule="atLeast"/>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验收小组意见</w:t>
            </w:r>
          </w:p>
        </w:tc>
        <w:tc>
          <w:tcPr>
            <w:tcW w:w="8040" w:type="dxa"/>
            <w:gridSpan w:val="7"/>
            <w:tcBorders>
              <w:top w:val="nil"/>
              <w:left w:val="nil"/>
              <w:bottom w:val="single" w:color="auto" w:sz="8" w:space="0"/>
              <w:right w:val="single" w:color="auto" w:sz="8" w:space="0"/>
            </w:tcBorders>
            <w:noWrap w:val="0"/>
            <w:vAlign w:val="center"/>
          </w:tcPr>
          <w:p w14:paraId="76BC5459">
            <w:pPr>
              <w:shd w:val="clear"/>
              <w:spacing w:before="100" w:beforeAutospacing="1" w:after="100" w:afterAutospacing="1" w:line="320" w:lineRule="atLeast"/>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验收结论性意见：</w:t>
            </w:r>
          </w:p>
        </w:tc>
      </w:tr>
      <w:tr w14:paraId="2AE00189">
        <w:tblPrEx>
          <w:tblCellMar>
            <w:top w:w="0" w:type="dxa"/>
            <w:left w:w="0" w:type="dxa"/>
            <w:bottom w:w="0" w:type="dxa"/>
            <w:right w:w="0" w:type="dxa"/>
          </w:tblCellMar>
        </w:tblPrEx>
        <w:trPr>
          <w:trHeight w:val="607" w:hRule="atLeast"/>
          <w:jc w:val="center"/>
        </w:trPr>
        <w:tc>
          <w:tcPr>
            <w:tcW w:w="1331" w:type="dxa"/>
            <w:vMerge w:val="continue"/>
            <w:tcBorders>
              <w:top w:val="nil"/>
              <w:left w:val="single" w:color="auto" w:sz="8" w:space="0"/>
              <w:bottom w:val="single" w:color="auto" w:sz="8" w:space="0"/>
              <w:right w:val="single" w:color="auto" w:sz="8" w:space="0"/>
            </w:tcBorders>
            <w:noWrap w:val="0"/>
            <w:vAlign w:val="center"/>
          </w:tcPr>
          <w:p w14:paraId="31FCD9BC">
            <w:pPr>
              <w:shd w:val="clear"/>
              <w:jc w:val="left"/>
              <w:rPr>
                <w:rFonts w:hint="eastAsia" w:ascii="宋体" w:hAnsi="宋体" w:eastAsia="宋体" w:cs="宋体"/>
                <w:color w:val="auto"/>
                <w:kern w:val="0"/>
                <w:szCs w:val="21"/>
                <w:highlight w:val="none"/>
              </w:rPr>
            </w:pPr>
          </w:p>
        </w:tc>
        <w:tc>
          <w:tcPr>
            <w:tcW w:w="8040" w:type="dxa"/>
            <w:gridSpan w:val="7"/>
            <w:tcBorders>
              <w:top w:val="nil"/>
              <w:left w:val="nil"/>
              <w:bottom w:val="single" w:color="auto" w:sz="8" w:space="0"/>
              <w:right w:val="single" w:color="auto" w:sz="8" w:space="0"/>
            </w:tcBorders>
            <w:noWrap w:val="0"/>
            <w:vAlign w:val="center"/>
          </w:tcPr>
          <w:p w14:paraId="0257EF35">
            <w:pPr>
              <w:shd w:val="clear"/>
              <w:spacing w:before="100" w:beforeAutospacing="1" w:after="100" w:afterAutospacing="1" w:line="320" w:lineRule="atLeast"/>
              <w:ind w:firstLine="96"/>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有异议的意见和说明理由：</w:t>
            </w:r>
          </w:p>
          <w:p w14:paraId="7E954177">
            <w:pPr>
              <w:shd w:val="clear"/>
              <w:spacing w:before="100" w:beforeAutospacing="1" w:after="100" w:afterAutospacing="1" w:line="320" w:lineRule="atLeast"/>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签字：</w:t>
            </w:r>
          </w:p>
        </w:tc>
      </w:tr>
      <w:tr w14:paraId="15717F27">
        <w:tblPrEx>
          <w:tblCellMar>
            <w:top w:w="0" w:type="dxa"/>
            <w:left w:w="0" w:type="dxa"/>
            <w:bottom w:w="0" w:type="dxa"/>
            <w:right w:w="0" w:type="dxa"/>
          </w:tblCellMar>
        </w:tblPrEx>
        <w:trPr>
          <w:trHeight w:val="507" w:hRule="atLeast"/>
          <w:jc w:val="center"/>
        </w:trPr>
        <w:tc>
          <w:tcPr>
            <w:tcW w:w="9371" w:type="dxa"/>
            <w:gridSpan w:val="8"/>
            <w:tcBorders>
              <w:top w:val="nil"/>
              <w:left w:val="single" w:color="auto" w:sz="8" w:space="0"/>
              <w:bottom w:val="single" w:color="auto" w:sz="8" w:space="0"/>
              <w:right w:val="single" w:color="auto" w:sz="8" w:space="0"/>
            </w:tcBorders>
            <w:noWrap w:val="0"/>
            <w:tcMar>
              <w:top w:w="0" w:type="dxa"/>
              <w:left w:w="108" w:type="dxa"/>
              <w:bottom w:w="0" w:type="dxa"/>
              <w:right w:w="108" w:type="dxa"/>
            </w:tcMar>
            <w:vAlign w:val="center"/>
          </w:tcPr>
          <w:p w14:paraId="7B7A1376">
            <w:pPr>
              <w:shd w:val="clear"/>
              <w:spacing w:before="100" w:beforeAutospacing="1" w:after="100" w:afterAutospacing="1" w:line="320" w:lineRule="atLeast"/>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验收小组成员签字：</w:t>
            </w:r>
          </w:p>
        </w:tc>
      </w:tr>
      <w:tr w14:paraId="079ADF2D">
        <w:tblPrEx>
          <w:tblCellMar>
            <w:top w:w="0" w:type="dxa"/>
            <w:left w:w="0" w:type="dxa"/>
            <w:bottom w:w="0" w:type="dxa"/>
            <w:right w:w="0" w:type="dxa"/>
          </w:tblCellMar>
        </w:tblPrEx>
        <w:trPr>
          <w:trHeight w:val="736" w:hRule="atLeast"/>
          <w:jc w:val="center"/>
        </w:trPr>
        <w:tc>
          <w:tcPr>
            <w:tcW w:w="9371" w:type="dxa"/>
            <w:gridSpan w:val="8"/>
            <w:tcBorders>
              <w:top w:val="nil"/>
              <w:left w:val="single" w:color="auto" w:sz="8" w:space="0"/>
              <w:bottom w:val="single" w:color="auto" w:sz="8" w:space="0"/>
              <w:right w:val="single" w:color="auto" w:sz="8" w:space="0"/>
            </w:tcBorders>
            <w:noWrap w:val="0"/>
            <w:tcMar>
              <w:top w:w="0" w:type="dxa"/>
              <w:left w:w="108" w:type="dxa"/>
              <w:bottom w:w="0" w:type="dxa"/>
              <w:right w:w="108" w:type="dxa"/>
            </w:tcMar>
            <w:vAlign w:val="center"/>
          </w:tcPr>
          <w:p w14:paraId="309C6BAD">
            <w:pPr>
              <w:shd w:val="clear"/>
              <w:spacing w:before="100" w:beforeAutospacing="1" w:after="100" w:afterAutospacing="1" w:line="320" w:lineRule="atLeast"/>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监督人员或者</w:t>
            </w:r>
            <w:r>
              <w:rPr>
                <w:rFonts w:hint="eastAsia" w:ascii="宋体" w:hAnsi="宋体" w:eastAsia="宋体" w:cs="宋体"/>
                <w:color w:val="auto"/>
                <w:kern w:val="0"/>
                <w:szCs w:val="21"/>
                <w:highlight w:val="none"/>
                <w:lang w:eastAsia="zh-CN"/>
              </w:rPr>
              <w:t>其他</w:t>
            </w:r>
            <w:r>
              <w:rPr>
                <w:rFonts w:hint="eastAsia" w:ascii="宋体" w:hAnsi="宋体" w:eastAsia="宋体" w:cs="宋体"/>
                <w:color w:val="auto"/>
                <w:kern w:val="0"/>
                <w:szCs w:val="21"/>
                <w:highlight w:val="none"/>
              </w:rPr>
              <w:t>相关人员签字：</w:t>
            </w:r>
          </w:p>
          <w:p w14:paraId="37F99CD0">
            <w:pPr>
              <w:shd w:val="clear"/>
              <w:spacing w:before="100" w:beforeAutospacing="1" w:after="100" w:afterAutospacing="1" w:line="320" w:lineRule="atLeast"/>
              <w:ind w:firstLine="74"/>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或者受邀机构的意见（盖章）：</w:t>
            </w:r>
          </w:p>
        </w:tc>
      </w:tr>
      <w:tr w14:paraId="466EE6B6">
        <w:tblPrEx>
          <w:tblCellMar>
            <w:top w:w="0" w:type="dxa"/>
            <w:left w:w="0" w:type="dxa"/>
            <w:bottom w:w="0" w:type="dxa"/>
            <w:right w:w="0" w:type="dxa"/>
          </w:tblCellMar>
        </w:tblPrEx>
        <w:trPr>
          <w:trHeight w:val="758" w:hRule="atLeast"/>
          <w:jc w:val="center"/>
        </w:trPr>
        <w:tc>
          <w:tcPr>
            <w:tcW w:w="4152" w:type="dxa"/>
            <w:gridSpan w:val="4"/>
            <w:tcBorders>
              <w:top w:val="nil"/>
              <w:left w:val="single" w:color="auto" w:sz="8" w:space="0"/>
              <w:bottom w:val="single" w:color="auto" w:sz="8" w:space="0"/>
              <w:right w:val="single" w:color="auto" w:sz="4" w:space="0"/>
            </w:tcBorders>
            <w:noWrap w:val="0"/>
            <w:tcMar>
              <w:top w:w="0" w:type="dxa"/>
              <w:left w:w="108" w:type="dxa"/>
              <w:bottom w:w="0" w:type="dxa"/>
              <w:right w:w="108" w:type="dxa"/>
            </w:tcMar>
            <w:vAlign w:val="center"/>
          </w:tcPr>
          <w:p w14:paraId="6B669F7E">
            <w:pPr>
              <w:shd w:val="clear"/>
              <w:spacing w:before="100" w:beforeAutospacing="1" w:after="100" w:afterAutospacing="1" w:line="320" w:lineRule="atLeast"/>
              <w:ind w:firstLine="74"/>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中标或者成交人负责人签字或者盖章：</w:t>
            </w:r>
          </w:p>
          <w:p w14:paraId="5F17B1D3">
            <w:pPr>
              <w:shd w:val="clear"/>
              <w:spacing w:before="100" w:beforeAutospacing="1" w:after="100" w:afterAutospacing="1" w:line="320" w:lineRule="atLeast"/>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 xml:space="preserve">联系电话： </w:t>
            </w:r>
          </w:p>
          <w:p w14:paraId="2470811C">
            <w:pPr>
              <w:shd w:val="clear"/>
              <w:spacing w:before="100" w:beforeAutospacing="1" w:after="100" w:afterAutospacing="1" w:line="320" w:lineRule="atLeast"/>
              <w:ind w:firstLine="2730" w:firstLineChars="13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年 月 日</w:t>
            </w:r>
          </w:p>
        </w:tc>
        <w:tc>
          <w:tcPr>
            <w:tcW w:w="5219" w:type="dxa"/>
            <w:gridSpan w:val="4"/>
            <w:tcBorders>
              <w:top w:val="nil"/>
              <w:left w:val="single" w:color="auto" w:sz="4" w:space="0"/>
              <w:bottom w:val="single" w:color="auto" w:sz="8" w:space="0"/>
              <w:right w:val="single" w:color="auto" w:sz="8" w:space="0"/>
            </w:tcBorders>
            <w:noWrap w:val="0"/>
            <w:vAlign w:val="center"/>
          </w:tcPr>
          <w:p w14:paraId="54703DC8">
            <w:pPr>
              <w:shd w:val="clear"/>
              <w:spacing w:before="100" w:beforeAutospacing="1" w:after="100" w:afterAutospacing="1" w:line="320" w:lineRule="atLeast"/>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采购人或者受托机构的意见（盖章）：</w:t>
            </w:r>
          </w:p>
          <w:p w14:paraId="268BE601">
            <w:pPr>
              <w:shd w:val="clear"/>
              <w:spacing w:before="100" w:beforeAutospacing="1" w:after="100" w:afterAutospacing="1" w:line="320" w:lineRule="atLeast"/>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 xml:space="preserve">联系电话： </w:t>
            </w:r>
          </w:p>
          <w:p w14:paraId="273980A9">
            <w:pPr>
              <w:shd w:val="clear"/>
              <w:spacing w:before="100" w:beforeAutospacing="1" w:after="100" w:afterAutospacing="1" w:line="320" w:lineRule="atLeast"/>
              <w:ind w:firstLine="2520" w:firstLineChars="1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年 月 日</w:t>
            </w:r>
          </w:p>
        </w:tc>
      </w:tr>
    </w:tbl>
    <w:p w14:paraId="4CBAE3A2">
      <w:pPr>
        <w:pStyle w:val="13"/>
        <w:numPr>
          <w:ilvl w:val="0"/>
          <w:numId w:val="0"/>
        </w:numPr>
        <w:shd w:val="clear"/>
        <w:rPr>
          <w:rFonts w:hint="eastAsia" w:ascii="宋体" w:hAnsi="宋体" w:eastAsia="宋体" w:cs="宋体"/>
          <w:color w:val="auto"/>
          <w:kern w:val="0"/>
          <w:sz w:val="28"/>
          <w:szCs w:val="28"/>
          <w:highlight w:val="none"/>
          <w:lang w:eastAsia="zh-CN"/>
        </w:rPr>
        <w:sectPr>
          <w:pgSz w:w="11905" w:h="16838"/>
          <w:pgMar w:top="1134" w:right="1134" w:bottom="1134" w:left="1134" w:header="850" w:footer="850" w:gutter="0"/>
          <w:pgNumType w:fmt="decimal"/>
          <w:cols w:space="0" w:num="1"/>
          <w:titlePg/>
          <w:rtlGutter w:val="0"/>
          <w:docGrid w:linePitch="331" w:charSpace="0"/>
        </w:sectPr>
      </w:pPr>
      <w:r>
        <w:rPr>
          <w:rFonts w:hint="eastAsia" w:ascii="宋体" w:hAnsi="宋体" w:eastAsia="宋体" w:cs="宋体"/>
          <w:color w:val="auto"/>
          <w:highlight w:val="none"/>
        </w:rPr>
        <w:br w:type="page"/>
      </w:r>
    </w:p>
    <w:p w14:paraId="6A55F897">
      <w:pPr>
        <w:shd w:val="clear"/>
        <w:jc w:val="left"/>
        <w:rPr>
          <w:rFonts w:hint="eastAsia" w:ascii="宋体" w:hAnsi="宋体" w:eastAsia="宋体" w:cs="宋体"/>
          <w:color w:val="auto"/>
          <w:highlight w:val="none"/>
        </w:rPr>
      </w:pPr>
      <w:r>
        <w:rPr>
          <w:rFonts w:hint="eastAsia" w:ascii="宋体" w:hAnsi="宋体" w:cs="宋体"/>
          <w:color w:val="auto"/>
          <w:sz w:val="28"/>
          <w:szCs w:val="28"/>
          <w:highlight w:val="none"/>
          <w:lang w:val="en-US" w:eastAsia="zh-CN"/>
        </w:rPr>
        <w:t>2</w:t>
      </w:r>
      <w:r>
        <w:rPr>
          <w:rFonts w:hint="eastAsia" w:ascii="宋体" w:hAnsi="宋体" w:eastAsia="宋体" w:cs="宋体"/>
          <w:color w:val="auto"/>
          <w:sz w:val="28"/>
          <w:szCs w:val="28"/>
          <w:highlight w:val="none"/>
          <w:lang w:val="en-US" w:eastAsia="zh-CN"/>
        </w:rPr>
        <w:t>.政府采购项目履约保证金退付意见书的格式：</w:t>
      </w:r>
    </w:p>
    <w:p w14:paraId="3B29A8D3">
      <w:pPr>
        <w:shd w:val="clear"/>
        <w:jc w:val="center"/>
        <w:rPr>
          <w:rFonts w:hint="eastAsia" w:ascii="宋体" w:hAnsi="宋体" w:eastAsia="宋体" w:cs="宋体"/>
          <w:color w:val="auto"/>
          <w:sz w:val="32"/>
          <w:szCs w:val="32"/>
          <w:highlight w:val="none"/>
        </w:rPr>
      </w:pPr>
    </w:p>
    <w:p w14:paraId="6CC7AA76">
      <w:pPr>
        <w:shd w:val="clear"/>
        <w:jc w:val="center"/>
        <w:rPr>
          <w:rFonts w:hint="eastAsia" w:ascii="宋体" w:hAnsi="宋体" w:eastAsia="宋体" w:cs="宋体"/>
          <w:color w:val="auto"/>
          <w:sz w:val="32"/>
          <w:szCs w:val="32"/>
          <w:highlight w:val="none"/>
        </w:rPr>
      </w:pPr>
      <w:r>
        <w:rPr>
          <w:rFonts w:hint="eastAsia" w:ascii="宋体" w:hAnsi="宋体" w:eastAsia="宋体" w:cs="宋体"/>
          <w:color w:val="auto"/>
          <w:sz w:val="32"/>
          <w:szCs w:val="32"/>
          <w:highlight w:val="none"/>
        </w:rPr>
        <w:t>政府采购项目履约保证金退付意见书（参考）</w:t>
      </w:r>
    </w:p>
    <w:p w14:paraId="59F22E18">
      <w:pPr>
        <w:shd w:val="clear"/>
        <w:jc w:val="center"/>
        <w:rPr>
          <w:rFonts w:hint="eastAsia" w:ascii="宋体" w:hAnsi="宋体" w:eastAsia="宋体" w:cs="宋体"/>
          <w:color w:val="auto"/>
          <w:sz w:val="36"/>
          <w:szCs w:val="36"/>
          <w:highlight w:val="none"/>
        </w:rPr>
      </w:pPr>
    </w:p>
    <w:tbl>
      <w:tblPr>
        <w:tblStyle w:val="18"/>
        <w:tblW w:w="9464"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08"/>
        <w:gridCol w:w="8456"/>
      </w:tblGrid>
      <w:tr w14:paraId="70E5CB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5" w:hRule="atLeast"/>
        </w:trPr>
        <w:tc>
          <w:tcPr>
            <w:tcW w:w="1008" w:type="dxa"/>
            <w:vMerge w:val="restart"/>
            <w:noWrap w:val="0"/>
            <w:vAlign w:val="center"/>
          </w:tcPr>
          <w:p w14:paraId="6D5C5024">
            <w:pPr>
              <w:shd w:val="clear"/>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供</w:t>
            </w:r>
          </w:p>
          <w:p w14:paraId="5E3FDF6C">
            <w:pPr>
              <w:shd w:val="clear"/>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应</w:t>
            </w:r>
          </w:p>
          <w:p w14:paraId="6B6E1C88">
            <w:pPr>
              <w:shd w:val="clear"/>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商</w:t>
            </w:r>
          </w:p>
          <w:p w14:paraId="0692EBC5">
            <w:pPr>
              <w:shd w:val="clear"/>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申</w:t>
            </w:r>
          </w:p>
          <w:p w14:paraId="06B7FC8F">
            <w:pPr>
              <w:shd w:val="clear"/>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请</w:t>
            </w:r>
          </w:p>
        </w:tc>
        <w:tc>
          <w:tcPr>
            <w:tcW w:w="8456" w:type="dxa"/>
            <w:noWrap w:val="0"/>
            <w:vAlign w:val="center"/>
          </w:tcPr>
          <w:p w14:paraId="33C3D888">
            <w:pPr>
              <w:shd w:val="clear"/>
              <w:rPr>
                <w:rFonts w:hint="eastAsia" w:ascii="宋体" w:hAnsi="宋体" w:eastAsia="宋体" w:cs="宋体"/>
                <w:color w:val="auto"/>
                <w:sz w:val="24"/>
                <w:highlight w:val="none"/>
              </w:rPr>
            </w:pPr>
            <w:r>
              <w:rPr>
                <w:rFonts w:hint="eastAsia" w:ascii="宋体" w:hAnsi="宋体" w:eastAsia="宋体" w:cs="宋体"/>
                <w:color w:val="auto"/>
                <w:sz w:val="24"/>
                <w:highlight w:val="none"/>
              </w:rPr>
              <w:t>项目编号：</w:t>
            </w:r>
          </w:p>
        </w:tc>
      </w:tr>
      <w:tr w14:paraId="13C743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8" w:hRule="atLeast"/>
        </w:trPr>
        <w:tc>
          <w:tcPr>
            <w:tcW w:w="1008" w:type="dxa"/>
            <w:vMerge w:val="continue"/>
            <w:noWrap w:val="0"/>
            <w:vAlign w:val="center"/>
          </w:tcPr>
          <w:p w14:paraId="673A2EF1">
            <w:pPr>
              <w:shd w:val="clear"/>
              <w:rPr>
                <w:rFonts w:hint="eastAsia" w:ascii="宋体" w:hAnsi="宋体" w:eastAsia="宋体" w:cs="宋体"/>
                <w:color w:val="auto"/>
                <w:sz w:val="24"/>
                <w:highlight w:val="none"/>
              </w:rPr>
            </w:pPr>
          </w:p>
        </w:tc>
        <w:tc>
          <w:tcPr>
            <w:tcW w:w="8456" w:type="dxa"/>
            <w:noWrap w:val="0"/>
            <w:vAlign w:val="center"/>
          </w:tcPr>
          <w:p w14:paraId="01BA2155">
            <w:pPr>
              <w:shd w:val="clear"/>
              <w:rPr>
                <w:rFonts w:hint="eastAsia" w:ascii="宋体" w:hAnsi="宋体" w:eastAsia="宋体" w:cs="宋体"/>
                <w:color w:val="auto"/>
                <w:sz w:val="24"/>
                <w:highlight w:val="none"/>
              </w:rPr>
            </w:pPr>
            <w:r>
              <w:rPr>
                <w:rFonts w:hint="eastAsia" w:ascii="宋体" w:hAnsi="宋体" w:eastAsia="宋体" w:cs="宋体"/>
                <w:color w:val="auto"/>
                <w:sz w:val="24"/>
                <w:highlight w:val="none"/>
              </w:rPr>
              <w:t>项目名称：</w:t>
            </w:r>
          </w:p>
        </w:tc>
      </w:tr>
      <w:tr w14:paraId="211990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008" w:type="dxa"/>
            <w:vMerge w:val="continue"/>
            <w:noWrap w:val="0"/>
            <w:vAlign w:val="top"/>
          </w:tcPr>
          <w:p w14:paraId="354B9256">
            <w:pPr>
              <w:shd w:val="clear"/>
              <w:rPr>
                <w:rFonts w:hint="eastAsia" w:ascii="宋体" w:hAnsi="宋体" w:eastAsia="宋体" w:cs="宋体"/>
                <w:color w:val="auto"/>
                <w:sz w:val="24"/>
                <w:highlight w:val="none"/>
              </w:rPr>
            </w:pPr>
          </w:p>
        </w:tc>
        <w:tc>
          <w:tcPr>
            <w:tcW w:w="8456" w:type="dxa"/>
            <w:noWrap w:val="0"/>
            <w:vAlign w:val="top"/>
          </w:tcPr>
          <w:p w14:paraId="5CF56229">
            <w:pPr>
              <w:shd w:val="clear"/>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  </w:t>
            </w:r>
          </w:p>
          <w:p w14:paraId="7D1A4D91">
            <w:pPr>
              <w:shd w:val="clear"/>
              <w:spacing w:line="40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该项目已于</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年</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月</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日验收并交付使用。根据合同规定，该项目的履约保证金期限于</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年</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月</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日已满，请将履约保证金（大写）</w:t>
            </w:r>
            <w:r>
              <w:rPr>
                <w:rFonts w:hint="eastAsia" w:ascii="宋体" w:hAnsi="宋体" w:eastAsia="宋体" w:cs="宋体"/>
                <w:color w:val="auto"/>
                <w:sz w:val="24"/>
                <w:highlight w:val="none"/>
                <w:u w:val="single"/>
                <w:lang w:eastAsia="zh-CN"/>
              </w:rPr>
              <w:t>人民币</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（小写）¥</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退付到达以下</w:t>
            </w:r>
            <w:r>
              <w:rPr>
                <w:rFonts w:hint="eastAsia" w:ascii="宋体" w:hAnsi="宋体" w:eastAsia="宋体" w:cs="宋体"/>
                <w:color w:val="auto"/>
                <w:sz w:val="24"/>
                <w:highlight w:val="none"/>
                <w:lang w:eastAsia="zh-CN"/>
              </w:rPr>
              <w:t>账</w:t>
            </w:r>
            <w:r>
              <w:rPr>
                <w:rFonts w:hint="eastAsia" w:ascii="宋体" w:hAnsi="宋体" w:eastAsia="宋体" w:cs="宋体"/>
                <w:color w:val="auto"/>
                <w:sz w:val="24"/>
                <w:highlight w:val="none"/>
              </w:rPr>
              <w:t>户。</w:t>
            </w:r>
          </w:p>
          <w:p w14:paraId="77F3C42E">
            <w:pPr>
              <w:shd w:val="clear"/>
              <w:spacing w:line="400" w:lineRule="exact"/>
              <w:ind w:firstLine="705"/>
              <w:rPr>
                <w:rFonts w:hint="eastAsia" w:ascii="宋体" w:hAnsi="宋体" w:eastAsia="宋体" w:cs="宋体"/>
                <w:color w:val="auto"/>
                <w:sz w:val="24"/>
                <w:highlight w:val="none"/>
              </w:rPr>
            </w:pPr>
            <w:r>
              <w:rPr>
                <w:rFonts w:hint="eastAsia" w:ascii="宋体" w:hAnsi="宋体" w:eastAsia="宋体" w:cs="宋体"/>
                <w:color w:val="auto"/>
                <w:sz w:val="24"/>
                <w:highlight w:val="none"/>
              </w:rPr>
              <w:t>单位名称：</w:t>
            </w:r>
          </w:p>
          <w:p w14:paraId="23F10BCF">
            <w:pPr>
              <w:shd w:val="clear"/>
              <w:spacing w:line="400" w:lineRule="exact"/>
              <w:ind w:firstLine="705"/>
              <w:rPr>
                <w:rFonts w:hint="eastAsia" w:ascii="宋体" w:hAnsi="宋体" w:eastAsia="宋体" w:cs="宋体"/>
                <w:color w:val="auto"/>
                <w:sz w:val="24"/>
                <w:highlight w:val="none"/>
              </w:rPr>
            </w:pPr>
            <w:r>
              <w:rPr>
                <w:rFonts w:hint="eastAsia" w:ascii="宋体" w:hAnsi="宋体" w:eastAsia="宋体" w:cs="宋体"/>
                <w:color w:val="auto"/>
                <w:sz w:val="24"/>
                <w:highlight w:val="none"/>
              </w:rPr>
              <w:t>开户银行：</w:t>
            </w:r>
          </w:p>
          <w:p w14:paraId="595B04BC">
            <w:pPr>
              <w:shd w:val="clear"/>
              <w:spacing w:line="400" w:lineRule="exact"/>
              <w:ind w:firstLine="705"/>
              <w:rPr>
                <w:rFonts w:hint="eastAsia" w:ascii="宋体" w:hAnsi="宋体" w:eastAsia="宋体" w:cs="宋体"/>
                <w:color w:val="auto"/>
                <w:sz w:val="24"/>
                <w:highlight w:val="none"/>
              </w:rPr>
            </w:pPr>
            <w:r>
              <w:rPr>
                <w:rFonts w:hint="eastAsia" w:ascii="宋体" w:hAnsi="宋体" w:eastAsia="宋体" w:cs="宋体"/>
                <w:color w:val="auto"/>
                <w:sz w:val="24"/>
                <w:highlight w:val="none"/>
                <w:lang w:eastAsia="zh-CN"/>
              </w:rPr>
              <w:t>账</w:t>
            </w:r>
            <w:r>
              <w:rPr>
                <w:rFonts w:hint="eastAsia" w:ascii="宋体" w:hAnsi="宋体" w:eastAsia="宋体" w:cs="宋体"/>
                <w:color w:val="auto"/>
                <w:sz w:val="24"/>
                <w:highlight w:val="none"/>
              </w:rPr>
              <w:t xml:space="preserve">   号：</w:t>
            </w:r>
          </w:p>
          <w:p w14:paraId="0AF6A957">
            <w:pPr>
              <w:shd w:val="clear"/>
              <w:spacing w:line="400" w:lineRule="exact"/>
              <w:rPr>
                <w:rFonts w:hint="eastAsia" w:ascii="宋体" w:hAnsi="宋体" w:eastAsia="宋体" w:cs="宋体"/>
                <w:color w:val="auto"/>
                <w:sz w:val="24"/>
                <w:highlight w:val="none"/>
              </w:rPr>
            </w:pPr>
            <w:r>
              <w:rPr>
                <w:rFonts w:hint="eastAsia" w:ascii="宋体" w:hAnsi="宋体" w:eastAsia="宋体" w:cs="宋体"/>
                <w:color w:val="auto"/>
                <w:sz w:val="24"/>
                <w:highlight w:val="none"/>
              </w:rPr>
              <w:t>联系人及电话：</w:t>
            </w:r>
          </w:p>
          <w:p w14:paraId="2CD43B96">
            <w:pPr>
              <w:shd w:val="clear"/>
              <w:spacing w:line="400" w:lineRule="exact"/>
              <w:rPr>
                <w:rFonts w:hint="eastAsia" w:ascii="宋体" w:hAnsi="宋体" w:eastAsia="宋体" w:cs="宋体"/>
                <w:color w:val="auto"/>
                <w:sz w:val="24"/>
                <w:highlight w:val="none"/>
              </w:rPr>
            </w:pPr>
          </w:p>
          <w:p w14:paraId="43B2FA32">
            <w:pPr>
              <w:shd w:val="clear"/>
              <w:spacing w:line="520" w:lineRule="exact"/>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         投标人签章：</w:t>
            </w:r>
          </w:p>
          <w:p w14:paraId="1B052974">
            <w:pPr>
              <w:shd w:val="clear"/>
              <w:spacing w:line="520" w:lineRule="exact"/>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                           年    月     日</w:t>
            </w:r>
          </w:p>
        </w:tc>
      </w:tr>
      <w:tr w14:paraId="281D69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26" w:hRule="atLeast"/>
        </w:trPr>
        <w:tc>
          <w:tcPr>
            <w:tcW w:w="1008" w:type="dxa"/>
            <w:noWrap w:val="0"/>
            <w:vAlign w:val="center"/>
          </w:tcPr>
          <w:p w14:paraId="593A3B44">
            <w:pPr>
              <w:shd w:val="clear"/>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采</w:t>
            </w:r>
          </w:p>
          <w:p w14:paraId="1601ACA3">
            <w:pPr>
              <w:shd w:val="clear"/>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购</w:t>
            </w:r>
          </w:p>
          <w:p w14:paraId="6AED9323">
            <w:pPr>
              <w:shd w:val="clear"/>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人</w:t>
            </w:r>
          </w:p>
          <w:p w14:paraId="292C5998">
            <w:pPr>
              <w:shd w:val="clear"/>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意</w:t>
            </w:r>
          </w:p>
          <w:p w14:paraId="71933D4F">
            <w:pPr>
              <w:shd w:val="clear"/>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见</w:t>
            </w:r>
          </w:p>
        </w:tc>
        <w:tc>
          <w:tcPr>
            <w:tcW w:w="8456" w:type="dxa"/>
            <w:noWrap w:val="0"/>
            <w:vAlign w:val="top"/>
          </w:tcPr>
          <w:p w14:paraId="70F6508B">
            <w:pPr>
              <w:shd w:val="clear"/>
              <w:rPr>
                <w:rFonts w:hint="eastAsia" w:ascii="宋体" w:hAnsi="宋体" w:eastAsia="宋体" w:cs="宋体"/>
                <w:color w:val="auto"/>
                <w:sz w:val="24"/>
                <w:highlight w:val="none"/>
              </w:rPr>
            </w:pPr>
          </w:p>
          <w:p w14:paraId="484BEE38">
            <w:pPr>
              <w:shd w:val="clear"/>
              <w:rPr>
                <w:rFonts w:hint="eastAsia" w:ascii="宋体" w:hAnsi="宋体" w:eastAsia="宋体" w:cs="宋体"/>
                <w:color w:val="auto"/>
                <w:sz w:val="24"/>
                <w:highlight w:val="none"/>
              </w:rPr>
            </w:pPr>
            <w:r>
              <w:rPr>
                <w:rFonts w:hint="eastAsia" w:ascii="宋体" w:hAnsi="宋体" w:eastAsia="宋体" w:cs="宋体"/>
                <w:color w:val="auto"/>
                <w:sz w:val="24"/>
                <w:highlight w:val="none"/>
              </w:rPr>
              <w:t>退付意见：（是否同意退付履约保证金及退付金额）</w:t>
            </w:r>
          </w:p>
          <w:p w14:paraId="6F0C6CFB">
            <w:pPr>
              <w:shd w:val="clear"/>
              <w:rPr>
                <w:rFonts w:hint="eastAsia" w:ascii="宋体" w:hAnsi="宋体" w:eastAsia="宋体" w:cs="宋体"/>
                <w:color w:val="auto"/>
                <w:sz w:val="24"/>
                <w:highlight w:val="none"/>
              </w:rPr>
            </w:pPr>
          </w:p>
          <w:p w14:paraId="5B713FCF">
            <w:pPr>
              <w:shd w:val="clear"/>
              <w:rPr>
                <w:rFonts w:hint="eastAsia" w:ascii="宋体" w:hAnsi="宋体" w:eastAsia="宋体" w:cs="宋体"/>
                <w:color w:val="auto"/>
                <w:sz w:val="24"/>
                <w:highlight w:val="none"/>
              </w:rPr>
            </w:pPr>
          </w:p>
          <w:p w14:paraId="28ECA55A">
            <w:pPr>
              <w:shd w:val="clear"/>
              <w:rPr>
                <w:rFonts w:hint="eastAsia" w:ascii="宋体" w:hAnsi="宋体" w:eastAsia="宋体" w:cs="宋体"/>
                <w:color w:val="auto"/>
                <w:sz w:val="24"/>
                <w:highlight w:val="none"/>
              </w:rPr>
            </w:pPr>
          </w:p>
          <w:p w14:paraId="1615C796">
            <w:pPr>
              <w:shd w:val="clear"/>
              <w:rPr>
                <w:rFonts w:hint="eastAsia" w:ascii="宋体" w:hAnsi="宋体" w:eastAsia="宋体" w:cs="宋体"/>
                <w:color w:val="auto"/>
                <w:sz w:val="24"/>
                <w:highlight w:val="none"/>
              </w:rPr>
            </w:pPr>
          </w:p>
          <w:p w14:paraId="45B71D96">
            <w:pPr>
              <w:shd w:val="clear"/>
              <w:spacing w:line="520" w:lineRule="exact"/>
              <w:rPr>
                <w:rFonts w:hint="eastAsia" w:ascii="宋体" w:hAnsi="宋体" w:eastAsia="宋体" w:cs="宋体"/>
                <w:color w:val="auto"/>
                <w:sz w:val="24"/>
                <w:highlight w:val="none"/>
              </w:rPr>
            </w:pPr>
            <w:r>
              <w:rPr>
                <w:rFonts w:hint="eastAsia" w:ascii="宋体" w:hAnsi="宋体" w:eastAsia="宋体" w:cs="宋体"/>
                <w:color w:val="auto"/>
                <w:sz w:val="24"/>
                <w:highlight w:val="none"/>
              </w:rPr>
              <w:t>联系人及电话：                         采购人签章</w:t>
            </w:r>
          </w:p>
          <w:p w14:paraId="3C92163E">
            <w:pPr>
              <w:shd w:val="clear"/>
              <w:spacing w:line="520" w:lineRule="exact"/>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                                        年    月     日</w:t>
            </w:r>
          </w:p>
        </w:tc>
      </w:tr>
      <w:tr w14:paraId="6926A5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25" w:hRule="atLeast"/>
        </w:trPr>
        <w:tc>
          <w:tcPr>
            <w:tcW w:w="1008" w:type="dxa"/>
            <w:noWrap w:val="0"/>
            <w:vAlign w:val="center"/>
          </w:tcPr>
          <w:p w14:paraId="346BF619">
            <w:pPr>
              <w:shd w:val="clear"/>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备注</w:t>
            </w:r>
          </w:p>
        </w:tc>
        <w:tc>
          <w:tcPr>
            <w:tcW w:w="8456" w:type="dxa"/>
            <w:noWrap w:val="0"/>
            <w:vAlign w:val="top"/>
          </w:tcPr>
          <w:p w14:paraId="59E45E68">
            <w:pPr>
              <w:shd w:val="clear"/>
              <w:rPr>
                <w:rFonts w:hint="eastAsia" w:ascii="宋体" w:hAnsi="宋体" w:eastAsia="宋体" w:cs="宋体"/>
                <w:color w:val="auto"/>
                <w:sz w:val="24"/>
                <w:highlight w:val="none"/>
              </w:rPr>
            </w:pPr>
          </w:p>
        </w:tc>
      </w:tr>
    </w:tbl>
    <w:p w14:paraId="5037E880">
      <w:pPr>
        <w:pStyle w:val="9"/>
        <w:shd w:val="clear"/>
        <w:ind w:left="420" w:leftChars="114" w:hanging="181" w:hangingChars="100"/>
        <w:rPr>
          <w:rFonts w:hint="eastAsia" w:ascii="宋体" w:hAnsi="宋体" w:eastAsia="宋体" w:cs="宋体"/>
          <w:b/>
          <w:bCs/>
          <w:color w:val="auto"/>
          <w:sz w:val="18"/>
          <w:highlight w:val="none"/>
        </w:rPr>
      </w:pPr>
      <w:r>
        <w:rPr>
          <w:rFonts w:hint="eastAsia" w:ascii="宋体" w:hAnsi="宋体" w:eastAsia="宋体" w:cs="宋体"/>
          <w:b/>
          <w:bCs/>
          <w:color w:val="auto"/>
          <w:sz w:val="18"/>
          <w:highlight w:val="none"/>
        </w:rPr>
        <w:t>注：投标人凭经采购人审批的退付意见书到</w:t>
      </w:r>
      <w:r>
        <w:rPr>
          <w:rFonts w:hint="eastAsia" w:ascii="宋体" w:hAnsi="宋体" w:eastAsia="宋体" w:cs="宋体"/>
          <w:b/>
          <w:bCs/>
          <w:color w:val="auto"/>
          <w:sz w:val="18"/>
          <w:szCs w:val="18"/>
          <w:highlight w:val="none"/>
          <w:lang w:eastAsia="zh-CN"/>
        </w:rPr>
        <w:t>履约</w:t>
      </w:r>
      <w:r>
        <w:rPr>
          <w:rFonts w:hint="eastAsia" w:ascii="宋体" w:hAnsi="宋体" w:eastAsia="宋体" w:cs="宋体"/>
          <w:b/>
          <w:bCs/>
          <w:color w:val="auto"/>
          <w:sz w:val="18"/>
          <w:highlight w:val="none"/>
        </w:rPr>
        <w:t>保证金收取单位办理履约保证金退付事宜。</w:t>
      </w:r>
    </w:p>
    <w:p w14:paraId="350714CC">
      <w:pPr>
        <w:pStyle w:val="12"/>
        <w:shd w:val="clear"/>
        <w:snapToGrid w:val="0"/>
        <w:spacing w:before="120" w:after="120"/>
        <w:rPr>
          <w:rFonts w:hint="eastAsia" w:ascii="宋体" w:hAnsi="宋体" w:eastAsia="宋体" w:cs="宋体"/>
          <w:color w:val="auto"/>
          <w:highlight w:val="none"/>
        </w:rPr>
      </w:pPr>
    </w:p>
    <w:p w14:paraId="43CFC79B">
      <w:pPr>
        <w:shd w:val="clear"/>
        <w:snapToGrid w:val="0"/>
        <w:spacing w:before="50" w:after="165" w:afterLines="50" w:line="360" w:lineRule="auto"/>
        <w:jc w:val="left"/>
        <w:rPr>
          <w:rFonts w:hint="eastAsia" w:ascii="宋体" w:hAnsi="宋体" w:eastAsia="宋体" w:cs="宋体"/>
          <w:color w:val="auto"/>
          <w:sz w:val="20"/>
          <w:highlight w:val="none"/>
        </w:rPr>
      </w:pPr>
    </w:p>
    <w:p w14:paraId="65423457">
      <w:pPr>
        <w:pStyle w:val="12"/>
        <w:shd w:val="clear"/>
        <w:tabs>
          <w:tab w:val="left" w:pos="2472"/>
        </w:tabs>
        <w:spacing w:line="460" w:lineRule="exact"/>
        <w:jc w:val="center"/>
        <w:rPr>
          <w:rFonts w:hint="eastAsia" w:ascii="宋体" w:hAnsi="宋体" w:eastAsia="宋体" w:cs="宋体"/>
          <w:b/>
          <w:color w:val="auto"/>
          <w:sz w:val="36"/>
          <w:highlight w:val="none"/>
        </w:rPr>
      </w:pPr>
    </w:p>
    <w:p w14:paraId="23C4FD0E">
      <w:pPr>
        <w:pStyle w:val="12"/>
        <w:shd w:val="clear"/>
        <w:tabs>
          <w:tab w:val="left" w:pos="2472"/>
        </w:tabs>
        <w:spacing w:line="460" w:lineRule="exact"/>
        <w:jc w:val="center"/>
        <w:rPr>
          <w:rFonts w:hint="eastAsia" w:ascii="宋体" w:hAnsi="宋体" w:eastAsia="宋体" w:cs="宋体"/>
          <w:b/>
          <w:color w:val="auto"/>
          <w:sz w:val="36"/>
          <w:highlight w:val="none"/>
        </w:rPr>
      </w:pPr>
    </w:p>
    <w:p w14:paraId="1E7D23CD">
      <w:pPr>
        <w:pStyle w:val="12"/>
        <w:shd w:val="clear"/>
        <w:tabs>
          <w:tab w:val="left" w:pos="2472"/>
        </w:tabs>
        <w:spacing w:line="460" w:lineRule="exact"/>
        <w:jc w:val="center"/>
        <w:rPr>
          <w:rFonts w:hint="eastAsia" w:ascii="宋体" w:hAnsi="宋体" w:eastAsia="宋体" w:cs="宋体"/>
          <w:b/>
          <w:color w:val="auto"/>
          <w:sz w:val="36"/>
          <w:highlight w:val="none"/>
        </w:rPr>
      </w:pPr>
    </w:p>
    <w:p w14:paraId="6EBD0028">
      <w:pPr>
        <w:pStyle w:val="12"/>
        <w:shd w:val="clear"/>
        <w:tabs>
          <w:tab w:val="left" w:pos="2472"/>
        </w:tabs>
        <w:spacing w:line="460" w:lineRule="exact"/>
        <w:jc w:val="center"/>
        <w:rPr>
          <w:rFonts w:hint="eastAsia" w:ascii="宋体" w:hAnsi="宋体" w:eastAsia="宋体" w:cs="宋体"/>
          <w:b/>
          <w:color w:val="auto"/>
          <w:sz w:val="36"/>
          <w:highlight w:val="none"/>
        </w:rPr>
      </w:pPr>
    </w:p>
    <w:p w14:paraId="34EAD0DC">
      <w:pPr>
        <w:pStyle w:val="12"/>
        <w:shd w:val="clear"/>
        <w:tabs>
          <w:tab w:val="left" w:pos="2472"/>
        </w:tabs>
        <w:spacing w:line="460" w:lineRule="exact"/>
        <w:jc w:val="center"/>
        <w:rPr>
          <w:rFonts w:hint="eastAsia" w:ascii="宋体" w:hAnsi="宋体" w:eastAsia="宋体" w:cs="宋体"/>
          <w:b/>
          <w:color w:val="auto"/>
          <w:sz w:val="36"/>
          <w:highlight w:val="none"/>
        </w:rPr>
      </w:pPr>
    </w:p>
    <w:p w14:paraId="42AAAB33">
      <w:pPr>
        <w:pStyle w:val="12"/>
        <w:shd w:val="clear"/>
        <w:tabs>
          <w:tab w:val="left" w:pos="2472"/>
        </w:tabs>
        <w:spacing w:line="460" w:lineRule="exact"/>
        <w:jc w:val="center"/>
        <w:rPr>
          <w:rFonts w:hint="eastAsia" w:ascii="宋体" w:hAnsi="宋体" w:eastAsia="宋体" w:cs="宋体"/>
          <w:b/>
          <w:color w:val="auto"/>
          <w:sz w:val="36"/>
          <w:highlight w:val="none"/>
        </w:rPr>
      </w:pPr>
    </w:p>
    <w:p w14:paraId="2E1A9EEB">
      <w:pPr>
        <w:pStyle w:val="12"/>
        <w:shd w:val="clear"/>
        <w:tabs>
          <w:tab w:val="left" w:pos="2472"/>
        </w:tabs>
        <w:spacing w:line="460" w:lineRule="exact"/>
        <w:jc w:val="center"/>
        <w:rPr>
          <w:rFonts w:hint="eastAsia" w:ascii="宋体" w:hAnsi="宋体" w:eastAsia="宋体" w:cs="宋体"/>
          <w:b/>
          <w:color w:val="auto"/>
          <w:sz w:val="36"/>
          <w:highlight w:val="none"/>
        </w:rPr>
      </w:pPr>
    </w:p>
    <w:p w14:paraId="00261794">
      <w:pPr>
        <w:pStyle w:val="12"/>
        <w:shd w:val="clear"/>
        <w:tabs>
          <w:tab w:val="left" w:pos="2472"/>
        </w:tabs>
        <w:spacing w:line="460" w:lineRule="exact"/>
        <w:jc w:val="center"/>
        <w:rPr>
          <w:rFonts w:hint="eastAsia" w:ascii="宋体" w:hAnsi="宋体" w:eastAsia="宋体" w:cs="宋体"/>
          <w:b/>
          <w:color w:val="auto"/>
          <w:sz w:val="36"/>
          <w:highlight w:val="none"/>
        </w:rPr>
      </w:pPr>
    </w:p>
    <w:p w14:paraId="4890FC65">
      <w:pPr>
        <w:pStyle w:val="12"/>
        <w:shd w:val="clear"/>
        <w:tabs>
          <w:tab w:val="left" w:pos="2472"/>
        </w:tabs>
        <w:spacing w:line="460" w:lineRule="exact"/>
        <w:jc w:val="center"/>
        <w:rPr>
          <w:rFonts w:hint="eastAsia" w:ascii="宋体" w:hAnsi="宋体" w:eastAsia="宋体" w:cs="宋体"/>
          <w:b/>
          <w:color w:val="auto"/>
          <w:sz w:val="36"/>
          <w:highlight w:val="none"/>
        </w:rPr>
      </w:pPr>
    </w:p>
    <w:p w14:paraId="6911D955">
      <w:pPr>
        <w:pStyle w:val="12"/>
        <w:shd w:val="clear"/>
        <w:tabs>
          <w:tab w:val="left" w:pos="2472"/>
        </w:tabs>
        <w:spacing w:line="460" w:lineRule="exact"/>
        <w:jc w:val="center"/>
        <w:rPr>
          <w:rFonts w:hint="eastAsia" w:ascii="宋体" w:hAnsi="宋体" w:eastAsia="宋体" w:cs="宋体"/>
          <w:b/>
          <w:color w:val="auto"/>
          <w:sz w:val="36"/>
          <w:highlight w:val="none"/>
        </w:rPr>
      </w:pPr>
    </w:p>
    <w:p w14:paraId="4F7CC623">
      <w:pPr>
        <w:pStyle w:val="12"/>
        <w:shd w:val="clear"/>
        <w:tabs>
          <w:tab w:val="left" w:pos="2472"/>
        </w:tabs>
        <w:spacing w:line="460" w:lineRule="exact"/>
        <w:jc w:val="center"/>
        <w:rPr>
          <w:rFonts w:hint="eastAsia" w:ascii="宋体" w:hAnsi="宋体" w:eastAsia="宋体" w:cs="宋体"/>
          <w:b/>
          <w:color w:val="auto"/>
          <w:sz w:val="36"/>
          <w:highlight w:val="none"/>
        </w:rPr>
      </w:pPr>
    </w:p>
    <w:p w14:paraId="6955A538">
      <w:pPr>
        <w:pStyle w:val="12"/>
        <w:shd w:val="clear"/>
        <w:tabs>
          <w:tab w:val="left" w:pos="2472"/>
        </w:tabs>
        <w:spacing w:line="460" w:lineRule="exact"/>
        <w:jc w:val="center"/>
        <w:outlineLvl w:val="0"/>
        <w:rPr>
          <w:rFonts w:hint="eastAsia" w:ascii="宋体" w:hAnsi="宋体" w:eastAsia="宋体" w:cs="宋体"/>
          <w:b/>
          <w:color w:val="auto"/>
          <w:sz w:val="36"/>
          <w:highlight w:val="none"/>
        </w:rPr>
      </w:pPr>
      <w:bookmarkStart w:id="394" w:name="_Toc491"/>
      <w:bookmarkStart w:id="395" w:name="_Toc25113"/>
      <w:bookmarkStart w:id="396" w:name="_Toc7254"/>
      <w:bookmarkStart w:id="397" w:name="_Toc7244"/>
      <w:bookmarkStart w:id="398" w:name="_Toc2211"/>
      <w:bookmarkStart w:id="399" w:name="_Toc31429"/>
      <w:bookmarkStart w:id="400" w:name="_Toc21753"/>
      <w:bookmarkStart w:id="401" w:name="_Toc6635"/>
      <w:bookmarkStart w:id="402" w:name="_Toc18173"/>
      <w:bookmarkStart w:id="403" w:name="_Toc32028"/>
      <w:bookmarkStart w:id="404" w:name="_Toc11260"/>
      <w:bookmarkStart w:id="405" w:name="_Toc31310"/>
      <w:bookmarkStart w:id="406" w:name="_Toc17736"/>
      <w:r>
        <w:rPr>
          <w:rFonts w:hint="eastAsia" w:ascii="宋体" w:hAnsi="宋体" w:eastAsia="宋体" w:cs="宋体"/>
          <w:b/>
          <w:color w:val="auto"/>
          <w:sz w:val="36"/>
          <w:highlight w:val="none"/>
        </w:rPr>
        <w:t>第七章 质疑、投诉材料格式</w:t>
      </w:r>
      <w:bookmarkEnd w:id="394"/>
      <w:bookmarkEnd w:id="395"/>
      <w:bookmarkEnd w:id="396"/>
      <w:bookmarkEnd w:id="397"/>
      <w:bookmarkEnd w:id="398"/>
      <w:bookmarkEnd w:id="399"/>
      <w:bookmarkEnd w:id="400"/>
      <w:bookmarkEnd w:id="401"/>
      <w:bookmarkEnd w:id="402"/>
      <w:bookmarkEnd w:id="403"/>
      <w:bookmarkEnd w:id="404"/>
      <w:bookmarkEnd w:id="405"/>
      <w:bookmarkEnd w:id="406"/>
    </w:p>
    <w:p w14:paraId="7CC95A1A">
      <w:pPr>
        <w:widowControl/>
        <w:shd w:val="clear"/>
        <w:spacing w:line="360" w:lineRule="auto"/>
        <w:jc w:val="left"/>
        <w:rPr>
          <w:rFonts w:hint="eastAsia" w:ascii="宋体" w:hAnsi="宋体" w:eastAsia="宋体" w:cs="宋体"/>
          <w:color w:val="auto"/>
          <w:sz w:val="20"/>
          <w:highlight w:val="none"/>
        </w:rPr>
        <w:sectPr>
          <w:pgSz w:w="11905" w:h="16838"/>
          <w:pgMar w:top="1134" w:right="1134" w:bottom="1134" w:left="1134" w:header="850" w:footer="850" w:gutter="0"/>
          <w:pgNumType w:fmt="decimal"/>
          <w:cols w:space="0" w:num="1"/>
          <w:titlePg/>
          <w:rtlGutter w:val="0"/>
          <w:docGrid w:linePitch="331" w:charSpace="0"/>
        </w:sectPr>
      </w:pPr>
    </w:p>
    <w:p w14:paraId="32324F22">
      <w:pPr>
        <w:pStyle w:val="2"/>
        <w:shd w:val="clear"/>
        <w:jc w:val="center"/>
        <w:rPr>
          <w:rFonts w:hint="eastAsia" w:ascii="宋体" w:hAnsi="宋体" w:eastAsia="宋体" w:cs="宋体"/>
          <w:b w:val="0"/>
          <w:bCs w:val="0"/>
          <w:color w:val="auto"/>
          <w:highlight w:val="none"/>
        </w:rPr>
      </w:pPr>
      <w:bookmarkStart w:id="407" w:name="_Toc22595"/>
      <w:bookmarkStart w:id="408" w:name="_Toc15096"/>
      <w:bookmarkStart w:id="409" w:name="_Toc990"/>
      <w:bookmarkStart w:id="410" w:name="_Toc22540"/>
      <w:bookmarkStart w:id="411" w:name="_Toc17610"/>
      <w:bookmarkStart w:id="412" w:name="_Toc31800"/>
      <w:bookmarkStart w:id="413" w:name="_Toc10944"/>
      <w:bookmarkStart w:id="414" w:name="_Toc12016"/>
      <w:bookmarkStart w:id="415" w:name="_Toc3458"/>
      <w:bookmarkStart w:id="416" w:name="_Toc25538"/>
      <w:r>
        <w:rPr>
          <w:rFonts w:hint="eastAsia" w:ascii="宋体" w:hAnsi="宋体" w:eastAsia="宋体" w:cs="宋体"/>
          <w:b w:val="0"/>
          <w:bCs w:val="0"/>
          <w:color w:val="auto"/>
          <w:highlight w:val="none"/>
        </w:rPr>
        <w:t>第一节 质疑函（格式）</w:t>
      </w:r>
      <w:bookmarkEnd w:id="407"/>
      <w:bookmarkEnd w:id="408"/>
      <w:bookmarkEnd w:id="409"/>
      <w:bookmarkEnd w:id="410"/>
      <w:bookmarkEnd w:id="411"/>
      <w:bookmarkEnd w:id="412"/>
      <w:bookmarkEnd w:id="413"/>
      <w:bookmarkEnd w:id="414"/>
      <w:bookmarkEnd w:id="415"/>
      <w:bookmarkEnd w:id="416"/>
    </w:p>
    <w:p w14:paraId="134783D4">
      <w:pPr>
        <w:shd w:val="clear"/>
        <w:adjustRightInd/>
        <w:snapToGrid/>
        <w:spacing w:before="0" w:beforeLines="-2147483648" w:line="240" w:lineRule="auto"/>
        <w:jc w:val="center"/>
        <w:rPr>
          <w:rFonts w:hint="eastAsia" w:ascii="宋体" w:hAnsi="宋体" w:eastAsia="宋体" w:cs="宋体"/>
          <w:bCs/>
          <w:color w:val="auto"/>
          <w:sz w:val="32"/>
          <w:szCs w:val="32"/>
          <w:highlight w:val="none"/>
        </w:rPr>
      </w:pPr>
      <w:r>
        <w:rPr>
          <w:rFonts w:hint="eastAsia" w:ascii="宋体" w:hAnsi="宋体" w:eastAsia="宋体" w:cs="宋体"/>
          <w:b/>
          <w:bCs/>
          <w:color w:val="auto"/>
          <w:sz w:val="32"/>
          <w:szCs w:val="32"/>
          <w:highlight w:val="none"/>
        </w:rPr>
        <w:t>质疑函</w:t>
      </w:r>
    </w:p>
    <w:p w14:paraId="31D43584">
      <w:pPr>
        <w:shd w:val="clear"/>
        <w:adjustRightInd w:val="0"/>
        <w:snapToGrid w:val="0"/>
        <w:spacing w:before="331" w:beforeLines="100" w:line="360" w:lineRule="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一、质疑供应商基本信息</w:t>
      </w:r>
    </w:p>
    <w:p w14:paraId="19903BC6">
      <w:pPr>
        <w:shd w:val="clear"/>
        <w:adjustRightInd w:val="0"/>
        <w:snapToGrid w:val="0"/>
        <w:spacing w:line="360" w:lineRule="auto"/>
        <w:rPr>
          <w:rFonts w:hint="eastAsia" w:ascii="宋体" w:hAnsi="宋体" w:eastAsia="宋体" w:cs="宋体"/>
          <w:color w:val="auto"/>
          <w:sz w:val="24"/>
          <w:szCs w:val="24"/>
          <w:highlight w:val="none"/>
          <w:u w:val="dotted"/>
        </w:rPr>
      </w:pPr>
      <w:r>
        <w:rPr>
          <w:rFonts w:hint="eastAsia" w:ascii="宋体" w:hAnsi="宋体" w:eastAsia="宋体" w:cs="宋体"/>
          <w:color w:val="auto"/>
          <w:sz w:val="24"/>
          <w:szCs w:val="24"/>
          <w:highlight w:val="none"/>
        </w:rPr>
        <w:t>质疑供应商：</w:t>
      </w:r>
      <w:r>
        <w:rPr>
          <w:rFonts w:hint="eastAsia" w:ascii="宋体" w:hAnsi="宋体" w:eastAsia="宋体" w:cs="宋体"/>
          <w:color w:val="auto"/>
          <w:sz w:val="24"/>
          <w:szCs w:val="24"/>
          <w:highlight w:val="none"/>
          <w:u w:val="dotted"/>
        </w:rPr>
        <w:t xml:space="preserve">                                        </w:t>
      </w:r>
    </w:p>
    <w:p w14:paraId="54799154">
      <w:pPr>
        <w:shd w:val="clear"/>
        <w:adjustRightInd w:val="0"/>
        <w:snapToGrid w:val="0"/>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地址：</w:t>
      </w:r>
      <w:r>
        <w:rPr>
          <w:rFonts w:hint="eastAsia" w:ascii="宋体" w:hAnsi="宋体" w:eastAsia="宋体" w:cs="宋体"/>
          <w:color w:val="auto"/>
          <w:sz w:val="24"/>
          <w:szCs w:val="24"/>
          <w:highlight w:val="none"/>
          <w:u w:val="dotted"/>
        </w:rPr>
        <w:t xml:space="preserve">                          </w:t>
      </w:r>
      <w:r>
        <w:rPr>
          <w:rFonts w:hint="eastAsia" w:ascii="宋体" w:hAnsi="宋体" w:eastAsia="宋体" w:cs="宋体"/>
          <w:color w:val="auto"/>
          <w:sz w:val="24"/>
          <w:szCs w:val="24"/>
          <w:highlight w:val="none"/>
        </w:rPr>
        <w:t>邮编：</w:t>
      </w:r>
      <w:r>
        <w:rPr>
          <w:rFonts w:hint="eastAsia" w:ascii="宋体" w:hAnsi="宋体" w:eastAsia="宋体" w:cs="宋体"/>
          <w:color w:val="auto"/>
          <w:sz w:val="24"/>
          <w:szCs w:val="24"/>
          <w:highlight w:val="none"/>
          <w:u w:val="dotted"/>
        </w:rPr>
        <w:t xml:space="preserve">                      </w:t>
      </w:r>
    </w:p>
    <w:p w14:paraId="63CA85F6">
      <w:pPr>
        <w:shd w:val="clear"/>
        <w:adjustRightInd w:val="0"/>
        <w:snapToGrid w:val="0"/>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联系人：</w:t>
      </w:r>
      <w:r>
        <w:rPr>
          <w:rFonts w:hint="eastAsia" w:ascii="宋体" w:hAnsi="宋体" w:eastAsia="宋体" w:cs="宋体"/>
          <w:color w:val="auto"/>
          <w:sz w:val="24"/>
          <w:szCs w:val="24"/>
          <w:highlight w:val="none"/>
          <w:u w:val="dotted"/>
        </w:rPr>
        <w:t xml:space="preserve">                      </w:t>
      </w:r>
      <w:r>
        <w:rPr>
          <w:rFonts w:hint="eastAsia" w:ascii="宋体" w:hAnsi="宋体" w:eastAsia="宋体" w:cs="宋体"/>
          <w:color w:val="auto"/>
          <w:sz w:val="24"/>
          <w:szCs w:val="24"/>
          <w:highlight w:val="none"/>
        </w:rPr>
        <w:t>联系电话：</w:t>
      </w:r>
      <w:r>
        <w:rPr>
          <w:rFonts w:hint="eastAsia" w:ascii="宋体" w:hAnsi="宋体" w:eastAsia="宋体" w:cs="宋体"/>
          <w:color w:val="auto"/>
          <w:sz w:val="24"/>
          <w:szCs w:val="24"/>
          <w:highlight w:val="none"/>
          <w:u w:val="dotted"/>
        </w:rPr>
        <w:t xml:space="preserve">                     </w:t>
      </w:r>
    </w:p>
    <w:p w14:paraId="796B0EF4">
      <w:pPr>
        <w:shd w:val="clear"/>
        <w:adjustRightInd w:val="0"/>
        <w:snapToGrid w:val="0"/>
        <w:spacing w:line="360" w:lineRule="auto"/>
        <w:rPr>
          <w:rFonts w:hint="eastAsia" w:ascii="宋体" w:hAnsi="宋体" w:eastAsia="宋体" w:cs="宋体"/>
          <w:color w:val="auto"/>
          <w:sz w:val="24"/>
          <w:szCs w:val="24"/>
          <w:highlight w:val="none"/>
          <w:u w:val="dotted"/>
        </w:rPr>
      </w:pPr>
      <w:r>
        <w:rPr>
          <w:rFonts w:hint="eastAsia" w:ascii="宋体" w:hAnsi="宋体" w:eastAsia="宋体" w:cs="宋体"/>
          <w:color w:val="auto"/>
          <w:sz w:val="24"/>
          <w:szCs w:val="24"/>
          <w:highlight w:val="none"/>
        </w:rPr>
        <w:t>授权代表：</w:t>
      </w:r>
      <w:r>
        <w:rPr>
          <w:rFonts w:hint="eastAsia" w:ascii="宋体" w:hAnsi="宋体" w:eastAsia="宋体" w:cs="宋体"/>
          <w:color w:val="auto"/>
          <w:sz w:val="24"/>
          <w:szCs w:val="24"/>
          <w:highlight w:val="none"/>
          <w:u w:val="dotted"/>
        </w:rPr>
        <w:t xml:space="preserve">                                          </w:t>
      </w:r>
    </w:p>
    <w:p w14:paraId="20794230">
      <w:pPr>
        <w:shd w:val="clear"/>
        <w:adjustRightInd w:val="0"/>
        <w:snapToGrid w:val="0"/>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联系电话：</w:t>
      </w:r>
      <w:r>
        <w:rPr>
          <w:rFonts w:hint="eastAsia" w:ascii="宋体" w:hAnsi="宋体" w:eastAsia="宋体" w:cs="宋体"/>
          <w:color w:val="auto"/>
          <w:sz w:val="24"/>
          <w:szCs w:val="24"/>
          <w:highlight w:val="none"/>
          <w:u w:val="dotted"/>
        </w:rPr>
        <w:t xml:space="preserve">                                           </w:t>
      </w:r>
      <w:r>
        <w:rPr>
          <w:rFonts w:hint="eastAsia" w:ascii="宋体" w:hAnsi="宋体" w:eastAsia="宋体" w:cs="宋体"/>
          <w:color w:val="auto"/>
          <w:sz w:val="24"/>
          <w:szCs w:val="24"/>
          <w:highlight w:val="none"/>
        </w:rPr>
        <w:t xml:space="preserve"> </w:t>
      </w:r>
    </w:p>
    <w:p w14:paraId="64AB6C18">
      <w:pPr>
        <w:shd w:val="clear"/>
        <w:adjustRightInd w:val="0"/>
        <w:snapToGrid w:val="0"/>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地址： </w:t>
      </w:r>
      <w:r>
        <w:rPr>
          <w:rFonts w:hint="eastAsia" w:ascii="宋体" w:hAnsi="宋体" w:eastAsia="宋体" w:cs="宋体"/>
          <w:color w:val="auto"/>
          <w:sz w:val="24"/>
          <w:szCs w:val="24"/>
          <w:highlight w:val="none"/>
          <w:u w:val="dotted"/>
        </w:rPr>
        <w:t xml:space="preserve">                        </w:t>
      </w:r>
      <w:r>
        <w:rPr>
          <w:rFonts w:hint="eastAsia" w:ascii="宋体" w:hAnsi="宋体" w:eastAsia="宋体" w:cs="宋体"/>
          <w:color w:val="auto"/>
          <w:sz w:val="24"/>
          <w:szCs w:val="24"/>
          <w:highlight w:val="none"/>
        </w:rPr>
        <w:t>邮编：</w:t>
      </w:r>
      <w:r>
        <w:rPr>
          <w:rFonts w:hint="eastAsia" w:ascii="宋体" w:hAnsi="宋体" w:eastAsia="宋体" w:cs="宋体"/>
          <w:color w:val="auto"/>
          <w:sz w:val="24"/>
          <w:szCs w:val="24"/>
          <w:highlight w:val="none"/>
          <w:u w:val="dotted"/>
        </w:rPr>
        <w:t xml:space="preserve">                       </w:t>
      </w:r>
    </w:p>
    <w:p w14:paraId="1F98EF3F">
      <w:pPr>
        <w:shd w:val="clear"/>
        <w:adjustRightInd w:val="0"/>
        <w:snapToGrid w:val="0"/>
        <w:spacing w:line="360" w:lineRule="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二、质疑项目基本情况</w:t>
      </w:r>
    </w:p>
    <w:p w14:paraId="1EBABAFD">
      <w:pPr>
        <w:shd w:val="clear"/>
        <w:adjustRightInd w:val="0"/>
        <w:snapToGrid w:val="0"/>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质疑项目的名称：</w:t>
      </w:r>
      <w:r>
        <w:rPr>
          <w:rFonts w:hint="eastAsia" w:ascii="宋体" w:hAnsi="宋体" w:eastAsia="宋体" w:cs="宋体"/>
          <w:color w:val="auto"/>
          <w:sz w:val="24"/>
          <w:szCs w:val="24"/>
          <w:highlight w:val="none"/>
          <w:u w:val="dotted"/>
        </w:rPr>
        <w:t xml:space="preserve">                           </w:t>
      </w:r>
    </w:p>
    <w:p w14:paraId="147F8A98">
      <w:pPr>
        <w:shd w:val="clear"/>
        <w:adjustRightInd w:val="0"/>
        <w:snapToGrid w:val="0"/>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质疑项目的编号：</w:t>
      </w:r>
      <w:r>
        <w:rPr>
          <w:rFonts w:hint="eastAsia" w:ascii="宋体" w:hAnsi="宋体" w:eastAsia="宋体" w:cs="宋体"/>
          <w:color w:val="auto"/>
          <w:sz w:val="24"/>
          <w:szCs w:val="24"/>
          <w:highlight w:val="none"/>
          <w:u w:val="dotted"/>
        </w:rPr>
        <w:t xml:space="preserve">                          </w:t>
      </w:r>
      <w:r>
        <w:rPr>
          <w:rFonts w:hint="eastAsia" w:ascii="宋体" w:hAnsi="宋体" w:eastAsia="宋体" w:cs="宋体"/>
          <w:color w:val="auto"/>
          <w:sz w:val="24"/>
          <w:szCs w:val="24"/>
          <w:highlight w:val="none"/>
        </w:rPr>
        <w:t>包号：</w:t>
      </w:r>
      <w:r>
        <w:rPr>
          <w:rFonts w:hint="eastAsia" w:ascii="宋体" w:hAnsi="宋体" w:eastAsia="宋体" w:cs="宋体"/>
          <w:color w:val="auto"/>
          <w:sz w:val="24"/>
          <w:szCs w:val="24"/>
          <w:highlight w:val="none"/>
          <w:u w:val="dotted"/>
        </w:rPr>
        <w:t xml:space="preserve">                 </w:t>
      </w:r>
    </w:p>
    <w:p w14:paraId="68F7F272">
      <w:pPr>
        <w:shd w:val="clear"/>
        <w:adjustRightInd w:val="0"/>
        <w:snapToGrid w:val="0"/>
        <w:spacing w:line="360" w:lineRule="auto"/>
        <w:rPr>
          <w:rFonts w:hint="eastAsia" w:ascii="宋体" w:hAnsi="宋体" w:eastAsia="宋体" w:cs="宋体"/>
          <w:color w:val="auto"/>
          <w:sz w:val="24"/>
          <w:szCs w:val="24"/>
          <w:highlight w:val="none"/>
          <w:u w:val="dotted"/>
        </w:rPr>
      </w:pPr>
      <w:r>
        <w:rPr>
          <w:rFonts w:hint="eastAsia" w:ascii="宋体" w:hAnsi="宋体" w:eastAsia="宋体" w:cs="宋体"/>
          <w:color w:val="auto"/>
          <w:sz w:val="24"/>
          <w:szCs w:val="24"/>
          <w:highlight w:val="none"/>
        </w:rPr>
        <w:t>采购人名称：</w:t>
      </w:r>
      <w:r>
        <w:rPr>
          <w:rFonts w:hint="eastAsia" w:ascii="宋体" w:hAnsi="宋体" w:eastAsia="宋体" w:cs="宋体"/>
          <w:color w:val="auto"/>
          <w:sz w:val="24"/>
          <w:szCs w:val="24"/>
          <w:highlight w:val="none"/>
          <w:u w:val="dotted"/>
        </w:rPr>
        <w:t xml:space="preserve">  </w:t>
      </w:r>
      <w:bookmarkStart w:id="417" w:name="PO_3000001867_PM026_5"/>
      <w:r>
        <w:rPr>
          <w:rFonts w:hint="eastAsia" w:ascii="宋体" w:hAnsi="宋体" w:eastAsia="宋体" w:cs="宋体"/>
          <w:color w:val="auto"/>
          <w:sz w:val="24"/>
          <w:szCs w:val="24"/>
          <w:highlight w:val="none"/>
          <w:u w:val="dotted"/>
        </w:rPr>
        <w:t xml:space="preserve">                        </w:t>
      </w:r>
      <w:bookmarkEnd w:id="417"/>
      <w:r>
        <w:rPr>
          <w:rFonts w:hint="eastAsia" w:ascii="宋体" w:hAnsi="宋体" w:eastAsia="宋体" w:cs="宋体"/>
          <w:color w:val="auto"/>
          <w:sz w:val="24"/>
          <w:szCs w:val="24"/>
          <w:highlight w:val="none"/>
          <w:u w:val="dotted"/>
        </w:rPr>
        <w:t xml:space="preserve">  </w:t>
      </w:r>
    </w:p>
    <w:p w14:paraId="102C83C2">
      <w:pPr>
        <w:shd w:val="clear"/>
        <w:adjustRightInd w:val="0"/>
        <w:snapToGrid w:val="0"/>
        <w:spacing w:line="360" w:lineRule="auto"/>
        <w:ind w:left="0" w:leftChars="0" w:firstLine="0" w:firstLineChars="0"/>
        <w:rPr>
          <w:rFonts w:hint="eastAsia" w:ascii="宋体" w:hAnsi="宋体" w:eastAsia="宋体" w:cs="宋体"/>
          <w:color w:val="auto"/>
          <w:kern w:val="2"/>
          <w:sz w:val="24"/>
          <w:szCs w:val="24"/>
          <w:highlight w:val="none"/>
          <w:lang w:val="zh-CN" w:eastAsia="zh-CN"/>
        </w:rPr>
      </w:pPr>
      <w:r>
        <w:rPr>
          <w:rFonts w:hint="eastAsia" w:ascii="宋体" w:hAnsi="宋体" w:eastAsia="宋体" w:cs="宋体"/>
          <w:color w:val="auto"/>
          <w:kern w:val="2"/>
          <w:sz w:val="24"/>
          <w:szCs w:val="24"/>
          <w:highlight w:val="none"/>
          <w:lang w:val="zh-CN" w:eastAsia="zh-CN"/>
        </w:rPr>
        <w:t>质疑事项：</w:t>
      </w:r>
    </w:p>
    <w:p w14:paraId="462747D6">
      <w:pPr>
        <w:shd w:val="clear"/>
        <w:adjustRightInd w:val="0"/>
        <w:snapToGrid w:val="0"/>
        <w:spacing w:line="360" w:lineRule="auto"/>
        <w:ind w:left="0" w:leftChars="0" w:firstLine="0" w:firstLineChars="0"/>
        <w:rPr>
          <w:rFonts w:hint="eastAsia" w:ascii="宋体" w:hAnsi="宋体" w:eastAsia="宋体" w:cs="宋体"/>
          <w:color w:val="auto"/>
          <w:kern w:val="2"/>
          <w:sz w:val="24"/>
          <w:szCs w:val="24"/>
          <w:highlight w:val="none"/>
          <w:lang w:val="zh-CN" w:eastAsia="zh-CN"/>
        </w:rPr>
      </w:pPr>
      <w:r>
        <w:rPr>
          <w:rFonts w:hint="eastAsia" w:ascii="宋体" w:hAnsi="宋体" w:eastAsia="宋体" w:cs="宋体"/>
          <w:color w:val="auto"/>
          <w:kern w:val="2"/>
          <w:sz w:val="24"/>
          <w:szCs w:val="24"/>
          <w:highlight w:val="none"/>
          <w:lang w:val="zh-CN" w:eastAsia="zh-CN"/>
        </w:rPr>
        <w:t>□采购文件   采购文件获取日期：</w:t>
      </w:r>
      <w:r>
        <w:rPr>
          <w:rFonts w:hint="eastAsia" w:ascii="宋体" w:hAnsi="宋体" w:eastAsia="宋体" w:cs="宋体"/>
          <w:color w:val="auto"/>
          <w:sz w:val="24"/>
          <w:szCs w:val="24"/>
          <w:highlight w:val="none"/>
          <w:u w:val="dotted"/>
        </w:rPr>
        <w:t xml:space="preserve">                         </w:t>
      </w:r>
      <w:r>
        <w:rPr>
          <w:rFonts w:hint="eastAsia" w:ascii="宋体" w:hAnsi="宋体" w:eastAsia="宋体" w:cs="宋体"/>
          <w:bCs w:val="0"/>
          <w:color w:val="auto"/>
          <w:kern w:val="2"/>
          <w:sz w:val="24"/>
          <w:szCs w:val="24"/>
          <w:highlight w:val="none"/>
          <w:u w:val="none"/>
          <w:lang w:val="zh-CN" w:eastAsia="zh-CN"/>
        </w:rPr>
        <w:t xml:space="preserve">  </w:t>
      </w:r>
    </w:p>
    <w:p w14:paraId="5CD8FCCD">
      <w:pPr>
        <w:shd w:val="clear"/>
        <w:adjustRightInd w:val="0"/>
        <w:snapToGrid w:val="0"/>
        <w:spacing w:line="360" w:lineRule="auto"/>
        <w:ind w:left="0" w:leftChars="0" w:firstLine="0" w:firstLineChars="0"/>
        <w:rPr>
          <w:rFonts w:hint="eastAsia" w:ascii="宋体" w:hAnsi="宋体" w:eastAsia="宋体" w:cs="宋体"/>
          <w:color w:val="auto"/>
          <w:kern w:val="2"/>
          <w:sz w:val="24"/>
          <w:szCs w:val="24"/>
          <w:highlight w:val="none"/>
          <w:lang w:val="zh-CN" w:eastAsia="zh-CN"/>
        </w:rPr>
      </w:pPr>
      <w:r>
        <w:rPr>
          <w:rFonts w:hint="eastAsia" w:ascii="宋体" w:hAnsi="宋体" w:eastAsia="宋体" w:cs="宋体"/>
          <w:color w:val="auto"/>
          <w:kern w:val="2"/>
          <w:sz w:val="24"/>
          <w:szCs w:val="24"/>
          <w:highlight w:val="none"/>
          <w:lang w:val="zh-CN" w:eastAsia="zh-CN"/>
        </w:rPr>
        <w:t xml:space="preserve">□采购过程   </w:t>
      </w:r>
    </w:p>
    <w:p w14:paraId="02513B0A">
      <w:pPr>
        <w:shd w:val="clear"/>
        <w:adjustRightInd w:val="0"/>
        <w:snapToGrid w:val="0"/>
        <w:spacing w:line="360" w:lineRule="auto"/>
        <w:ind w:left="0" w:leftChars="0" w:firstLine="0" w:firstLineChars="0"/>
        <w:rPr>
          <w:rFonts w:hint="eastAsia" w:ascii="宋体" w:hAnsi="宋体" w:eastAsia="宋体" w:cs="宋体"/>
          <w:bCs w:val="0"/>
          <w:color w:val="auto"/>
          <w:kern w:val="2"/>
          <w:sz w:val="24"/>
          <w:szCs w:val="24"/>
          <w:highlight w:val="none"/>
          <w:u w:val="none"/>
          <w:lang w:val="zh-CN" w:eastAsia="zh-CN"/>
        </w:rPr>
      </w:pPr>
      <w:r>
        <w:rPr>
          <w:rFonts w:hint="eastAsia" w:ascii="宋体" w:hAnsi="宋体" w:eastAsia="宋体" w:cs="宋体"/>
          <w:color w:val="auto"/>
          <w:kern w:val="2"/>
          <w:sz w:val="24"/>
          <w:szCs w:val="24"/>
          <w:highlight w:val="none"/>
          <w:lang w:val="zh-CN" w:eastAsia="zh-CN"/>
        </w:rPr>
        <w:t xml:space="preserve">□中标结果   </w:t>
      </w:r>
    </w:p>
    <w:p w14:paraId="03F48409">
      <w:pPr>
        <w:shd w:val="clear"/>
        <w:adjustRightInd w:val="0"/>
        <w:snapToGrid w:val="0"/>
        <w:spacing w:line="360" w:lineRule="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三、质疑事项具体内容</w:t>
      </w:r>
    </w:p>
    <w:p w14:paraId="7C6D0BE4">
      <w:pPr>
        <w:shd w:val="clear"/>
        <w:adjustRightInd w:val="0"/>
        <w:snapToGrid w:val="0"/>
        <w:spacing w:line="360" w:lineRule="auto"/>
        <w:rPr>
          <w:rFonts w:hint="eastAsia" w:ascii="宋体" w:hAnsi="宋体" w:eastAsia="宋体" w:cs="宋体"/>
          <w:color w:val="auto"/>
          <w:sz w:val="24"/>
          <w:szCs w:val="24"/>
          <w:highlight w:val="none"/>
          <w:u w:val="dotted"/>
        </w:rPr>
      </w:pPr>
      <w:r>
        <w:rPr>
          <w:rFonts w:hint="eastAsia" w:ascii="宋体" w:hAnsi="宋体" w:eastAsia="宋体" w:cs="宋体"/>
          <w:color w:val="auto"/>
          <w:sz w:val="24"/>
          <w:szCs w:val="24"/>
          <w:highlight w:val="none"/>
        </w:rPr>
        <w:t>质疑事项1：</w:t>
      </w:r>
      <w:r>
        <w:rPr>
          <w:rFonts w:hint="eastAsia" w:ascii="宋体" w:hAnsi="宋体" w:eastAsia="宋体" w:cs="宋体"/>
          <w:color w:val="auto"/>
          <w:sz w:val="24"/>
          <w:szCs w:val="24"/>
          <w:highlight w:val="none"/>
          <w:u w:val="dotted"/>
        </w:rPr>
        <w:t xml:space="preserve">                                         </w:t>
      </w:r>
    </w:p>
    <w:p w14:paraId="7AAA9A7D">
      <w:pPr>
        <w:shd w:val="clear"/>
        <w:adjustRightInd w:val="0"/>
        <w:snapToGrid w:val="0"/>
        <w:spacing w:line="360" w:lineRule="auto"/>
        <w:rPr>
          <w:rFonts w:hint="eastAsia" w:ascii="宋体" w:hAnsi="宋体" w:eastAsia="宋体" w:cs="宋体"/>
          <w:color w:val="auto"/>
          <w:sz w:val="24"/>
          <w:szCs w:val="24"/>
          <w:highlight w:val="none"/>
          <w:u w:val="dotted"/>
        </w:rPr>
      </w:pPr>
      <w:r>
        <w:rPr>
          <w:rFonts w:hint="eastAsia" w:ascii="宋体" w:hAnsi="宋体" w:eastAsia="宋体" w:cs="宋体"/>
          <w:color w:val="auto"/>
          <w:sz w:val="24"/>
          <w:szCs w:val="24"/>
          <w:highlight w:val="none"/>
        </w:rPr>
        <w:t>事实依据：</w:t>
      </w:r>
      <w:r>
        <w:rPr>
          <w:rFonts w:hint="eastAsia" w:ascii="宋体" w:hAnsi="宋体" w:eastAsia="宋体" w:cs="宋体"/>
          <w:color w:val="auto"/>
          <w:sz w:val="24"/>
          <w:szCs w:val="24"/>
          <w:highlight w:val="none"/>
          <w:u w:val="dotted"/>
        </w:rPr>
        <w:t xml:space="preserve">                                          </w:t>
      </w:r>
    </w:p>
    <w:p w14:paraId="54397CD4">
      <w:pPr>
        <w:shd w:val="clear"/>
        <w:adjustRightInd w:val="0"/>
        <w:snapToGrid w:val="0"/>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u w:val="dotted"/>
        </w:rPr>
        <w:t xml:space="preserve">                                                       </w:t>
      </w:r>
    </w:p>
    <w:p w14:paraId="2314CF01">
      <w:pPr>
        <w:shd w:val="clear"/>
        <w:adjustRightInd w:val="0"/>
        <w:snapToGrid w:val="0"/>
        <w:spacing w:line="360" w:lineRule="auto"/>
        <w:rPr>
          <w:rFonts w:hint="eastAsia" w:ascii="宋体" w:hAnsi="宋体" w:eastAsia="宋体" w:cs="宋体"/>
          <w:color w:val="auto"/>
          <w:sz w:val="24"/>
          <w:szCs w:val="24"/>
          <w:highlight w:val="none"/>
          <w:u w:val="dotted"/>
        </w:rPr>
      </w:pPr>
      <w:r>
        <w:rPr>
          <w:rFonts w:hint="eastAsia" w:ascii="宋体" w:hAnsi="宋体" w:eastAsia="宋体" w:cs="宋体"/>
          <w:color w:val="auto"/>
          <w:sz w:val="24"/>
          <w:szCs w:val="24"/>
          <w:highlight w:val="none"/>
        </w:rPr>
        <w:t>法律依据：</w:t>
      </w:r>
      <w:r>
        <w:rPr>
          <w:rFonts w:hint="eastAsia" w:ascii="宋体" w:hAnsi="宋体" w:eastAsia="宋体" w:cs="宋体"/>
          <w:color w:val="auto"/>
          <w:sz w:val="24"/>
          <w:szCs w:val="24"/>
          <w:highlight w:val="none"/>
          <w:u w:val="dotted"/>
        </w:rPr>
        <w:t xml:space="preserve">                                          </w:t>
      </w:r>
    </w:p>
    <w:p w14:paraId="214266E9">
      <w:pPr>
        <w:shd w:val="clear"/>
        <w:adjustRightInd w:val="0"/>
        <w:snapToGrid w:val="0"/>
        <w:spacing w:line="360" w:lineRule="auto"/>
        <w:rPr>
          <w:rFonts w:hint="eastAsia" w:ascii="宋体" w:hAnsi="宋体" w:eastAsia="宋体" w:cs="宋体"/>
          <w:color w:val="auto"/>
          <w:sz w:val="24"/>
          <w:szCs w:val="24"/>
          <w:highlight w:val="none"/>
          <w:u w:val="dotted"/>
        </w:rPr>
      </w:pPr>
      <w:r>
        <w:rPr>
          <w:rFonts w:hint="eastAsia" w:ascii="宋体" w:hAnsi="宋体" w:eastAsia="宋体" w:cs="宋体"/>
          <w:color w:val="auto"/>
          <w:sz w:val="24"/>
          <w:szCs w:val="24"/>
          <w:highlight w:val="none"/>
          <w:u w:val="dotted"/>
        </w:rPr>
        <w:t xml:space="preserve">                                                     </w:t>
      </w:r>
    </w:p>
    <w:p w14:paraId="76229414">
      <w:pPr>
        <w:shd w:val="clear"/>
        <w:adjustRightInd w:val="0"/>
        <w:snapToGrid w:val="0"/>
        <w:spacing w:line="360" w:lineRule="auto"/>
        <w:rPr>
          <w:rFonts w:hint="eastAsia" w:ascii="宋体" w:hAnsi="宋体" w:eastAsia="宋体" w:cs="宋体"/>
          <w:color w:val="auto"/>
          <w:sz w:val="24"/>
          <w:szCs w:val="24"/>
          <w:highlight w:val="none"/>
          <w:u w:val="dotted"/>
        </w:rPr>
      </w:pPr>
      <w:r>
        <w:rPr>
          <w:rFonts w:hint="eastAsia" w:ascii="宋体" w:hAnsi="宋体" w:eastAsia="宋体" w:cs="宋体"/>
          <w:color w:val="auto"/>
          <w:sz w:val="24"/>
          <w:szCs w:val="24"/>
          <w:highlight w:val="none"/>
        </w:rPr>
        <w:t>质疑事项2</w:t>
      </w:r>
    </w:p>
    <w:p w14:paraId="7C4B4445">
      <w:pPr>
        <w:shd w:val="clear"/>
        <w:adjustRightInd w:val="0"/>
        <w:snapToGrid w:val="0"/>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p>
    <w:p w14:paraId="39A1F8F7">
      <w:pPr>
        <w:shd w:val="clear"/>
        <w:adjustRightInd w:val="0"/>
        <w:snapToGrid w:val="0"/>
        <w:spacing w:line="360" w:lineRule="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四、与质疑事项相关的质疑请求</w:t>
      </w:r>
    </w:p>
    <w:p w14:paraId="4FAC7242">
      <w:pPr>
        <w:shd w:val="clear"/>
        <w:adjustRightInd w:val="0"/>
        <w:snapToGrid w:val="0"/>
        <w:spacing w:line="360" w:lineRule="auto"/>
        <w:rPr>
          <w:rFonts w:hint="eastAsia" w:ascii="宋体" w:hAnsi="宋体" w:eastAsia="宋体" w:cs="宋体"/>
          <w:color w:val="auto"/>
          <w:sz w:val="24"/>
          <w:szCs w:val="24"/>
          <w:highlight w:val="none"/>
          <w:u w:val="dotted"/>
        </w:rPr>
      </w:pPr>
      <w:r>
        <w:rPr>
          <w:rFonts w:hint="eastAsia" w:ascii="宋体" w:hAnsi="宋体" w:eastAsia="宋体" w:cs="宋体"/>
          <w:color w:val="auto"/>
          <w:sz w:val="24"/>
          <w:szCs w:val="24"/>
          <w:highlight w:val="none"/>
        </w:rPr>
        <w:t>请求：</w:t>
      </w:r>
      <w:r>
        <w:rPr>
          <w:rFonts w:hint="eastAsia" w:ascii="宋体" w:hAnsi="宋体" w:eastAsia="宋体" w:cs="宋体"/>
          <w:color w:val="auto"/>
          <w:sz w:val="24"/>
          <w:szCs w:val="24"/>
          <w:highlight w:val="none"/>
          <w:u w:val="dotted"/>
        </w:rPr>
        <w:t xml:space="preserve">                                               </w:t>
      </w:r>
    </w:p>
    <w:p w14:paraId="2C408974">
      <w:pPr>
        <w:shd w:val="clea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签字(签章)：                   公章：                      </w:t>
      </w:r>
    </w:p>
    <w:p w14:paraId="63BC6610">
      <w:pPr>
        <w:shd w:val="clea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日期：    </w:t>
      </w:r>
    </w:p>
    <w:p w14:paraId="3CC569D1">
      <w:pPr>
        <w:shd w:val="clear"/>
        <w:spacing w:line="360" w:lineRule="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lang w:val="en-US" w:eastAsia="zh-CN"/>
        </w:rPr>
        <w:t xml:space="preserve">    </w:t>
      </w:r>
      <w:r>
        <w:rPr>
          <w:rFonts w:hint="eastAsia" w:ascii="宋体" w:hAnsi="宋体" w:eastAsia="宋体" w:cs="宋体"/>
          <w:b/>
          <w:color w:val="auto"/>
          <w:sz w:val="24"/>
          <w:szCs w:val="24"/>
          <w:highlight w:val="none"/>
        </w:rPr>
        <w:t>质疑函制作说明：</w:t>
      </w:r>
    </w:p>
    <w:p w14:paraId="2F1E3D40">
      <w:pPr>
        <w:widowControl/>
        <w:shd w:val="clear"/>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1.供应商提出质疑时，应提交质疑函和必要的证明材料。</w:t>
      </w:r>
    </w:p>
    <w:p w14:paraId="32F9E512">
      <w:pPr>
        <w:widowControl/>
        <w:shd w:val="clear"/>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2.质疑供应商若委托代理人进行质疑的，质疑函应按要求列明“授权代表”的有关内容，并在附件中提交由质疑</w:t>
      </w:r>
      <w:r>
        <w:rPr>
          <w:rFonts w:hint="eastAsia" w:ascii="宋体" w:hAnsi="宋体" w:eastAsia="宋体" w:cs="宋体"/>
          <w:color w:val="auto"/>
          <w:kern w:val="0"/>
          <w:sz w:val="24"/>
          <w:szCs w:val="24"/>
          <w:highlight w:val="none"/>
        </w:rPr>
        <w:t>供应商签署的授权委托书。授权委托书应载明代理人的姓名或者名称、代理事项、具体权限、期限和相关事项。</w:t>
      </w:r>
    </w:p>
    <w:p w14:paraId="50BEDA4F">
      <w:pPr>
        <w:widowControl/>
        <w:shd w:val="clear"/>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3.质疑供应商若对项目的某一分包进行质疑，质疑函中应列明具体分包号。</w:t>
      </w:r>
    </w:p>
    <w:p w14:paraId="0B7BD2BB">
      <w:pPr>
        <w:widowControl/>
        <w:shd w:val="clear"/>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4.质疑函的质疑事项应具体、明确，并有必要的事实依据和法律依据。</w:t>
      </w:r>
    </w:p>
    <w:p w14:paraId="1F88EF27">
      <w:pPr>
        <w:widowControl/>
        <w:shd w:val="clear"/>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5.质疑函的质疑请求应与质疑事项相关。</w:t>
      </w:r>
    </w:p>
    <w:p w14:paraId="210029D7">
      <w:pPr>
        <w:widowControl/>
        <w:shd w:val="clear"/>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6.质疑供应商为自然人的，质疑函应由本人签字；质疑供应商为法人或者其他组织的，质疑函应由法定代表人、主要负责人，或者其授权代表签字或者盖章，并加盖公章。</w:t>
      </w:r>
    </w:p>
    <w:p w14:paraId="13F41E16">
      <w:pPr>
        <w:widowControl/>
        <w:shd w:val="clear"/>
        <w:spacing w:line="360" w:lineRule="auto"/>
        <w:ind w:firstLine="480" w:firstLineChars="200"/>
        <w:jc w:val="left"/>
        <w:rPr>
          <w:rFonts w:hint="eastAsia" w:ascii="宋体" w:hAnsi="宋体" w:eastAsia="宋体" w:cs="宋体"/>
          <w:color w:val="auto"/>
          <w:sz w:val="24"/>
          <w:szCs w:val="24"/>
          <w:highlight w:val="none"/>
        </w:rPr>
      </w:pPr>
    </w:p>
    <w:p w14:paraId="0C91553F">
      <w:pPr>
        <w:widowControl/>
        <w:shd w:val="clear"/>
        <w:spacing w:line="360" w:lineRule="auto"/>
        <w:jc w:val="left"/>
        <w:rPr>
          <w:rFonts w:hint="eastAsia" w:ascii="宋体" w:hAnsi="宋体" w:eastAsia="宋体" w:cs="宋体"/>
          <w:color w:val="auto"/>
          <w:kern w:val="0"/>
          <w:sz w:val="24"/>
          <w:highlight w:val="none"/>
        </w:rPr>
        <w:sectPr>
          <w:pgSz w:w="11905" w:h="16838"/>
          <w:pgMar w:top="1134" w:right="1134" w:bottom="1134" w:left="1134" w:header="850" w:footer="850" w:gutter="0"/>
          <w:pgNumType w:fmt="decimal"/>
          <w:cols w:space="0" w:num="1"/>
          <w:titlePg/>
          <w:rtlGutter w:val="0"/>
          <w:docGrid w:linePitch="331" w:charSpace="0"/>
        </w:sectPr>
      </w:pPr>
    </w:p>
    <w:p w14:paraId="3FB6B10A">
      <w:pPr>
        <w:pStyle w:val="2"/>
        <w:shd w:val="clear"/>
        <w:jc w:val="center"/>
        <w:rPr>
          <w:rFonts w:hint="eastAsia" w:ascii="宋体" w:hAnsi="宋体" w:eastAsia="宋体" w:cs="宋体"/>
          <w:b w:val="0"/>
          <w:bCs w:val="0"/>
          <w:color w:val="auto"/>
          <w:highlight w:val="none"/>
        </w:rPr>
      </w:pPr>
      <w:bookmarkStart w:id="418" w:name="_Toc1896"/>
      <w:bookmarkStart w:id="419" w:name="_Toc11984"/>
      <w:bookmarkStart w:id="420" w:name="_Toc7549"/>
      <w:bookmarkStart w:id="421" w:name="_Toc8862"/>
      <w:bookmarkStart w:id="422" w:name="_Toc32540"/>
      <w:bookmarkStart w:id="423" w:name="_Toc24894"/>
      <w:bookmarkStart w:id="424" w:name="_Toc24568"/>
      <w:bookmarkStart w:id="425" w:name="_Toc11428"/>
      <w:bookmarkStart w:id="426" w:name="_Toc6551"/>
      <w:bookmarkStart w:id="427" w:name="_Toc31203"/>
      <w:r>
        <w:rPr>
          <w:rFonts w:hint="eastAsia" w:ascii="宋体" w:hAnsi="宋体" w:eastAsia="宋体" w:cs="宋体"/>
          <w:b w:val="0"/>
          <w:bCs w:val="0"/>
          <w:color w:val="auto"/>
          <w:highlight w:val="none"/>
        </w:rPr>
        <w:t>第二节 投诉书（格式）</w:t>
      </w:r>
      <w:bookmarkEnd w:id="418"/>
      <w:bookmarkEnd w:id="419"/>
      <w:bookmarkEnd w:id="420"/>
      <w:bookmarkEnd w:id="421"/>
      <w:bookmarkEnd w:id="422"/>
      <w:bookmarkEnd w:id="423"/>
      <w:bookmarkEnd w:id="424"/>
      <w:bookmarkEnd w:id="425"/>
      <w:bookmarkEnd w:id="426"/>
      <w:bookmarkEnd w:id="427"/>
    </w:p>
    <w:p w14:paraId="03D1C13E">
      <w:pPr>
        <w:shd w:val="clear"/>
        <w:jc w:val="center"/>
        <w:rPr>
          <w:rFonts w:hint="eastAsia" w:ascii="宋体" w:hAnsi="宋体" w:eastAsia="宋体" w:cs="宋体"/>
          <w:b/>
          <w:color w:val="auto"/>
          <w:sz w:val="44"/>
          <w:szCs w:val="44"/>
          <w:highlight w:val="none"/>
        </w:rPr>
      </w:pPr>
      <w:r>
        <w:rPr>
          <w:rFonts w:hint="eastAsia" w:ascii="宋体" w:hAnsi="宋体" w:eastAsia="宋体" w:cs="宋体"/>
          <w:b/>
          <w:color w:val="auto"/>
          <w:sz w:val="32"/>
          <w:szCs w:val="32"/>
          <w:highlight w:val="none"/>
        </w:rPr>
        <w:t>投诉书</w:t>
      </w:r>
    </w:p>
    <w:p w14:paraId="5148A1D3">
      <w:pPr>
        <w:shd w:val="clear"/>
        <w:rPr>
          <w:rFonts w:hint="eastAsia" w:ascii="宋体" w:hAnsi="宋体" w:eastAsia="宋体" w:cs="宋体"/>
          <w:color w:val="auto"/>
          <w:sz w:val="32"/>
          <w:szCs w:val="32"/>
          <w:highlight w:val="none"/>
        </w:rPr>
      </w:pPr>
    </w:p>
    <w:p w14:paraId="02685B90">
      <w:pPr>
        <w:shd w:val="clea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一、投诉相关主体基本情况</w:t>
      </w:r>
    </w:p>
    <w:p w14:paraId="10EFB914">
      <w:pPr>
        <w:shd w:val="clear"/>
        <w:spacing w:line="360" w:lineRule="auto"/>
        <w:rPr>
          <w:rFonts w:hint="eastAsia" w:ascii="宋体" w:hAnsi="宋体" w:eastAsia="宋体" w:cs="宋体"/>
          <w:color w:val="auto"/>
          <w:sz w:val="24"/>
          <w:szCs w:val="24"/>
          <w:highlight w:val="none"/>
          <w:u w:val="dotted"/>
        </w:rPr>
      </w:pPr>
      <w:r>
        <w:rPr>
          <w:rFonts w:hint="eastAsia" w:ascii="宋体" w:hAnsi="宋体" w:eastAsia="宋体" w:cs="宋体"/>
          <w:color w:val="auto"/>
          <w:sz w:val="24"/>
          <w:szCs w:val="24"/>
          <w:highlight w:val="none"/>
        </w:rPr>
        <w:t>投诉人：</w:t>
      </w:r>
      <w:r>
        <w:rPr>
          <w:rFonts w:hint="eastAsia" w:ascii="宋体" w:hAnsi="宋体" w:eastAsia="宋体" w:cs="宋体"/>
          <w:color w:val="auto"/>
          <w:sz w:val="24"/>
          <w:szCs w:val="24"/>
          <w:highlight w:val="none"/>
          <w:u w:val="dotted"/>
        </w:rPr>
        <w:t xml:space="preserve">                                               </w:t>
      </w:r>
    </w:p>
    <w:p w14:paraId="0F6827E5">
      <w:pPr>
        <w:shd w:val="clear"/>
        <w:spacing w:line="360" w:lineRule="auto"/>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地     址：</w:t>
      </w:r>
      <w:r>
        <w:rPr>
          <w:rFonts w:hint="eastAsia" w:ascii="宋体" w:hAnsi="宋体" w:eastAsia="宋体" w:cs="宋体"/>
          <w:color w:val="auto"/>
          <w:sz w:val="24"/>
          <w:szCs w:val="24"/>
          <w:highlight w:val="none"/>
          <w:u w:val="dotted"/>
        </w:rPr>
        <w:t xml:space="preserve">                             </w:t>
      </w:r>
      <w:r>
        <w:rPr>
          <w:rFonts w:hint="eastAsia" w:ascii="宋体" w:hAnsi="宋体" w:eastAsia="宋体" w:cs="宋体"/>
          <w:color w:val="auto"/>
          <w:sz w:val="24"/>
          <w:szCs w:val="24"/>
          <w:highlight w:val="none"/>
        </w:rPr>
        <w:t>邮编：</w:t>
      </w:r>
      <w:r>
        <w:rPr>
          <w:rFonts w:hint="eastAsia" w:ascii="宋体" w:hAnsi="宋体" w:eastAsia="宋体" w:cs="宋体"/>
          <w:color w:val="auto"/>
          <w:sz w:val="24"/>
          <w:szCs w:val="24"/>
          <w:highlight w:val="none"/>
          <w:u w:val="dotted"/>
        </w:rPr>
        <w:t xml:space="preserve">         </w:t>
      </w:r>
    </w:p>
    <w:p w14:paraId="71903248">
      <w:pPr>
        <w:shd w:val="clear"/>
        <w:tabs>
          <w:tab w:val="left" w:pos="6510"/>
        </w:tabs>
        <w:spacing w:line="360" w:lineRule="auto"/>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法定代表人/主要负责人：</w:t>
      </w:r>
      <w:r>
        <w:rPr>
          <w:rFonts w:hint="eastAsia" w:ascii="宋体" w:hAnsi="宋体" w:eastAsia="宋体" w:cs="宋体"/>
          <w:color w:val="auto"/>
          <w:sz w:val="24"/>
          <w:szCs w:val="24"/>
          <w:highlight w:val="none"/>
          <w:u w:val="dotted"/>
        </w:rPr>
        <w:t xml:space="preserve">                                </w:t>
      </w:r>
    </w:p>
    <w:p w14:paraId="5FB638E7">
      <w:pPr>
        <w:shd w:val="clear"/>
        <w:tabs>
          <w:tab w:val="left" w:pos="6510"/>
        </w:tabs>
        <w:spacing w:line="360" w:lineRule="auto"/>
        <w:rPr>
          <w:rFonts w:hint="eastAsia" w:ascii="宋体" w:hAnsi="宋体" w:eastAsia="宋体" w:cs="宋体"/>
          <w:color w:val="auto"/>
          <w:sz w:val="24"/>
          <w:szCs w:val="24"/>
          <w:highlight w:val="none"/>
          <w:u w:val="dotted"/>
        </w:rPr>
      </w:pPr>
      <w:r>
        <w:rPr>
          <w:rFonts w:hint="eastAsia" w:ascii="宋体" w:hAnsi="宋体" w:eastAsia="宋体" w:cs="宋体"/>
          <w:color w:val="auto"/>
          <w:sz w:val="24"/>
          <w:szCs w:val="24"/>
          <w:highlight w:val="none"/>
        </w:rPr>
        <w:t>联系电话：</w:t>
      </w:r>
      <w:r>
        <w:rPr>
          <w:rFonts w:hint="eastAsia" w:ascii="宋体" w:hAnsi="宋体" w:eastAsia="宋体" w:cs="宋体"/>
          <w:color w:val="auto"/>
          <w:sz w:val="24"/>
          <w:szCs w:val="24"/>
          <w:highlight w:val="none"/>
          <w:u w:val="dotted"/>
        </w:rPr>
        <w:t xml:space="preserve">                                             </w:t>
      </w:r>
    </w:p>
    <w:p w14:paraId="3B212C37">
      <w:pPr>
        <w:shd w:val="clear"/>
        <w:spacing w:line="360" w:lineRule="auto"/>
        <w:rPr>
          <w:rFonts w:hint="eastAsia" w:ascii="宋体" w:hAnsi="宋体" w:eastAsia="宋体" w:cs="宋体"/>
          <w:color w:val="auto"/>
          <w:sz w:val="24"/>
          <w:szCs w:val="24"/>
          <w:highlight w:val="none"/>
          <w:u w:val="dotted"/>
        </w:rPr>
      </w:pPr>
      <w:r>
        <w:rPr>
          <w:rFonts w:hint="eastAsia" w:ascii="宋体" w:hAnsi="宋体" w:eastAsia="宋体" w:cs="宋体"/>
          <w:color w:val="auto"/>
          <w:sz w:val="24"/>
          <w:szCs w:val="24"/>
          <w:highlight w:val="none"/>
        </w:rPr>
        <w:t>授权代表：</w:t>
      </w:r>
      <w:r>
        <w:rPr>
          <w:rFonts w:hint="eastAsia" w:ascii="宋体" w:hAnsi="宋体" w:eastAsia="宋体" w:cs="宋体"/>
          <w:color w:val="auto"/>
          <w:sz w:val="24"/>
          <w:szCs w:val="24"/>
          <w:highlight w:val="none"/>
          <w:u w:val="dotted"/>
        </w:rPr>
        <w:t xml:space="preserve">             </w:t>
      </w:r>
      <w:r>
        <w:rPr>
          <w:rFonts w:hint="eastAsia" w:ascii="宋体" w:hAnsi="宋体" w:eastAsia="宋体" w:cs="宋体"/>
          <w:color w:val="auto"/>
          <w:sz w:val="24"/>
          <w:szCs w:val="24"/>
          <w:highlight w:val="none"/>
        </w:rPr>
        <w:t>联系电话</w:t>
      </w:r>
      <w:r>
        <w:rPr>
          <w:rFonts w:hint="eastAsia" w:ascii="宋体" w:hAnsi="宋体" w:eastAsia="宋体" w:cs="宋体"/>
          <w:color w:val="auto"/>
          <w:sz w:val="24"/>
          <w:szCs w:val="24"/>
          <w:highlight w:val="none"/>
          <w:u w:val="dotted"/>
        </w:rPr>
        <w:t xml:space="preserve">：                  </w:t>
      </w:r>
    </w:p>
    <w:p w14:paraId="407F049E">
      <w:pPr>
        <w:shd w:val="clear"/>
        <w:spacing w:line="360" w:lineRule="auto"/>
        <w:rPr>
          <w:rFonts w:hint="eastAsia" w:ascii="宋体" w:hAnsi="宋体" w:eastAsia="宋体" w:cs="宋体"/>
          <w:color w:val="auto"/>
          <w:sz w:val="24"/>
          <w:szCs w:val="24"/>
          <w:highlight w:val="none"/>
          <w:u w:val="dotted"/>
        </w:rPr>
      </w:pPr>
      <w:r>
        <w:rPr>
          <w:rFonts w:hint="eastAsia" w:ascii="宋体" w:hAnsi="宋体" w:eastAsia="宋体" w:cs="宋体"/>
          <w:color w:val="auto"/>
          <w:sz w:val="24"/>
          <w:szCs w:val="24"/>
          <w:highlight w:val="none"/>
        </w:rPr>
        <w:t>地     址：</w:t>
      </w:r>
      <w:r>
        <w:rPr>
          <w:rFonts w:hint="eastAsia" w:ascii="宋体" w:hAnsi="宋体" w:eastAsia="宋体" w:cs="宋体"/>
          <w:color w:val="auto"/>
          <w:sz w:val="24"/>
          <w:szCs w:val="24"/>
          <w:highlight w:val="none"/>
          <w:u w:val="dotted"/>
        </w:rPr>
        <w:t xml:space="preserve">                             </w:t>
      </w:r>
      <w:r>
        <w:rPr>
          <w:rFonts w:hint="eastAsia" w:ascii="宋体" w:hAnsi="宋体" w:eastAsia="宋体" w:cs="宋体"/>
          <w:color w:val="auto"/>
          <w:sz w:val="24"/>
          <w:szCs w:val="24"/>
          <w:highlight w:val="none"/>
        </w:rPr>
        <w:t>邮编：</w:t>
      </w:r>
      <w:r>
        <w:rPr>
          <w:rFonts w:hint="eastAsia" w:ascii="宋体" w:hAnsi="宋体" w:eastAsia="宋体" w:cs="宋体"/>
          <w:color w:val="auto"/>
          <w:sz w:val="24"/>
          <w:szCs w:val="24"/>
          <w:highlight w:val="none"/>
          <w:u w:val="dotted"/>
        </w:rPr>
        <w:t xml:space="preserve">         </w:t>
      </w:r>
    </w:p>
    <w:p w14:paraId="064DF0F2">
      <w:pPr>
        <w:shd w:val="clear"/>
        <w:spacing w:line="360" w:lineRule="auto"/>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被投诉人1：</w:t>
      </w:r>
      <w:r>
        <w:rPr>
          <w:rFonts w:hint="eastAsia" w:ascii="宋体" w:hAnsi="宋体" w:eastAsia="宋体" w:cs="宋体"/>
          <w:color w:val="auto"/>
          <w:sz w:val="24"/>
          <w:szCs w:val="24"/>
          <w:highlight w:val="none"/>
          <w:u w:val="dotted"/>
        </w:rPr>
        <w:t xml:space="preserve">                                          </w:t>
      </w:r>
    </w:p>
    <w:p w14:paraId="71C4B84F">
      <w:pPr>
        <w:shd w:val="clear"/>
        <w:spacing w:line="360" w:lineRule="auto"/>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地     址：</w:t>
      </w:r>
      <w:r>
        <w:rPr>
          <w:rFonts w:hint="eastAsia" w:ascii="宋体" w:hAnsi="宋体" w:eastAsia="宋体" w:cs="宋体"/>
          <w:color w:val="auto"/>
          <w:sz w:val="24"/>
          <w:szCs w:val="24"/>
          <w:highlight w:val="none"/>
          <w:u w:val="dotted"/>
        </w:rPr>
        <w:t xml:space="preserve">                             </w:t>
      </w:r>
      <w:r>
        <w:rPr>
          <w:rFonts w:hint="eastAsia" w:ascii="宋体" w:hAnsi="宋体" w:eastAsia="宋体" w:cs="宋体"/>
          <w:color w:val="auto"/>
          <w:sz w:val="24"/>
          <w:szCs w:val="24"/>
          <w:highlight w:val="none"/>
        </w:rPr>
        <w:t>邮编：</w:t>
      </w:r>
      <w:r>
        <w:rPr>
          <w:rFonts w:hint="eastAsia" w:ascii="宋体" w:hAnsi="宋体" w:eastAsia="宋体" w:cs="宋体"/>
          <w:color w:val="auto"/>
          <w:sz w:val="24"/>
          <w:szCs w:val="24"/>
          <w:highlight w:val="none"/>
          <w:u w:val="dotted"/>
        </w:rPr>
        <w:t xml:space="preserve">         </w:t>
      </w:r>
    </w:p>
    <w:p w14:paraId="502E077B">
      <w:pPr>
        <w:shd w:val="clear"/>
        <w:spacing w:line="360" w:lineRule="auto"/>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联系人：</w:t>
      </w:r>
      <w:r>
        <w:rPr>
          <w:rFonts w:hint="eastAsia" w:ascii="宋体" w:hAnsi="宋体" w:eastAsia="宋体" w:cs="宋体"/>
          <w:color w:val="auto"/>
          <w:sz w:val="24"/>
          <w:szCs w:val="24"/>
          <w:highlight w:val="none"/>
          <w:u w:val="dotted"/>
        </w:rPr>
        <w:t xml:space="preserve">               </w:t>
      </w:r>
      <w:r>
        <w:rPr>
          <w:rFonts w:hint="eastAsia" w:ascii="宋体" w:hAnsi="宋体" w:eastAsia="宋体" w:cs="宋体"/>
          <w:color w:val="auto"/>
          <w:sz w:val="24"/>
          <w:szCs w:val="24"/>
          <w:highlight w:val="none"/>
        </w:rPr>
        <w:t>联系电话：</w:t>
      </w:r>
      <w:r>
        <w:rPr>
          <w:rFonts w:hint="eastAsia" w:ascii="宋体" w:hAnsi="宋体" w:eastAsia="宋体" w:cs="宋体"/>
          <w:color w:val="auto"/>
          <w:sz w:val="24"/>
          <w:szCs w:val="24"/>
          <w:highlight w:val="none"/>
          <w:u w:val="dotted"/>
        </w:rPr>
        <w:t xml:space="preserve">                     </w:t>
      </w:r>
    </w:p>
    <w:p w14:paraId="213338F9">
      <w:pPr>
        <w:shd w:val="clea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被投诉人2</w:t>
      </w:r>
    </w:p>
    <w:p w14:paraId="5A49B95F">
      <w:pPr>
        <w:shd w:val="clear"/>
        <w:spacing w:line="360" w:lineRule="auto"/>
        <w:rPr>
          <w:rFonts w:hint="eastAsia" w:ascii="宋体" w:hAnsi="宋体" w:eastAsia="宋体" w:cs="宋体"/>
          <w:color w:val="auto"/>
          <w:sz w:val="24"/>
          <w:szCs w:val="24"/>
          <w:highlight w:val="none"/>
          <w:u w:val="dotted"/>
        </w:rPr>
      </w:pPr>
      <w:r>
        <w:rPr>
          <w:rFonts w:hint="eastAsia" w:ascii="宋体" w:hAnsi="宋体" w:eastAsia="宋体" w:cs="宋体"/>
          <w:color w:val="auto"/>
          <w:sz w:val="24"/>
          <w:szCs w:val="24"/>
          <w:highlight w:val="none"/>
        </w:rPr>
        <w:t>……</w:t>
      </w:r>
    </w:p>
    <w:p w14:paraId="695E0E42">
      <w:pPr>
        <w:shd w:val="clear"/>
        <w:spacing w:line="360" w:lineRule="auto"/>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相关供应商：</w:t>
      </w:r>
      <w:r>
        <w:rPr>
          <w:rFonts w:hint="eastAsia" w:ascii="宋体" w:hAnsi="宋体" w:eastAsia="宋体" w:cs="宋体"/>
          <w:color w:val="auto"/>
          <w:sz w:val="24"/>
          <w:szCs w:val="24"/>
          <w:highlight w:val="none"/>
          <w:u w:val="dotted"/>
        </w:rPr>
        <w:t xml:space="preserve">                                           </w:t>
      </w:r>
    </w:p>
    <w:p w14:paraId="3CC2884A">
      <w:pPr>
        <w:shd w:val="clear"/>
        <w:spacing w:line="360" w:lineRule="auto"/>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地     址：</w:t>
      </w:r>
      <w:r>
        <w:rPr>
          <w:rFonts w:hint="eastAsia" w:ascii="宋体" w:hAnsi="宋体" w:eastAsia="宋体" w:cs="宋体"/>
          <w:color w:val="auto"/>
          <w:sz w:val="24"/>
          <w:szCs w:val="24"/>
          <w:highlight w:val="none"/>
          <w:u w:val="dotted"/>
        </w:rPr>
        <w:t xml:space="preserve">                             </w:t>
      </w:r>
      <w:r>
        <w:rPr>
          <w:rFonts w:hint="eastAsia" w:ascii="宋体" w:hAnsi="宋体" w:eastAsia="宋体" w:cs="宋体"/>
          <w:color w:val="auto"/>
          <w:sz w:val="24"/>
          <w:szCs w:val="24"/>
          <w:highlight w:val="none"/>
        </w:rPr>
        <w:t>邮编：</w:t>
      </w:r>
      <w:r>
        <w:rPr>
          <w:rFonts w:hint="eastAsia" w:ascii="宋体" w:hAnsi="宋体" w:eastAsia="宋体" w:cs="宋体"/>
          <w:color w:val="auto"/>
          <w:sz w:val="24"/>
          <w:szCs w:val="24"/>
          <w:highlight w:val="none"/>
          <w:u w:val="dotted"/>
        </w:rPr>
        <w:t xml:space="preserve">         </w:t>
      </w:r>
    </w:p>
    <w:p w14:paraId="29062517">
      <w:pPr>
        <w:shd w:val="clear"/>
        <w:spacing w:line="360" w:lineRule="auto"/>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联系人：</w:t>
      </w:r>
      <w:r>
        <w:rPr>
          <w:rFonts w:hint="eastAsia" w:ascii="宋体" w:hAnsi="宋体" w:eastAsia="宋体" w:cs="宋体"/>
          <w:color w:val="auto"/>
          <w:sz w:val="24"/>
          <w:szCs w:val="24"/>
          <w:highlight w:val="none"/>
          <w:u w:val="dotted"/>
        </w:rPr>
        <w:t xml:space="preserve">               </w:t>
      </w:r>
      <w:r>
        <w:rPr>
          <w:rFonts w:hint="eastAsia" w:ascii="宋体" w:hAnsi="宋体" w:eastAsia="宋体" w:cs="宋体"/>
          <w:color w:val="auto"/>
          <w:sz w:val="24"/>
          <w:szCs w:val="24"/>
          <w:highlight w:val="none"/>
        </w:rPr>
        <w:t>联系电话：</w:t>
      </w:r>
      <w:r>
        <w:rPr>
          <w:rFonts w:hint="eastAsia" w:ascii="宋体" w:hAnsi="宋体" w:eastAsia="宋体" w:cs="宋体"/>
          <w:color w:val="auto"/>
          <w:sz w:val="24"/>
          <w:szCs w:val="24"/>
          <w:highlight w:val="none"/>
          <w:u w:val="dotted"/>
        </w:rPr>
        <w:t xml:space="preserve">                     </w:t>
      </w:r>
    </w:p>
    <w:p w14:paraId="68F18E9B">
      <w:pPr>
        <w:shd w:val="clea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二、投诉项目基本情况</w:t>
      </w:r>
    </w:p>
    <w:p w14:paraId="1781C28F">
      <w:pPr>
        <w:shd w:val="clear"/>
        <w:spacing w:line="360" w:lineRule="auto"/>
        <w:rPr>
          <w:rFonts w:hint="eastAsia" w:ascii="宋体" w:hAnsi="宋体" w:eastAsia="宋体" w:cs="宋体"/>
          <w:color w:val="auto"/>
          <w:sz w:val="24"/>
          <w:szCs w:val="24"/>
          <w:highlight w:val="none"/>
          <w:u w:val="dotted"/>
        </w:rPr>
      </w:pPr>
      <w:r>
        <w:rPr>
          <w:rFonts w:hint="eastAsia" w:ascii="宋体" w:hAnsi="宋体" w:eastAsia="宋体" w:cs="宋体"/>
          <w:color w:val="auto"/>
          <w:sz w:val="24"/>
          <w:szCs w:val="24"/>
          <w:highlight w:val="none"/>
        </w:rPr>
        <w:t>采购项目名称：</w:t>
      </w:r>
      <w:r>
        <w:rPr>
          <w:rFonts w:hint="eastAsia" w:ascii="宋体" w:hAnsi="宋体" w:eastAsia="宋体" w:cs="宋体"/>
          <w:color w:val="auto"/>
          <w:sz w:val="24"/>
          <w:szCs w:val="24"/>
          <w:highlight w:val="none"/>
          <w:u w:val="dotted"/>
        </w:rPr>
        <w:t xml:space="preserve">  </w:t>
      </w:r>
      <w:bookmarkStart w:id="428" w:name="PO_3000001867_PM002_12"/>
      <w:r>
        <w:rPr>
          <w:rFonts w:hint="eastAsia" w:ascii="宋体" w:hAnsi="宋体" w:eastAsia="宋体" w:cs="宋体"/>
          <w:color w:val="auto"/>
          <w:sz w:val="24"/>
          <w:szCs w:val="24"/>
          <w:highlight w:val="none"/>
          <w:u w:val="dotted"/>
        </w:rPr>
        <w:t xml:space="preserve">                    </w:t>
      </w:r>
      <w:bookmarkEnd w:id="428"/>
      <w:r>
        <w:rPr>
          <w:rFonts w:hint="eastAsia" w:ascii="宋体" w:hAnsi="宋体" w:eastAsia="宋体" w:cs="宋体"/>
          <w:color w:val="auto"/>
          <w:sz w:val="24"/>
          <w:szCs w:val="24"/>
          <w:highlight w:val="none"/>
          <w:u w:val="dotted"/>
        </w:rPr>
        <w:t xml:space="preserve">  </w:t>
      </w:r>
    </w:p>
    <w:p w14:paraId="6F68A481">
      <w:pPr>
        <w:shd w:val="clear"/>
        <w:spacing w:line="360" w:lineRule="auto"/>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采购项目编号：</w:t>
      </w:r>
      <w:r>
        <w:rPr>
          <w:rFonts w:hint="eastAsia" w:ascii="宋体" w:hAnsi="宋体" w:eastAsia="宋体" w:cs="宋体"/>
          <w:color w:val="auto"/>
          <w:sz w:val="24"/>
          <w:szCs w:val="24"/>
          <w:highlight w:val="none"/>
          <w:u w:val="dotted"/>
        </w:rPr>
        <w:t xml:space="preserve">  </w:t>
      </w:r>
      <w:bookmarkStart w:id="429" w:name="PO_3000001867_PM001_9"/>
      <w:r>
        <w:rPr>
          <w:rFonts w:hint="eastAsia" w:ascii="宋体" w:hAnsi="宋体" w:eastAsia="宋体" w:cs="宋体"/>
          <w:color w:val="auto"/>
          <w:sz w:val="24"/>
          <w:szCs w:val="24"/>
          <w:highlight w:val="none"/>
          <w:u w:val="dotted"/>
        </w:rPr>
        <w:t xml:space="preserve">                    </w:t>
      </w:r>
      <w:bookmarkEnd w:id="429"/>
      <w:r>
        <w:rPr>
          <w:rFonts w:hint="eastAsia" w:ascii="宋体" w:hAnsi="宋体" w:eastAsia="宋体" w:cs="宋体"/>
          <w:color w:val="auto"/>
          <w:sz w:val="24"/>
          <w:szCs w:val="24"/>
          <w:highlight w:val="none"/>
          <w:u w:val="dotted"/>
        </w:rPr>
        <w:t xml:space="preserve"> </w:t>
      </w:r>
      <w:r>
        <w:rPr>
          <w:rFonts w:hint="eastAsia" w:ascii="宋体" w:hAnsi="宋体" w:eastAsia="宋体" w:cs="宋体"/>
          <w:color w:val="auto"/>
          <w:sz w:val="24"/>
          <w:szCs w:val="24"/>
          <w:highlight w:val="none"/>
        </w:rPr>
        <w:t>包号：</w:t>
      </w:r>
      <w:r>
        <w:rPr>
          <w:rFonts w:hint="eastAsia" w:ascii="宋体" w:hAnsi="宋体" w:eastAsia="宋体" w:cs="宋体"/>
          <w:color w:val="auto"/>
          <w:sz w:val="24"/>
          <w:szCs w:val="24"/>
          <w:highlight w:val="none"/>
          <w:u w:val="dotted"/>
        </w:rPr>
        <w:t xml:space="preserve">              </w:t>
      </w:r>
    </w:p>
    <w:p w14:paraId="44F7ACCE">
      <w:pPr>
        <w:shd w:val="clea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采购人名称：</w:t>
      </w:r>
      <w:r>
        <w:rPr>
          <w:rFonts w:hint="eastAsia" w:ascii="宋体" w:hAnsi="宋体" w:eastAsia="宋体" w:cs="宋体"/>
          <w:color w:val="auto"/>
          <w:sz w:val="24"/>
          <w:szCs w:val="24"/>
          <w:highlight w:val="none"/>
          <w:u w:val="dotted"/>
        </w:rPr>
        <w:t xml:space="preserve">  </w:t>
      </w:r>
      <w:bookmarkStart w:id="430" w:name="PO_3000001867_PM026_6"/>
      <w:r>
        <w:rPr>
          <w:rFonts w:hint="eastAsia" w:ascii="宋体" w:hAnsi="宋体" w:eastAsia="宋体" w:cs="宋体"/>
          <w:color w:val="auto"/>
          <w:sz w:val="24"/>
          <w:szCs w:val="24"/>
          <w:highlight w:val="none"/>
          <w:u w:val="dotted"/>
        </w:rPr>
        <w:t xml:space="preserve">                    </w:t>
      </w:r>
      <w:bookmarkEnd w:id="430"/>
      <w:r>
        <w:rPr>
          <w:rFonts w:hint="eastAsia" w:ascii="宋体" w:hAnsi="宋体" w:eastAsia="宋体" w:cs="宋体"/>
          <w:color w:val="auto"/>
          <w:sz w:val="24"/>
          <w:szCs w:val="24"/>
          <w:highlight w:val="none"/>
          <w:u w:val="dotted"/>
          <w:lang w:val="en-US" w:eastAsia="zh-CN"/>
        </w:rPr>
        <w:t xml:space="preserve">  </w:t>
      </w:r>
    </w:p>
    <w:p w14:paraId="73C031CF">
      <w:pPr>
        <w:shd w:val="clear"/>
        <w:spacing w:line="360" w:lineRule="auto"/>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代理机构名称：</w:t>
      </w:r>
      <w:r>
        <w:rPr>
          <w:rFonts w:hint="eastAsia" w:ascii="宋体" w:hAnsi="宋体" w:eastAsia="宋体" w:cs="宋体"/>
          <w:color w:val="auto"/>
          <w:sz w:val="24"/>
          <w:szCs w:val="24"/>
          <w:highlight w:val="none"/>
          <w:u w:val="dotted"/>
        </w:rPr>
        <w:t xml:space="preserve">                                        </w:t>
      </w:r>
    </w:p>
    <w:p w14:paraId="787EBCF1">
      <w:pPr>
        <w:shd w:val="clear"/>
        <w:spacing w:line="360" w:lineRule="auto"/>
        <w:rPr>
          <w:rFonts w:hint="eastAsia" w:ascii="宋体" w:hAnsi="宋体" w:eastAsia="宋体" w:cs="宋体"/>
          <w:color w:val="auto"/>
          <w:sz w:val="24"/>
          <w:szCs w:val="24"/>
          <w:highlight w:val="none"/>
          <w:u w:val="dotted"/>
        </w:rPr>
      </w:pPr>
      <w:r>
        <w:rPr>
          <w:rFonts w:hint="eastAsia" w:ascii="宋体" w:hAnsi="宋体" w:eastAsia="宋体" w:cs="宋体"/>
          <w:color w:val="auto"/>
          <w:sz w:val="24"/>
          <w:szCs w:val="24"/>
          <w:highlight w:val="none"/>
        </w:rPr>
        <w:t>采购文件公告</w:t>
      </w:r>
      <w:r>
        <w:rPr>
          <w:rFonts w:hint="eastAsia" w:ascii="宋体" w:hAnsi="宋体" w:cs="宋体"/>
          <w:color w:val="auto"/>
          <w:sz w:val="24"/>
          <w:szCs w:val="24"/>
          <w:highlight w:val="none"/>
          <w:lang w:eastAsia="zh-CN"/>
        </w:rPr>
        <w:t>：</w:t>
      </w:r>
      <w:r>
        <w:rPr>
          <w:rFonts w:hint="eastAsia" w:ascii="宋体" w:hAnsi="宋体" w:eastAsia="宋体" w:cs="宋体"/>
          <w:color w:val="auto"/>
          <w:sz w:val="24"/>
          <w:szCs w:val="24"/>
          <w:highlight w:val="none"/>
          <w:u w:val="dotted"/>
        </w:rPr>
        <w:t xml:space="preserve">是/否 </w:t>
      </w:r>
      <w:r>
        <w:rPr>
          <w:rFonts w:hint="eastAsia" w:ascii="宋体" w:hAnsi="宋体" w:eastAsia="宋体" w:cs="宋体"/>
          <w:color w:val="auto"/>
          <w:sz w:val="24"/>
          <w:szCs w:val="24"/>
          <w:highlight w:val="none"/>
        </w:rPr>
        <w:t>公告期限：</w:t>
      </w:r>
      <w:r>
        <w:rPr>
          <w:rFonts w:hint="eastAsia" w:ascii="宋体" w:hAnsi="宋体" w:eastAsia="宋体" w:cs="宋体"/>
          <w:color w:val="auto"/>
          <w:sz w:val="24"/>
          <w:szCs w:val="24"/>
          <w:highlight w:val="none"/>
          <w:u w:val="dotted"/>
        </w:rPr>
        <w:t xml:space="preserve">                        </w:t>
      </w:r>
    </w:p>
    <w:p w14:paraId="75D81DD0">
      <w:pPr>
        <w:shd w:val="clear"/>
        <w:spacing w:line="360" w:lineRule="auto"/>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采购结果公告</w:t>
      </w:r>
      <w:r>
        <w:rPr>
          <w:rFonts w:hint="eastAsia" w:ascii="宋体" w:hAnsi="宋体" w:cs="宋体"/>
          <w:color w:val="auto"/>
          <w:sz w:val="24"/>
          <w:szCs w:val="24"/>
          <w:highlight w:val="none"/>
          <w:lang w:eastAsia="zh-CN"/>
        </w:rPr>
        <w:t>：</w:t>
      </w:r>
      <w:r>
        <w:rPr>
          <w:rFonts w:hint="eastAsia" w:ascii="宋体" w:hAnsi="宋体" w:eastAsia="宋体" w:cs="宋体"/>
          <w:color w:val="auto"/>
          <w:sz w:val="24"/>
          <w:szCs w:val="24"/>
          <w:highlight w:val="none"/>
          <w:u w:val="dotted"/>
        </w:rPr>
        <w:t xml:space="preserve">是/否 </w:t>
      </w:r>
      <w:r>
        <w:rPr>
          <w:rFonts w:hint="eastAsia" w:ascii="宋体" w:hAnsi="宋体" w:eastAsia="宋体" w:cs="宋体"/>
          <w:color w:val="auto"/>
          <w:sz w:val="24"/>
          <w:szCs w:val="24"/>
          <w:highlight w:val="none"/>
        </w:rPr>
        <w:t>公告期限：</w:t>
      </w:r>
      <w:r>
        <w:rPr>
          <w:rFonts w:hint="eastAsia" w:ascii="宋体" w:hAnsi="宋体" w:eastAsia="宋体" w:cs="宋体"/>
          <w:color w:val="auto"/>
          <w:sz w:val="24"/>
          <w:szCs w:val="24"/>
          <w:highlight w:val="none"/>
          <w:u w:val="dotted"/>
        </w:rPr>
        <w:t xml:space="preserve">                        </w:t>
      </w:r>
    </w:p>
    <w:p w14:paraId="15F6EEE1">
      <w:pPr>
        <w:shd w:val="clea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三、质疑基本情况</w:t>
      </w:r>
    </w:p>
    <w:p w14:paraId="03D38E09">
      <w:pPr>
        <w:shd w:val="clear"/>
        <w:spacing w:line="360" w:lineRule="auto"/>
        <w:ind w:firstLine="480" w:firstLineChars="200"/>
        <w:rPr>
          <w:rFonts w:hint="eastAsia" w:ascii="宋体" w:hAnsi="宋体" w:eastAsia="宋体" w:cs="宋体"/>
          <w:color w:val="auto"/>
          <w:sz w:val="24"/>
          <w:szCs w:val="24"/>
          <w:highlight w:val="none"/>
          <w:u w:val="dotted"/>
        </w:rPr>
      </w:pPr>
      <w:r>
        <w:rPr>
          <w:rFonts w:hint="eastAsia" w:ascii="宋体" w:hAnsi="宋体" w:eastAsia="宋体" w:cs="宋体"/>
          <w:color w:val="auto"/>
          <w:sz w:val="24"/>
          <w:szCs w:val="24"/>
          <w:highlight w:val="none"/>
        </w:rPr>
        <w:t>投诉人于</w:t>
      </w:r>
      <w:r>
        <w:rPr>
          <w:rFonts w:hint="eastAsia" w:ascii="宋体" w:hAnsi="宋体" w:eastAsia="宋体" w:cs="宋体"/>
          <w:color w:val="auto"/>
          <w:sz w:val="24"/>
          <w:szCs w:val="24"/>
          <w:highlight w:val="none"/>
          <w:u w:val="dotted"/>
        </w:rPr>
        <w:t xml:space="preserve">   </w:t>
      </w:r>
      <w:r>
        <w:rPr>
          <w:rFonts w:hint="eastAsia" w:ascii="宋体" w:hAnsi="宋体" w:eastAsia="宋体" w:cs="宋体"/>
          <w:color w:val="auto"/>
          <w:sz w:val="24"/>
          <w:szCs w:val="24"/>
          <w:highlight w:val="none"/>
        </w:rPr>
        <w:t>年</w:t>
      </w:r>
      <w:r>
        <w:rPr>
          <w:rFonts w:hint="eastAsia" w:ascii="宋体" w:hAnsi="宋体" w:eastAsia="宋体" w:cs="宋体"/>
          <w:color w:val="auto"/>
          <w:sz w:val="24"/>
          <w:szCs w:val="24"/>
          <w:highlight w:val="none"/>
          <w:u w:val="dotted"/>
        </w:rPr>
        <w:t xml:space="preserve">   </w:t>
      </w:r>
      <w:r>
        <w:rPr>
          <w:rFonts w:hint="eastAsia" w:ascii="宋体" w:hAnsi="宋体" w:eastAsia="宋体" w:cs="宋体"/>
          <w:color w:val="auto"/>
          <w:sz w:val="24"/>
          <w:szCs w:val="24"/>
          <w:highlight w:val="none"/>
        </w:rPr>
        <w:t>月</w:t>
      </w:r>
      <w:r>
        <w:rPr>
          <w:rFonts w:hint="eastAsia" w:ascii="宋体" w:hAnsi="宋体" w:eastAsia="宋体" w:cs="宋体"/>
          <w:color w:val="auto"/>
          <w:sz w:val="24"/>
          <w:szCs w:val="24"/>
          <w:highlight w:val="none"/>
          <w:u w:val="dotted"/>
        </w:rPr>
        <w:t xml:space="preserve">  </w:t>
      </w:r>
      <w:r>
        <w:rPr>
          <w:rFonts w:hint="eastAsia" w:ascii="宋体" w:hAnsi="宋体" w:eastAsia="宋体" w:cs="宋体"/>
          <w:color w:val="auto"/>
          <w:sz w:val="24"/>
          <w:szCs w:val="24"/>
          <w:highlight w:val="none"/>
        </w:rPr>
        <w:t>日,向</w:t>
      </w:r>
      <w:r>
        <w:rPr>
          <w:rFonts w:hint="eastAsia" w:ascii="宋体" w:hAnsi="宋体" w:eastAsia="宋体" w:cs="宋体"/>
          <w:color w:val="auto"/>
          <w:sz w:val="24"/>
          <w:szCs w:val="24"/>
          <w:highlight w:val="none"/>
          <w:u w:val="dotted"/>
        </w:rPr>
        <w:t xml:space="preserve">                   </w:t>
      </w:r>
      <w:r>
        <w:rPr>
          <w:rFonts w:hint="eastAsia" w:ascii="宋体" w:hAnsi="宋体" w:eastAsia="宋体" w:cs="宋体"/>
          <w:color w:val="auto"/>
          <w:sz w:val="24"/>
          <w:szCs w:val="24"/>
          <w:highlight w:val="none"/>
        </w:rPr>
        <w:t>提出质疑，质疑事项为：</w:t>
      </w:r>
      <w:r>
        <w:rPr>
          <w:rFonts w:hint="eastAsia" w:ascii="宋体" w:hAnsi="宋体" w:eastAsia="宋体" w:cs="宋体"/>
          <w:color w:val="auto"/>
          <w:sz w:val="24"/>
          <w:szCs w:val="24"/>
          <w:highlight w:val="none"/>
          <w:u w:val="dotted"/>
        </w:rPr>
        <w:t xml:space="preserve">                                </w:t>
      </w:r>
    </w:p>
    <w:p w14:paraId="4F305C3B">
      <w:pPr>
        <w:shd w:val="clear"/>
        <w:spacing w:line="360" w:lineRule="auto"/>
        <w:rPr>
          <w:rFonts w:hint="eastAsia" w:ascii="宋体" w:hAnsi="宋体" w:eastAsia="宋体" w:cs="宋体"/>
          <w:color w:val="auto"/>
          <w:sz w:val="24"/>
          <w:szCs w:val="24"/>
          <w:highlight w:val="none"/>
          <w:u w:val="dotted"/>
        </w:rPr>
      </w:pPr>
      <w:r>
        <w:rPr>
          <w:rFonts w:hint="eastAsia" w:ascii="宋体" w:hAnsi="宋体" w:eastAsia="宋体" w:cs="宋体"/>
          <w:color w:val="auto"/>
          <w:sz w:val="24"/>
          <w:szCs w:val="24"/>
          <w:highlight w:val="none"/>
          <w:u w:val="dotted"/>
        </w:rPr>
        <w:t xml:space="preserve">                                                     </w:t>
      </w:r>
      <w:r>
        <w:rPr>
          <w:rFonts w:hint="eastAsia" w:ascii="宋体" w:hAnsi="宋体" w:eastAsia="宋体" w:cs="宋体"/>
          <w:color w:val="auto"/>
          <w:sz w:val="24"/>
          <w:szCs w:val="24"/>
          <w:highlight w:val="none"/>
        </w:rPr>
        <w:t xml:space="preserve">  </w:t>
      </w:r>
    </w:p>
    <w:p w14:paraId="101BEAF7">
      <w:pPr>
        <w:shd w:val="clear"/>
        <w:spacing w:line="360" w:lineRule="auto"/>
        <w:ind w:firstLine="360" w:firstLineChars="15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u w:val="dotted"/>
        </w:rPr>
        <w:t>采购人/</w:t>
      </w:r>
      <w:r>
        <w:rPr>
          <w:rFonts w:hint="eastAsia" w:ascii="宋体" w:hAnsi="宋体" w:eastAsia="宋体" w:cs="宋体"/>
          <w:color w:val="auto"/>
          <w:sz w:val="24"/>
          <w:szCs w:val="24"/>
          <w:highlight w:val="none"/>
          <w:u w:val="dotted"/>
          <w:lang w:eastAsia="zh-CN"/>
        </w:rPr>
        <w:t>采购</w:t>
      </w:r>
      <w:r>
        <w:rPr>
          <w:rFonts w:hint="eastAsia" w:ascii="宋体" w:hAnsi="宋体" w:eastAsia="宋体" w:cs="宋体"/>
          <w:color w:val="auto"/>
          <w:sz w:val="24"/>
          <w:szCs w:val="24"/>
          <w:highlight w:val="none"/>
          <w:u w:val="dotted"/>
        </w:rPr>
        <w:t>代理机构</w:t>
      </w:r>
      <w:r>
        <w:rPr>
          <w:rFonts w:hint="eastAsia" w:ascii="宋体" w:hAnsi="宋体" w:eastAsia="宋体" w:cs="宋体"/>
          <w:color w:val="auto"/>
          <w:sz w:val="24"/>
          <w:szCs w:val="24"/>
          <w:highlight w:val="none"/>
        </w:rPr>
        <w:t>于</w:t>
      </w:r>
      <w:r>
        <w:rPr>
          <w:rFonts w:hint="eastAsia" w:ascii="宋体" w:hAnsi="宋体" w:eastAsia="宋体" w:cs="宋体"/>
          <w:color w:val="auto"/>
          <w:sz w:val="24"/>
          <w:szCs w:val="24"/>
          <w:highlight w:val="none"/>
          <w:u w:val="dotted"/>
        </w:rPr>
        <w:t xml:space="preserve">   </w:t>
      </w:r>
      <w:r>
        <w:rPr>
          <w:rFonts w:hint="eastAsia" w:ascii="宋体" w:hAnsi="宋体" w:eastAsia="宋体" w:cs="宋体"/>
          <w:color w:val="auto"/>
          <w:sz w:val="24"/>
          <w:szCs w:val="24"/>
          <w:highlight w:val="none"/>
        </w:rPr>
        <w:t>年</w:t>
      </w:r>
      <w:r>
        <w:rPr>
          <w:rFonts w:hint="eastAsia" w:ascii="宋体" w:hAnsi="宋体" w:eastAsia="宋体" w:cs="宋体"/>
          <w:color w:val="auto"/>
          <w:sz w:val="24"/>
          <w:szCs w:val="24"/>
          <w:highlight w:val="none"/>
          <w:u w:val="dotted"/>
        </w:rPr>
        <w:t xml:space="preserve">   </w:t>
      </w:r>
      <w:r>
        <w:rPr>
          <w:rFonts w:hint="eastAsia" w:ascii="宋体" w:hAnsi="宋体" w:eastAsia="宋体" w:cs="宋体"/>
          <w:color w:val="auto"/>
          <w:sz w:val="24"/>
          <w:szCs w:val="24"/>
          <w:highlight w:val="none"/>
        </w:rPr>
        <w:t>月</w:t>
      </w:r>
      <w:r>
        <w:rPr>
          <w:rFonts w:hint="eastAsia" w:ascii="宋体" w:hAnsi="宋体" w:eastAsia="宋体" w:cs="宋体"/>
          <w:color w:val="auto"/>
          <w:sz w:val="24"/>
          <w:szCs w:val="24"/>
          <w:highlight w:val="none"/>
          <w:u w:val="dotted"/>
        </w:rPr>
        <w:t xml:space="preserve">   </w:t>
      </w:r>
      <w:r>
        <w:rPr>
          <w:rFonts w:hint="eastAsia" w:ascii="宋体" w:hAnsi="宋体" w:eastAsia="宋体" w:cs="宋体"/>
          <w:color w:val="auto"/>
          <w:sz w:val="24"/>
          <w:szCs w:val="24"/>
          <w:highlight w:val="none"/>
        </w:rPr>
        <w:t>日,就质疑事项作出了答复/没有在法定期限内作出答复。</w:t>
      </w:r>
    </w:p>
    <w:p w14:paraId="21723F98">
      <w:pPr>
        <w:shd w:val="clea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四、投诉事项具体内容</w:t>
      </w:r>
    </w:p>
    <w:p w14:paraId="45C8B469">
      <w:pPr>
        <w:shd w:val="clear"/>
        <w:spacing w:line="360" w:lineRule="auto"/>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投诉事项 1：</w:t>
      </w:r>
      <w:r>
        <w:rPr>
          <w:rFonts w:hint="eastAsia" w:ascii="宋体" w:hAnsi="宋体" w:eastAsia="宋体" w:cs="宋体"/>
          <w:color w:val="auto"/>
          <w:sz w:val="24"/>
          <w:szCs w:val="24"/>
          <w:highlight w:val="none"/>
          <w:u w:val="dotted"/>
        </w:rPr>
        <w:t xml:space="preserve">                                       </w:t>
      </w:r>
    </w:p>
    <w:p w14:paraId="763D3550">
      <w:pPr>
        <w:shd w:val="clea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事实依据：</w:t>
      </w:r>
      <w:r>
        <w:rPr>
          <w:rFonts w:hint="eastAsia" w:ascii="宋体" w:hAnsi="宋体" w:eastAsia="宋体" w:cs="宋体"/>
          <w:color w:val="auto"/>
          <w:sz w:val="24"/>
          <w:szCs w:val="24"/>
          <w:highlight w:val="none"/>
          <w:u w:val="dotted"/>
        </w:rPr>
        <w:t xml:space="preserve">                                         </w:t>
      </w:r>
    </w:p>
    <w:p w14:paraId="79129DB1">
      <w:pPr>
        <w:shd w:val="clear"/>
        <w:spacing w:line="360" w:lineRule="auto"/>
        <w:rPr>
          <w:rFonts w:hint="eastAsia" w:ascii="宋体" w:hAnsi="宋体" w:eastAsia="宋体" w:cs="宋体"/>
          <w:color w:val="auto"/>
          <w:sz w:val="24"/>
          <w:szCs w:val="24"/>
          <w:highlight w:val="none"/>
          <w:u w:val="dotted"/>
        </w:rPr>
      </w:pPr>
      <w:r>
        <w:rPr>
          <w:rFonts w:hint="eastAsia" w:ascii="宋体" w:hAnsi="宋体" w:eastAsia="宋体" w:cs="宋体"/>
          <w:color w:val="auto"/>
          <w:sz w:val="24"/>
          <w:szCs w:val="24"/>
          <w:highlight w:val="none"/>
          <w:u w:val="dotted"/>
        </w:rPr>
        <w:t xml:space="preserve">                                                      </w:t>
      </w:r>
    </w:p>
    <w:p w14:paraId="36AC254E">
      <w:pPr>
        <w:shd w:val="clear"/>
        <w:spacing w:line="360" w:lineRule="auto"/>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法律依据：</w:t>
      </w:r>
      <w:r>
        <w:rPr>
          <w:rFonts w:hint="eastAsia" w:ascii="宋体" w:hAnsi="宋体" w:eastAsia="宋体" w:cs="宋体"/>
          <w:color w:val="auto"/>
          <w:sz w:val="24"/>
          <w:szCs w:val="24"/>
          <w:highlight w:val="none"/>
          <w:u w:val="dotted"/>
        </w:rPr>
        <w:t xml:space="preserve">                                          </w:t>
      </w:r>
    </w:p>
    <w:p w14:paraId="434E3F09">
      <w:pPr>
        <w:shd w:val="clear"/>
        <w:spacing w:line="360" w:lineRule="auto"/>
        <w:rPr>
          <w:rFonts w:hint="eastAsia" w:ascii="宋体" w:hAnsi="宋体" w:eastAsia="宋体" w:cs="宋体"/>
          <w:color w:val="auto"/>
          <w:sz w:val="24"/>
          <w:szCs w:val="24"/>
          <w:highlight w:val="none"/>
          <w:u w:val="dotted"/>
        </w:rPr>
      </w:pPr>
      <w:r>
        <w:rPr>
          <w:rFonts w:hint="eastAsia" w:ascii="宋体" w:hAnsi="宋体" w:eastAsia="宋体" w:cs="宋体"/>
          <w:color w:val="auto"/>
          <w:sz w:val="24"/>
          <w:szCs w:val="24"/>
          <w:highlight w:val="none"/>
          <w:u w:val="dotted"/>
        </w:rPr>
        <w:t xml:space="preserve">                                                      </w:t>
      </w:r>
    </w:p>
    <w:p w14:paraId="0C918D65">
      <w:pPr>
        <w:shd w:val="clea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投诉事项2</w:t>
      </w:r>
    </w:p>
    <w:p w14:paraId="6E3E74FF">
      <w:pPr>
        <w:shd w:val="clear"/>
        <w:spacing w:line="360" w:lineRule="auto"/>
        <w:rPr>
          <w:rFonts w:hint="eastAsia" w:ascii="宋体" w:hAnsi="宋体" w:eastAsia="宋体" w:cs="宋体"/>
          <w:color w:val="auto"/>
          <w:sz w:val="24"/>
          <w:szCs w:val="24"/>
          <w:highlight w:val="none"/>
          <w:u w:val="dotted"/>
        </w:rPr>
      </w:pPr>
      <w:r>
        <w:rPr>
          <w:rFonts w:hint="eastAsia" w:ascii="宋体" w:hAnsi="宋体" w:eastAsia="宋体" w:cs="宋体"/>
          <w:color w:val="auto"/>
          <w:sz w:val="24"/>
          <w:szCs w:val="24"/>
          <w:highlight w:val="none"/>
        </w:rPr>
        <w:t>……</w:t>
      </w:r>
    </w:p>
    <w:p w14:paraId="73F51F15">
      <w:pPr>
        <w:shd w:val="clea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五、与投诉事项相关的投诉请求</w:t>
      </w:r>
    </w:p>
    <w:p w14:paraId="5431A6D3">
      <w:pPr>
        <w:shd w:val="clea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请求：</w:t>
      </w:r>
      <w:r>
        <w:rPr>
          <w:rFonts w:hint="eastAsia" w:ascii="宋体" w:hAnsi="宋体" w:eastAsia="宋体" w:cs="宋体"/>
          <w:color w:val="auto"/>
          <w:sz w:val="24"/>
          <w:szCs w:val="24"/>
          <w:highlight w:val="none"/>
          <w:u w:val="dotted"/>
        </w:rPr>
        <w:t xml:space="preserve">                                              </w:t>
      </w:r>
      <w:r>
        <w:rPr>
          <w:rFonts w:hint="eastAsia" w:ascii="宋体" w:hAnsi="宋体" w:eastAsia="宋体" w:cs="宋体"/>
          <w:color w:val="auto"/>
          <w:sz w:val="24"/>
          <w:szCs w:val="24"/>
          <w:highlight w:val="none"/>
        </w:rPr>
        <w:t xml:space="preserve"> </w:t>
      </w:r>
    </w:p>
    <w:p w14:paraId="6A083421">
      <w:pPr>
        <w:shd w:val="clear"/>
        <w:spacing w:line="360" w:lineRule="auto"/>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 xml:space="preserve">                                                                                                    </w:t>
      </w:r>
    </w:p>
    <w:p w14:paraId="6D8778A4">
      <w:pPr>
        <w:shd w:val="clea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签字(签章)：                   公章：                      </w:t>
      </w:r>
    </w:p>
    <w:p w14:paraId="61504DBF">
      <w:pPr>
        <w:shd w:val="clea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日期：    </w:t>
      </w:r>
    </w:p>
    <w:p w14:paraId="59043DFA">
      <w:pPr>
        <w:shd w:val="clear"/>
        <w:spacing w:line="360" w:lineRule="auto"/>
        <w:rPr>
          <w:rFonts w:hint="eastAsia" w:ascii="宋体" w:hAnsi="宋体" w:eastAsia="宋体" w:cs="宋体"/>
          <w:b/>
          <w:color w:val="auto"/>
          <w:sz w:val="24"/>
          <w:szCs w:val="24"/>
          <w:highlight w:val="none"/>
        </w:rPr>
      </w:pPr>
    </w:p>
    <w:p w14:paraId="2CC547BE">
      <w:pPr>
        <w:shd w:val="clear"/>
        <w:spacing w:line="360" w:lineRule="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投诉书制作说明：</w:t>
      </w:r>
    </w:p>
    <w:p w14:paraId="55C6DE07">
      <w:pPr>
        <w:widowControl/>
        <w:shd w:val="clear"/>
        <w:spacing w:line="360" w:lineRule="auto"/>
        <w:ind w:firstLine="480" w:firstLineChars="200"/>
        <w:rPr>
          <w:rFonts w:hint="eastAsia" w:ascii="宋体" w:hAnsi="宋体" w:eastAsia="宋体" w:cs="宋体"/>
          <w:color w:val="auto"/>
          <w:kern w:val="0"/>
          <w:sz w:val="24"/>
          <w:szCs w:val="24"/>
          <w:highlight w:val="none"/>
        </w:rPr>
      </w:pPr>
      <w:r>
        <w:rPr>
          <w:rFonts w:hint="eastAsia" w:ascii="宋体" w:hAnsi="宋体" w:eastAsia="宋体" w:cs="宋体"/>
          <w:color w:val="auto"/>
          <w:sz w:val="24"/>
          <w:szCs w:val="24"/>
          <w:highlight w:val="none"/>
        </w:rPr>
        <w:t>1.投诉人提起投诉时，应当提交投诉书和必要的证明材料，并按照被投诉人和与投诉事项有关的供应商数量提供投诉书副本。</w:t>
      </w:r>
    </w:p>
    <w:p w14:paraId="40A53DBF">
      <w:pPr>
        <w:widowControl/>
        <w:shd w:val="clear"/>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sz w:val="24"/>
          <w:szCs w:val="24"/>
          <w:highlight w:val="none"/>
        </w:rPr>
        <w:t>2.投诉人若委托代理人进行投诉的，投诉书应按照要求列明“授权代表”的有关内容，并在附件中提交由</w:t>
      </w:r>
      <w:r>
        <w:rPr>
          <w:rFonts w:hint="eastAsia" w:ascii="宋体" w:hAnsi="宋体" w:eastAsia="宋体" w:cs="宋体"/>
          <w:color w:val="auto"/>
          <w:kern w:val="0"/>
          <w:sz w:val="24"/>
          <w:szCs w:val="24"/>
          <w:highlight w:val="none"/>
        </w:rPr>
        <w:t>投诉人签署的授权委托书。授权委托书应当载明代理人的姓名或者名称、代理事项、具体权限、期限和相关事项。</w:t>
      </w:r>
    </w:p>
    <w:p w14:paraId="34F52215">
      <w:pPr>
        <w:widowControl/>
        <w:shd w:val="clear"/>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3.投诉人若对项目的某一分包进行投诉，投诉书应列明具体分包号。</w:t>
      </w:r>
    </w:p>
    <w:p w14:paraId="787F563A">
      <w:pPr>
        <w:widowControl/>
        <w:shd w:val="clear"/>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4.投诉书应简要列明质疑事项，质疑函、质疑答复等作为附件材料提供。</w:t>
      </w:r>
    </w:p>
    <w:p w14:paraId="6E1520EB">
      <w:pPr>
        <w:widowControl/>
        <w:shd w:val="clear"/>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5.投诉书的投诉事项应具体、明确，并有必要的事实依据和法律依据。</w:t>
      </w:r>
    </w:p>
    <w:p w14:paraId="3FE34CDC">
      <w:pPr>
        <w:widowControl/>
        <w:shd w:val="clear"/>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6.投诉书的投诉请求应与投诉事项相关。</w:t>
      </w:r>
    </w:p>
    <w:p w14:paraId="47AB9416">
      <w:pPr>
        <w:widowControl/>
        <w:shd w:val="clear"/>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sz w:val="24"/>
          <w:szCs w:val="24"/>
          <w:highlight w:val="none"/>
        </w:rPr>
        <w:t>7.投诉人为自然人的，投诉书应当由本人签字；投诉人为法人或者其他组织的，投诉书应当由法定代表人、主要负责人，或者其授权代表签字或者盖章，并加盖公章。</w:t>
      </w:r>
    </w:p>
    <w:p w14:paraId="0CF108FE">
      <w:pPr>
        <w:shd w:val="clear"/>
        <w:rPr>
          <w:rFonts w:hint="eastAsia" w:ascii="宋体" w:hAnsi="宋体" w:eastAsia="宋体" w:cs="宋体"/>
          <w:color w:val="auto"/>
          <w:highlight w:val="none"/>
        </w:rPr>
      </w:pPr>
    </w:p>
    <w:p w14:paraId="0795EA6C">
      <w:pPr>
        <w:rPr>
          <w:color w:val="auto"/>
          <w:highlight w:val="none"/>
        </w:rPr>
      </w:pPr>
    </w:p>
    <w:p w14:paraId="0CCECF6D">
      <w:pPr>
        <w:rPr>
          <w:color w:val="auto"/>
          <w:highlight w:val="none"/>
        </w:rPr>
      </w:pPr>
    </w:p>
    <w:sectPr>
      <w:footerReference r:id="rId10" w:type="first"/>
      <w:headerReference r:id="rId7" w:type="default"/>
      <w:footerReference r:id="rId8" w:type="default"/>
      <w:footerReference r:id="rId9" w:type="even"/>
      <w:pgSz w:w="11905" w:h="16838"/>
      <w:pgMar w:top="1134" w:right="1134" w:bottom="1134" w:left="1134" w:header="850" w:footer="850" w:gutter="0"/>
      <w:pgNumType w:fmt="decimal"/>
      <w:cols w:space="0" w:num="1"/>
      <w:titlePg/>
      <w:rtlGutter w:val="0"/>
      <w:docGrid w:linePitch="331"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88"/>
    <w:family w:val="moder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Microsoft JhengHei">
    <w:panose1 w:val="020B0604030504040204"/>
    <w:charset w:val="88"/>
    <w:family w:val="swiss"/>
    <w:pitch w:val="default"/>
    <w:sig w:usb0="00000087" w:usb1="28AF4000" w:usb2="00000016" w:usb3="00000000" w:csb0="00100009" w:csb1="00000000"/>
  </w:font>
  <w:font w:name="微软雅黑">
    <w:panose1 w:val="020B0503020204020204"/>
    <w:charset w:val="86"/>
    <w:family w:val="swiss"/>
    <w:pitch w:val="default"/>
    <w:sig w:usb0="80000287" w:usb1="280F3C52" w:usb2="00000016" w:usb3="00000000" w:csb0="0004001F" w:csb1="00000000"/>
  </w:font>
  <w:font w:name="monospace">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方正小标宋简体">
    <w:altName w:val="黑体"/>
    <w:panose1 w:val="03000509000000000000"/>
    <w:charset w:val="86"/>
    <w:family w:val="auto"/>
    <w:pitch w:val="default"/>
    <w:sig w:usb0="00000000" w:usb1="00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E7FEE96">
    <w:pPr>
      <w:pStyle w:val="13"/>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FE0C62D">
                          <w:pPr>
                            <w:pStyle w:val="13"/>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2</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CJEl4xAgAAYQ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ouczigxTKPgl+/fLj9+&#10;XX5+JbMkT+3CAlEPDnGxeWsbNM1wHnCYWDel1+kLPgR+iHu+iiuaSHi6NJ/O52O4OHzDBvjZ43Xn&#10;Q3wnrCbJyKlH9VpR2WkXYhc6hKRsxm6lUm0FlSE1KLx+M24vXD0AVwY5EonuscmKzb7pme1tcQYx&#10;b7vOCI5vJZLvWIj3zKMV8GAMS7zDUiqLJLa3KKms//Kv8xSPCsFLSY3WyqnBJFGi3htUDoBxMPxg&#10;7AfDHPWtRa9OMISOtyYu+KgGs/RWf8YErVMOuJjhyJTTOJi3sWtvTCAX63UbdHReHqruAvrOsbgz&#10;D46nNEnI4NbHCDFbjZNAnSq9bui8tkr9lKTW/nPfRj3+GVa/A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wiRJeMQIAAGEEAAAOAAAAAAAAAAEAIAAAAB8BAABkcnMvZTJvRG9jLnhtbFBLBQYA&#10;AAAABgAGAFkBAADCBQAAAAA=&#10;">
              <v:fill on="f" focussize="0,0"/>
              <v:stroke on="f" weight="0.5pt"/>
              <v:imagedata o:title=""/>
              <o:lock v:ext="edit" aspectratio="f"/>
              <v:textbox inset="0mm,0mm,0mm,0mm" style="mso-fit-shape-to-text:t;">
                <w:txbxContent>
                  <w:p w14:paraId="4FE0C62D">
                    <w:pPr>
                      <w:pStyle w:val="13"/>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2</w:t>
                    </w:r>
                    <w:r>
                      <w:rPr>
                        <w:rFonts w:hint="eastAsia"/>
                        <w:lang w:eastAsia="zh-CN"/>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47D9AAC">
    <w:pPr>
      <w:pStyle w:val="13"/>
    </w:pPr>
    <w:r>
      <w:rPr>
        <w:sz w:val="18"/>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D810AC1">
                          <w:pPr>
                            <w:pStyle w:val="13"/>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WLh2QyAgAAYQQAAA4AAABkcnMvZTJvRG9jLnhtbK1UzY7TMBC+I/EO&#10;lu80aRG7Vd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9YuHZDICAABhBAAADgAAAAAAAAABACAAAAAfAQAAZHJzL2Uyb0RvYy54bWxQSwUG&#10;AAAAAAYABgBZAQAAwwUAAAAA&#10;">
              <v:fill on="f" focussize="0,0"/>
              <v:stroke on="f" weight="0.5pt"/>
              <v:imagedata o:title=""/>
              <o:lock v:ext="edit" aspectratio="f"/>
              <v:textbox inset="0mm,0mm,0mm,0mm" style="mso-fit-shape-to-text:t;">
                <w:txbxContent>
                  <w:p w14:paraId="2D810AC1">
                    <w:pPr>
                      <w:pStyle w:val="13"/>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94C6D27">
    <w:pPr>
      <w:widowControl w:val="0"/>
      <w:snapToGrid w:val="0"/>
      <w:jc w:val="center"/>
      <w:rPr>
        <w:rFonts w:ascii="Times New Roman" w:hAnsi="Times New Roman" w:eastAsia="宋体" w:cs="Times New Roman"/>
        <w:kern w:val="2"/>
        <w:sz w:val="18"/>
        <w:szCs w:val="18"/>
        <w:lang w:val="en-US" w:eastAsia="zh-CN" w:bidi="ar-SA"/>
      </w:rPr>
    </w:pPr>
    <w:r>
      <w:rPr>
        <w:rFonts w:ascii="Times New Roman" w:hAnsi="Times New Roman" w:eastAsia="宋体" w:cs="Times New Roman"/>
        <w:kern w:val="2"/>
        <w:sz w:val="18"/>
        <w:szCs w:val="18"/>
        <w:lang w:val="en-US" w:eastAsia="zh-CN" w:bidi="ar-SA"/>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14935" cy="131445"/>
              <wp:effectExtent l="0" t="0" r="0" b="0"/>
              <wp:wrapNone/>
              <wp:docPr id="5" name="文本框 5"/>
              <wp:cNvGraphicFramePr/>
              <a:graphic xmlns:a="http://schemas.openxmlformats.org/drawingml/2006/main">
                <a:graphicData uri="http://schemas.microsoft.com/office/word/2010/wordprocessingShape">
                  <wps:wsp>
                    <wps:cNvSpPr txBox="1"/>
                    <wps:spPr>
                      <a:xfrm>
                        <a:off x="0" y="0"/>
                        <a:ext cx="114935" cy="131445"/>
                      </a:xfrm>
                      <a:prstGeom prst="rect">
                        <a:avLst/>
                      </a:prstGeom>
                      <a:noFill/>
                      <a:ln>
                        <a:noFill/>
                      </a:ln>
                    </wps:spPr>
                    <wps:txbx>
                      <w:txbxContent>
                        <w:p w14:paraId="01D45242">
                          <w:pPr>
                            <w:widowControl w:val="0"/>
                            <w:snapToGrid w:val="0"/>
                            <w:jc w:val="left"/>
                            <w:rPr>
                              <w:rFonts w:ascii="Times New Roman" w:hAnsi="Times New Roman" w:eastAsia="宋体" w:cs="Times New Roman"/>
                              <w:kern w:val="2"/>
                              <w:sz w:val="18"/>
                              <w:szCs w:val="18"/>
                              <w:lang w:val="en-US" w:eastAsia="zh-CN" w:bidi="ar-SA"/>
                            </w:rPr>
                          </w:pPr>
                          <w:r>
                            <w:rPr>
                              <w:rFonts w:ascii="Times New Roman" w:hAnsi="Times New Roman" w:eastAsia="宋体" w:cs="Times New Roman"/>
                              <w:kern w:val="2"/>
                              <w:sz w:val="18"/>
                              <w:szCs w:val="18"/>
                              <w:lang w:val="en-US" w:eastAsia="zh-CN" w:bidi="ar-SA"/>
                            </w:rPr>
                            <w:fldChar w:fldCharType="begin"/>
                          </w:r>
                          <w:r>
                            <w:rPr>
                              <w:rFonts w:ascii="Times New Roman" w:hAnsi="Times New Roman" w:eastAsia="宋体" w:cs="Times New Roman"/>
                              <w:kern w:val="2"/>
                              <w:sz w:val="18"/>
                              <w:szCs w:val="18"/>
                              <w:lang w:val="en-US" w:eastAsia="zh-CN" w:bidi="ar-SA"/>
                            </w:rPr>
                            <w:instrText xml:space="preserve"> PAGE  \* MERGEFORMAT </w:instrText>
                          </w:r>
                          <w:r>
                            <w:rPr>
                              <w:rFonts w:ascii="Times New Roman" w:hAnsi="Times New Roman" w:eastAsia="宋体" w:cs="Times New Roman"/>
                              <w:kern w:val="2"/>
                              <w:sz w:val="18"/>
                              <w:szCs w:val="18"/>
                              <w:lang w:val="en-US" w:eastAsia="zh-CN" w:bidi="ar-SA"/>
                            </w:rPr>
                            <w:fldChar w:fldCharType="separate"/>
                          </w:r>
                          <w:r>
                            <w:rPr>
                              <w:rFonts w:ascii="Times New Roman" w:hAnsi="Times New Roman" w:eastAsia="宋体" w:cs="Times New Roman"/>
                              <w:kern w:val="2"/>
                              <w:sz w:val="18"/>
                              <w:szCs w:val="18"/>
                              <w:lang w:val="en-US" w:eastAsia="zh-CN" w:bidi="ar-SA"/>
                            </w:rPr>
                            <w:t>9</w:t>
                          </w:r>
                          <w:r>
                            <w:rPr>
                              <w:rFonts w:ascii="Times New Roman" w:hAnsi="Times New Roman" w:eastAsia="宋体" w:cs="Times New Roman"/>
                              <w:kern w:val="2"/>
                              <w:sz w:val="18"/>
                              <w:szCs w:val="18"/>
                              <w:lang w:val="en-US" w:eastAsia="zh-CN" w:bidi="ar-SA"/>
                            </w:rP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0.35pt;width:9.05pt;mso-position-horizontal:center;mso-position-horizontal-relative:margin;mso-wrap-style:none;z-index:251659264;mso-width-relative:page;mso-height-relative:page;" filled="f" stroked="f" coordsize="21600,21600" o:gfxdata="UEsDBAoAAAAAAIdO4kAAAAAAAAAAAAAAAAAEAAAAZHJzL1BLAwQUAAAACACHTuJAQ+V+SdAAAAAD&#10;AQAADwAAAGRycy9kb3ducmV2LnhtbE2PMW/CMBCF90r9D9ZV6lbsMJQoxGFAYmGDVkhsJj7iCPsc&#10;2SYk/76mS7uc9PSe3vuu3kzOshFD7D1JKBYCGFLrdU+dhO+v3UcJLCZFWllPKGHGCJvm9aVWlfYP&#10;OuB4TB3LJRQrJcGkNFScx9agU3HhB6TsXX1wKmUZOq6DeuRyZ/lSiE/uVE95wagBtwbb2/HuJKym&#10;k8ch4hbP17ENpp9Lu5+lfH8rxBpYwin9heGJn9GhyUwXfycdmZWQH0m/9+mVBbCLhKVYAW9q/p+9&#10;+QFQSwMEFAAAAAgAh07iQE4962TOAQAAlwMAAA4AAABkcnMvZTJvRG9jLnhtbK1TS27bMBDdF+gd&#10;CO5rWYlTNILlIIWRokDRFkh6AJoiLQL8gUNb8gXaG3TVTfc9l8+RISU5TbLJIhtpOBy9ee/NaHnV&#10;G032IoBytqblbE6JsNw1ym5r+uPu5t0HSiAy2zDtrKjpQQC9Wr19s+x8Jc5c63QjAkEQC1Xna9rG&#10;6KuiAN4Kw2DmvLB4KV0wLOIxbIsmsA7RjS7O5vP3RedC44PjAgCz6+GSjojhJYBOSsXF2vGdETYO&#10;qEFoFlEStMoDXWW2Ugoev0kJIhJdU1Qa8xObYLxJz2K1ZNU2MN8qPlJgL6HwRJNhymLTE9SaRUZ2&#10;QT2DMooHB07GGXemGIRkR1BFOX/izW3LvMha0GrwJ9Ph9WD51/33QFRT0wtKLDM48OPvX8c//45/&#10;f5KLZE/nocKqW491sf/oelyaKQ+YTKp7GUx6ox6C92ju4WSu6CPh6aNycXmOTTheleflYpHRi4eP&#10;fYD4SThDUlDTgLPLlrL9F4hIBEunktTLuhuldZ6fto8SWJgyRWI+MExR7Df9KGfjmgOq6XDsNbW4&#10;5ZTozxZdTRsyBWEKNlOw80Ft27xCqR/4611EEplb6jDAjo1xXpnyuFtpIf4/56qH/2l1D1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DcEAABbQ29u&#10;dGVudF9UeXBlc10ueG1sUEsBAhQACgAAAAAAh07iQAAAAAAAAAAAAAAAAAYAAAAAAAAAAAAQAAAA&#10;GQMAAF9yZWxzL1BLAQIUABQAAAAIAIdO4kCKFGY80QAAAJQBAAALAAAAAAAAAAEAIAAAAD0DAABf&#10;cmVscy8ucmVsc1BLAQIUAAoAAAAAAIdO4kAAAAAAAAAAAAAAAAAEAAAAAAAAAAAAEAAAAAAAAABk&#10;cnMvUEsBAhQAFAAAAAgAh07iQEPlfknQAAAAAwEAAA8AAAAAAAAAAQAgAAAAIgAAAGRycy9kb3du&#10;cmV2LnhtbFBLAQIUABQAAAAIAIdO4kBOPetkzgEAAJcDAAAOAAAAAAAAAAEAIAAAAB8BAABkcnMv&#10;ZTJvRG9jLnhtbFBLBQYAAAAABgAGAFkBAABfBQAAAAA=&#10;">
              <v:fill on="f" focussize="0,0"/>
              <v:stroke on="f"/>
              <v:imagedata o:title=""/>
              <o:lock v:ext="edit" aspectratio="f"/>
              <v:textbox inset="0mm,0mm,0mm,0mm" style="mso-fit-shape-to-text:t;">
                <w:txbxContent>
                  <w:p w14:paraId="01D45242">
                    <w:pPr>
                      <w:widowControl w:val="0"/>
                      <w:snapToGrid w:val="0"/>
                      <w:jc w:val="left"/>
                      <w:rPr>
                        <w:rFonts w:ascii="Times New Roman" w:hAnsi="Times New Roman" w:eastAsia="宋体" w:cs="Times New Roman"/>
                        <w:kern w:val="2"/>
                        <w:sz w:val="18"/>
                        <w:szCs w:val="18"/>
                        <w:lang w:val="en-US" w:eastAsia="zh-CN" w:bidi="ar-SA"/>
                      </w:rPr>
                    </w:pPr>
                    <w:r>
                      <w:rPr>
                        <w:rFonts w:ascii="Times New Roman" w:hAnsi="Times New Roman" w:eastAsia="宋体" w:cs="Times New Roman"/>
                        <w:kern w:val="2"/>
                        <w:sz w:val="18"/>
                        <w:szCs w:val="18"/>
                        <w:lang w:val="en-US" w:eastAsia="zh-CN" w:bidi="ar-SA"/>
                      </w:rPr>
                      <w:fldChar w:fldCharType="begin"/>
                    </w:r>
                    <w:r>
                      <w:rPr>
                        <w:rFonts w:ascii="Times New Roman" w:hAnsi="Times New Roman" w:eastAsia="宋体" w:cs="Times New Roman"/>
                        <w:kern w:val="2"/>
                        <w:sz w:val="18"/>
                        <w:szCs w:val="18"/>
                        <w:lang w:val="en-US" w:eastAsia="zh-CN" w:bidi="ar-SA"/>
                      </w:rPr>
                      <w:instrText xml:space="preserve"> PAGE  \* MERGEFORMAT </w:instrText>
                    </w:r>
                    <w:r>
                      <w:rPr>
                        <w:rFonts w:ascii="Times New Roman" w:hAnsi="Times New Roman" w:eastAsia="宋体" w:cs="Times New Roman"/>
                        <w:kern w:val="2"/>
                        <w:sz w:val="18"/>
                        <w:szCs w:val="18"/>
                        <w:lang w:val="en-US" w:eastAsia="zh-CN" w:bidi="ar-SA"/>
                      </w:rPr>
                      <w:fldChar w:fldCharType="separate"/>
                    </w:r>
                    <w:r>
                      <w:rPr>
                        <w:rFonts w:ascii="Times New Roman" w:hAnsi="Times New Roman" w:eastAsia="宋体" w:cs="Times New Roman"/>
                        <w:kern w:val="2"/>
                        <w:sz w:val="18"/>
                        <w:szCs w:val="18"/>
                        <w:lang w:val="en-US" w:eastAsia="zh-CN" w:bidi="ar-SA"/>
                      </w:rPr>
                      <w:t>9</w:t>
                    </w:r>
                    <w:r>
                      <w:rPr>
                        <w:rFonts w:ascii="Times New Roman" w:hAnsi="Times New Roman" w:eastAsia="宋体" w:cs="Times New Roman"/>
                        <w:kern w:val="2"/>
                        <w:sz w:val="18"/>
                        <w:szCs w:val="18"/>
                        <w:lang w:val="en-US" w:eastAsia="zh-CN" w:bidi="ar-SA"/>
                      </w:rPr>
                      <w:fldChar w:fldCharType="end"/>
                    </w:r>
                  </w:p>
                </w:txbxContent>
              </v:textbox>
            </v:shape>
          </w:pict>
        </mc:Fallback>
      </mc:AlternateContent>
    </w:r>
  </w:p>
  <w:p w14:paraId="125F0034">
    <w:pPr>
      <w:widowControl w:val="0"/>
      <w:snapToGrid w:val="0"/>
      <w:jc w:val="left"/>
      <w:rPr>
        <w:rFonts w:ascii="Times New Roman" w:hAnsi="Times New Roman" w:eastAsia="宋体" w:cs="Times New Roman"/>
        <w:kern w:val="2"/>
        <w:sz w:val="18"/>
        <w:szCs w:val="18"/>
        <w:lang w:val="en-US" w:eastAsia="zh-CN" w:bidi="ar-SA"/>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CDE8E71">
    <w:pPr>
      <w:pStyle w:val="13"/>
      <w:jc w:val="center"/>
      <w:rPr>
        <w:rFonts w:ascii="Times New Roman" w:hAnsi="Times New Roman" w:eastAsia="宋体" w:cs="Times New Roman"/>
      </w:rPr>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B00A0A2">
                          <w:pPr>
                            <w:pStyle w:val="13"/>
                            <w:jc w:val="center"/>
                          </w:pPr>
                          <w:r>
                            <w:rPr>
                              <w:rFonts w:ascii="Times New Roman" w:hAnsi="Times New Roman" w:eastAsia="宋体" w:cs="Times New Roman"/>
                            </w:rPr>
                            <w:fldChar w:fldCharType="begin"/>
                          </w:r>
                          <w:r>
                            <w:rPr>
                              <w:rFonts w:ascii="Times New Roman" w:hAnsi="Times New Roman" w:eastAsia="宋体" w:cs="Times New Roman"/>
                            </w:rPr>
                            <w:instrText xml:space="preserve"> PAGE   \* MERGEFORMAT </w:instrText>
                          </w:r>
                          <w:r>
                            <w:rPr>
                              <w:rFonts w:ascii="Times New Roman" w:hAnsi="Times New Roman" w:eastAsia="宋体" w:cs="Times New Roman"/>
                            </w:rPr>
                            <w:fldChar w:fldCharType="separate"/>
                          </w:r>
                          <w:r>
                            <w:rPr>
                              <w:rFonts w:ascii="Times New Roman" w:hAnsi="Times New Roman" w:eastAsia="宋体" w:cs="Times New Roman"/>
                              <w:lang w:val="zh-CN"/>
                            </w:rPr>
                            <w:t>104</w:t>
                          </w:r>
                          <w:r>
                            <w:rPr>
                              <w:rFonts w:ascii="Times New Roman" w:hAnsi="Times New Roman" w:eastAsia="宋体" w:cs="Times New Roma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0B00A0A2">
                    <w:pPr>
                      <w:pStyle w:val="13"/>
                      <w:jc w:val="center"/>
                    </w:pPr>
                    <w:r>
                      <w:rPr>
                        <w:rFonts w:ascii="Times New Roman" w:hAnsi="Times New Roman" w:eastAsia="宋体" w:cs="Times New Roman"/>
                      </w:rPr>
                      <w:fldChar w:fldCharType="begin"/>
                    </w:r>
                    <w:r>
                      <w:rPr>
                        <w:rFonts w:ascii="Times New Roman" w:hAnsi="Times New Roman" w:eastAsia="宋体" w:cs="Times New Roman"/>
                      </w:rPr>
                      <w:instrText xml:space="preserve"> PAGE   \* MERGEFORMAT </w:instrText>
                    </w:r>
                    <w:r>
                      <w:rPr>
                        <w:rFonts w:ascii="Times New Roman" w:hAnsi="Times New Roman" w:eastAsia="宋体" w:cs="Times New Roman"/>
                      </w:rPr>
                      <w:fldChar w:fldCharType="separate"/>
                    </w:r>
                    <w:r>
                      <w:rPr>
                        <w:rFonts w:ascii="Times New Roman" w:hAnsi="Times New Roman" w:eastAsia="宋体" w:cs="Times New Roman"/>
                        <w:lang w:val="zh-CN"/>
                      </w:rPr>
                      <w:t>104</w:t>
                    </w:r>
                    <w:r>
                      <w:rPr>
                        <w:rFonts w:ascii="Times New Roman" w:hAnsi="Times New Roman" w:eastAsia="宋体" w:cs="Times New Roman"/>
                      </w:rPr>
                      <w:fldChar w:fldCharType="end"/>
                    </w:r>
                  </w:p>
                </w:txbxContent>
              </v:textbox>
            </v:shape>
          </w:pict>
        </mc:Fallback>
      </mc:AlternateContent>
    </w:r>
  </w:p>
  <w:p w14:paraId="27989C07">
    <w:pPr>
      <w:pStyle w:val="13"/>
      <w:rPr>
        <w:rFonts w:ascii="Times New Roman" w:hAnsi="Times New Roman" w:eastAsia="宋体" w:cs="Times New Roman"/>
      </w:rP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11AD8C7">
    <w:pPr>
      <w:pStyle w:val="13"/>
      <w:framePr w:wrap="around" w:vAnchor="text" w:hAnchor="margin" w:xAlign="center" w:y="1"/>
      <w:rPr>
        <w:rStyle w:val="21"/>
        <w:rFonts w:ascii="Times New Roman" w:hAnsi="Times New Roman" w:eastAsia="宋体" w:cs="Times New Roman"/>
      </w:rPr>
    </w:pPr>
    <w:r>
      <w:rPr>
        <w:rFonts w:ascii="Times New Roman" w:hAnsi="Times New Roman" w:eastAsia="宋体" w:cs="Times New Roman"/>
      </w:rPr>
      <w:fldChar w:fldCharType="begin"/>
    </w:r>
    <w:r>
      <w:rPr>
        <w:rStyle w:val="21"/>
        <w:rFonts w:ascii="Times New Roman" w:hAnsi="Times New Roman" w:eastAsia="宋体" w:cs="Times New Roman"/>
      </w:rPr>
      <w:instrText xml:space="preserve">PAGE  </w:instrText>
    </w:r>
    <w:r>
      <w:rPr>
        <w:rFonts w:ascii="Times New Roman" w:hAnsi="Times New Roman" w:eastAsia="宋体" w:cs="Times New Roman"/>
      </w:rPr>
      <w:fldChar w:fldCharType="end"/>
    </w:r>
  </w:p>
  <w:p w14:paraId="0876D5BC">
    <w:pPr>
      <w:pStyle w:val="13"/>
      <w:rPr>
        <w:rFonts w:ascii="Times New Roman" w:hAnsi="Times New Roman" w:eastAsia="宋体" w:cs="Times New Roman"/>
      </w:rP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F9C840A">
    <w:pPr>
      <w:pStyle w:val="13"/>
      <w:ind w:right="360"/>
      <w:jc w:val="both"/>
      <w:rPr>
        <w:rFonts w:hint="eastAsia" w:ascii="Times New Roman" w:hAnsi="Times New Roman" w:eastAsia="宋体" w:cs="Times New Roman"/>
      </w:rPr>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3A9FAEB">
                          <w:pPr>
                            <w:pStyle w:val="13"/>
                            <w:rPr>
                              <w:rStyle w:val="21"/>
                              <w:rFonts w:ascii="Times New Roman" w:hAnsi="Times New Roman" w:eastAsia="宋体" w:cs="Times New Roman"/>
                            </w:rPr>
                          </w:pPr>
                          <w:r>
                            <w:rPr>
                              <w:rFonts w:ascii="Times New Roman" w:hAnsi="Times New Roman" w:eastAsia="宋体" w:cs="Times New Roman"/>
                            </w:rPr>
                            <w:fldChar w:fldCharType="begin"/>
                          </w:r>
                          <w:r>
                            <w:rPr>
                              <w:rStyle w:val="21"/>
                              <w:rFonts w:ascii="Times New Roman" w:hAnsi="Times New Roman" w:eastAsia="宋体" w:cs="Times New Roman"/>
                            </w:rPr>
                            <w:instrText xml:space="preserve">PAGE  </w:instrText>
                          </w:r>
                          <w:r>
                            <w:rPr>
                              <w:rFonts w:ascii="Times New Roman" w:hAnsi="Times New Roman" w:eastAsia="宋体" w:cs="Times New Roman"/>
                            </w:rPr>
                            <w:fldChar w:fldCharType="separate"/>
                          </w:r>
                          <w:r>
                            <w:rPr>
                              <w:rStyle w:val="21"/>
                              <w:rFonts w:ascii="Times New Roman" w:hAnsi="Times New Roman" w:eastAsia="宋体" w:cs="Times New Roman"/>
                            </w:rPr>
                            <w:t>122</w:t>
                          </w:r>
                          <w:r>
                            <w:rPr>
                              <w:rFonts w:ascii="Times New Roman" w:hAnsi="Times New Roman" w:eastAsia="宋体" w:cs="Times New Roman"/>
                            </w:rPr>
                            <w:fldChar w:fldCharType="end"/>
                          </w:r>
                        </w:p>
                        <w:p w14:paraId="53CAC53E"/>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53A9FAEB">
                    <w:pPr>
                      <w:pStyle w:val="13"/>
                      <w:rPr>
                        <w:rStyle w:val="21"/>
                        <w:rFonts w:ascii="Times New Roman" w:hAnsi="Times New Roman" w:eastAsia="宋体" w:cs="Times New Roman"/>
                      </w:rPr>
                    </w:pPr>
                    <w:r>
                      <w:rPr>
                        <w:rFonts w:ascii="Times New Roman" w:hAnsi="Times New Roman" w:eastAsia="宋体" w:cs="Times New Roman"/>
                      </w:rPr>
                      <w:fldChar w:fldCharType="begin"/>
                    </w:r>
                    <w:r>
                      <w:rPr>
                        <w:rStyle w:val="21"/>
                        <w:rFonts w:ascii="Times New Roman" w:hAnsi="Times New Roman" w:eastAsia="宋体" w:cs="Times New Roman"/>
                      </w:rPr>
                      <w:instrText xml:space="preserve">PAGE  </w:instrText>
                    </w:r>
                    <w:r>
                      <w:rPr>
                        <w:rFonts w:ascii="Times New Roman" w:hAnsi="Times New Roman" w:eastAsia="宋体" w:cs="Times New Roman"/>
                      </w:rPr>
                      <w:fldChar w:fldCharType="separate"/>
                    </w:r>
                    <w:r>
                      <w:rPr>
                        <w:rStyle w:val="21"/>
                        <w:rFonts w:ascii="Times New Roman" w:hAnsi="Times New Roman" w:eastAsia="宋体" w:cs="Times New Roman"/>
                      </w:rPr>
                      <w:t>122</w:t>
                    </w:r>
                    <w:r>
                      <w:rPr>
                        <w:rFonts w:ascii="Times New Roman" w:hAnsi="Times New Roman" w:eastAsia="宋体" w:cs="Times New Roman"/>
                      </w:rPr>
                      <w:fldChar w:fldCharType="end"/>
                    </w:r>
                  </w:p>
                  <w:p w14:paraId="53CAC53E"/>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13FBA36">
    <w:pPr>
      <w:pStyle w:val="14"/>
      <w:pBdr>
        <w:bottom w:val="none" w:color="auto" w:sz="0" w:space="1"/>
      </w:pBdr>
      <w:rPr>
        <w:rFonts w:ascii="Times New Roman" w:hAnsi="Times New Roman" w:eastAsia="宋体" w:cs="Times New Roman"/>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0FCB6D7">
    <w:pPr>
      <w:pStyle w:val="14"/>
      <w:pBdr>
        <w:bottom w:val="none" w:color="auto" w:sz="0" w:space="1"/>
      </w:pBdr>
      <w:tabs>
        <w:tab w:val="center" w:pos="0"/>
        <w:tab w:val="clear" w:pos="4153"/>
      </w:tabs>
      <w:rPr>
        <w:rFonts w:ascii="Times New Roman" w:hAnsi="Times New Roman" w:eastAsia="宋体" w:cs="Times New Roman"/>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66B2D61"/>
    <w:multiLevelType w:val="singleLevel"/>
    <w:tmpl w:val="B66B2D61"/>
    <w:lvl w:ilvl="0" w:tentative="0">
      <w:start w:val="1"/>
      <w:numFmt w:val="decimal"/>
      <w:suff w:val="nothing"/>
      <w:lvlText w:val="%1、"/>
      <w:lvlJc w:val="left"/>
    </w:lvl>
  </w:abstractNum>
  <w:abstractNum w:abstractNumId="1">
    <w:nsid w:val="DC3C4FD3"/>
    <w:multiLevelType w:val="singleLevel"/>
    <w:tmpl w:val="DC3C4FD3"/>
    <w:lvl w:ilvl="0" w:tentative="0">
      <w:start w:val="1"/>
      <w:numFmt w:val="decimal"/>
      <w:suff w:val="nothing"/>
      <w:lvlText w:val="（%1）"/>
      <w:lvlJc w:val="left"/>
    </w:lvl>
  </w:abstractNum>
  <w:abstractNum w:abstractNumId="2">
    <w:nsid w:val="FB30FB22"/>
    <w:multiLevelType w:val="singleLevel"/>
    <w:tmpl w:val="FB30FB22"/>
    <w:lvl w:ilvl="0" w:tentative="0">
      <w:start w:val="1"/>
      <w:numFmt w:val="chineseCounting"/>
      <w:suff w:val="nothing"/>
      <w:lvlText w:val="%1、"/>
      <w:lvlJc w:val="left"/>
      <w:rPr>
        <w:rFonts w:hint="eastAsia"/>
      </w:rPr>
    </w:lvl>
  </w:abstractNum>
  <w:abstractNum w:abstractNumId="3">
    <w:nsid w:val="00000007"/>
    <w:multiLevelType w:val="multilevel"/>
    <w:tmpl w:val="00000007"/>
    <w:lvl w:ilvl="0" w:tentative="0">
      <w:start w:val="1"/>
      <w:numFmt w:val="decimal"/>
      <w:lvlText w:val="（%1）"/>
      <w:lvlJc w:val="left"/>
      <w:pPr>
        <w:tabs>
          <w:tab w:val="left" w:pos="1140"/>
        </w:tabs>
        <w:ind w:left="1140" w:hanging="720"/>
      </w:pPr>
      <w:rPr>
        <w:rFonts w:ascii="宋体" w:hAnsi="宋体" w:eastAsia="宋体" w:cs="Times New Roman"/>
      </w:rPr>
    </w:lvl>
    <w:lvl w:ilvl="1" w:tentative="0">
      <w:start w:val="1"/>
      <w:numFmt w:val="lowerLetter"/>
      <w:lvlText w:val="%2)"/>
      <w:lvlJc w:val="left"/>
      <w:pPr>
        <w:tabs>
          <w:tab w:val="left" w:pos="1260"/>
        </w:tabs>
        <w:ind w:left="1260" w:hanging="420"/>
      </w:pPr>
    </w:lvl>
    <w:lvl w:ilvl="2" w:tentative="0">
      <w:start w:val="1"/>
      <w:numFmt w:val="lowerRoman"/>
      <w:lvlText w:val="%3."/>
      <w:lvlJc w:val="right"/>
      <w:pPr>
        <w:tabs>
          <w:tab w:val="left" w:pos="1680"/>
        </w:tabs>
        <w:ind w:left="1680" w:hanging="420"/>
      </w:pPr>
    </w:lvl>
    <w:lvl w:ilvl="3" w:tentative="0">
      <w:start w:val="1"/>
      <w:numFmt w:val="decimal"/>
      <w:lvlText w:val="%4."/>
      <w:lvlJc w:val="left"/>
      <w:pPr>
        <w:tabs>
          <w:tab w:val="left" w:pos="2100"/>
        </w:tabs>
        <w:ind w:left="2100" w:hanging="420"/>
      </w:pPr>
    </w:lvl>
    <w:lvl w:ilvl="4" w:tentative="0">
      <w:start w:val="1"/>
      <w:numFmt w:val="lowerLetter"/>
      <w:lvlText w:val="%5)"/>
      <w:lvlJc w:val="left"/>
      <w:pPr>
        <w:tabs>
          <w:tab w:val="left" w:pos="2520"/>
        </w:tabs>
        <w:ind w:left="2520" w:hanging="420"/>
      </w:pPr>
    </w:lvl>
    <w:lvl w:ilvl="5" w:tentative="0">
      <w:start w:val="1"/>
      <w:numFmt w:val="lowerRoman"/>
      <w:lvlText w:val="%6."/>
      <w:lvlJc w:val="right"/>
      <w:pPr>
        <w:tabs>
          <w:tab w:val="left" w:pos="2940"/>
        </w:tabs>
        <w:ind w:left="2940" w:hanging="420"/>
      </w:pPr>
    </w:lvl>
    <w:lvl w:ilvl="6" w:tentative="0">
      <w:start w:val="1"/>
      <w:numFmt w:val="decimal"/>
      <w:lvlText w:val="%7."/>
      <w:lvlJc w:val="left"/>
      <w:pPr>
        <w:tabs>
          <w:tab w:val="left" w:pos="3360"/>
        </w:tabs>
        <w:ind w:left="3360" w:hanging="420"/>
      </w:pPr>
    </w:lvl>
    <w:lvl w:ilvl="7" w:tentative="0">
      <w:start w:val="1"/>
      <w:numFmt w:val="lowerLetter"/>
      <w:lvlText w:val="%8)"/>
      <w:lvlJc w:val="left"/>
      <w:pPr>
        <w:tabs>
          <w:tab w:val="left" w:pos="3780"/>
        </w:tabs>
        <w:ind w:left="3780" w:hanging="420"/>
      </w:pPr>
    </w:lvl>
    <w:lvl w:ilvl="8" w:tentative="0">
      <w:start w:val="1"/>
      <w:numFmt w:val="lowerRoman"/>
      <w:lvlText w:val="%9."/>
      <w:lvlJc w:val="right"/>
      <w:pPr>
        <w:tabs>
          <w:tab w:val="left" w:pos="4200"/>
        </w:tabs>
        <w:ind w:left="4200" w:hanging="420"/>
      </w:pPr>
    </w:lvl>
  </w:abstractNum>
  <w:abstractNum w:abstractNumId="4">
    <w:nsid w:val="23AAE4C1"/>
    <w:multiLevelType w:val="singleLevel"/>
    <w:tmpl w:val="23AAE4C1"/>
    <w:lvl w:ilvl="0" w:tentative="0">
      <w:start w:val="1"/>
      <w:numFmt w:val="chineseCounting"/>
      <w:suff w:val="nothing"/>
      <w:lvlText w:val="%1、"/>
      <w:lvlJc w:val="left"/>
      <w:rPr>
        <w:rFonts w:hint="eastAsia"/>
      </w:rPr>
    </w:lvl>
  </w:abstractNum>
  <w:abstractNum w:abstractNumId="5">
    <w:nsid w:val="34444808"/>
    <w:multiLevelType w:val="multilevel"/>
    <w:tmpl w:val="34444808"/>
    <w:lvl w:ilvl="0" w:tentative="0">
      <w:start w:val="1"/>
      <w:numFmt w:val="decimal"/>
      <w:lvlText w:val="%1、"/>
      <w:lvlJc w:val="left"/>
      <w:pPr>
        <w:ind w:left="660" w:hanging="360"/>
      </w:pPr>
      <w:rPr>
        <w:rFonts w:hint="default"/>
      </w:rPr>
    </w:lvl>
    <w:lvl w:ilvl="1" w:tentative="0">
      <w:start w:val="1"/>
      <w:numFmt w:val="lowerLetter"/>
      <w:lvlText w:val="%2)"/>
      <w:lvlJc w:val="left"/>
      <w:pPr>
        <w:ind w:left="1140" w:hanging="420"/>
      </w:pPr>
    </w:lvl>
    <w:lvl w:ilvl="2" w:tentative="0">
      <w:start w:val="1"/>
      <w:numFmt w:val="lowerRoman"/>
      <w:lvlText w:val="%3."/>
      <w:lvlJc w:val="right"/>
      <w:pPr>
        <w:ind w:left="1560" w:hanging="420"/>
      </w:pPr>
    </w:lvl>
    <w:lvl w:ilvl="3" w:tentative="0">
      <w:start w:val="1"/>
      <w:numFmt w:val="decimal"/>
      <w:lvlText w:val="%4."/>
      <w:lvlJc w:val="left"/>
      <w:pPr>
        <w:ind w:left="1980" w:hanging="420"/>
      </w:pPr>
    </w:lvl>
    <w:lvl w:ilvl="4" w:tentative="0">
      <w:start w:val="1"/>
      <w:numFmt w:val="lowerLetter"/>
      <w:lvlText w:val="%5)"/>
      <w:lvlJc w:val="left"/>
      <w:pPr>
        <w:ind w:left="2400" w:hanging="420"/>
      </w:pPr>
    </w:lvl>
    <w:lvl w:ilvl="5" w:tentative="0">
      <w:start w:val="1"/>
      <w:numFmt w:val="lowerRoman"/>
      <w:lvlText w:val="%6."/>
      <w:lvlJc w:val="right"/>
      <w:pPr>
        <w:ind w:left="2820" w:hanging="420"/>
      </w:pPr>
    </w:lvl>
    <w:lvl w:ilvl="6" w:tentative="0">
      <w:start w:val="1"/>
      <w:numFmt w:val="decimal"/>
      <w:lvlText w:val="%7."/>
      <w:lvlJc w:val="left"/>
      <w:pPr>
        <w:ind w:left="3240" w:hanging="420"/>
      </w:pPr>
    </w:lvl>
    <w:lvl w:ilvl="7" w:tentative="0">
      <w:start w:val="1"/>
      <w:numFmt w:val="lowerLetter"/>
      <w:lvlText w:val="%8)"/>
      <w:lvlJc w:val="left"/>
      <w:pPr>
        <w:ind w:left="3660" w:hanging="420"/>
      </w:pPr>
    </w:lvl>
    <w:lvl w:ilvl="8" w:tentative="0">
      <w:start w:val="1"/>
      <w:numFmt w:val="lowerRoman"/>
      <w:lvlText w:val="%9."/>
      <w:lvlJc w:val="right"/>
      <w:pPr>
        <w:ind w:left="4080" w:hanging="420"/>
      </w:pPr>
    </w:lvl>
  </w:abstractNum>
  <w:abstractNum w:abstractNumId="6">
    <w:nsid w:val="348E8DD0"/>
    <w:multiLevelType w:val="singleLevel"/>
    <w:tmpl w:val="348E8DD0"/>
    <w:lvl w:ilvl="0" w:tentative="0">
      <w:start w:val="2"/>
      <w:numFmt w:val="decimal"/>
      <w:suff w:val="space"/>
      <w:lvlText w:val="%1."/>
      <w:lvlJc w:val="left"/>
    </w:lvl>
  </w:abstractNum>
  <w:abstractNum w:abstractNumId="7">
    <w:nsid w:val="4E382224"/>
    <w:multiLevelType w:val="singleLevel"/>
    <w:tmpl w:val="4E382224"/>
    <w:lvl w:ilvl="0" w:tentative="0">
      <w:start w:val="2"/>
      <w:numFmt w:val="chineseCounting"/>
      <w:suff w:val="nothing"/>
      <w:lvlText w:val="（%1）"/>
      <w:lvlJc w:val="left"/>
      <w:rPr>
        <w:rFonts w:hint="eastAsia"/>
      </w:rPr>
    </w:lvl>
  </w:abstractNum>
  <w:abstractNum w:abstractNumId="8">
    <w:nsid w:val="51536378"/>
    <w:multiLevelType w:val="singleLevel"/>
    <w:tmpl w:val="51536378"/>
    <w:lvl w:ilvl="0" w:tentative="0">
      <w:start w:val="1"/>
      <w:numFmt w:val="decimal"/>
      <w:suff w:val="nothing"/>
      <w:lvlText w:val="（%1）"/>
      <w:lvlJc w:val="left"/>
      <w:pPr>
        <w:ind w:left="0" w:firstLine="0"/>
      </w:pPr>
    </w:lvl>
  </w:abstractNum>
  <w:num w:numId="1">
    <w:abstractNumId w:val="4"/>
  </w:num>
  <w:num w:numId="2">
    <w:abstractNumId w:val="7"/>
  </w:num>
  <w:num w:numId="3">
    <w:abstractNumId w:val="1"/>
  </w:num>
  <w:num w:numId="4">
    <w:abstractNumId w:val="8"/>
    <w:lvlOverride w:ilvl="0">
      <w:startOverride w:val="1"/>
    </w:lvlOverride>
  </w:num>
  <w:num w:numId="5">
    <w:abstractNumId w:val="2"/>
  </w:num>
  <w:num w:numId="6">
    <w:abstractNumId w:val="0"/>
  </w:num>
  <w:num w:numId="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6"/>
  </w:num>
  <w:num w:numId="9">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3"/>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B784573"/>
    <w:rsid w:val="0CCB5984"/>
    <w:rsid w:val="143524EA"/>
    <w:rsid w:val="1F20339D"/>
    <w:rsid w:val="215C781D"/>
    <w:rsid w:val="24146AB8"/>
    <w:rsid w:val="4E426A45"/>
    <w:rsid w:val="5F3D56E4"/>
    <w:rsid w:val="6B784573"/>
    <w:rsid w:val="700716B5"/>
    <w:rsid w:val="7ABE74A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qFormat="1"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iPriority="1"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qFormat="1" w:unhideWhenUsed="0" w:uiPriority="0" w:semiHidden="0" w:name="HTML Acronym"/>
    <w:lsdException w:unhideWhenUsed="0" w:uiPriority="0" w:semiHidden="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unhideWhenUsed="0" w:uiPriority="0" w:semiHidden="0" w:name="HTML Preformatted"/>
    <w:lsdException w:qFormat="1" w:unhideWhenUsed="0" w:uiPriority="0" w:semiHidden="0" w:name="HTML Sample"/>
    <w:lsdException w:qFormat="1" w:unhideWhenUsed="0" w:uiPriority="0" w:semiHidden="0" w:name="HTML Typewriter"/>
    <w:lsdException w:qFormat="1"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2"/>
    <w:basedOn w:val="1"/>
    <w:next w:val="1"/>
    <w:semiHidden/>
    <w:unhideWhenUsed/>
    <w:qFormat/>
    <w:uiPriority w:val="0"/>
    <w:pPr>
      <w:keepNext/>
      <w:keepLines/>
      <w:widowControl w:val="0"/>
      <w:spacing w:before="260" w:beforeLines="0" w:after="260" w:afterLines="0" w:line="413" w:lineRule="auto"/>
      <w:jc w:val="both"/>
      <w:outlineLvl w:val="1"/>
    </w:pPr>
    <w:rPr>
      <w:rFonts w:ascii="Arial" w:hAnsi="Arial" w:eastAsia="黑体" w:cs="Times New Roman"/>
      <w:b/>
      <w:bCs/>
      <w:kern w:val="2"/>
      <w:sz w:val="32"/>
      <w:szCs w:val="32"/>
      <w:lang w:val="en-US" w:eastAsia="zh-CN" w:bidi="ar-SA"/>
    </w:rPr>
  </w:style>
  <w:style w:type="paragraph" w:styleId="3">
    <w:name w:val="heading 3"/>
    <w:next w:val="1"/>
    <w:semiHidden/>
    <w:unhideWhenUsed/>
    <w:qFormat/>
    <w:uiPriority w:val="0"/>
    <w:pPr>
      <w:keepNext/>
      <w:keepLines/>
      <w:widowControl w:val="0"/>
      <w:spacing w:line="600" w:lineRule="exact"/>
      <w:ind w:firstLine="643" w:firstLineChars="200"/>
      <w:jc w:val="both"/>
      <w:outlineLvl w:val="2"/>
    </w:pPr>
    <w:rPr>
      <w:rFonts w:ascii="Times New Roman" w:hAnsi="Times New Roman" w:eastAsia="宋体" w:cs="Times New Roman"/>
      <w:b/>
      <w:bCs/>
      <w:kern w:val="2"/>
      <w:sz w:val="32"/>
      <w:szCs w:val="32"/>
      <w:lang w:val="en-US" w:eastAsia="zh-CN" w:bidi="ar-SA"/>
    </w:rPr>
  </w:style>
  <w:style w:type="paragraph" w:styleId="4">
    <w:name w:val="heading 4"/>
    <w:basedOn w:val="1"/>
    <w:next w:val="1"/>
    <w:qFormat/>
    <w:uiPriority w:val="0"/>
    <w:pPr>
      <w:keepNext/>
      <w:keepLines/>
      <w:widowControl w:val="0"/>
      <w:adjustRightInd w:val="0"/>
      <w:snapToGrid w:val="0"/>
      <w:spacing w:before="120" w:after="120"/>
      <w:outlineLvl w:val="3"/>
    </w:pPr>
    <w:rPr>
      <w:rFonts w:ascii="Arial" w:hAnsi="Arial"/>
      <w:b/>
      <w:bCs/>
      <w:sz w:val="28"/>
      <w:szCs w:val="28"/>
    </w:rPr>
  </w:style>
  <w:style w:type="paragraph" w:styleId="5">
    <w:name w:val="heading 5"/>
    <w:basedOn w:val="1"/>
    <w:next w:val="6"/>
    <w:semiHidden/>
    <w:unhideWhenUsed/>
    <w:qFormat/>
    <w:uiPriority w:val="0"/>
    <w:pPr>
      <w:keepNext/>
      <w:keepLines/>
      <w:widowControl w:val="0"/>
      <w:spacing w:before="280" w:after="290" w:line="376" w:lineRule="auto"/>
      <w:jc w:val="both"/>
      <w:outlineLvl w:val="4"/>
    </w:pPr>
    <w:rPr>
      <w:rFonts w:ascii="Times New Roman" w:hAnsi="Times New Roman" w:eastAsia="宋体" w:cs="Times New Roman"/>
      <w:b/>
      <w:bCs/>
      <w:kern w:val="2"/>
      <w:sz w:val="28"/>
      <w:szCs w:val="28"/>
      <w:lang w:val="en-US" w:eastAsia="zh-CN" w:bidi="ar-SA"/>
    </w:rPr>
  </w:style>
  <w:style w:type="character" w:default="1" w:styleId="19">
    <w:name w:val="Default Paragraph Font"/>
    <w:semiHidden/>
    <w:qFormat/>
    <w:uiPriority w:val="0"/>
  </w:style>
  <w:style w:type="table" w:default="1" w:styleId="18">
    <w:name w:val="Normal Table"/>
    <w:semiHidden/>
    <w:qFormat/>
    <w:uiPriority w:val="0"/>
    <w:tblPr>
      <w:tblCellMar>
        <w:top w:w="0" w:type="dxa"/>
        <w:left w:w="108" w:type="dxa"/>
        <w:bottom w:w="0" w:type="dxa"/>
        <w:right w:w="108" w:type="dxa"/>
      </w:tblCellMar>
    </w:tblPr>
  </w:style>
  <w:style w:type="paragraph" w:styleId="6">
    <w:name w:val="Normal Indent"/>
    <w:basedOn w:val="1"/>
    <w:qFormat/>
    <w:uiPriority w:val="0"/>
    <w:pPr>
      <w:widowControl w:val="0"/>
      <w:ind w:firstLine="420"/>
      <w:jc w:val="both"/>
    </w:pPr>
    <w:rPr>
      <w:rFonts w:ascii="Times New Roman" w:hAnsi="Times New Roman" w:eastAsia="宋体" w:cs="Times New Roman"/>
      <w:kern w:val="2"/>
      <w:sz w:val="21"/>
      <w:szCs w:val="20"/>
      <w:lang w:val="en-US" w:eastAsia="zh-CN" w:bidi="ar-SA"/>
    </w:rPr>
  </w:style>
  <w:style w:type="paragraph" w:styleId="7">
    <w:name w:val="index 8"/>
    <w:basedOn w:val="1"/>
    <w:next w:val="1"/>
    <w:qFormat/>
    <w:uiPriority w:val="0"/>
    <w:pPr>
      <w:widowControl w:val="0"/>
      <w:ind w:left="2940"/>
      <w:jc w:val="both"/>
    </w:pPr>
    <w:rPr>
      <w:rFonts w:ascii="Times New Roman" w:hAnsi="Times New Roman" w:eastAsia="宋体" w:cs="Times New Roman"/>
      <w:kern w:val="2"/>
      <w:sz w:val="21"/>
      <w:szCs w:val="24"/>
      <w:lang w:val="en-US" w:eastAsia="zh-CN" w:bidi="ar-SA"/>
    </w:rPr>
  </w:style>
  <w:style w:type="paragraph" w:styleId="8">
    <w:name w:val="annotation text"/>
    <w:basedOn w:val="1"/>
    <w:qFormat/>
    <w:uiPriority w:val="0"/>
    <w:pPr>
      <w:widowControl w:val="0"/>
      <w:jc w:val="left"/>
    </w:pPr>
    <w:rPr>
      <w:rFonts w:ascii="Times New Roman" w:hAnsi="Times New Roman" w:eastAsia="宋体" w:cs="Times New Roman"/>
      <w:kern w:val="2"/>
      <w:sz w:val="21"/>
      <w:szCs w:val="24"/>
      <w:lang w:val="en-US" w:eastAsia="zh-CN" w:bidi="ar-SA"/>
    </w:rPr>
  </w:style>
  <w:style w:type="paragraph" w:styleId="9">
    <w:name w:val="Body Text"/>
    <w:basedOn w:val="1"/>
    <w:qFormat/>
    <w:uiPriority w:val="0"/>
    <w:pPr>
      <w:widowControl w:val="0"/>
      <w:spacing w:after="120"/>
      <w:jc w:val="both"/>
    </w:pPr>
    <w:rPr>
      <w:rFonts w:ascii="Times New Roman" w:hAnsi="Times New Roman" w:eastAsia="宋体" w:cs="Times New Roman"/>
      <w:kern w:val="2"/>
      <w:sz w:val="21"/>
      <w:szCs w:val="24"/>
      <w:lang w:val="en-US" w:eastAsia="zh-CN" w:bidi="ar-SA"/>
    </w:rPr>
  </w:style>
  <w:style w:type="paragraph" w:styleId="10">
    <w:name w:val="Body Text Indent"/>
    <w:basedOn w:val="1"/>
    <w:next w:val="11"/>
    <w:qFormat/>
    <w:uiPriority w:val="0"/>
    <w:pPr>
      <w:widowControl w:val="0"/>
      <w:spacing w:line="200" w:lineRule="exact"/>
      <w:ind w:firstLine="301"/>
      <w:jc w:val="both"/>
    </w:pPr>
    <w:rPr>
      <w:rFonts w:ascii="宋体" w:hAnsi="Courier New" w:eastAsia="宋体" w:cs="Times New Roman"/>
      <w:spacing w:val="-4"/>
      <w:kern w:val="2"/>
      <w:sz w:val="18"/>
      <w:szCs w:val="20"/>
      <w:lang w:val="en-US" w:eastAsia="zh-CN" w:bidi="ar-SA"/>
    </w:rPr>
  </w:style>
  <w:style w:type="paragraph" w:styleId="11">
    <w:name w:val="envelope return"/>
    <w:basedOn w:val="1"/>
    <w:unhideWhenUsed/>
    <w:qFormat/>
    <w:uiPriority w:val="0"/>
    <w:pPr>
      <w:snapToGrid w:val="0"/>
    </w:pPr>
    <w:rPr>
      <w:rFonts w:ascii="Arial" w:hAnsi="Arial"/>
    </w:rPr>
  </w:style>
  <w:style w:type="paragraph" w:styleId="12">
    <w:name w:val="Plain Text"/>
    <w:basedOn w:val="1"/>
    <w:next w:val="1"/>
    <w:qFormat/>
    <w:uiPriority w:val="0"/>
    <w:pPr>
      <w:widowControl w:val="0"/>
      <w:jc w:val="both"/>
    </w:pPr>
    <w:rPr>
      <w:rFonts w:ascii="宋体" w:hAnsi="Courier New" w:eastAsia="宋体" w:cs="Times New Roman"/>
      <w:kern w:val="2"/>
      <w:sz w:val="21"/>
      <w:szCs w:val="20"/>
      <w:lang w:val="en-US" w:eastAsia="zh-CN" w:bidi="ar-SA"/>
    </w:rPr>
  </w:style>
  <w:style w:type="paragraph" w:styleId="13">
    <w:name w:val="footer"/>
    <w:basedOn w:val="1"/>
    <w:next w:val="1"/>
    <w:qFormat/>
    <w:uiPriority w:val="0"/>
    <w:pPr>
      <w:widowControl w:val="0"/>
      <w:tabs>
        <w:tab w:val="center" w:pos="4153"/>
        <w:tab w:val="right" w:pos="8306"/>
      </w:tabs>
      <w:snapToGrid w:val="0"/>
      <w:jc w:val="left"/>
    </w:pPr>
    <w:rPr>
      <w:rFonts w:ascii="Times New Roman" w:hAnsi="Times New Roman" w:eastAsia="宋体" w:cs="Times New Roman"/>
      <w:kern w:val="2"/>
      <w:sz w:val="18"/>
      <w:szCs w:val="18"/>
      <w:lang w:val="en-US" w:eastAsia="zh-CN" w:bidi="ar-SA"/>
    </w:rPr>
  </w:style>
  <w:style w:type="paragraph" w:styleId="14">
    <w:name w:val="header"/>
    <w:qFormat/>
    <w:uiPriority w:val="0"/>
    <w:pPr>
      <w:widowControl w:val="0"/>
      <w:pBdr>
        <w:bottom w:val="single" w:color="auto" w:sz="6" w:space="1"/>
      </w:pBdr>
      <w:tabs>
        <w:tab w:val="center" w:pos="4153"/>
        <w:tab w:val="right" w:pos="8306"/>
      </w:tabs>
      <w:snapToGrid w:val="0"/>
      <w:jc w:val="center"/>
    </w:pPr>
    <w:rPr>
      <w:rFonts w:ascii="Times New Roman" w:hAnsi="Times New Roman" w:eastAsia="宋体" w:cs="Times New Roman"/>
      <w:kern w:val="2"/>
      <w:sz w:val="18"/>
      <w:szCs w:val="18"/>
      <w:lang w:val="en-US" w:eastAsia="zh-CN" w:bidi="ar-SA"/>
    </w:rPr>
  </w:style>
  <w:style w:type="paragraph" w:styleId="15">
    <w:name w:val="toc 1"/>
    <w:next w:val="1"/>
    <w:qFormat/>
    <w:uiPriority w:val="0"/>
    <w:pPr>
      <w:widowControl w:val="0"/>
      <w:spacing w:before="360" w:after="360"/>
      <w:jc w:val="left"/>
    </w:pPr>
    <w:rPr>
      <w:rFonts w:ascii="Calibri" w:hAnsi="Calibri" w:eastAsia="宋体" w:cs="Times New Roman"/>
      <w:b/>
      <w:bCs/>
      <w:caps/>
      <w:kern w:val="2"/>
      <w:sz w:val="22"/>
      <w:szCs w:val="22"/>
      <w:u w:val="single"/>
      <w:lang w:val="en-US" w:eastAsia="zh-CN" w:bidi="ar-SA"/>
    </w:rPr>
  </w:style>
  <w:style w:type="paragraph" w:styleId="16">
    <w:name w:val="List"/>
    <w:basedOn w:val="1"/>
    <w:qFormat/>
    <w:uiPriority w:val="0"/>
    <w:pPr>
      <w:widowControl w:val="0"/>
      <w:ind w:left="200" w:hanging="200" w:hangingChars="200"/>
      <w:jc w:val="both"/>
    </w:pPr>
    <w:rPr>
      <w:rFonts w:ascii="Times New Roman" w:hAnsi="Times New Roman" w:eastAsia="宋体" w:cs="Times New Roman"/>
      <w:kern w:val="2"/>
      <w:sz w:val="28"/>
      <w:szCs w:val="24"/>
      <w:lang w:val="en-US" w:eastAsia="zh-CN" w:bidi="ar-SA"/>
    </w:rPr>
  </w:style>
  <w:style w:type="paragraph" w:styleId="17">
    <w:name w:val="Title"/>
    <w:basedOn w:val="1"/>
    <w:next w:val="1"/>
    <w:unhideWhenUsed/>
    <w:qFormat/>
    <w:uiPriority w:val="1"/>
    <w:pPr>
      <w:ind w:left="779"/>
    </w:pPr>
    <w:rPr>
      <w:rFonts w:hint="default" w:ascii="Microsoft JhengHei" w:hAnsi="Microsoft JhengHei" w:eastAsia="Microsoft JhengHei"/>
      <w:b/>
      <w:sz w:val="28"/>
    </w:rPr>
  </w:style>
  <w:style w:type="character" w:styleId="20">
    <w:name w:val="Strong"/>
    <w:basedOn w:val="19"/>
    <w:qFormat/>
    <w:uiPriority w:val="0"/>
    <w:rPr>
      <w:b/>
      <w:bCs/>
    </w:rPr>
  </w:style>
  <w:style w:type="character" w:styleId="21">
    <w:name w:val="page number"/>
    <w:qFormat/>
    <w:uiPriority w:val="0"/>
  </w:style>
  <w:style w:type="character" w:styleId="22">
    <w:name w:val="FollowedHyperlink"/>
    <w:basedOn w:val="19"/>
    <w:qFormat/>
    <w:uiPriority w:val="0"/>
    <w:rPr>
      <w:rFonts w:hint="eastAsia" w:ascii="微软雅黑" w:hAnsi="微软雅黑" w:eastAsia="微软雅黑" w:cs="微软雅黑"/>
      <w:color w:val="02396F"/>
      <w:u w:val="single"/>
    </w:rPr>
  </w:style>
  <w:style w:type="character" w:styleId="23">
    <w:name w:val="Emphasis"/>
    <w:basedOn w:val="19"/>
    <w:qFormat/>
    <w:uiPriority w:val="0"/>
    <w:rPr>
      <w:b/>
      <w:bCs/>
    </w:rPr>
  </w:style>
  <w:style w:type="character" w:styleId="24">
    <w:name w:val="HTML Definition"/>
    <w:basedOn w:val="19"/>
    <w:qFormat/>
    <w:uiPriority w:val="0"/>
  </w:style>
  <w:style w:type="character" w:styleId="25">
    <w:name w:val="HTML Typewriter"/>
    <w:basedOn w:val="19"/>
    <w:qFormat/>
    <w:uiPriority w:val="0"/>
    <w:rPr>
      <w:rFonts w:hint="default" w:ascii="monospace" w:hAnsi="monospace" w:eastAsia="monospace" w:cs="monospace"/>
      <w:sz w:val="20"/>
    </w:rPr>
  </w:style>
  <w:style w:type="character" w:styleId="26">
    <w:name w:val="HTML Acronym"/>
    <w:basedOn w:val="19"/>
    <w:qFormat/>
    <w:uiPriority w:val="0"/>
  </w:style>
  <w:style w:type="character" w:styleId="27">
    <w:name w:val="HTML Variable"/>
    <w:basedOn w:val="19"/>
    <w:qFormat/>
    <w:uiPriority w:val="0"/>
  </w:style>
  <w:style w:type="character" w:styleId="28">
    <w:name w:val="Hyperlink"/>
    <w:basedOn w:val="19"/>
    <w:qFormat/>
    <w:uiPriority w:val="0"/>
    <w:rPr>
      <w:color w:val="0000FF"/>
      <w:u w:val="none"/>
    </w:rPr>
  </w:style>
  <w:style w:type="character" w:styleId="29">
    <w:name w:val="HTML Code"/>
    <w:basedOn w:val="19"/>
    <w:qFormat/>
    <w:uiPriority w:val="0"/>
    <w:rPr>
      <w:rFonts w:hint="default" w:ascii="monospace" w:hAnsi="monospace" w:eastAsia="monospace" w:cs="monospace"/>
      <w:sz w:val="20"/>
    </w:rPr>
  </w:style>
  <w:style w:type="character" w:styleId="30">
    <w:name w:val="HTML Cite"/>
    <w:basedOn w:val="19"/>
    <w:qFormat/>
    <w:uiPriority w:val="0"/>
  </w:style>
  <w:style w:type="character" w:styleId="31">
    <w:name w:val="HTML Keyboard"/>
    <w:basedOn w:val="19"/>
    <w:qFormat/>
    <w:uiPriority w:val="0"/>
    <w:rPr>
      <w:rFonts w:hint="default" w:ascii="monospace" w:hAnsi="monospace" w:eastAsia="monospace" w:cs="monospace"/>
      <w:sz w:val="20"/>
    </w:rPr>
  </w:style>
  <w:style w:type="character" w:styleId="32">
    <w:name w:val="HTML Sample"/>
    <w:basedOn w:val="19"/>
    <w:qFormat/>
    <w:uiPriority w:val="0"/>
    <w:rPr>
      <w:rFonts w:ascii="monospace" w:hAnsi="monospace" w:eastAsia="monospace" w:cs="monospace"/>
    </w:rPr>
  </w:style>
  <w:style w:type="paragraph" w:styleId="33">
    <w:name w:val="List Paragraph"/>
    <w:basedOn w:val="1"/>
    <w:qFormat/>
    <w:uiPriority w:val="34"/>
    <w:pPr>
      <w:widowControl w:val="0"/>
      <w:ind w:firstLine="420" w:firstLineChars="200"/>
      <w:jc w:val="both"/>
    </w:pPr>
    <w:rPr>
      <w:rFonts w:ascii="Times New Roman" w:hAnsi="Times New Roman" w:eastAsia="宋体" w:cs="Times New Roman"/>
      <w:kern w:val="2"/>
      <w:sz w:val="21"/>
      <w:szCs w:val="24"/>
      <w:lang w:val="en-US" w:eastAsia="zh-CN" w:bidi="ar-SA"/>
    </w:rPr>
  </w:style>
  <w:style w:type="character" w:customStyle="1" w:styleId="34">
    <w:name w:val="正文文本 (26) + 间距 0 pt"/>
    <w:qFormat/>
    <w:uiPriority w:val="0"/>
    <w:rPr>
      <w:rFonts w:ascii="宋体" w:hAnsi="宋体" w:eastAsia="宋体" w:cs="宋体"/>
      <w:color w:val="000000"/>
      <w:spacing w:val="0"/>
      <w:w w:val="100"/>
      <w:position w:val="0"/>
      <w:sz w:val="22"/>
      <w:szCs w:val="22"/>
      <w:u w:val="none"/>
      <w:lang w:val="zh-CN" w:eastAsia="zh-CN" w:bidi="zh-CN"/>
    </w:rPr>
  </w:style>
  <w:style w:type="paragraph" w:customStyle="1" w:styleId="35">
    <w:name w:val="表格文字"/>
    <w:basedOn w:val="10"/>
    <w:qFormat/>
    <w:uiPriority w:val="0"/>
    <w:pPr>
      <w:widowControl w:val="0"/>
      <w:adjustRightInd w:val="0"/>
      <w:spacing w:line="420" w:lineRule="atLeast"/>
      <w:jc w:val="left"/>
      <w:textAlignment w:val="baseline"/>
    </w:pPr>
    <w:rPr>
      <w:rFonts w:ascii="Times New Roman" w:hAnsi="Times New Roman" w:eastAsia="宋体" w:cs="Times New Roman"/>
      <w:kern w:val="0"/>
      <w:sz w:val="21"/>
      <w:szCs w:val="24"/>
      <w:lang w:val="en-US" w:eastAsia="zh-CN" w:bidi="ar-SA"/>
    </w:rPr>
  </w:style>
  <w:style w:type="paragraph" w:customStyle="1" w:styleId="36">
    <w:name w:val="正文2"/>
    <w:qFormat/>
    <w:uiPriority w:val="0"/>
    <w:pPr>
      <w:widowControl w:val="0"/>
      <w:adjustRightInd w:val="0"/>
      <w:spacing w:before="156" w:line="360" w:lineRule="auto"/>
      <w:ind w:firstLine="510" w:firstLineChars="200"/>
      <w:jc w:val="both"/>
    </w:pPr>
    <w:rPr>
      <w:rFonts w:ascii="Times New Roman" w:hAnsi="Times New Roman" w:eastAsia="宋体" w:cs="Times New Roman"/>
      <w:kern w:val="2"/>
      <w:sz w:val="24"/>
      <w:szCs w:val="20"/>
      <w:lang w:val="en-US" w:eastAsia="zh-CN" w:bidi="ar-SA"/>
    </w:rPr>
  </w:style>
  <w:style w:type="character" w:customStyle="1" w:styleId="37">
    <w:name w:val="NormalCharacter"/>
    <w:qFormat/>
    <w:uiPriority w:val="0"/>
  </w:style>
  <w:style w:type="character" w:customStyle="1" w:styleId="38">
    <w:name w:val="hover"/>
    <w:basedOn w:val="19"/>
    <w:qFormat/>
    <w:uiPriority w:val="0"/>
    <w:rPr>
      <w:color w:val="2590EB"/>
    </w:rPr>
  </w:style>
  <w:style w:type="character" w:customStyle="1" w:styleId="39">
    <w:name w:val="hover1"/>
    <w:basedOn w:val="19"/>
    <w:qFormat/>
    <w:uiPriority w:val="0"/>
    <w:rPr>
      <w:color w:val="2590EB"/>
    </w:rPr>
  </w:style>
  <w:style w:type="character" w:customStyle="1" w:styleId="40">
    <w:name w:val="hover2"/>
    <w:basedOn w:val="19"/>
    <w:qFormat/>
    <w:uiPriority w:val="0"/>
  </w:style>
  <w:style w:type="character" w:customStyle="1" w:styleId="41">
    <w:name w:val="hover3"/>
    <w:basedOn w:val="19"/>
    <w:qFormat/>
    <w:uiPriority w:val="0"/>
  </w:style>
</w:styles>
</file>

<file path=word/_rels/document.xml.rels><?xml version="1.0" encoding="UTF-8" standalone="yes"?>
<Relationships xmlns="http://schemas.openxmlformats.org/package/2006/relationships"><Relationship Id="rId9" Type="http://schemas.openxmlformats.org/officeDocument/2006/relationships/footer" Target="footer5.xml"/><Relationship Id="rId8" Type="http://schemas.openxmlformats.org/officeDocument/2006/relationships/footer" Target="footer4.xml"/><Relationship Id="rId7" Type="http://schemas.openxmlformats.org/officeDocument/2006/relationships/header" Target="header2.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numbering" Target="numbering.xml"/><Relationship Id="rId12" Type="http://schemas.openxmlformats.org/officeDocument/2006/relationships/customXml" Target="../customXml/item1.xml"/><Relationship Id="rId11" Type="http://schemas.openxmlformats.org/officeDocument/2006/relationships/theme" Target="theme/theme1.xml"/><Relationship Id="rId10" Type="http://schemas.openxmlformats.org/officeDocument/2006/relationships/footer" Target="footer6.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109</Pages>
  <Words>10814</Words>
  <Characters>11656</Characters>
  <Lines>0</Lines>
  <Paragraphs>0</Paragraphs>
  <TotalTime>0</TotalTime>
  <ScaleCrop>false</ScaleCrop>
  <LinksUpToDate>false</LinksUpToDate>
  <CharactersWithSpaces>11751</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2026-01-08T12:30:00Z</dcterms:created>
  <dc:creator>Administrator</dc:creator>
  <cp:lastModifiedBy>代理</cp:lastModifiedBy>
  <dcterms:modified xsi:type="dcterms:W3CDTF">2026-02-02T06:00:29Z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050EA675E14A43119F9C18229E17BABB_11</vt:lpwstr>
  </property>
  <property fmtid="{D5CDD505-2E9C-101B-9397-08002B2CF9AE}" pid="4" name="KSOTemplateDocerSaveRecord">
    <vt:lpwstr>eyJoZGlkIjoiMDE1ZDJkZDJhOTYxYTMzZDIzZTY5YjU3MTYxNmMxOTQiLCJ1c2VySWQiOiIyMzQ5NDQ3NTUifQ==</vt:lpwstr>
  </property>
</Properties>
</file>