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 w:leftChars="-1"/>
        <w:rPr>
          <w:rFonts w:ascii="Times New Roman" w:hAnsi="Times New Roman" w:eastAsia="宋体" w:cs="Times New Roman"/>
          <w:color w:val="auto"/>
          <w:szCs w:val="24"/>
          <w:highlight w:val="none"/>
        </w:rPr>
      </w:pPr>
    </w:p>
    <w:p>
      <w:pPr>
        <w:spacing w:before="156" w:beforeLines="50" w:line="1600" w:lineRule="exact"/>
        <w:ind w:left="634" w:leftChars="-64" w:hanging="768" w:hangingChars="64"/>
        <w:jc w:val="center"/>
        <w:rPr>
          <w:rFonts w:hint="eastAsia" w:ascii="方正小标宋_GBK" w:hAnsi="宋体" w:eastAsia="方正小标宋_GBK" w:cs="Times New Roman"/>
          <w:color w:val="auto"/>
          <w:sz w:val="120"/>
          <w:szCs w:val="120"/>
          <w:highlight w:val="none"/>
        </w:rPr>
      </w:pPr>
      <w:r>
        <w:rPr>
          <w:rFonts w:hint="eastAsia" w:ascii="方正小标宋_GBK" w:hAnsi="宋体" w:eastAsia="方正小标宋_GBK" w:cs="Times New Roman"/>
          <w:color w:val="auto"/>
          <w:sz w:val="120"/>
          <w:szCs w:val="120"/>
          <w:highlight w:val="none"/>
        </w:rPr>
        <w:t>招标文件</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napToGrid w:val="0"/>
        <w:spacing w:before="156" w:beforeLines="50" w:line="320" w:lineRule="exact"/>
        <w:rPr>
          <w:rFonts w:hint="eastAsia" w:ascii="方正小标宋_GBK" w:hAnsi="宋体" w:eastAsia="方正小标宋_GBK" w:cs="Times New Roman"/>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项目名称</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rPr>
        <w:t xml:space="preserve"> </w:t>
      </w:r>
      <w:bookmarkStart w:id="0" w:name="OLE_LINK1"/>
      <w:r>
        <w:rPr>
          <w:rFonts w:hint="eastAsia" w:ascii="方正小标宋_GBK" w:hAnsi="宋体" w:eastAsia="方正小标宋_GBK" w:cs="Times New Roman"/>
          <w:bCs/>
          <w:color w:val="auto"/>
          <w:sz w:val="30"/>
          <w:szCs w:val="30"/>
          <w:highlight w:val="none"/>
          <w:lang w:eastAsia="zh-CN"/>
        </w:rPr>
        <w:t>钦州市行政信息中心物业服务</w:t>
      </w:r>
      <w:bookmarkEnd w:id="0"/>
    </w:p>
    <w:p>
      <w:pPr>
        <w:snapToGrid w:val="0"/>
        <w:spacing w:before="156" w:beforeLines="50" w:line="400" w:lineRule="exact"/>
        <w:rPr>
          <w:rFonts w:hint="eastAsia" w:ascii="方正小标宋_GBK" w:hAnsi="宋体" w:eastAsia="方正小标宋_GBK" w:cs="Times New Roman"/>
          <w:b/>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项目编号</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lang w:eastAsia="zh-CN"/>
        </w:rPr>
        <w:t>QZZC2026-G3-990075-QZSZ</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360" w:lineRule="exact"/>
        <w:jc w:val="center"/>
        <w:rPr>
          <w:rFonts w:hint="eastAsia" w:ascii="方正小标宋_GBK" w:hAnsi="微软雅黑" w:eastAsia="方正小标宋_GBK" w:cs="Times New Roman"/>
          <w:color w:val="auto"/>
          <w:sz w:val="32"/>
          <w:szCs w:val="32"/>
          <w:highlight w:val="none"/>
        </w:rPr>
      </w:pPr>
      <w:r>
        <w:rPr>
          <w:rFonts w:hint="eastAsia" w:ascii="方正小标宋_GBK" w:hAnsi="微软雅黑" w:eastAsia="方正小标宋_GBK" w:cs="Times New Roman"/>
          <w:color w:val="auto"/>
          <w:sz w:val="32"/>
          <w:szCs w:val="32"/>
          <w:highlight w:val="none"/>
        </w:rPr>
        <w:t>钦州市政府采购中心</w:t>
      </w:r>
    </w:p>
    <w:p>
      <w:pPr>
        <w:snapToGrid w:val="0"/>
        <w:spacing w:before="156" w:beforeLines="50" w:line="360" w:lineRule="exact"/>
        <w:jc w:val="center"/>
        <w:rPr>
          <w:rFonts w:hint="eastAsia" w:ascii="方正小标宋_GBK" w:hAnsi="宋体" w:eastAsia="方正小标宋_GBK" w:cs="Times New Roman"/>
          <w:color w:val="auto"/>
          <w:sz w:val="30"/>
          <w:szCs w:val="72"/>
          <w:highlight w:val="none"/>
        </w:rPr>
      </w:pPr>
      <w:r>
        <w:rPr>
          <w:rFonts w:hint="eastAsia" w:ascii="方正小标宋_GBK" w:hAnsi="微软雅黑" w:eastAsia="方正小标宋_GBK" w:cs="Times New Roman"/>
          <w:color w:val="auto"/>
          <w:sz w:val="32"/>
          <w:szCs w:val="32"/>
          <w:highlight w:val="none"/>
          <w:lang w:eastAsia="zh-CN"/>
        </w:rPr>
        <w:t>2026年</w:t>
      </w:r>
      <w:r>
        <w:rPr>
          <w:rFonts w:hint="eastAsia" w:ascii="方正小标宋_GBK" w:hAnsi="微软雅黑" w:eastAsia="方正小标宋_GBK" w:cs="Times New Roman"/>
          <w:color w:val="auto"/>
          <w:sz w:val="32"/>
          <w:szCs w:val="32"/>
          <w:highlight w:val="none"/>
          <w:lang w:val="en-US" w:eastAsia="zh-CN"/>
        </w:rPr>
        <w:t>4</w:t>
      </w:r>
      <w:r>
        <w:rPr>
          <w:rFonts w:hint="eastAsia" w:ascii="方正小标宋_GBK" w:hAnsi="微软雅黑" w:eastAsia="方正小标宋_GBK" w:cs="Times New Roman"/>
          <w:color w:val="auto"/>
          <w:sz w:val="32"/>
          <w:szCs w:val="32"/>
          <w:highlight w:val="none"/>
        </w:rPr>
        <w:t>月</w:t>
      </w:r>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rPr>
          <w:rFonts w:ascii="Times New Roman" w:hAnsi="Times New Roman" w:eastAsia="宋体" w:cs="Times New Roman"/>
          <w:color w:val="auto"/>
          <w:szCs w:val="24"/>
          <w:highlight w:val="none"/>
        </w:rPr>
      </w:pPr>
    </w:p>
    <w:p>
      <w:pPr>
        <w:spacing w:line="400" w:lineRule="exact"/>
        <w:jc w:val="center"/>
        <w:rPr>
          <w:rFonts w:ascii="隶书" w:hAnsi="Courier New" w:eastAsia="隶书" w:cs="Courier New"/>
          <w:b/>
          <w:color w:val="auto"/>
          <w:sz w:val="44"/>
          <w:szCs w:val="21"/>
          <w:highlight w:val="none"/>
        </w:rPr>
      </w:pPr>
      <w:r>
        <w:rPr>
          <w:rFonts w:hint="eastAsia" w:ascii="隶书" w:hAnsi="Courier New" w:eastAsia="隶书" w:cs="Courier New"/>
          <w:b/>
          <w:color w:val="auto"/>
          <w:sz w:val="44"/>
          <w:szCs w:val="21"/>
          <w:highlight w:val="none"/>
        </w:rPr>
        <w:t>目   录</w:t>
      </w:r>
    </w:p>
    <w:p>
      <w:pPr>
        <w:spacing w:line="400" w:lineRule="exact"/>
        <w:rPr>
          <w:rFonts w:ascii="Times New Roman" w:hAnsi="Times New Roman" w:eastAsia="宋体" w:cs="Times New Roman"/>
          <w:color w:val="auto"/>
          <w:szCs w:val="24"/>
          <w:highlight w:val="none"/>
        </w:rPr>
      </w:pP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rFonts w:hint="eastAsia" w:ascii="方正小标宋_GBK" w:hAnsi="宋体" w:eastAsia="方正小标宋_GBK" w:cs="Times New Roman"/>
          <w:b/>
          <w:color w:val="auto"/>
          <w:sz w:val="28"/>
          <w:szCs w:val="28"/>
          <w:highlight w:val="none"/>
        </w:rPr>
        <w:fldChar w:fldCharType="begin"/>
      </w:r>
      <w:r>
        <w:rPr>
          <w:rFonts w:hint="eastAsia" w:ascii="方正小标宋_GBK" w:hAnsi="宋体" w:eastAsia="方正小标宋_GBK" w:cs="Times New Roman"/>
          <w:b/>
          <w:color w:val="auto"/>
          <w:sz w:val="28"/>
          <w:szCs w:val="28"/>
          <w:highlight w:val="none"/>
        </w:rPr>
        <w:instrText xml:space="preserve"> TOC \o "1-1" \h \z \u </w:instrText>
      </w:r>
      <w:r>
        <w:rPr>
          <w:rFonts w:hint="eastAsia" w:ascii="方正小标宋_GBK" w:hAnsi="宋体" w:eastAsia="方正小标宋_GBK" w:cs="Times New Roman"/>
          <w:b/>
          <w:color w:val="auto"/>
          <w:sz w:val="28"/>
          <w:szCs w:val="28"/>
          <w:highlight w:val="none"/>
        </w:rPr>
        <w:fldChar w:fldCharType="separate"/>
      </w:r>
      <w:r>
        <w:rPr>
          <w:color w:val="auto"/>
          <w:highlight w:val="none"/>
        </w:rPr>
        <w:fldChar w:fldCharType="begin"/>
      </w:r>
      <w:r>
        <w:rPr>
          <w:color w:val="auto"/>
          <w:highlight w:val="none"/>
        </w:rPr>
        <w:instrText xml:space="preserve"> HYPERLINK \l "_Toc173764938"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第一章  公 告</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_Toc173764938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1</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"_Toc173764939"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第二章  项目需求</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_Toc173764939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5</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"_Toc173764940"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第三章  投标人须知及前附表</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_Toc173764940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30</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"_Toc173764941"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第四章  评定标准及推荐原则</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_Toc173764941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42</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"_Toc173764942"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第五章  政府采购合同主要条款</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_Toc173764942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46</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"_Toc173764943"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第六章　投标文件格式</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_Toc173764943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60</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spacing w:line="1000" w:lineRule="exact"/>
        <w:ind w:left="-2" w:leftChars="-1"/>
        <w:rPr>
          <w:rFonts w:ascii="Times New Roman" w:hAnsi="Times New Roman" w:eastAsia="宋体" w:cs="Times New Roman"/>
          <w:color w:val="auto"/>
          <w:szCs w:val="24"/>
          <w:highlight w:val="none"/>
        </w:rPr>
      </w:pPr>
      <w:r>
        <w:rPr>
          <w:rFonts w:hint="eastAsia" w:ascii="方正小标宋_GBK" w:hAnsi="宋体" w:eastAsia="方正小标宋_GBK" w:cs="Times New Roman"/>
          <w:color w:val="auto"/>
          <w:sz w:val="28"/>
          <w:szCs w:val="28"/>
          <w:highlight w:val="none"/>
        </w:rPr>
        <w:fldChar w:fldCharType="end"/>
      </w:r>
    </w:p>
    <w:p>
      <w:pPr>
        <w:widowControl/>
        <w:jc w:val="left"/>
        <w:rPr>
          <w:rFonts w:ascii="Times New Roman" w:hAnsi="Times New Roman" w:eastAsia="宋体" w:cs="Times New Roman"/>
          <w:color w:val="auto"/>
          <w:szCs w:val="24"/>
          <w:highlight w:val="none"/>
        </w:rPr>
        <w:sectPr>
          <w:pgSz w:w="11906" w:h="16838"/>
          <w:pgMar w:top="1246" w:right="1106" w:bottom="1091" w:left="1080" w:header="851" w:footer="992" w:gutter="0"/>
          <w:cols w:space="720" w:num="1"/>
          <w:docGrid w:type="lines" w:linePitch="312" w:charSpace="0"/>
        </w:sectPr>
      </w:pPr>
    </w:p>
    <w:p>
      <w:pPr>
        <w:spacing w:line="400" w:lineRule="exact"/>
        <w:ind w:left="-2" w:leftChars="-1"/>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方正小标宋_GBK" w:hAnsi="Cambria" w:eastAsia="方正小标宋_GBK" w:cs="Times New Roman"/>
          <w:b/>
          <w:bCs/>
          <w:color w:val="auto"/>
          <w:kern w:val="0"/>
          <w:sz w:val="44"/>
          <w:szCs w:val="44"/>
          <w:highlight w:val="none"/>
        </w:rPr>
      </w:pPr>
      <w:bookmarkStart w:id="1" w:name="_Toc173764938"/>
      <w:r>
        <w:rPr>
          <w:rFonts w:hint="eastAsia" w:ascii="方正小标宋_GBK" w:hAnsi="Cambria" w:eastAsia="方正小标宋_GBK" w:cs="Times New Roman"/>
          <w:b/>
          <w:bCs/>
          <w:color w:val="auto"/>
          <w:kern w:val="0"/>
          <w:sz w:val="44"/>
          <w:szCs w:val="44"/>
          <w:highlight w:val="none"/>
        </w:rPr>
        <w:t>第一章  公 告</w:t>
      </w:r>
      <w:bookmarkEnd w:id="1"/>
    </w:p>
    <w:p>
      <w:pPr>
        <w:spacing w:line="44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ascii="方正小标宋_GBK" w:hAnsi="Times New Roman" w:eastAsia="方正小标宋_GBK" w:cs="Times New Roman"/>
          <w:b/>
          <w:bCs/>
          <w:color w:val="auto"/>
          <w:sz w:val="36"/>
          <w:szCs w:val="36"/>
          <w:highlight w:val="none"/>
        </w:rPr>
      </w:pPr>
      <w:r>
        <w:rPr>
          <w:rFonts w:hint="eastAsia" w:ascii="方正小标宋_GBK" w:hAnsi="Times New Roman" w:eastAsia="方正小标宋_GBK" w:cs="Times New Roman"/>
          <w:b/>
          <w:bCs/>
          <w:color w:val="auto"/>
          <w:sz w:val="36"/>
          <w:szCs w:val="36"/>
          <w:highlight w:val="none"/>
        </w:rPr>
        <w:t>钦州市政府采购中心关于</w:t>
      </w:r>
      <w:r>
        <w:rPr>
          <w:rFonts w:hint="eastAsia" w:ascii="方正小标宋_GBK" w:hAnsi="Times New Roman" w:eastAsia="方正小标宋_GBK" w:cs="Times New Roman"/>
          <w:b/>
          <w:bCs/>
          <w:color w:val="auto"/>
          <w:sz w:val="36"/>
          <w:szCs w:val="36"/>
          <w:highlight w:val="none"/>
          <w:lang w:eastAsia="zh-CN"/>
        </w:rPr>
        <w:t>钦州市行政信息中心物业服务</w:t>
      </w:r>
      <w:r>
        <w:rPr>
          <w:rFonts w:hint="eastAsia" w:ascii="方正小标宋_GBK" w:hAnsi="Times New Roman" w:eastAsia="方正小标宋_GBK" w:cs="Times New Roman"/>
          <w:b/>
          <w:bCs/>
          <w:color w:val="auto"/>
          <w:sz w:val="36"/>
          <w:szCs w:val="36"/>
          <w:highlight w:val="none"/>
        </w:rPr>
        <w:t>(</w:t>
      </w:r>
      <w:r>
        <w:rPr>
          <w:rFonts w:hint="eastAsia" w:ascii="方正小标宋_GBK" w:hAnsi="Times New Roman" w:eastAsia="方正小标宋_GBK" w:cs="Times New Roman"/>
          <w:b/>
          <w:bCs/>
          <w:color w:val="auto"/>
          <w:sz w:val="36"/>
          <w:szCs w:val="36"/>
          <w:highlight w:val="none"/>
          <w:lang w:eastAsia="zh-CN"/>
        </w:rPr>
        <w:t>QZZC2026-G3-990075-QZSZ</w:t>
      </w:r>
      <w:r>
        <w:rPr>
          <w:rFonts w:hint="eastAsia" w:ascii="方正小标宋_GBK" w:hAnsi="Times New Roman" w:eastAsia="方正小标宋_GBK" w:cs="Times New Roman"/>
          <w:b/>
          <w:bCs/>
          <w:color w:val="auto"/>
          <w:sz w:val="36"/>
          <w:szCs w:val="36"/>
          <w:highlight w:val="none"/>
        </w:rPr>
        <w:t>)的招标公告</w:t>
      </w:r>
    </w:p>
    <w:p>
      <w:pPr>
        <w:spacing w:line="240" w:lineRule="exact"/>
        <w:ind w:firstLine="200"/>
        <w:jc w:val="center"/>
        <w:rPr>
          <w:rFonts w:ascii="方正小标宋_GBK" w:hAnsi="Times New Roman" w:eastAsia="方正小标宋_GBK" w:cs="Times New Roman"/>
          <w:b/>
          <w:color w:val="auto"/>
          <w:sz w:val="44"/>
          <w:szCs w:val="44"/>
          <w:highlight w:val="none"/>
        </w:rPr>
      </w:pP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lang w:eastAsia="zh-CN"/>
        </w:rPr>
        <w:t>钦州市行政信息中心物业服务</w:t>
      </w:r>
      <w:r>
        <w:rPr>
          <w:rFonts w:hint="eastAsia" w:ascii="宋体" w:hAnsi="宋体" w:eastAsia="宋体" w:cs="Times New Roman"/>
          <w:bCs/>
          <w:color w:val="auto"/>
          <w:szCs w:val="21"/>
          <w:highlight w:val="none"/>
        </w:rPr>
        <w:t>招标</w:t>
      </w:r>
      <w:r>
        <w:rPr>
          <w:rFonts w:hint="eastAsia" w:ascii="宋体" w:hAnsi="宋体" w:eastAsia="宋体" w:cs="Times New Roman"/>
          <w:color w:val="auto"/>
          <w:szCs w:val="21"/>
          <w:highlight w:val="none"/>
        </w:rPr>
        <w:t>项目的潜在投标人应在</w:t>
      </w:r>
      <w:bookmarkStart w:id="2" w:name="_Hlk164066481"/>
      <w:r>
        <w:rPr>
          <w:rFonts w:hint="eastAsia" w:ascii="宋体" w:hAnsi="宋体" w:eastAsia="宋体" w:cs="Times New Roman"/>
          <w:color w:val="auto"/>
          <w:szCs w:val="21"/>
          <w:highlight w:val="none"/>
        </w:rPr>
        <w:t>广西政府采购云平台（https://www.gcy.zfcg.gxzf.gov.cn/）</w:t>
      </w:r>
      <w:bookmarkEnd w:id="2"/>
      <w:r>
        <w:rPr>
          <w:rFonts w:hint="eastAsia" w:ascii="宋体" w:hAnsi="宋体" w:eastAsia="宋体" w:cs="Times New Roman"/>
          <w:color w:val="auto"/>
          <w:szCs w:val="21"/>
          <w:highlight w:val="none"/>
        </w:rPr>
        <w:t>获取招标文件，并于</w:t>
      </w:r>
      <w:r>
        <w:rPr>
          <w:rFonts w:hint="eastAsia" w:ascii="宋体" w:hAnsi="宋体" w:eastAsia="宋体" w:cs="Times New Roman"/>
          <w:color w:val="auto"/>
          <w:szCs w:val="21"/>
          <w:highlight w:val="none"/>
          <w:lang w:eastAsia="zh-CN"/>
        </w:rPr>
        <w:t>2026年</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Times New Roman"/>
          <w:color w:val="auto"/>
          <w:szCs w:val="21"/>
          <w:highlight w:val="none"/>
        </w:rPr>
        <w:t>（北京时间）前提交投标文件。</w:t>
      </w:r>
    </w:p>
    <w:p>
      <w:pPr>
        <w:spacing w:line="400" w:lineRule="exact"/>
        <w:rPr>
          <w:rFonts w:ascii="Times New Roman" w:hAnsi="Times New Roman" w:eastAsia="宋体" w:cs="Times New Roman"/>
          <w:b/>
          <w:color w:val="auto"/>
          <w:szCs w:val="24"/>
          <w:highlight w:val="none"/>
        </w:rPr>
      </w:pPr>
      <w:bookmarkStart w:id="3" w:name="_Toc35393621"/>
      <w:bookmarkStart w:id="4" w:name="_Toc28359002"/>
      <w:bookmarkStart w:id="5" w:name="_Toc35393790"/>
      <w:bookmarkStart w:id="6" w:name="_Toc28359079"/>
      <w:bookmarkStart w:id="7" w:name="_Hlk24379207"/>
      <w:bookmarkStart w:id="8" w:name="_Hlk92355554"/>
      <w:r>
        <w:rPr>
          <w:rFonts w:hint="eastAsia" w:ascii="Times New Roman" w:hAnsi="Times New Roman" w:eastAsia="宋体" w:cs="Times New Roman"/>
          <w:b/>
          <w:color w:val="auto"/>
          <w:szCs w:val="24"/>
          <w:highlight w:val="none"/>
        </w:rPr>
        <w:t>一、项目基本情况</w:t>
      </w:r>
      <w:bookmarkEnd w:id="3"/>
      <w:bookmarkEnd w:id="4"/>
      <w:bookmarkEnd w:id="5"/>
      <w:bookmarkEnd w:id="6"/>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项目编号：</w:t>
      </w:r>
      <w:r>
        <w:rPr>
          <w:rFonts w:hint="eastAsia" w:ascii="宋体" w:hAnsi="宋体" w:eastAsia="宋体" w:cs="Times New Roman"/>
          <w:bCs/>
          <w:color w:val="auto"/>
          <w:szCs w:val="24"/>
          <w:highlight w:val="none"/>
          <w:lang w:eastAsia="zh-CN"/>
        </w:rPr>
        <w:t>QZZC2026-G3-990075-QZSZ</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项目名称：</w:t>
      </w:r>
      <w:bookmarkStart w:id="9" w:name="OLE_LINK2"/>
      <w:r>
        <w:rPr>
          <w:rFonts w:hint="eastAsia" w:ascii="Times New Roman" w:hAnsi="Times New Roman" w:eastAsia="宋体" w:cs="Times New Roman"/>
          <w:color w:val="auto"/>
          <w:szCs w:val="24"/>
          <w:highlight w:val="none"/>
          <w:lang w:eastAsia="zh-CN"/>
        </w:rPr>
        <w:t>钦州市行政信息中心物业服务</w:t>
      </w:r>
      <w:bookmarkEnd w:id="9"/>
    </w:p>
    <w:bookmarkEnd w:id="7"/>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预算总金额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5,720,939.00</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采购需求：</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标项名称：</w:t>
      </w:r>
      <w:r>
        <w:rPr>
          <w:rFonts w:hint="eastAsia" w:ascii="Times New Roman" w:hAnsi="Times New Roman" w:eastAsia="宋体" w:cs="Times New Roman"/>
          <w:color w:val="auto"/>
          <w:szCs w:val="24"/>
          <w:highlight w:val="none"/>
          <w:lang w:eastAsia="zh-CN"/>
        </w:rPr>
        <w:t>钦州市行政信息中心物业服务</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数量：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5,720,939.00</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简要规格描述或项目基本概况介绍、用途：</w:t>
      </w:r>
      <w:r>
        <w:rPr>
          <w:rFonts w:hint="eastAsia" w:ascii="Times New Roman" w:hAnsi="Times New Roman" w:eastAsia="宋体" w:cs="Times New Roman"/>
          <w:color w:val="auto"/>
          <w:szCs w:val="24"/>
          <w:highlight w:val="none"/>
          <w:lang w:eastAsia="zh-CN"/>
        </w:rPr>
        <w:t>行政中心物业服务（含市档案馆、公寓楼物业服务）的安全保卫、车辆管理、公共秩序管理服务；保洁、绿化、水电管理、设备设施管理维护；办公楼等公共会议室的会务服务。详见采购文件第二章《项目需求》。</w:t>
      </w:r>
      <w:r>
        <w:rPr>
          <w:rFonts w:hint="eastAsia" w:ascii="Times New Roman" w:hAnsi="Times New Roman" w:eastAsia="宋体" w:cs="Times New Roman"/>
          <w:color w:val="auto"/>
          <w:szCs w:val="24"/>
          <w:highlight w:val="none"/>
          <w:lang w:val="en-US" w:eastAsia="zh-CN"/>
        </w:rPr>
        <w:t>本项目为一采多年项目，采用一次招标，沿用3年，合同一年一签的方式。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最高限价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如有</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 xml:space="preserve"> </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合同履行期限：合同签订之日起</w:t>
      </w:r>
      <w:r>
        <w:rPr>
          <w:rFonts w:hint="eastAsia" w:ascii="Times New Roman" w:hAnsi="Times New Roman" w:eastAsia="宋体" w:cs="Times New Roman"/>
          <w:color w:val="auto"/>
          <w:szCs w:val="24"/>
          <w:highlight w:val="none"/>
          <w:u w:val="none"/>
          <w:lang w:val="en-US" w:eastAsia="zh-CN"/>
        </w:rPr>
        <w:t>1</w:t>
      </w:r>
      <w:r>
        <w:rPr>
          <w:rFonts w:hint="eastAsia" w:ascii="Times New Roman" w:hAnsi="Times New Roman" w:eastAsia="宋体" w:cs="Times New Roman"/>
          <w:color w:val="auto"/>
          <w:szCs w:val="24"/>
          <w:highlight w:val="none"/>
          <w:u w:val="none"/>
          <w:lang w:eastAsia="zh-CN"/>
        </w:rPr>
        <w:t>年</w:t>
      </w:r>
      <w:r>
        <w:rPr>
          <w:rFonts w:hint="eastAsia" w:ascii="Times New Roman" w:hAnsi="Times New Roman" w:eastAsia="宋体" w:cs="Times New Roman"/>
          <w:color w:val="auto"/>
          <w:szCs w:val="24"/>
          <w:highlight w:val="none"/>
        </w:rPr>
        <w:t>内。</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本标项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否</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接受联合体投标。</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备注：</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b/>
          <w:color w:val="auto"/>
          <w:szCs w:val="24"/>
          <w:highlight w:val="none"/>
        </w:rPr>
      </w:pPr>
      <w:bookmarkStart w:id="10" w:name="_Toc28359003"/>
      <w:bookmarkStart w:id="11" w:name="_Toc35393791"/>
      <w:bookmarkStart w:id="12" w:name="_Toc35393622"/>
      <w:bookmarkStart w:id="13" w:name="_Toc28359080"/>
      <w:r>
        <w:rPr>
          <w:rFonts w:hint="eastAsia" w:ascii="Times New Roman" w:hAnsi="Times New Roman" w:eastAsia="宋体" w:cs="Times New Roman"/>
          <w:b/>
          <w:color w:val="auto"/>
          <w:szCs w:val="24"/>
          <w:highlight w:val="none"/>
        </w:rPr>
        <w:t>二、申请人的资格要求：</w:t>
      </w:r>
      <w:bookmarkEnd w:id="10"/>
      <w:bookmarkEnd w:id="11"/>
      <w:bookmarkEnd w:id="12"/>
      <w:bookmarkEnd w:id="13"/>
      <w:bookmarkStart w:id="14" w:name="_Toc35393623"/>
      <w:bookmarkStart w:id="15" w:name="_Toc35393792"/>
      <w:bookmarkStart w:id="16" w:name="_Toc28359004"/>
      <w:bookmarkStart w:id="17" w:name="_Toc28359081"/>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落实政府采购政策需满足的资格要求</w:t>
      </w:r>
      <w:r>
        <w:rPr>
          <w:rFonts w:hint="eastAsia" w:ascii="宋体" w:hAnsi="宋体" w:eastAsia="宋体" w:cs="宋体"/>
          <w:color w:val="auto"/>
          <w:szCs w:val="24"/>
          <w:highlight w:val="none"/>
        </w:rPr>
        <w:t>：</w:t>
      </w:r>
      <w:r>
        <w:rPr>
          <w:rFonts w:hint="eastAsia" w:ascii="宋体" w:hAnsi="宋体" w:eastAsia="宋体" w:cs="宋体"/>
          <w:color w:val="auto"/>
          <w:highlight w:val="none"/>
          <w:lang w:val="en-US" w:eastAsia="zh-CN"/>
        </w:rPr>
        <w:t>服务全部由符合政策要求的中小企业承接</w:t>
      </w:r>
    </w:p>
    <w:p>
      <w:pPr>
        <w:spacing w:line="400" w:lineRule="exact"/>
        <w:ind w:firstLine="435"/>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本项目的特定资格要求：无</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三、获取招标文件</w:t>
      </w:r>
      <w:bookmarkEnd w:id="14"/>
      <w:bookmarkEnd w:id="15"/>
      <w:bookmarkEnd w:id="16"/>
      <w:bookmarkEnd w:id="17"/>
    </w:p>
    <w:p>
      <w:pPr>
        <w:spacing w:line="400" w:lineRule="exact"/>
        <w:ind w:firstLine="420" w:firstLineChars="200"/>
        <w:jc w:val="left"/>
        <w:rPr>
          <w:rFonts w:ascii="Times New Roman" w:hAnsi="Times New Roman" w:eastAsia="宋体" w:cs="Times New Roman"/>
          <w:color w:val="auto"/>
          <w:szCs w:val="24"/>
          <w:highlight w:val="none"/>
        </w:rPr>
      </w:pPr>
      <w:bookmarkStart w:id="18" w:name="_Toc38370141"/>
      <w:r>
        <w:rPr>
          <w:rFonts w:hint="eastAsia" w:ascii="Times New Roman" w:hAnsi="Times New Roman" w:eastAsia="宋体" w:cs="Times New Roman"/>
          <w:color w:val="auto"/>
          <w:szCs w:val="24"/>
          <w:highlight w:val="none"/>
        </w:rPr>
        <w:t>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日至</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，每天上午</w:t>
      </w:r>
      <w:r>
        <w:rPr>
          <w:rFonts w:ascii="Times New Roman" w:hAnsi="Times New Roman" w:eastAsia="宋体" w:cs="Times New Roman"/>
          <w:color w:val="auto"/>
          <w:szCs w:val="24"/>
          <w:highlight w:val="none"/>
        </w:rPr>
        <w:t>00:00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，下午</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23:59</w:t>
      </w:r>
      <w:r>
        <w:rPr>
          <w:rFonts w:hint="eastAsia" w:ascii="Times New Roman" w:hAnsi="Times New Roman" w:eastAsia="宋体" w:cs="Times New Roman"/>
          <w:color w:val="auto"/>
          <w:szCs w:val="24"/>
          <w:highlight w:val="none"/>
        </w:rPr>
        <w:t>（北京时间，法定节假日除外）</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宋体" w:hAnsi="宋体" w:eastAsia="宋体" w:cs="Times New Roman"/>
          <w:color w:val="auto"/>
          <w:szCs w:val="21"/>
          <w:highlight w:val="none"/>
        </w:rPr>
        <w:t>广西政府采购云平台（https://www.gcy.zfcg.gxzf.gov.cn/）</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方式：供应商登录广西政府采购云平台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以下称“政采云平台”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在线获取招标文件（进入“项目采购”应用选择项目，获取招标文件）</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售价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 xml:space="preserve">0 </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bCs/>
          <w:color w:val="auto"/>
          <w:szCs w:val="24"/>
          <w:highlight w:val="none"/>
        </w:rPr>
        <w:t>四、</w:t>
      </w:r>
      <w:bookmarkEnd w:id="18"/>
      <w:bookmarkStart w:id="19" w:name="_Toc28359082"/>
      <w:bookmarkStart w:id="20" w:name="_Toc28359005"/>
      <w:bookmarkStart w:id="21" w:name="_Toc35393624"/>
      <w:bookmarkStart w:id="22" w:name="_Toc35393793"/>
      <w:r>
        <w:rPr>
          <w:rFonts w:hint="eastAsia" w:ascii="Times New Roman" w:hAnsi="Times New Roman" w:eastAsia="宋体" w:cs="Times New Roman"/>
          <w:b/>
          <w:color w:val="auto"/>
          <w:szCs w:val="24"/>
          <w:highlight w:val="none"/>
        </w:rPr>
        <w:t>投标文件</w:t>
      </w:r>
      <w:bookmarkEnd w:id="19"/>
      <w:bookmarkEnd w:id="20"/>
      <w:r>
        <w:rPr>
          <w:rFonts w:hint="eastAsia" w:ascii="Times New Roman" w:hAnsi="Times New Roman" w:eastAsia="宋体" w:cs="Times New Roman"/>
          <w:b/>
          <w:color w:val="auto"/>
          <w:szCs w:val="24"/>
          <w:highlight w:val="none"/>
        </w:rPr>
        <w:t>提交截止时间、开标时间和</w:t>
      </w:r>
      <w:bookmarkEnd w:id="21"/>
      <w:bookmarkEnd w:id="22"/>
      <w:r>
        <w:rPr>
          <w:rFonts w:hint="eastAsia" w:ascii="Times New Roman" w:hAnsi="Times New Roman" w:eastAsia="宋体" w:cs="Times New Roman"/>
          <w:b/>
          <w:color w:val="auto"/>
          <w:szCs w:val="24"/>
          <w:highlight w:val="none"/>
        </w:rPr>
        <w:t>地点</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提交投标文件截止时间：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09:30</w:t>
      </w:r>
      <w:r>
        <w:rPr>
          <w:rFonts w:hint="eastAsia" w:ascii="Times New Roman" w:hAnsi="Times New Roman" w:eastAsia="宋体" w:cs="Times New Roman"/>
          <w:color w:val="auto"/>
          <w:szCs w:val="24"/>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Times New Roman" w:hAnsi="Times New Roman" w:eastAsia="宋体" w:cs="Times New Roman"/>
          <w:color w:val="auto"/>
          <w:szCs w:val="24"/>
          <w:highlight w:val="none"/>
        </w:rPr>
        <w:t>投标地点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hint="eastAsia" w:ascii="宋体" w:hAnsi="宋体" w:eastAsia="宋体" w:cs="Courier New"/>
          <w:color w:val="auto"/>
          <w:szCs w:val="21"/>
          <w:highlight w:val="none"/>
        </w:rPr>
        <w:t>政府采购云平台（https://www.gcy.zfcg.gxzf.gov.cn/）</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开标时间：</w:t>
      </w:r>
      <w:r>
        <w:rPr>
          <w:rFonts w:hint="eastAsia" w:ascii="宋体" w:hAnsi="宋体" w:eastAsia="宋体" w:cs="Courier New"/>
          <w:color w:val="auto"/>
          <w:szCs w:val="21"/>
          <w:highlight w:val="none"/>
          <w:lang w:eastAsia="zh-CN"/>
        </w:rPr>
        <w:t>2026年</w:t>
      </w:r>
      <w:r>
        <w:rPr>
          <w:rFonts w:hint="eastAsia" w:ascii="宋体" w:hAnsi="宋体" w:eastAsia="宋体" w:cs="Courier New"/>
          <w:color w:val="auto"/>
          <w:szCs w:val="21"/>
          <w:highlight w:val="none"/>
          <w:lang w:val="en-US" w:eastAsia="zh-CN"/>
        </w:rPr>
        <w:t xml:space="preserve"> </w:t>
      </w:r>
      <w:r>
        <w:rPr>
          <w:rFonts w:hint="eastAsia" w:ascii="宋体" w:hAnsi="宋体" w:eastAsia="宋体" w:cs="Courier New"/>
          <w:color w:val="auto"/>
          <w:szCs w:val="21"/>
          <w:highlight w:val="none"/>
        </w:rPr>
        <w:t>月</w:t>
      </w:r>
      <w:r>
        <w:rPr>
          <w:rFonts w:hint="eastAsia" w:ascii="宋体" w:hAnsi="宋体" w:eastAsia="宋体" w:cs="Courier New"/>
          <w:color w:val="auto"/>
          <w:szCs w:val="21"/>
          <w:highlight w:val="none"/>
          <w:lang w:val="en-US" w:eastAsia="zh-CN"/>
        </w:rPr>
        <w:t xml:space="preserve"> </w:t>
      </w:r>
      <w:r>
        <w:rPr>
          <w:rFonts w:hint="eastAsia" w:ascii="宋体" w:hAnsi="宋体" w:eastAsia="宋体" w:cs="Courier New"/>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Courier New"/>
          <w:color w:val="auto"/>
          <w:szCs w:val="21"/>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开标地点：</w:t>
      </w:r>
      <w:bookmarkStart w:id="23" w:name="_Toc35393625"/>
      <w:bookmarkStart w:id="24" w:name="_Toc28359007"/>
      <w:bookmarkStart w:id="25" w:name="_Toc28359084"/>
      <w:bookmarkStart w:id="26" w:name="_Toc35393794"/>
      <w:r>
        <w:rPr>
          <w:rFonts w:hint="eastAsia" w:ascii="宋体" w:hAnsi="宋体" w:eastAsia="宋体" w:cs="Courier New"/>
          <w:color w:val="auto"/>
          <w:szCs w:val="21"/>
          <w:highlight w:val="none"/>
        </w:rPr>
        <w:t>广西钦州市金海湾东大街8号市政务服务中心三楼开标室</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五、公告期限</w:t>
      </w:r>
      <w:bookmarkEnd w:id="23"/>
      <w:bookmarkEnd w:id="24"/>
      <w:bookmarkEnd w:id="25"/>
      <w:bookmarkEnd w:id="26"/>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自本公告发布之日起</w:t>
      </w: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个工作日。</w:t>
      </w:r>
    </w:p>
    <w:p>
      <w:pPr>
        <w:spacing w:line="400" w:lineRule="exact"/>
        <w:rPr>
          <w:rFonts w:ascii="Times New Roman" w:hAnsi="Times New Roman" w:eastAsia="宋体" w:cs="Times New Roman"/>
          <w:b/>
          <w:color w:val="auto"/>
          <w:szCs w:val="24"/>
          <w:highlight w:val="none"/>
        </w:rPr>
      </w:pPr>
      <w:bookmarkStart w:id="27" w:name="_Toc28359085"/>
      <w:bookmarkStart w:id="28" w:name="_Toc28359008"/>
      <w:bookmarkStart w:id="29" w:name="_Toc35393627"/>
      <w:bookmarkStart w:id="30" w:name="_Toc35393796"/>
      <w:r>
        <w:rPr>
          <w:rFonts w:hint="eastAsia" w:ascii="Times New Roman" w:hAnsi="Times New Roman" w:eastAsia="宋体" w:cs="Times New Roman"/>
          <w:b/>
          <w:color w:val="auto"/>
          <w:szCs w:val="24"/>
          <w:highlight w:val="none"/>
        </w:rPr>
        <w:t>六、其他补充事宜</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bCs/>
          <w:color w:val="auto"/>
          <w:szCs w:val="24"/>
          <w:highlight w:val="none"/>
        </w:rPr>
        <w:t>本项目需落实的政府采购政策</w:t>
      </w:r>
      <w:r>
        <w:rPr>
          <w:rFonts w:hint="eastAsia" w:ascii="Times New Roman" w:hAnsi="Times New Roman" w:eastAsia="宋体" w:cs="Times New Roman"/>
          <w:b/>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工业和信息化部关于印发《政府采购促进中小企业发展管理办法》的通知</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2020</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46</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司法部关于政府采购支持监狱企业发展有关问题的通知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2014</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68</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民政部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中国残疾人联合会关于促进残疾人就业政府采购政策的通知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2017</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141</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hint="default" w:ascii="Times New Roman" w:hAnsi="Times New Roman" w:eastAsia="宋体" w:cs="Times New Roman"/>
          <w:b/>
          <w:color w:val="auto"/>
          <w:szCs w:val="24"/>
          <w:highlight w:val="none"/>
          <w:lang w:val="en-US" w:eastAsia="zh-CN"/>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投标保证金：</w:t>
      </w:r>
      <w:r>
        <w:rPr>
          <w:rFonts w:hint="eastAsia" w:ascii="宋体" w:hAnsi="宋体" w:eastAsia="宋体" w:cs="宋体"/>
          <w:b/>
          <w:bCs/>
          <w:color w:val="auto"/>
          <w:highlight w:val="none"/>
          <w:lang w:val="en-US" w:eastAsia="zh-CN"/>
        </w:rPr>
        <w:t>伍万柒仟元整(￥57,000.00)</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提交形式</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以支票、汇票、本票、网上银行支付或者金融机构、担保机构出具的保函等非现金形式提交。</w:t>
      </w:r>
    </w:p>
    <w:p>
      <w:pPr>
        <w:spacing w:line="400" w:lineRule="exact"/>
        <w:ind w:firstLine="420" w:firstLineChars="200"/>
        <w:rPr>
          <w:rFonts w:ascii="Times New Roman" w:hAnsi="Times New Roman" w:eastAsia="宋体" w:cs="Times New Roman"/>
          <w:b/>
          <w:color w:val="auto"/>
          <w:szCs w:val="24"/>
          <w:highlight w:val="none"/>
        </w:rPr>
      </w:pPr>
      <w:bookmarkStart w:id="31" w:name="_Hlk91771226"/>
      <w:r>
        <w:rPr>
          <w:rFonts w:hint="eastAsia" w:ascii="Times New Roman" w:hAnsi="Times New Roman" w:eastAsia="宋体" w:cs="Times New Roman"/>
          <w:color w:val="auto"/>
          <w:szCs w:val="24"/>
          <w:highlight w:val="none"/>
        </w:rPr>
        <w:t>以支票、汇票、本票、保函等形式提交保证金的，投标人必须将票据、保函等原件于投标文件提交截止时间前递交至本中心财务室（</w:t>
      </w:r>
      <w:r>
        <w:rPr>
          <w:rFonts w:hint="eastAsia" w:ascii="宋体" w:hAnsi="宋体" w:eastAsia="宋体" w:cs="宋体"/>
          <w:bCs/>
          <w:color w:val="auto"/>
          <w:kern w:val="0"/>
          <w:szCs w:val="21"/>
          <w:highlight w:val="none"/>
        </w:rPr>
        <w:t>地址:广西钦州市钦南区水东街区金海湾东大街8号市政务服务中心二楼市采购中心财务室，</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:0777-2886026</w:t>
      </w:r>
      <w:r>
        <w:rPr>
          <w:rFonts w:hint="eastAsia" w:ascii="Times New Roman" w:hAnsi="Times New Roman" w:eastAsia="宋体" w:cs="Times New Roman"/>
          <w:color w:val="auto"/>
          <w:szCs w:val="24"/>
          <w:highlight w:val="none"/>
        </w:rPr>
        <w:t>）。</w:t>
      </w:r>
    </w:p>
    <w:bookmarkEnd w:id="31"/>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网上银行支付形式提交的，投标人必须于投标文件递交截止时间前从投标人账户缴存至本中心银行账户（以到账时间为准）。</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本中心银行账户：</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开户名称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钦州市政府采购中心</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开户银行</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中国工商银行股份有限公司钦州市永福东支行</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银行账号</w:t>
      </w:r>
      <w:r>
        <w:rPr>
          <w:rFonts w:ascii="Times New Roman" w:hAnsi="Times New Roman" w:eastAsia="宋体" w:cs="Times New Roman"/>
          <w:color w:val="auto"/>
          <w:szCs w:val="24"/>
          <w:highlight w:val="none"/>
        </w:rPr>
        <w:t>:2115591229100078724</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注：投标人无法选择以上开户银行的，请选择“中国工商银行股份有限公司钦州分行”进行缴存。</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bookmarkStart w:id="32" w:name="_Hlk91598380"/>
      <w:r>
        <w:rPr>
          <w:rFonts w:hint="eastAsia" w:ascii="Times New Roman" w:hAnsi="Times New Roman" w:eastAsia="宋体" w:cs="Times New Roman"/>
          <w:color w:val="auto"/>
          <w:szCs w:val="24"/>
          <w:highlight w:val="none"/>
        </w:rPr>
        <w:t>全流程电子化</w:t>
      </w:r>
      <w:bookmarkEnd w:id="32"/>
      <w:r>
        <w:rPr>
          <w:rFonts w:hint="eastAsia" w:ascii="Times New Roman" w:hAnsi="Times New Roman" w:eastAsia="宋体" w:cs="Times New Roman"/>
          <w:color w:val="auto"/>
          <w:szCs w:val="24"/>
          <w:highlight w:val="none"/>
        </w:rPr>
        <w:t>要求：</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本项目为全流程电子化项目，潜在投标人应做好参与全流程电子化交易的充分准备，熟悉掌握电子化采购项目操作指南</w:t>
      </w:r>
      <w:bookmarkStart w:id="33" w:name="_Hlk154044590"/>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操作指南：政采云电子卖场首页右上角—服务中心—帮助文档—项目采购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，及时完成</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申领和绑定</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操作指南：政采云电子卖场首页右上角—帮助文档—入驻与配置—</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证书申领路径：政采云平台—我的工作台右上角—</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w:t>
      </w:r>
      <w:r>
        <w:rPr>
          <w:rFonts w:ascii="Times New Roman" w:hAnsi="Times New Roman" w:eastAsia="宋体" w:cs="Times New Roman"/>
          <w:color w:val="auto"/>
          <w:szCs w:val="24"/>
          <w:highlight w:val="none"/>
        </w:rPr>
        <w:t>)</w:t>
      </w:r>
      <w:bookmarkEnd w:id="33"/>
      <w:r>
        <w:rPr>
          <w:rFonts w:hint="eastAsia" w:ascii="Times New Roman" w:hAnsi="Times New Roman" w:eastAsia="宋体" w:cs="Times New Roman"/>
          <w:color w:val="auto"/>
          <w:szCs w:val="24"/>
          <w:highlight w:val="none"/>
        </w:rPr>
        <w:t>。因未注册入库、未办理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数字证书、</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证书故障、操作不当等原因造成投标失败等后果由投标人承担。</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依法获取招标文件：投标人须在获取招标文件时间内登录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Times New Roman" w:hAnsi="Times New Roman" w:eastAsia="宋体" w:cs="Times New Roman"/>
          <w:color w:val="auto"/>
          <w:szCs w:val="24"/>
          <w:highlight w:val="none"/>
          <w:u w:val="single"/>
        </w:rPr>
        <w:t>政府采购云平台</w:t>
      </w:r>
      <w:r>
        <w:rPr>
          <w:rFonts w:hint="eastAsia"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申请下载招标文件才视作依法获取招标文件。</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投标人应通过广西政府采购云平台客户端制作投标文件，供应商自行前往下载安装</w:t>
      </w:r>
      <w:bookmarkStart w:id="34" w:name="_Hlk154044625"/>
      <w:r>
        <w:rPr>
          <w:rFonts w:hint="eastAsia" w:ascii="Times New Roman" w:hAnsi="Times New Roman" w:eastAsia="宋体" w:cs="Times New Roman"/>
          <w:color w:val="auto"/>
          <w:szCs w:val="24"/>
          <w:highlight w:val="none"/>
        </w:rPr>
        <w:t>（</w:t>
      </w:r>
      <w:bookmarkStart w:id="35" w:name="_Hlk152682913"/>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"https://sitecdn.zcycdn.com/zcy-client/bidding-client-new/official/guangxi/GuangXiSetup.exe"</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4"/>
          <w:highlight w:val="none"/>
          <w:u w:val="single"/>
        </w:rPr>
        <w:t>客户端下载</w:t>
      </w:r>
      <w:r>
        <w:rPr>
          <w:rFonts w:ascii="Times New Roman" w:hAnsi="Times New Roman" w:eastAsia="宋体" w:cs="Times New Roman"/>
          <w:color w:val="auto"/>
          <w:szCs w:val="24"/>
          <w:highlight w:val="none"/>
        </w:rPr>
        <w:fldChar w:fldCharType="end"/>
      </w:r>
      <w:bookmarkEnd w:id="35"/>
      <w:r>
        <w:rPr>
          <w:rFonts w:hint="eastAsia" w:ascii="Times New Roman" w:hAnsi="Times New Roman" w:eastAsia="宋体" w:cs="Times New Roman"/>
          <w:color w:val="auto"/>
          <w:szCs w:val="24"/>
          <w:highlight w:val="none"/>
        </w:rPr>
        <w:t>）</w:t>
      </w:r>
      <w:bookmarkEnd w:id="34"/>
      <w:r>
        <w:rPr>
          <w:rFonts w:hint="eastAsia"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(4)</w:t>
      </w:r>
      <w:r>
        <w:rPr>
          <w:rFonts w:ascii="Times New Roman" w:hAnsi="Times New Roman" w:eastAsia="宋体" w:cs="Times New Roman"/>
          <w:b/>
          <w:color w:val="auto"/>
          <w:szCs w:val="24"/>
          <w:highlight w:val="none"/>
        </w:rPr>
        <w:t xml:space="preserve"> </w:t>
      </w:r>
      <w:r>
        <w:rPr>
          <w:rFonts w:hint="eastAsia" w:ascii="Times New Roman" w:hAnsi="Times New Roman" w:eastAsia="宋体" w:cs="Times New Roman"/>
          <w:color w:val="auto"/>
          <w:szCs w:val="24"/>
          <w:highlight w:val="none"/>
        </w:rPr>
        <w:t>投标人法定代表人或委托代理人须按时登录</w:t>
      </w:r>
      <w:bookmarkStart w:id="36" w:name="_Hlk90367388"/>
      <w:r>
        <w:rPr>
          <w:rFonts w:hint="eastAsia" w:ascii="宋体" w:hAnsi="宋体" w:eastAsia="宋体" w:cs="Courier New"/>
          <w:color w:val="auto"/>
          <w:szCs w:val="21"/>
          <w:highlight w:val="none"/>
        </w:rPr>
        <w:t>政采云远程开标大厅</w:t>
      </w:r>
      <w:bookmarkEnd w:id="36"/>
      <w:r>
        <w:rPr>
          <w:rFonts w:hint="eastAsia" w:ascii="Times New Roman" w:hAnsi="Times New Roman" w:eastAsia="宋体" w:cs="Times New Roman"/>
          <w:color w:val="auto"/>
          <w:szCs w:val="24"/>
          <w:highlight w:val="none"/>
        </w:rPr>
        <w:t>，保持全程在线并关注开标评标进度，评标期间评标委员会提出澄清等要求时，投标人须在规定时间内进行应答，否则按招标文件或政采云平台的相关规定执行。</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投标人参与投标过程中涉及政府采购云平台的问题，请咨询政采云</w:t>
      </w:r>
      <w:r>
        <w:rPr>
          <w:rFonts w:hint="eastAsia" w:ascii="Times New Roman" w:hAnsi="宋体" w:eastAsia="宋体" w:cs="Times New Roman"/>
          <w:color w:val="auto"/>
          <w:szCs w:val="24"/>
          <w:highlight w:val="none"/>
        </w:rPr>
        <w:t>技术支持热线：</w:t>
      </w:r>
      <w:r>
        <w:rPr>
          <w:rFonts w:ascii="Times New Roman" w:hAnsi="宋体" w:eastAsia="宋体" w:cs="Times New Roman"/>
          <w:color w:val="auto"/>
          <w:szCs w:val="24"/>
          <w:highlight w:val="none"/>
        </w:rPr>
        <w:t>95763</w:t>
      </w:r>
      <w:r>
        <w:rPr>
          <w:rFonts w:hint="eastAsia" w:ascii="Times New Roman" w:hAnsi="宋体" w:eastAsia="宋体" w:cs="Times New Roman"/>
          <w:color w:val="auto"/>
          <w:szCs w:val="24"/>
          <w:highlight w:val="none"/>
        </w:rPr>
        <w:t>。</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4.</w:t>
      </w:r>
      <w:r>
        <w:rPr>
          <w:rFonts w:hint="eastAsia" w:ascii="Times New Roman" w:hAnsi="宋体" w:eastAsia="宋体" w:cs="Times New Roman"/>
          <w:color w:val="auto"/>
          <w:szCs w:val="24"/>
          <w:highlight w:val="none"/>
        </w:rPr>
        <w:t>查询媒体：</w:t>
      </w:r>
      <w:bookmarkStart w:id="37" w:name="_Hlk97804124"/>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"http://www.ccgp.gov.cn/"</w:instrText>
      </w:r>
      <w:r>
        <w:rPr>
          <w:rFonts w:ascii="Times New Roman" w:hAnsi="Times New Roman" w:eastAsia="宋体" w:cs="Times New Roman"/>
          <w:color w:val="auto"/>
          <w:szCs w:val="24"/>
          <w:highlight w:val="none"/>
        </w:rPr>
        <w:fldChar w:fldCharType="separate"/>
      </w:r>
      <w:r>
        <w:rPr>
          <w:rFonts w:hint="eastAsia" w:ascii="Times New Roman" w:hAnsi="宋体" w:eastAsia="宋体" w:cs="Times New Roman"/>
          <w:color w:val="auto"/>
          <w:szCs w:val="24"/>
          <w:highlight w:val="none"/>
          <w:u w:val="single"/>
        </w:rPr>
        <w:t>中国政府采购网</w:t>
      </w:r>
      <w:r>
        <w:rPr>
          <w:rFonts w:ascii="Times New Roman" w:hAnsi="Times New Roman"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u w:val="single"/>
        </w:rPr>
        <w:t>广西政府采购网</w:t>
      </w:r>
      <w:r>
        <w:rPr>
          <w:rFonts w:hint="eastAsia" w:ascii="Times New Roman" w:hAnsi="宋体" w:eastAsia="宋体" w:cs="Times New Roman"/>
          <w:color w:val="auto"/>
          <w:szCs w:val="24"/>
          <w:highlight w:val="none"/>
          <w:u w:val="single"/>
        </w:rPr>
        <w:fldChar w:fldCharType="end"/>
      </w:r>
      <w:r>
        <w:rPr>
          <w:rFonts w:hint="eastAsia" w:ascii="Times New Roman" w:hAnsi="宋体" w:eastAsia="宋体" w:cs="Times New Roman"/>
          <w:color w:val="auto"/>
          <w:szCs w:val="24"/>
          <w:highlight w:val="none"/>
        </w:rPr>
        <w:t>。</w:t>
      </w:r>
      <w:bookmarkEnd w:id="37"/>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5.</w:t>
      </w:r>
      <w:r>
        <w:rPr>
          <w:rFonts w:hint="eastAsia" w:ascii="Times New Roman" w:hAnsi="宋体" w:eastAsia="宋体" w:cs="Times New Roman"/>
          <w:color w:val="auto"/>
          <w:szCs w:val="24"/>
          <w:highlight w:val="none"/>
        </w:rPr>
        <w:t>钦州市政府采购中心联系方式：</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采购部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招标文件</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w:t>
      </w:r>
      <w:r>
        <w:rPr>
          <w:rFonts w:hint="eastAsia" w:ascii="Times New Roman" w:hAnsi="宋体" w:eastAsia="宋体" w:cs="Times New Roman"/>
          <w:color w:val="auto"/>
          <w:szCs w:val="24"/>
          <w:highlight w:val="none"/>
          <w:lang w:val="en-US" w:eastAsia="zh-CN"/>
        </w:rPr>
        <w:t>黄忠秀</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0777-2886022</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综合二部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保证金、开评标、中标及合同管理</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联系人：陈侃</w:t>
      </w:r>
      <w:r>
        <w:rPr>
          <w:rFonts w:hint="eastAsia" w:ascii="Times New Roman" w:hAnsi="宋体" w:eastAsia="宋体" w:cs="Times New Roman"/>
          <w:color w:val="auto"/>
          <w:szCs w:val="24"/>
          <w:highlight w:val="none"/>
          <w:lang w:eastAsia="zh-CN"/>
        </w:rPr>
        <w:t>、陈启梅</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 xml:space="preserve"> 0777-2886006</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七、对本次招标提出询问，请按以下方式联系</w:t>
      </w:r>
      <w:bookmarkEnd w:id="27"/>
      <w:bookmarkEnd w:id="28"/>
      <w:bookmarkEnd w:id="29"/>
      <w:bookmarkEnd w:id="30"/>
    </w:p>
    <w:bookmarkEnd w:id="8"/>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采购人信息</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名称：</w:t>
      </w:r>
      <w:r>
        <w:rPr>
          <w:rFonts w:hint="eastAsia" w:ascii="Times New Roman" w:hAnsi="Times New Roman" w:eastAsia="宋体" w:cs="Times New Roman"/>
          <w:color w:val="auto"/>
          <w:szCs w:val="24"/>
          <w:highlight w:val="none"/>
          <w:lang w:eastAsia="zh-CN"/>
        </w:rPr>
        <w:t>钦州市直属机关服务中心</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地址：</w:t>
      </w:r>
      <w:r>
        <w:rPr>
          <w:rFonts w:hint="eastAsia" w:ascii="Times New Roman" w:hAnsi="Times New Roman" w:eastAsia="宋体" w:cs="Times New Roman"/>
          <w:color w:val="auto"/>
          <w:szCs w:val="24"/>
          <w:highlight w:val="none"/>
          <w:lang w:eastAsia="zh-CN"/>
        </w:rPr>
        <w:t>钦州市永福东大街11号市行政信息中心</w:t>
      </w:r>
    </w:p>
    <w:p>
      <w:pPr>
        <w:spacing w:line="400" w:lineRule="exact"/>
        <w:ind w:firstLine="42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项目联系人：覃昭灵</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项目联系方式</w:t>
      </w:r>
      <w:bookmarkStart w:id="38" w:name="_Toc28359086"/>
      <w:bookmarkStart w:id="39" w:name="_Toc28359009"/>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0777-2825425</w:t>
      </w:r>
    </w:p>
    <w:p>
      <w:pPr>
        <w:spacing w:line="400" w:lineRule="exact"/>
        <w:ind w:firstLine="420" w:firstLineChars="200"/>
        <w:rPr>
          <w:rFonts w:ascii="Times New Roman" w:hAnsi="Times New Roman" w:eastAsia="宋体" w:cs="Times New Roman"/>
          <w:color w:val="auto"/>
          <w:szCs w:val="24"/>
          <w:highlight w:val="none"/>
        </w:rPr>
      </w:pPr>
      <w:bookmarkStart w:id="40" w:name="_Hlk92356946"/>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采购代理机构信息</w:t>
      </w:r>
      <w:bookmarkEnd w:id="38"/>
      <w:bookmarkEnd w:id="39"/>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名称：钦州市政府采购中心</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地址：钦州市金海湾东大街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w:t>
      </w:r>
      <w:r>
        <w:rPr>
          <w:rFonts w:hint="eastAsia" w:ascii="Times New Roman" w:hAnsi="Times New Roman" w:eastAsia="宋体" w:cs="Times New Roman"/>
          <w:color w:val="auto"/>
          <w:szCs w:val="24"/>
          <w:highlight w:val="none"/>
          <w:lang w:val="en-US" w:eastAsia="zh-CN"/>
        </w:rPr>
        <w:t>黄忠秀、陈侃、陈启梅</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项目联系方式：</w:t>
      </w:r>
      <w:bookmarkStart w:id="41" w:name="_Toc28359010"/>
      <w:bookmarkStart w:id="42" w:name="_Toc28359087"/>
      <w:r>
        <w:rPr>
          <w:rFonts w:hint="eastAsia" w:ascii="Times New Roman" w:hAnsi="Times New Roman" w:eastAsia="宋体" w:cs="Times New Roman"/>
          <w:color w:val="auto"/>
          <w:szCs w:val="24"/>
          <w:highlight w:val="none"/>
        </w:rPr>
        <w:t>0777-2886022</w:t>
      </w:r>
      <w:bookmarkEnd w:id="40"/>
      <w:bookmarkEnd w:id="41"/>
      <w:bookmarkEnd w:id="42"/>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2886006</w:t>
      </w:r>
      <w:r>
        <w:rPr>
          <w:rFonts w:ascii="Times New Roman" w:hAnsi="Times New Roman" w:eastAsia="宋体" w:cs="Times New Roman"/>
          <w:color w:val="auto"/>
          <w:szCs w:val="24"/>
          <w:highlight w:val="none"/>
        </w:rPr>
        <w:br w:type="page"/>
      </w: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43" w:name="_Toc352700402"/>
      <w:bookmarkStart w:id="44" w:name="_Toc173764939"/>
      <w:r>
        <w:rPr>
          <w:rFonts w:hint="eastAsia" w:ascii="Cambria" w:hAnsi="Cambria" w:eastAsia="方正小标宋_GBK" w:cs="Times New Roman"/>
          <w:b/>
          <w:bCs/>
          <w:color w:val="auto"/>
          <w:kern w:val="0"/>
          <w:sz w:val="44"/>
          <w:szCs w:val="32"/>
          <w:highlight w:val="none"/>
        </w:rPr>
        <w:t>第二章</w:t>
      </w:r>
      <w:r>
        <w:rPr>
          <w:rFonts w:ascii="Cambria" w:hAnsi="Cambria" w:eastAsia="方正小标宋_GBK" w:cs="Times New Roman"/>
          <w:b/>
          <w:bCs/>
          <w:color w:val="auto"/>
          <w:kern w:val="0"/>
          <w:sz w:val="44"/>
          <w:szCs w:val="32"/>
          <w:highlight w:val="none"/>
        </w:rPr>
        <w:t xml:space="preserve">  </w:t>
      </w:r>
      <w:bookmarkEnd w:id="43"/>
      <w:r>
        <w:rPr>
          <w:rFonts w:hint="eastAsia" w:ascii="Cambria" w:hAnsi="Cambria" w:eastAsia="方正小标宋_GBK" w:cs="Times New Roman"/>
          <w:b/>
          <w:bCs/>
          <w:color w:val="auto"/>
          <w:kern w:val="0"/>
          <w:sz w:val="44"/>
          <w:szCs w:val="32"/>
          <w:highlight w:val="none"/>
        </w:rPr>
        <w:t>项目需求</w:t>
      </w:r>
      <w:bookmarkEnd w:id="44"/>
      <w:bookmarkStart w:id="45" w:name="_Toc352700403"/>
    </w:p>
    <w:p>
      <w:pPr>
        <w:spacing w:line="800" w:lineRule="exact"/>
        <w:ind w:left="-291" w:leftChars="-202" w:hanging="133" w:hangingChars="30"/>
        <w:jc w:val="center"/>
        <w:rPr>
          <w:rFonts w:ascii="Times New Roman" w:hAnsi="Times New Roman" w:eastAsia="宋体" w:cs="Times New Roman"/>
          <w:b/>
          <w:color w:val="auto"/>
          <w:szCs w:val="24"/>
          <w:highlight w:val="none"/>
        </w:rPr>
      </w:pPr>
      <w:r>
        <w:rPr>
          <w:rFonts w:hint="eastAsia" w:ascii="方正小标宋_GBK" w:hAnsi="Times New Roman" w:eastAsia="方正小标宋_GBK" w:cs="Times New Roman"/>
          <w:b/>
          <w:color w:val="auto"/>
          <w:sz w:val="44"/>
          <w:szCs w:val="44"/>
          <w:highlight w:val="none"/>
        </w:rPr>
        <w:br w:type="page"/>
      </w:r>
      <w:r>
        <w:rPr>
          <w:rFonts w:hint="eastAsia" w:ascii="方正小标宋_GBK" w:hAnsi="Times New Roman" w:eastAsia="方正小标宋_GBK" w:cs="Times New Roman"/>
          <w:b/>
          <w:color w:val="auto"/>
          <w:sz w:val="44"/>
          <w:szCs w:val="44"/>
          <w:highlight w:val="none"/>
        </w:rPr>
        <w:t>项目需求</w:t>
      </w:r>
    </w:p>
    <w:p>
      <w:pPr>
        <w:rPr>
          <w:rFonts w:hint="eastAsia" w:ascii="黑体" w:hAnsi="黑体" w:eastAsia="黑体" w:cs="黑体"/>
          <w:bCs/>
          <w:color w:val="auto"/>
          <w:sz w:val="28"/>
          <w:szCs w:val="28"/>
          <w:highlight w:val="none"/>
          <w:lang w:eastAsia="zh-CN"/>
        </w:rPr>
      </w:pPr>
    </w:p>
    <w:p>
      <w:pPr>
        <w:spacing w:line="360" w:lineRule="auto"/>
        <w:jc w:val="left"/>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pacing w:val="-1"/>
          <w:kern w:val="0"/>
          <w:sz w:val="21"/>
          <w:szCs w:val="21"/>
          <w:highlight w:val="none"/>
          <w:lang w:eastAsia="en-US"/>
        </w:rPr>
        <w:t>项目基本情况</w:t>
      </w:r>
    </w:p>
    <w:p>
      <w:pPr>
        <w:rPr>
          <w:rFonts w:hint="eastAsia" w:ascii="宋体" w:hAnsi="宋体" w:eastAsia="宋体" w:cs="宋体"/>
          <w:color w:val="auto"/>
        </w:rPr>
      </w:pPr>
      <w:r>
        <w:rPr>
          <w:rFonts w:hint="eastAsia" w:ascii="宋体" w:hAnsi="宋体" w:eastAsia="宋体" w:cs="宋体"/>
          <w:color w:val="auto"/>
          <w:lang w:eastAsia="en-US"/>
        </w:rPr>
        <w:t>1</w:t>
      </w:r>
      <w:r>
        <w:rPr>
          <w:rFonts w:hint="eastAsia" w:ascii="宋体" w:hAnsi="宋体" w:eastAsia="宋体" w:cs="宋体"/>
          <w:color w:val="auto"/>
          <w:lang w:val="en-US" w:eastAsia="zh-CN"/>
        </w:rPr>
        <w:t>.1</w:t>
      </w:r>
      <w:r>
        <w:rPr>
          <w:rFonts w:hint="eastAsia" w:ascii="宋体" w:hAnsi="宋体" w:eastAsia="宋体" w:cs="宋体"/>
          <w:color w:val="auto"/>
          <w:lang w:eastAsia="en-US"/>
        </w:rPr>
        <w:t>物业情况</w:t>
      </w:r>
    </w:p>
    <w:tbl>
      <w:tblPr>
        <w:tblStyle w:val="48"/>
        <w:tblW w:w="8851" w:type="dxa"/>
        <w:tblInd w:w="-92" w:type="dxa"/>
        <w:tblLayout w:type="fixed"/>
        <w:tblCellMar>
          <w:top w:w="0" w:type="dxa"/>
          <w:left w:w="0" w:type="dxa"/>
          <w:bottom w:w="0" w:type="dxa"/>
          <w:right w:w="0" w:type="dxa"/>
        </w:tblCellMar>
      </w:tblPr>
      <w:tblGrid>
        <w:gridCol w:w="4675"/>
        <w:gridCol w:w="4176"/>
      </w:tblGrid>
      <w:tr>
        <w:trPr>
          <w:trHeight w:val="47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spacing w:before="25" w:line="360" w:lineRule="auto"/>
              <w:ind w:left="102"/>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物业名称</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25" w:line="360" w:lineRule="auto"/>
              <w:ind w:left="99"/>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物业地址</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leftChars="0" w:firstLine="0" w:firstLineChars="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市行政信息中心办公区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钦州市永福东大街11号</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leftChars="0" w:firstLine="0" w:firstLineChars="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市档案馆办公区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红日街33号</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市行政信息中心公寓小区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红日街33号</w:t>
            </w:r>
          </w:p>
        </w:tc>
      </w:tr>
    </w:tbl>
    <w:p>
      <w:pPr>
        <w:pStyle w:val="4"/>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1.2采购人提供的供供应商使用的场地、设施、设备、材料等（与供应商提供的设备、相关费用说明统筹考虑）</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(1)采购人提供：办公室 1 间，40 平方米。</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(2)提供物业管理服务设备。</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(3)提供安保服务使用的警、防暴装备之类。</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(4)采购人提供维修材料。</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(5)采购人提供低值易耗品。</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(6)采购人提供客耗品，如厕纸、洗手液、擦手纸等。</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供应商应承担除以上所列</w:t>
      </w:r>
      <w:r>
        <w:rPr>
          <w:rFonts w:hint="eastAsia" w:ascii="宋体" w:hAnsi="宋体" w:eastAsia="宋体" w:cs="宋体"/>
          <w:color w:val="auto"/>
          <w:kern w:val="2"/>
          <w:sz w:val="21"/>
          <w:szCs w:val="21"/>
          <w:highlight w:val="none"/>
          <w:u w:val="none"/>
          <w:lang w:val="en-US" w:eastAsia="zh-CN" w:bidi="ar-SA"/>
        </w:rPr>
        <w:t>场地、设施、设备、材料</w:t>
      </w:r>
      <w:r>
        <w:rPr>
          <w:rFonts w:hint="eastAsia" w:ascii="宋体" w:hAnsi="宋体" w:eastAsia="宋体" w:cs="宋体"/>
          <w:color w:val="auto"/>
          <w:sz w:val="21"/>
          <w:szCs w:val="21"/>
          <w:highlight w:val="none"/>
          <w:lang w:val="en-US" w:eastAsia="zh-CN"/>
        </w:rPr>
        <w:t>外，与物业管理服务有关的其他</w:t>
      </w:r>
      <w:r>
        <w:rPr>
          <w:rFonts w:hint="eastAsia" w:ascii="宋体" w:hAnsi="宋体" w:eastAsia="宋体" w:cs="宋体"/>
          <w:color w:val="auto"/>
          <w:kern w:val="2"/>
          <w:sz w:val="21"/>
          <w:szCs w:val="21"/>
          <w:highlight w:val="none"/>
          <w:u w:val="none"/>
          <w:lang w:val="en-US" w:eastAsia="zh-CN" w:bidi="ar-SA"/>
        </w:rPr>
        <w:t>场地、设施、设备、材料</w:t>
      </w:r>
      <w:r>
        <w:rPr>
          <w:rFonts w:hint="eastAsia" w:ascii="宋体" w:hAnsi="宋体" w:eastAsia="宋体" w:cs="宋体"/>
          <w:color w:val="auto"/>
          <w:sz w:val="21"/>
          <w:szCs w:val="21"/>
          <w:highlight w:val="none"/>
          <w:lang w:val="en-US" w:eastAsia="zh-CN"/>
        </w:rPr>
        <w:t>。</w:t>
      </w:r>
    </w:p>
    <w:p>
      <w:pPr>
        <w:numPr>
          <w:ilvl w:val="0"/>
          <w:numId w:val="1"/>
        </w:num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物业服务范围</w:t>
      </w:r>
    </w:p>
    <w:p>
      <w:pPr>
        <w:numPr>
          <w:ilvl w:val="0"/>
          <w:numId w:val="0"/>
        </w:num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2.1市行政信息中心办公区</w:t>
      </w:r>
    </w:p>
    <w:p>
      <w:pPr>
        <w:pStyle w:val="4"/>
        <w:numPr>
          <w:ilvl w:val="0"/>
          <w:numId w:val="2"/>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物业管理（建筑物）</w:t>
      </w:r>
    </w:p>
    <w:tbl>
      <w:tblPr>
        <w:tblStyle w:val="48"/>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796"/>
        <w:gridCol w:w="429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067" w:type="dxa"/>
            <w:gridSpan w:val="2"/>
            <w:shd w:val="clear" w:color="auto" w:fill="auto"/>
            <w:vAlign w:val="center"/>
          </w:tcPr>
          <w:p>
            <w:pPr>
              <w:widowControl/>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299" w:type="dxa"/>
            <w:shd w:val="clear" w:color="auto" w:fill="auto"/>
            <w:vAlign w:val="center"/>
          </w:tcPr>
          <w:p>
            <w:pPr>
              <w:widowControl/>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明细</w:t>
            </w:r>
          </w:p>
        </w:tc>
        <w:tc>
          <w:tcPr>
            <w:tcW w:w="2268" w:type="dxa"/>
            <w:shd w:val="clear" w:color="auto" w:fill="auto"/>
            <w:vAlign w:val="center"/>
          </w:tcPr>
          <w:p>
            <w:pPr>
              <w:widowControl/>
              <w:spacing w:line="4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67" w:type="dxa"/>
            <w:gridSpan w:val="2"/>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rPr>
              <w:t>市行政信息中心办公区</w:t>
            </w:r>
            <w:r>
              <w:rPr>
                <w:rFonts w:hint="eastAsia" w:ascii="宋体" w:hAnsi="宋体" w:eastAsia="宋体" w:cs="宋体"/>
                <w:color w:val="auto"/>
                <w:sz w:val="21"/>
                <w:szCs w:val="21"/>
                <w:lang w:eastAsia="zh-CN"/>
              </w:rPr>
              <w:t>、档案馆办公区、公寓楼小区</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总占地面积</w:t>
            </w:r>
            <w:r>
              <w:rPr>
                <w:rFonts w:hint="eastAsia" w:ascii="宋体" w:hAnsi="宋体" w:eastAsia="宋体" w:cs="宋体"/>
                <w:color w:val="auto"/>
                <w:kern w:val="0"/>
                <w:sz w:val="21"/>
                <w:szCs w:val="21"/>
                <w:highlight w:val="none"/>
                <w:lang w:val="en-US" w:eastAsia="zh-CN"/>
              </w:rPr>
              <w:t>167亩，其中，</w:t>
            </w:r>
            <w:r>
              <w:rPr>
                <w:rFonts w:hint="eastAsia" w:ascii="宋体" w:hAnsi="宋体" w:eastAsia="宋体" w:cs="宋体"/>
                <w:color w:val="auto"/>
                <w:kern w:val="0"/>
                <w:sz w:val="21"/>
                <w:szCs w:val="21"/>
                <w:highlight w:val="none"/>
                <w:lang w:eastAsia="zh-CN"/>
              </w:rPr>
              <w:t>行政中心办公区占地</w:t>
            </w:r>
            <w:r>
              <w:rPr>
                <w:rFonts w:hint="eastAsia" w:ascii="宋体" w:hAnsi="宋体" w:eastAsia="宋体" w:cs="宋体"/>
                <w:color w:val="auto"/>
                <w:kern w:val="0"/>
                <w:sz w:val="21"/>
                <w:szCs w:val="21"/>
                <w:highlight w:val="none"/>
                <w:lang w:val="en-US" w:eastAsia="zh-CN"/>
              </w:rPr>
              <w:t>142亩，13</w:t>
            </w:r>
            <w:r>
              <w:rPr>
                <w:rFonts w:hint="eastAsia" w:ascii="宋体" w:hAnsi="宋体" w:eastAsia="宋体" w:cs="宋体"/>
                <w:color w:val="auto"/>
                <w:kern w:val="0"/>
                <w:sz w:val="21"/>
                <w:szCs w:val="21"/>
                <w:highlight w:val="none"/>
              </w:rPr>
              <w:t>层，建筑面积为</w:t>
            </w:r>
            <w:r>
              <w:rPr>
                <w:rFonts w:hint="eastAsia" w:ascii="宋体" w:hAnsi="宋体" w:eastAsia="宋体" w:cs="宋体"/>
                <w:color w:val="auto"/>
                <w:kern w:val="0"/>
                <w:sz w:val="21"/>
                <w:szCs w:val="21"/>
                <w:highlight w:val="none"/>
                <w:lang w:val="en-US" w:eastAsia="zh-CN"/>
              </w:rPr>
              <w:t>59798</w:t>
            </w:r>
            <w:r>
              <w:rPr>
                <w:rFonts w:hint="eastAsia" w:ascii="宋体" w:hAnsi="宋体" w:eastAsia="宋体" w:cs="宋体"/>
                <w:color w:val="auto"/>
                <w:kern w:val="0"/>
                <w:sz w:val="21"/>
                <w:szCs w:val="21"/>
                <w:highlight w:val="none"/>
              </w:rPr>
              <w:t>平方米；</w:t>
            </w:r>
            <w:r>
              <w:rPr>
                <w:rFonts w:hint="eastAsia" w:ascii="宋体" w:hAnsi="宋体" w:eastAsia="宋体" w:cs="宋体"/>
                <w:color w:val="auto"/>
                <w:kern w:val="0"/>
                <w:sz w:val="21"/>
                <w:szCs w:val="21"/>
                <w:highlight w:val="none"/>
                <w:lang w:eastAsia="zh-CN"/>
              </w:rPr>
              <w:t>档案馆办公占地</w:t>
            </w:r>
            <w:r>
              <w:rPr>
                <w:rFonts w:hint="eastAsia" w:ascii="宋体" w:hAnsi="宋体" w:eastAsia="宋体" w:cs="宋体"/>
                <w:color w:val="auto"/>
                <w:kern w:val="0"/>
                <w:sz w:val="21"/>
                <w:szCs w:val="21"/>
                <w:highlight w:val="none"/>
                <w:lang w:val="en-US" w:eastAsia="zh-CN"/>
              </w:rPr>
              <w:t>10亩，建筑面积6450平方米；公寓小区占地面积15亩，建筑面积6433平方米。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71" w:type="dxa"/>
            <w:vMerge w:val="restart"/>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总面积</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建筑面积(㎡)</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72592</w:t>
            </w:r>
            <w:r>
              <w:rPr>
                <w:rFonts w:hint="eastAsia" w:ascii="宋体" w:hAnsi="宋体" w:eastAsia="宋体" w:cs="宋体"/>
                <w:color w:val="auto"/>
                <w:kern w:val="0"/>
                <w:sz w:val="21"/>
                <w:szCs w:val="21"/>
                <w:highlight w:val="none"/>
              </w:rPr>
              <w:t>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见“3.4保安服务”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271" w:type="dxa"/>
            <w:vMerge w:val="continue"/>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需保洁面积(㎡)</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地面面积</w:t>
            </w:r>
            <w:r>
              <w:rPr>
                <w:rFonts w:hint="eastAsia" w:ascii="宋体" w:hAnsi="宋体" w:eastAsia="宋体" w:cs="宋体"/>
                <w:color w:val="auto"/>
                <w:kern w:val="0"/>
                <w:sz w:val="21"/>
                <w:szCs w:val="21"/>
                <w:highlight w:val="none"/>
                <w:lang w:val="en-US" w:eastAsia="zh-CN"/>
              </w:rPr>
              <w:t>111333.89</w:t>
            </w:r>
            <w:r>
              <w:rPr>
                <w:rFonts w:hint="eastAsia" w:ascii="宋体" w:hAnsi="宋体" w:eastAsia="宋体" w:cs="宋体"/>
                <w:color w:val="auto"/>
                <w:kern w:val="0"/>
                <w:sz w:val="21"/>
                <w:szCs w:val="21"/>
                <w:highlight w:val="none"/>
              </w:rPr>
              <w:t>平方米，建筑面积约</w:t>
            </w:r>
            <w:r>
              <w:rPr>
                <w:rFonts w:hint="eastAsia" w:ascii="宋体" w:hAnsi="宋体" w:eastAsia="宋体" w:cs="宋体"/>
                <w:color w:val="auto"/>
                <w:kern w:val="0"/>
                <w:sz w:val="21"/>
                <w:szCs w:val="21"/>
                <w:highlight w:val="none"/>
                <w:lang w:val="en-US" w:eastAsia="zh-CN"/>
              </w:rPr>
              <w:t>72592</w:t>
            </w:r>
            <w:r>
              <w:rPr>
                <w:rFonts w:hint="eastAsia" w:ascii="宋体" w:hAnsi="宋体" w:eastAsia="宋体" w:cs="宋体"/>
                <w:color w:val="auto"/>
                <w:kern w:val="0"/>
                <w:sz w:val="21"/>
                <w:szCs w:val="21"/>
                <w:highlight w:val="none"/>
              </w:rPr>
              <w:t xml:space="preserve"> 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卫生间</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卫生间数量(个)及总面积(㎡)</w:t>
            </w:r>
          </w:p>
        </w:tc>
        <w:tc>
          <w:tcPr>
            <w:tcW w:w="4299" w:type="dxa"/>
            <w:shd w:val="clear" w:color="auto" w:fill="auto"/>
            <w:vAlign w:val="center"/>
          </w:tcPr>
          <w:p>
            <w:pPr>
              <w:widowControl/>
              <w:numPr>
                <w:ilvl w:val="0"/>
                <w:numId w:val="3"/>
              </w:numPr>
              <w:spacing w:line="43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卫生间数</w:t>
            </w:r>
            <w:r>
              <w:rPr>
                <w:rFonts w:hint="eastAsia" w:ascii="宋体" w:hAnsi="宋体" w:eastAsia="宋体" w:cs="宋体"/>
                <w:color w:val="auto"/>
                <w:kern w:val="0"/>
                <w:sz w:val="21"/>
                <w:szCs w:val="21"/>
                <w:highlight w:val="none"/>
                <w:lang w:val="en-US" w:eastAsia="zh-CN"/>
              </w:rPr>
              <w:t>量135间</w:t>
            </w:r>
            <w:r>
              <w:rPr>
                <w:rFonts w:hint="eastAsia" w:ascii="宋体" w:hAnsi="宋体" w:eastAsia="宋体" w:cs="宋体"/>
                <w:color w:val="auto"/>
                <w:kern w:val="0"/>
                <w:sz w:val="21"/>
                <w:szCs w:val="21"/>
                <w:highlight w:val="none"/>
                <w:lang w:eastAsia="zh-CN"/>
              </w:rPr>
              <w:t>；</w:t>
            </w:r>
          </w:p>
          <w:p>
            <w:pPr>
              <w:widowControl/>
              <w:numPr>
                <w:ilvl w:val="0"/>
                <w:numId w:val="3"/>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卫生间数量</w:t>
            </w:r>
            <w:r>
              <w:rPr>
                <w:rFonts w:hint="eastAsia" w:ascii="宋体" w:hAnsi="宋体" w:eastAsia="宋体" w:cs="宋体"/>
                <w:color w:val="auto"/>
                <w:kern w:val="0"/>
                <w:sz w:val="21"/>
                <w:szCs w:val="21"/>
                <w:highlight w:val="none"/>
                <w:lang w:val="en-US" w:eastAsia="zh-CN"/>
              </w:rPr>
              <w:t>20间</w:t>
            </w:r>
            <w:r>
              <w:rPr>
                <w:rFonts w:hint="eastAsia" w:ascii="宋体" w:hAnsi="宋体" w:eastAsia="宋体" w:cs="宋体"/>
                <w:color w:val="auto"/>
                <w:kern w:val="0"/>
                <w:sz w:val="21"/>
                <w:szCs w:val="21"/>
                <w:highlight w:val="none"/>
                <w:lang w:eastAsia="zh-CN"/>
              </w:rPr>
              <w:t>；</w:t>
            </w:r>
          </w:p>
          <w:p>
            <w:pPr>
              <w:widowControl/>
              <w:spacing w:line="43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卫生间数量</w:t>
            </w:r>
            <w:r>
              <w:rPr>
                <w:rFonts w:hint="eastAsia" w:ascii="宋体" w:hAnsi="宋体" w:eastAsia="宋体" w:cs="宋体"/>
                <w:color w:val="auto"/>
                <w:kern w:val="0"/>
                <w:sz w:val="21"/>
                <w:szCs w:val="21"/>
                <w:highlight w:val="none"/>
                <w:lang w:val="en-US" w:eastAsia="zh-CN"/>
              </w:rPr>
              <w:t>27间</w:t>
            </w:r>
            <w:r>
              <w:rPr>
                <w:rFonts w:hint="eastAsia" w:ascii="宋体" w:hAnsi="宋体" w:eastAsia="宋体" w:cs="宋体"/>
                <w:color w:val="auto"/>
                <w:kern w:val="0"/>
                <w:sz w:val="21"/>
                <w:szCs w:val="21"/>
                <w:highlight w:val="none"/>
              </w:rPr>
              <w:t>。</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垃圾存放点</w:t>
            </w:r>
          </w:p>
        </w:tc>
        <w:tc>
          <w:tcPr>
            <w:tcW w:w="1796" w:type="dxa"/>
            <w:shd w:val="clear" w:color="auto" w:fill="auto"/>
            <w:vAlign w:val="center"/>
          </w:tcPr>
          <w:p>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各垃圾存放点位置、面积(㎡)及数量(个)</w:t>
            </w:r>
          </w:p>
        </w:tc>
        <w:tc>
          <w:tcPr>
            <w:tcW w:w="4299" w:type="dxa"/>
            <w:shd w:val="clear" w:color="auto" w:fill="auto"/>
            <w:vAlign w:val="center"/>
          </w:tcPr>
          <w:p>
            <w:pPr>
              <w:widowControl/>
              <w:numPr>
                <w:ilvl w:val="0"/>
                <w:numId w:val="4"/>
              </w:numPr>
              <w:spacing w:line="430" w:lineRule="exact"/>
              <w:ind w:left="42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lang w:val="en-US" w:eastAsia="zh-CN"/>
              </w:rPr>
              <w:t>135</w:t>
            </w:r>
            <w:r>
              <w:rPr>
                <w:rFonts w:hint="eastAsia" w:ascii="宋体" w:hAnsi="宋体" w:eastAsia="宋体" w:cs="宋体"/>
                <w:color w:val="auto"/>
                <w:kern w:val="0"/>
                <w:sz w:val="21"/>
                <w:szCs w:val="21"/>
                <w:highlight w:val="none"/>
              </w:rPr>
              <w:t>个</w:t>
            </w:r>
          </w:p>
          <w:p>
            <w:pPr>
              <w:widowControl/>
              <w:numPr>
                <w:ilvl w:val="0"/>
                <w:numId w:val="4"/>
              </w:numPr>
              <w:spacing w:line="430" w:lineRule="exact"/>
              <w:ind w:left="420" w:hanging="420" w:hangingChars="200"/>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lang w:val="en-US" w:eastAsia="zh-CN"/>
              </w:rPr>
              <w:t>档案馆：17个</w:t>
            </w:r>
          </w:p>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lang w:val="en-US" w:eastAsia="zh-CN"/>
              </w:rPr>
              <w:t xml:space="preserve"> 3 </w:t>
            </w:r>
            <w:r>
              <w:rPr>
                <w:rFonts w:hint="eastAsia" w:ascii="宋体" w:hAnsi="宋体" w:eastAsia="宋体" w:cs="宋体"/>
                <w:color w:val="auto"/>
                <w:kern w:val="0"/>
                <w:sz w:val="21"/>
                <w:szCs w:val="21"/>
                <w:highlight w:val="none"/>
              </w:rPr>
              <w:t>个</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车位数</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地面车位数</w:t>
            </w:r>
          </w:p>
        </w:tc>
        <w:tc>
          <w:tcPr>
            <w:tcW w:w="4299" w:type="dxa"/>
            <w:shd w:val="clear" w:color="auto" w:fill="auto"/>
            <w:vAlign w:val="center"/>
          </w:tcPr>
          <w:p>
            <w:pPr>
              <w:widowControl/>
              <w:numPr>
                <w:ilvl w:val="0"/>
                <w:numId w:val="5"/>
              </w:numPr>
              <w:spacing w:line="43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地面车位</w:t>
            </w:r>
            <w:r>
              <w:rPr>
                <w:rFonts w:hint="eastAsia" w:ascii="宋体" w:hAnsi="宋体" w:eastAsia="宋体" w:cs="宋体"/>
                <w:color w:val="auto"/>
                <w:kern w:val="0"/>
                <w:sz w:val="21"/>
                <w:szCs w:val="21"/>
                <w:highlight w:val="none"/>
                <w:lang w:val="en-US" w:eastAsia="zh-CN"/>
              </w:rPr>
              <w:t xml:space="preserve"> 526 </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eastAsia="zh-CN"/>
              </w:rPr>
              <w:t>；</w:t>
            </w:r>
          </w:p>
          <w:p>
            <w:pPr>
              <w:widowControl/>
              <w:numPr>
                <w:ilvl w:val="0"/>
                <w:numId w:val="5"/>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地面车位</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eastAsia="zh-CN"/>
              </w:rPr>
              <w:t>；</w:t>
            </w:r>
          </w:p>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地面车位</w:t>
            </w:r>
            <w:r>
              <w:rPr>
                <w:rFonts w:hint="eastAsia" w:ascii="宋体" w:hAnsi="宋体" w:eastAsia="宋体" w:cs="宋体"/>
                <w:color w:val="auto"/>
                <w:kern w:val="0"/>
                <w:sz w:val="21"/>
                <w:szCs w:val="21"/>
                <w:highlight w:val="none"/>
                <w:lang w:val="en-US" w:eastAsia="zh-CN"/>
              </w:rPr>
              <w:t xml:space="preserve"> 30</w:t>
            </w:r>
            <w:r>
              <w:rPr>
                <w:rFonts w:hint="eastAsia" w:ascii="宋体" w:hAnsi="宋体" w:eastAsia="宋体" w:cs="宋体"/>
                <w:color w:val="auto"/>
                <w:kern w:val="0"/>
                <w:sz w:val="21"/>
                <w:szCs w:val="21"/>
                <w:highlight w:val="none"/>
              </w:rPr>
              <w:t>个。</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见“3.4保安服务” 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271" w:type="dxa"/>
            <w:vMerge w:val="restart"/>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设施设备</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电梯系统</w:t>
            </w:r>
          </w:p>
        </w:tc>
        <w:tc>
          <w:tcPr>
            <w:tcW w:w="4299" w:type="dxa"/>
            <w:shd w:val="clear" w:color="auto" w:fill="auto"/>
            <w:vAlign w:val="center"/>
          </w:tcPr>
          <w:p>
            <w:pPr>
              <w:widowControl/>
              <w:numPr>
                <w:ilvl w:val="0"/>
                <w:numId w:val="0"/>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6 </w:t>
            </w:r>
            <w:r>
              <w:rPr>
                <w:rFonts w:hint="eastAsia" w:ascii="宋体" w:hAnsi="宋体" w:eastAsia="宋体" w:cs="宋体"/>
                <w:color w:val="auto"/>
                <w:kern w:val="0"/>
                <w:sz w:val="21"/>
                <w:szCs w:val="21"/>
                <w:highlight w:val="none"/>
              </w:rPr>
              <w:t>台</w:t>
            </w:r>
            <w:r>
              <w:rPr>
                <w:rFonts w:hint="eastAsia" w:ascii="宋体" w:hAnsi="宋体" w:eastAsia="宋体" w:cs="宋体"/>
                <w:color w:val="auto"/>
                <w:sz w:val="21"/>
                <w:szCs w:val="21"/>
                <w:lang w:eastAsia="zh-CN"/>
              </w:rPr>
              <w:t>；</w:t>
            </w:r>
          </w:p>
          <w:p>
            <w:pPr>
              <w:widowControl/>
              <w:numPr>
                <w:ilvl w:val="0"/>
                <w:numId w:val="0"/>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2  </w:t>
            </w:r>
            <w:r>
              <w:rPr>
                <w:rFonts w:hint="eastAsia" w:ascii="宋体" w:hAnsi="宋体" w:eastAsia="宋体" w:cs="宋体"/>
                <w:color w:val="auto"/>
                <w:kern w:val="0"/>
                <w:sz w:val="21"/>
                <w:szCs w:val="21"/>
                <w:highlight w:val="none"/>
              </w:rPr>
              <w:t>台</w:t>
            </w:r>
            <w:r>
              <w:rPr>
                <w:rFonts w:hint="eastAsia" w:ascii="宋体" w:hAnsi="宋体" w:eastAsia="宋体" w:cs="宋体"/>
                <w:color w:val="auto"/>
                <w:sz w:val="21"/>
                <w:szCs w:val="21"/>
                <w:lang w:eastAsia="zh-CN"/>
              </w:rPr>
              <w:t>；</w:t>
            </w:r>
          </w:p>
          <w:p>
            <w:pPr>
              <w:widowControl/>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2 </w:t>
            </w:r>
            <w:r>
              <w:rPr>
                <w:rFonts w:hint="eastAsia" w:ascii="宋体" w:hAnsi="宋体" w:eastAsia="宋体" w:cs="宋体"/>
                <w:color w:val="auto"/>
                <w:kern w:val="0"/>
                <w:sz w:val="21"/>
                <w:szCs w:val="21"/>
                <w:highlight w:val="none"/>
              </w:rPr>
              <w:t>台</w:t>
            </w:r>
            <w:r>
              <w:rPr>
                <w:rFonts w:hint="eastAsia" w:ascii="宋体" w:hAnsi="宋体" w:eastAsia="宋体" w:cs="宋体"/>
                <w:color w:val="auto"/>
                <w:kern w:val="0"/>
                <w:sz w:val="21"/>
                <w:szCs w:val="21"/>
                <w:highlight w:val="none"/>
                <w:lang w:eastAsia="zh-CN"/>
              </w:rPr>
              <w:t>。</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见“3.2保洁服务”6.4报价组成</w:t>
            </w:r>
          </w:p>
          <w:p>
            <w:pPr>
              <w:widowControl/>
              <w:spacing w:line="430" w:lineRule="exact"/>
              <w:jc w:val="left"/>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271" w:type="dxa"/>
            <w:vMerge w:val="continue"/>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空调系统</w:t>
            </w:r>
          </w:p>
        </w:tc>
        <w:tc>
          <w:tcPr>
            <w:tcW w:w="4299" w:type="dxa"/>
            <w:shd w:val="clear" w:color="auto" w:fill="auto"/>
            <w:vAlign w:val="center"/>
          </w:tcPr>
          <w:p>
            <w:pPr>
              <w:widowControl/>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lang w:eastAsia="zh-CN"/>
              </w:rPr>
              <w:t>（</w:t>
            </w:r>
            <w:r>
              <w:rPr>
                <w:rFonts w:hint="eastAsia" w:ascii="宋体" w:hAnsi="宋体" w:eastAsia="宋体" w:cs="宋体"/>
                <w:strike w:val="0"/>
                <w:dstrike w:val="0"/>
                <w:color w:val="auto"/>
                <w:sz w:val="21"/>
                <w:szCs w:val="21"/>
                <w:lang w:val="en-US" w:eastAsia="zh-CN"/>
              </w:rPr>
              <w:t>1</w:t>
            </w:r>
            <w:r>
              <w:rPr>
                <w:rFonts w:hint="eastAsia" w:ascii="宋体" w:hAnsi="宋体" w:eastAsia="宋体" w:cs="宋体"/>
                <w:strike w:val="0"/>
                <w:dstrike w:val="0"/>
                <w:color w:val="auto"/>
                <w:sz w:val="21"/>
                <w:szCs w:val="21"/>
                <w:lang w:eastAsia="zh-CN"/>
              </w:rPr>
              <w:t>）</w:t>
            </w:r>
            <w:r>
              <w:rPr>
                <w:rFonts w:hint="eastAsia" w:ascii="宋体" w:hAnsi="宋体" w:eastAsia="宋体" w:cs="宋体"/>
                <w:color w:val="auto"/>
                <w:sz w:val="21"/>
                <w:szCs w:val="21"/>
                <w:lang w:eastAsia="zh-CN"/>
              </w:rPr>
              <w:t>行政中心：</w:t>
            </w:r>
            <w:r>
              <w:rPr>
                <w:rFonts w:hint="eastAsia" w:ascii="宋体" w:hAnsi="宋体" w:eastAsia="宋体" w:cs="宋体"/>
                <w:color w:val="auto"/>
                <w:sz w:val="21"/>
                <w:szCs w:val="21"/>
                <w:highlight w:val="none"/>
              </w:rPr>
              <w:t>中央空调</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组；</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highlight w:val="none"/>
              </w:rPr>
              <w:t>中央空调；</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highlight w:val="none"/>
              </w:rPr>
              <w:t>中央空调</w:t>
            </w:r>
            <w:r>
              <w:rPr>
                <w:rFonts w:hint="eastAsia" w:ascii="宋体" w:hAnsi="宋体" w:eastAsia="宋体" w:cs="宋体"/>
                <w:color w:val="auto"/>
                <w:sz w:val="21"/>
                <w:szCs w:val="21"/>
                <w:highlight w:val="none"/>
                <w:lang w:eastAsia="zh-CN"/>
              </w:rPr>
              <w:t>。</w:t>
            </w:r>
          </w:p>
          <w:p>
            <w:pPr>
              <w:widowControl/>
              <w:rPr>
                <w:rFonts w:hint="eastAsia" w:ascii="宋体" w:hAnsi="宋体" w:eastAsia="宋体" w:cs="宋体"/>
                <w:color w:val="auto"/>
                <w:kern w:val="0"/>
                <w:sz w:val="21"/>
                <w:szCs w:val="21"/>
                <w:highlight w:val="none"/>
              </w:rPr>
            </w:pP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6.4报价组成</w:t>
            </w:r>
          </w:p>
          <w:p>
            <w:pPr>
              <w:widowControl/>
              <w:spacing w:line="430" w:lineRule="exact"/>
              <w:jc w:val="left"/>
              <w:rPr>
                <w:rFonts w:hint="eastAsia" w:ascii="宋体" w:hAnsi="宋体" w:eastAsia="宋体" w:cs="宋体"/>
                <w:color w:val="auto"/>
                <w:kern w:val="0"/>
                <w:sz w:val="21"/>
                <w:szCs w:val="21"/>
                <w:highlight w:val="none"/>
              </w:rPr>
            </w:pPr>
          </w:p>
        </w:tc>
      </w:tr>
    </w:tbl>
    <w:p>
      <w:pPr>
        <w:numPr>
          <w:ilvl w:val="0"/>
          <w:numId w:val="0"/>
        </w:numPr>
        <w:rPr>
          <w:rFonts w:hint="eastAsia" w:ascii="宋体" w:hAnsi="宋体" w:eastAsia="宋体" w:cs="宋体"/>
          <w:color w:val="auto"/>
          <w:sz w:val="21"/>
          <w:szCs w:val="21"/>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（2）物业管理（室外）</w:t>
      </w:r>
    </w:p>
    <w:tbl>
      <w:tblPr>
        <w:tblStyle w:val="4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487"/>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名称</w:t>
            </w:r>
          </w:p>
        </w:tc>
        <w:tc>
          <w:tcPr>
            <w:tcW w:w="3488"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明细</w:t>
            </w:r>
          </w:p>
        </w:tc>
        <w:tc>
          <w:tcPr>
            <w:tcW w:w="4505"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路灯</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120座</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消防栓</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6个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垃圾箱</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30个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室外配电箱</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监控</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165个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指示牌、显示屏</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指示牌12个、显示屏6个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bl>
    <w:p>
      <w:pPr>
        <w:pageBreakBefore w:val="0"/>
        <w:widowControl/>
        <w:kinsoku/>
        <w:wordWrap/>
        <w:overflowPunct/>
        <w:topLinePunct w:val="0"/>
        <w:bidi w:val="0"/>
        <w:snapToGrid w:val="0"/>
        <w:spacing w:line="300" w:lineRule="auto"/>
        <w:jc w:val="left"/>
        <w:rPr>
          <w:rFonts w:hint="eastAsia" w:ascii="宋体" w:hAnsi="宋体" w:eastAsia="宋体" w:cs="宋体"/>
          <w:color w:val="auto"/>
          <w:kern w:val="2"/>
          <w:sz w:val="21"/>
          <w:szCs w:val="21"/>
          <w:highlight w:val="none"/>
          <w:u w:val="none"/>
          <w:lang w:val="en-US" w:eastAsia="zh-CN" w:bidi="ar-SA"/>
        </w:rPr>
      </w:pPr>
    </w:p>
    <w:p>
      <w:pPr>
        <w:pageBreakBefore w:val="0"/>
        <w:widowControl/>
        <w:kinsoku/>
        <w:wordWrap/>
        <w:overflowPunct/>
        <w:topLinePunct w:val="0"/>
        <w:bidi w:val="0"/>
        <w:snapToGrid w:val="0"/>
        <w:spacing w:line="300" w:lineRule="auto"/>
        <w:ind w:left="0" w:firstLine="420" w:firstLineChars="20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注：以上内容体现需要供应商进行物业管理的物业的情况、边界、范围。指标的设置要充分考虑可能影响供应商报价和项目实施风险的因素。</w:t>
      </w:r>
    </w:p>
    <w:p>
      <w:pPr>
        <w:pStyle w:val="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3.物业管理服务内容及标准</w:t>
      </w:r>
    </w:p>
    <w:p>
      <w:pPr>
        <w:pStyle w:val="4"/>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物业管理服务包括公共区域的安全保卫、车辆管理、公共秩序管理服务；保洁、绿化、水电管理、设备设施管理维护；公共会议室的会务服务等。</w:t>
      </w:r>
    </w:p>
    <w:p>
      <w:pPr>
        <w:pStyle w:val="4"/>
        <w:rPr>
          <w:rFonts w:hint="eastAsia" w:eastAsia="宋体" w:cs="Times New Roman"/>
          <w:color w:val="auto"/>
          <w:kern w:val="2"/>
          <w:szCs w:val="20"/>
          <w:highlight w:val="none"/>
          <w:lang w:val="en-US" w:eastAsia="zh-CN" w:bidi="ar"/>
        </w:rPr>
      </w:pPr>
      <w:r>
        <w:rPr>
          <w:rFonts w:hint="eastAsia"/>
          <w:color w:val="auto"/>
          <w:highlight w:val="none"/>
          <w:lang w:val="en-US" w:eastAsia="zh-CN"/>
        </w:rPr>
        <w:t>3.</w:t>
      </w:r>
      <w:r>
        <w:rPr>
          <w:rFonts w:hint="eastAsia" w:cs="Times New Roman"/>
          <w:color w:val="auto"/>
          <w:kern w:val="2"/>
          <w:szCs w:val="20"/>
          <w:highlight w:val="none"/>
          <w:lang w:val="en-US" w:eastAsia="zh-CN" w:bidi="ar"/>
        </w:rPr>
        <w:t>1</w:t>
      </w:r>
      <w:r>
        <w:rPr>
          <w:rFonts w:hint="eastAsia" w:eastAsia="宋体" w:cs="Times New Roman"/>
          <w:color w:val="auto"/>
          <w:kern w:val="2"/>
          <w:szCs w:val="20"/>
          <w:highlight w:val="none"/>
          <w:lang w:val="en-US" w:eastAsia="zh-CN" w:bidi="ar"/>
        </w:rPr>
        <w:t>基本服务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31"/>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bookmarkStart w:id="46" w:name="_Toc26417"/>
            <w:bookmarkStart w:id="47" w:name="_Toc27983"/>
            <w:bookmarkStart w:id="48" w:name="_Toc12052"/>
            <w:r>
              <w:rPr>
                <w:rFonts w:hint="eastAsia" w:ascii="宋体" w:hAnsi="宋体" w:eastAsia="宋体" w:cs="宋体"/>
                <w:b/>
                <w:bCs/>
                <w:color w:val="auto"/>
                <w:kern w:val="0"/>
                <w:sz w:val="21"/>
                <w:szCs w:val="21"/>
                <w:highlight w:val="none"/>
                <w:lang w:val="en-US" w:eastAsia="zh-CN"/>
              </w:rPr>
              <w:t>序号</w:t>
            </w:r>
          </w:p>
        </w:tc>
        <w:tc>
          <w:tcPr>
            <w:tcW w:w="223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5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目标与责任</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rPr>
              <w:t>协助做好服务区域内的维稳工作和社会治安综合治理，负责服务区域内安全保卫、安全生产、治安处置。突发事件和消防安全等工作，维护服务区域安全秩序。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rPr>
              <w:t>服务标准：协助处理突发事件果断及时；门卫值班按章办事、把关严格、准确无误；监控、巡逻责任心强，发现问题及时上报处置；参与重大安保事务无差错；安全生产、车辆秩序维护井然有序。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服务人员要求</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Cs/>
                <w:color w:val="auto"/>
                <w:sz w:val="21"/>
                <w:szCs w:val="21"/>
                <w:highlight w:val="none"/>
                <w:lang w:val="en-US" w:eastAsia="zh-CN"/>
              </w:rPr>
              <w:t>服务人员的年龄、学历、工作经验及资格条件须与所在岗位能力要求相匹配，到岗前须经过必要的岗前培训以达到岗位能力要求，国家、行业规定应取得职业资格证书或特种作业证书的，应按规定持证上岗。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Cs/>
                <w:color w:val="auto"/>
                <w:sz w:val="21"/>
                <w:szCs w:val="21"/>
                <w:highlight w:val="none"/>
                <w:lang w:val="en-US" w:eastAsia="zh-CN"/>
              </w:rPr>
              <w:t>如采购人认为服务人员不适应岗位要求或存在其他影响工作的，可要求供应商进行调换。如因供应商原因对服务人员进行调换，须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（6）协助做好维稳工作，报告、调解、制止群体上访事件，参与采购人单位重大节日及重大活动的维稳工作。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（7）负责服务区内安全保卫和社会治安综合治理管理工作。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（8）负责办公区门卫登记及24小时值班，办公区24小时巡逻。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（9）负责办公大院安防、消防、监控24小时值班。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（10）负责来访人员的登记核查、大件物品进出审批放行、车辆出入检查工作。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（11）负责维持车辆停放、维护行驶秩序，在大型活动及重要会议召开期间，上下班高峰期等时段设专人指挥车辆行驶。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（12）参与采购人单位组织的安全、消防检查活动，并要求安保人员能正确熟练掌握各种消防、物防、技防等设备的使用方法。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（13）协助做好安防设施、电器设备的安全运行、维护保养及电梯故障处理工作。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（14）积极配合采购人单位完成临时性安保任务（如升国旗仪式、大门横幅悬挂等）。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（15）协助辖区公安处理治安案件。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保密和思想政治教育</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（1）建立保密管理制度。制度内容应包括但不限于：①明确重点要害岗位保密职责。②对涉密工作岗位的保密要求。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（2）根据采购人要求与涉密工作岗位的服务人员签订保密协议。保密协议应向采购人报备。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季度至少开展1次对服务人员进行保密、思想政治教育的培训，提高服务人员保密意识和思想政治意识。新入职员工应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bidi w:val="0"/>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档案和记录齐全，包括但不限于：①采购人建议与投诉等。教育培训和考核记录。保密、思想政治教育培训记录。②房屋维护服务：房屋装修、维保记录等。③共用设施设备维护服务：设备台账、设备卡、使用说明、维保记录、巡查记录、</w:t>
            </w:r>
            <w:r>
              <w:rPr>
                <w:rFonts w:hint="eastAsia" w:ascii="宋体" w:hAnsi="宋体" w:eastAsia="宋体" w:cs="宋体"/>
                <w:color w:val="auto"/>
                <w:kern w:val="0"/>
                <w:sz w:val="21"/>
                <w:szCs w:val="21"/>
                <w:highlight w:val="none"/>
              </w:rPr>
              <w:t>设施设备安全运行、设施设备定期巡检、维护保养、维修档案</w:t>
            </w:r>
            <w:r>
              <w:rPr>
                <w:rFonts w:hint="eastAsia" w:ascii="宋体" w:hAnsi="宋体" w:eastAsia="宋体" w:cs="宋体"/>
                <w:b w:val="0"/>
                <w:bCs w:val="0"/>
                <w:color w:val="auto"/>
                <w:kern w:val="0"/>
                <w:sz w:val="21"/>
                <w:szCs w:val="21"/>
                <w:highlight w:val="none"/>
                <w:lang w:val="en-US" w:eastAsia="zh-CN"/>
              </w:rPr>
              <w:t>等。④保安服务：监控记录、突发事件演习与处置记录等。⑤保洁服务：工作日志、清洁检查表、用品清单、客户反馈表等。⑥绿化服务：清洁整改记录、消杀记录等。⑦其他：客户信息、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重大活动后勤保障</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应急保障预案</w:t>
            </w:r>
          </w:p>
        </w:tc>
        <w:tc>
          <w:tcPr>
            <w:tcW w:w="675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u w:val="none"/>
                <w:lang w:val="en-US" w:eastAsia="zh-CN"/>
              </w:rPr>
              <w:t>重点区域及安全隐患排查。结合项目的实际情况，对重点部位及危险隐患进行排查，并建立清单/台账；应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675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675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u w:val="none"/>
                <w:lang w:val="en-US" w:eastAsia="zh-CN"/>
              </w:rPr>
              <w:t>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服务方案及工作制度</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（1）制定工作制度，</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人员录用制度、</w:t>
            </w:r>
            <w:r>
              <w:rPr>
                <w:rFonts w:hint="eastAsia" w:ascii="宋体" w:hAnsi="宋体" w:eastAsia="宋体" w:cs="宋体"/>
                <w:b w:val="0"/>
                <w:bCs w:val="0"/>
                <w:color w:val="auto"/>
                <w:kern w:val="0"/>
                <w:sz w:val="21"/>
                <w:szCs w:val="21"/>
                <w:highlight w:val="none"/>
                <w:lang w:val="en-US" w:eastAsia="zh-CN"/>
              </w:rPr>
              <w:t>档案管理制度、</w:t>
            </w:r>
            <w:r>
              <w:rPr>
                <w:rFonts w:hint="eastAsia" w:ascii="宋体" w:hAnsi="宋体" w:eastAsia="宋体" w:cs="宋体"/>
                <w:bCs/>
                <w:color w:val="auto"/>
                <w:sz w:val="21"/>
                <w:szCs w:val="21"/>
                <w:highlight w:val="none"/>
              </w:rPr>
              <w:t>物业服务管理制度</w:t>
            </w:r>
            <w:r>
              <w:rPr>
                <w:rFonts w:hint="eastAsia" w:ascii="宋体" w:hAnsi="宋体" w:eastAsia="宋体" w:cs="宋体"/>
                <w:bCs/>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共用设施设备相关管理制度等</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w:t>
            </w:r>
            <w:r>
              <w:rPr>
                <w:rFonts w:hint="eastAsia" w:ascii="宋体" w:hAnsi="宋体" w:eastAsia="宋体" w:cs="宋体"/>
                <w:bCs/>
                <w:color w:val="auto"/>
                <w:sz w:val="21"/>
                <w:szCs w:val="21"/>
                <w:highlight w:val="none"/>
              </w:rPr>
              <w:t>项目实施方案</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交接</w:t>
            </w:r>
            <w:r>
              <w:rPr>
                <w:rFonts w:hint="eastAsia" w:ascii="宋体" w:hAnsi="宋体" w:eastAsia="宋体" w:cs="宋体"/>
                <w:bCs/>
                <w:color w:val="auto"/>
                <w:sz w:val="21"/>
                <w:szCs w:val="21"/>
                <w:highlight w:val="none"/>
              </w:rPr>
              <w:t>方案、人员培训方案、人员稳定性方案、保密方案</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（3）制定</w:t>
            </w:r>
            <w:r>
              <w:rPr>
                <w:rFonts w:hint="eastAsia" w:ascii="宋体" w:hAnsi="宋体" w:eastAsia="宋体" w:cs="宋体"/>
                <w:bCs/>
                <w:color w:val="auto"/>
                <w:sz w:val="21"/>
                <w:szCs w:val="21"/>
                <w:highlight w:val="none"/>
              </w:rPr>
              <w:t>物业服务方案</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房屋维护服务方案、共用设施设备维护服务方案、</w:t>
            </w:r>
            <w:r>
              <w:rPr>
                <w:rFonts w:hint="eastAsia" w:ascii="宋体" w:hAnsi="宋体" w:eastAsia="宋体" w:cs="宋体"/>
                <w:bCs/>
                <w:color w:val="auto"/>
                <w:sz w:val="21"/>
                <w:szCs w:val="21"/>
                <w:highlight w:val="none"/>
              </w:rPr>
              <w:t>绿化</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保洁服务方案、</w:t>
            </w:r>
            <w:r>
              <w:rPr>
                <w:rFonts w:hint="eastAsia" w:ascii="宋体" w:hAnsi="宋体" w:eastAsia="宋体" w:cs="宋体"/>
                <w:bCs/>
                <w:color w:val="auto"/>
                <w:sz w:val="21"/>
                <w:szCs w:val="21"/>
                <w:highlight w:val="none"/>
                <w:lang w:val="en-US" w:eastAsia="zh-CN"/>
              </w:rPr>
              <w:t>保安</w:t>
            </w:r>
            <w:r>
              <w:rPr>
                <w:rFonts w:hint="eastAsia" w:ascii="宋体" w:hAnsi="宋体" w:eastAsia="宋体" w:cs="宋体"/>
                <w:bCs/>
                <w:color w:val="auto"/>
                <w:sz w:val="21"/>
                <w:szCs w:val="21"/>
                <w:highlight w:val="none"/>
              </w:rPr>
              <w:t>服务方案、会议服务方案</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信报服务</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（1）对大件物品出入进行安全检查。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（2）及时通知收件人领取。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u w:val="none"/>
              </w:rPr>
              <w:t>大件物品出入</w:t>
            </w:r>
            <w:r>
              <w:rPr>
                <w:rFonts w:hint="eastAsia" w:ascii="宋体" w:hAnsi="宋体" w:eastAsia="宋体" w:cs="宋体"/>
                <w:color w:val="auto"/>
                <w:sz w:val="21"/>
                <w:szCs w:val="21"/>
                <w:highlight w:val="none"/>
                <w:u w:val="none"/>
                <w:lang w:val="en-US" w:eastAsia="zh-CN"/>
              </w:rPr>
              <w:t>向采购人报告，待采购人确认无误后放行</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3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服务热线及紧急维修</w:t>
            </w: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紧急维修须15分钟内到达现场，不间断维修直至修复。</w:t>
            </w:r>
          </w:p>
        </w:tc>
      </w:tr>
    </w:tbl>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3.2房屋维护服务</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46"/>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46"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6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建筑部件、房屋</w:t>
            </w:r>
            <w:r>
              <w:rPr>
                <w:rFonts w:hint="eastAsia" w:ascii="宋体" w:hAnsi="宋体" w:eastAsia="宋体" w:cs="宋体"/>
                <w:color w:val="auto"/>
                <w:sz w:val="21"/>
                <w:szCs w:val="21"/>
                <w:highlight w:val="none"/>
              </w:rPr>
              <w:t>结构</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（1）每季度至少开展1次房屋结构安全巡视，发现外观有变形、开裂等现象，及时建议采购人申请房屋安全鉴定，并采取必要的避险和防护措施。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（2）每季度至少开展1次外墙贴饰面、幕墙玻璃、雨篷、散水、空调室外机支撑构件等检查，发现破损，及时向采购人报告，按采购人要求出具维修方案，待采购人同意后按维修方案实施维修。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（3）每半月至少开展1次公用部位的门、窗、楼梯、通风道、室内地面、墙面、吊顶和室外屋面等巡查，发现破损，及时向采购人报告，按采购人要求出具维修方案，待采购人同意后按维修方案实施维修。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（4）每年强降雨天气前后、雨季节检查屋面防水和雨落管等，发现破损，及时向采购人报告，按采购人要求出具维修方案，待采购人同意后按维修方案实施维修。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附属设施</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（1）每半月至少开展1次大门、围墙、道路、场地、管井、沟渠等巡查，每半月至少检查1次雨污水管井、化粪池等巡查，发现破损，及时向采购人报告。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路面状态良好，地漏通畅不堵塞。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（3）接到采购人家具报修服务后，及时通知家具供货商对保修期内的家具进行维修，及时对保修期外的家具进行维修。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装饰装修</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管理</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（1）装饰装修前，供应商应与采购人或采购人委托的装修企业签订装饰装修管理服务协议，告知装饰装修须知，并对装饰装修过程进行管理服务。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受</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color w:val="auto"/>
                <w:sz w:val="21"/>
                <w:szCs w:val="21"/>
                <w:highlight w:val="none"/>
                <w:u w:val="none"/>
                <w:lang w:val="en-US" w:eastAsia="zh-CN"/>
              </w:rPr>
              <w:t>委托对房屋内装修进行严格的监督管理，发现问题及时上报，确保不因装修而危及大楼结构安全、人身安全和影响正常办公秩序。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标识标牌</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 xml:space="preserve"> （1）标识标牌符合《</w:t>
            </w:r>
            <w:r>
              <w:rPr>
                <w:rFonts w:hint="eastAsia" w:ascii="宋体" w:hAnsi="宋体" w:eastAsia="宋体" w:cs="宋体"/>
                <w:color w:val="auto"/>
                <w:kern w:val="0"/>
                <w:sz w:val="21"/>
                <w:szCs w:val="21"/>
                <w:highlight w:val="none"/>
              </w:rPr>
              <w:t>公共信息图形符号 第1部分：通用符号</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rPr>
              <w:t>GB/T 10001.1</w:t>
            </w:r>
            <w:r>
              <w:rPr>
                <w:rFonts w:hint="eastAsia" w:ascii="宋体" w:hAnsi="宋体" w:eastAsia="宋体" w:cs="宋体"/>
                <w:b w:val="0"/>
                <w:bCs w:val="0"/>
                <w:color w:val="auto"/>
                <w:kern w:val="0"/>
                <w:sz w:val="21"/>
                <w:szCs w:val="21"/>
                <w:highlight w:val="none"/>
                <w:lang w:val="en-US" w:eastAsia="zh-CN"/>
              </w:rPr>
              <w:t>）的相关要求，消防与安全标识符合《</w:t>
            </w:r>
            <w:r>
              <w:rPr>
                <w:rFonts w:hint="eastAsia" w:ascii="宋体" w:hAnsi="宋体" w:eastAsia="宋体" w:cs="宋体"/>
                <w:color w:val="auto"/>
                <w:kern w:val="0"/>
                <w:sz w:val="21"/>
                <w:szCs w:val="21"/>
                <w:highlight w:val="none"/>
              </w:rPr>
              <w:t>安全标志及其使用导则</w:t>
            </w:r>
            <w:r>
              <w:rPr>
                <w:rFonts w:hint="eastAsia" w:ascii="宋体" w:hAnsi="宋体" w:eastAsia="宋体" w:cs="宋体"/>
                <w:b w:val="0"/>
                <w:bCs w:val="0"/>
                <w:color w:val="auto"/>
                <w:kern w:val="0"/>
                <w:sz w:val="21"/>
                <w:szCs w:val="21"/>
                <w:highlight w:val="none"/>
                <w:lang w:val="en-US" w:eastAsia="zh-CN"/>
              </w:rPr>
              <w:t>》（GB2894）、《消防安全标志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（2）每月至少检查1次标识标牌和消防与安全标识。应规范清晰、路线指引正确、安装稳固。</w:t>
            </w:r>
          </w:p>
        </w:tc>
      </w:tr>
    </w:tbl>
    <w:p>
      <w:pPr>
        <w:pStyle w:val="4"/>
        <w:bidi w:val="0"/>
        <w:ind w:left="0" w:leftChars="0" w:firstLine="0" w:firstLineChars="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3.3共用设施设备维护服务</w:t>
      </w:r>
    </w:p>
    <w:tbl>
      <w:tblPr>
        <w:tblStyle w:val="49"/>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66"/>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66"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8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基本要求</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设备机房</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（2）设备机房门窗、锁具应完好、有效。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（4）按各设备机房国家标准规范规定维护/保管消防、通风、应急照明、防止小动物进入等附属设施。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（6）应急设施设备用品应齐全、完备，可随时启用。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给排水系统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（1）生活饮用水卫生符合《</w:t>
            </w:r>
            <w:r>
              <w:rPr>
                <w:rFonts w:hint="eastAsia" w:ascii="宋体" w:hAnsi="宋体" w:eastAsia="宋体" w:cs="宋体"/>
                <w:color w:val="auto"/>
                <w:kern w:val="0"/>
                <w:sz w:val="21"/>
                <w:szCs w:val="21"/>
                <w:highlight w:val="none"/>
              </w:rPr>
              <w:t>生活饮用水卫生标准</w:t>
            </w:r>
            <w:r>
              <w:rPr>
                <w:rFonts w:hint="eastAsia" w:ascii="宋体" w:hAnsi="宋体" w:eastAsia="宋体" w:cs="宋体"/>
                <w:b w:val="0"/>
                <w:bCs w:val="0"/>
                <w:color w:val="auto"/>
                <w:kern w:val="0"/>
                <w:sz w:val="21"/>
                <w:szCs w:val="21"/>
                <w:highlight w:val="none"/>
                <w:lang w:val="en-US" w:eastAsia="zh-CN"/>
              </w:rPr>
              <w:t>》（GB5749）的相关要求。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（2）二次供水卫生符合《二次供水设施卫生规范》（GB17051）的相关要求。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（3）设施设备、阀门、管道等运行正常，无跑、冒、滴、漏现象。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（4）有水泵房、水箱间的，每日至少巡视1次。每年至少养护1次水泵。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（5）遇供水单位限水、停水，按规定时间通知采购人。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（6）每季度至少开展1次对排水管进行疏通、清污，保证室内外排水系统通畅。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电梯系统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（1）电梯运行平稳、无异响、平层、开关正常。每周至少开展1次电梯的安全状况检查。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（3）有电梯突发事件或事故的应急措施与救援预案，每年至少开展演练1次。电梯出现故障，物业服务人员10分钟内到场应急处理，维保专业人员30分钟内到场应急处理。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（4）到场进行救助和排除故障。电梯紧急电话保持畅通。。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（5）电梯维修、保养时在现场设置提示标识和防护围栏。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（6）根据采购人需求，合理设置电梯开启的数量、时间。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空调</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（1）空调通风系统运行管理符合《空调通风系统运行管理标准》（GB50365）的相关要求。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（2）办公楼内温湿度、空气质量等符合《室内空气质量标准》（GB/T18883）的相关要求。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（3）定期维保并做好记录，保证空调设施设备处于良好状态。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（4）中央空调运行前对冷水机组、循环水泵、冷却塔、风机等设施设备进行系统检查，运行期间每日至少开展1次运行情况巡查。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（5）每半年至少开展1次管道、阀门检查并除锈。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（6）每年至少开展1次系统整体性维修养护，检验1次压力容器、仪表及冷却塔噪声。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（7）每年至少开展1次新风机、空气处理机滤网等清洗消毒；每2年至少开展1次风管清洗消毒。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（8）每年至少开展1次分体式空调主机和室外机清洁。每月至少开展1次挂机和室外支架稳固性巡查。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（9）制冷、供暖系统温度设定及启用时间符合节能要求。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color w:val="auto"/>
                <w:sz w:val="21"/>
                <w:szCs w:val="21"/>
                <w:highlight w:val="none"/>
                <w:u w:val="none"/>
                <w:lang w:val="en-US" w:eastAsia="zh-CN"/>
              </w:rPr>
              <w:t>发现故障或损坏应在30分钟内到场，紧急维修须15分钟内到达现场，12小时内维修完毕。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（1）消防设施平面图、火警疏散示意图、防火分区图等按幢设置在楼层醒目位置。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（2）消防系统各设施设备使用说明清晰，宜图文结合。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（4）消火栓箱、防火门、灭火器、消防水泵、红外线报警器、应急照明、安全疏散等系统运行正常。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（6）正压送风、防排烟系统运行正常。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w:t>
            </w:r>
            <w:r>
              <w:rPr>
                <w:rFonts w:hint="eastAsia" w:ascii="宋体" w:hAnsi="宋体" w:eastAsia="宋体" w:cs="宋体"/>
                <w:color w:val="auto"/>
                <w:sz w:val="21"/>
                <w:szCs w:val="21"/>
                <w:highlight w:val="none"/>
                <w:lang w:val="en-US" w:eastAsia="zh-CN"/>
              </w:rPr>
              <w:t>配电</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（2）对供电范围内的电气设备定期巡视维护，加强高低压配电柜、配电箱、控制柜及线路等重点部位监测。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（4）核心部位用电建立高可控用电保障和配备应急发电设备，定期维护应急发电设备。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（5）非计划性停电应在事件发生后及时通知采购人，快速恢复或启用应急电源，并做好应急事件上报及处理工作。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（6）复杂故障涉及供电部门维修处置的及时与供电部门联系，并向采购人报告。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（1）安全防范系统维护保养符合《安全防范系统维护保养规范》（</w:t>
            </w:r>
            <w:r>
              <w:rPr>
                <w:rFonts w:hint="eastAsia" w:ascii="宋体" w:hAnsi="宋体" w:eastAsia="宋体" w:cs="宋体"/>
                <w:color w:val="auto"/>
                <w:kern w:val="0"/>
                <w:sz w:val="21"/>
                <w:szCs w:val="21"/>
                <w:highlight w:val="none"/>
              </w:rPr>
              <w:t>GA/T 1081</w:t>
            </w:r>
            <w:r>
              <w:rPr>
                <w:rFonts w:hint="eastAsia" w:ascii="宋体" w:hAnsi="宋体" w:eastAsia="宋体" w:cs="宋体"/>
                <w:b w:val="0"/>
                <w:bCs w:val="0"/>
                <w:color w:val="auto"/>
                <w:kern w:val="0"/>
                <w:sz w:val="21"/>
                <w:szCs w:val="21"/>
                <w:highlight w:val="none"/>
                <w:lang w:val="en-US" w:eastAsia="zh-CN"/>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（2）保持监控系统、门禁系统、安全防范系统等运行正常，有故障及时排除。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照明</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（2）更换的照明灯具应选用节能环保产品，亮度与更换前保持一致。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（3）每周至少开展1次公共区域照明设备巡视。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rPr>
              <w:t>负责公共区域内（包括：道路、广场、活动场所、停车场、绿地、公共楼道、走廊、地下室、机房、庭院等区域）照明设施的维修更换。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rPr>
              <w:t>负责领导办公室照明及电器维修。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办公区水电维修保养服务</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水电保障、水电维修、水电设备设施保养工作经常巡视检查，及时发现问题，迅速上报处理，维修快速及时，突发性重大故障维修须半小时内赶到现场，确保提供的维修更换物品质量上乘。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负责公共区域水电设备、设施维护保障。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负责公共会议室音响设备的操作、维护、维修。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负责公共卫生间的排气扇、照明、各种阀门、水管、龙头、开关等维修更换。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负责空调、电梯操作，高低压配电操作管理及24小时值班。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在单位提供材料的前提下，为服务范围内各单位提供水电维修服务。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红日街公寓楼水电维修服务</w:t>
            </w: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小区内公共配套服务设施完好，标志、标识齐全、规范，不随意改变用途，共用设施设备按照项目配套建设管理责任分工运转正常，日常的管理和维修养护情况良好（依法应由专业部门负责的除外）。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pStyle w:val="96"/>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共用设施设备运行维修养护制度健全，每年1次编制共用设施设备运行维修养护计划，建立的共用设施设备档案（设备台帐）、运行、检查、维修、保养记录齐全。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pStyle w:val="96"/>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维修养护制度健全并在工作场所明示，水、电、监控等工作标准及岗位责任制明确，操作维护人员严格执行设施设备操作规程及保养规范；设施设备运行正常，无事故隐患。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对共用设施设备定期组织巡查，做好巡查记录，需要维修，及时编制维修计划、更新改造计划向市机关服务中心提出报告与建议。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小区道路平整，主要道路及停车场交通标志齐全、规范；小区内公共娱乐设施、水池等部位，设置有明显的安全警示标志。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每天至少1次检查路灯、楼道灯、景观灯等公共照明设备完好率95%以上，按约定时间定时开关。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设备用房整洁、通风，无跑、冒、滴、漏和鼠害现象，危及人身安全隐患处有明显标志和防范措施。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对可能发生的各种设备故障及重大或突发性事件有应急方案和现场处理措施、处理记录。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消防设施设备完好，可随时启用，消防通道通畅；有健全的消防管理制度，建立消防责任制及火灾消防预案。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雨水井每月检查1次，根据需要定期清理疏通，保持通畅，无堵塞外溢。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接到相关部门停水、停电通知，应在小区醒目处提前通知</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注：电梯系统、消防系统、锅炉设备的安装改造维修应由具备相应资质的供应商完成，如供应商自身不具备，可进行分包由具有相应资质的单位完成。</w:t>
      </w:r>
    </w:p>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3.4保洁服务</w:t>
      </w:r>
    </w:p>
    <w:tbl>
      <w:tblPr>
        <w:tblStyle w:val="49"/>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82"/>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8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54"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基本要求</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（3）作业时采取安全防护措施，防止对作业人员或他人造成伤害。相关耗材的环保、安全性等应符合国家相关规定要求。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（4）进入保密区域时，有采购人相关人员在场。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办公用房区域保洁</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（1）大厅、楼内公共通道：</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①公共通道保持干净，无异味、无杂物、无积水，每日至少开展1次清洁作业。（</w:t>
            </w:r>
            <w:r>
              <w:rPr>
                <w:rFonts w:hint="eastAsia" w:ascii="宋体" w:hAnsi="宋体" w:eastAsia="宋体" w:cs="宋体"/>
                <w:color w:val="auto"/>
                <w:sz w:val="21"/>
                <w:szCs w:val="21"/>
              </w:rPr>
              <w:t>办公区公共通道、走廊、公共楼梯每日清扫2次，每周拖洗1次，楼梯扶手每日擦洗1次。楼宇大厅每日拖洗1次，大厅玻璃每周清洁1次。</w:t>
            </w:r>
            <w:r>
              <w:rPr>
                <w:rFonts w:hint="eastAsia" w:ascii="宋体" w:hAnsi="宋体" w:eastAsia="宋体" w:cs="宋体"/>
                <w:b w:val="0"/>
                <w:bCs w:val="0"/>
                <w:color w:val="auto"/>
                <w:kern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②门窗玻璃干净无尘，透光性好，每月至少开展1次清洁作业。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③指示牌干净，无污渍，每日至少开展1次清洁作业。</w:t>
            </w:r>
          </w:p>
          <w:p>
            <w:pPr>
              <w:pStyle w:val="96"/>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服务区域公共场所地面无纸屑、油渍、痰迹、口香糖、果皮、烟头、白色垃圾等。玻璃门（窗、墙）光亮、清洁、无污迹、水迹、灰尘及明显手印。各楼层大厅、室内吊顶、吸音墙上无灰尘、天花板无蜘蛛网。</w:t>
            </w:r>
          </w:p>
          <w:p>
            <w:pPr>
              <w:pStyle w:val="96"/>
              <w:spacing w:line="36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rPr>
              <w:t>公共场所、卫生间、各垃圾收集点无堆积物，垃圾箱外表干净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无积垢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无异味。大理石、瓷砖地面光亮、不锈钢（如电梯间、扶手、门把等）全面保养擦拭，上不锈钢油。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（2）电器、消防等设施设备：</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①配电箱、设备机房、会议室音视频设备、消防栓及开关插座等保持表面干净，无尘无污迹，每月至少开展1次清洁作业。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②监控摄像头、门禁系统等表面光亮，无尘、无斑点，每月至少开展1次清洁作业。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路灯、走廊灯每月清洁1次。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（5）作业工具间：</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②作业工具摆放整齐有序，表面干净无渍。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（6）公共卫生间：</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①保持干净，无异味，垃圾无溢出，每日至少开展1次清洁作业。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②及时补充厕纸等必要用品。</w:t>
            </w:r>
          </w:p>
          <w:p>
            <w:pPr>
              <w:pStyle w:val="96"/>
              <w:spacing w:line="360" w:lineRule="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各办公楼公共卫生间每日清洁3次以上，并</w:t>
            </w:r>
            <w:r>
              <w:rPr>
                <w:rFonts w:hint="eastAsia" w:ascii="宋体" w:hAnsi="宋体" w:eastAsia="宋体" w:cs="宋体"/>
                <w:color w:val="auto"/>
                <w:sz w:val="21"/>
                <w:szCs w:val="21"/>
                <w:lang w:val="en-US" w:eastAsia="zh-CN"/>
              </w:rPr>
              <w:t>及时补充</w:t>
            </w:r>
            <w:r>
              <w:rPr>
                <w:rFonts w:hint="eastAsia" w:ascii="宋体" w:hAnsi="宋体" w:eastAsia="宋体" w:cs="宋体"/>
                <w:color w:val="auto"/>
                <w:sz w:val="21"/>
                <w:szCs w:val="21"/>
              </w:rPr>
              <w:t>擦手纸、厕纸、洗手液、檀香等物品。</w:t>
            </w:r>
          </w:p>
          <w:p>
            <w:pPr>
              <w:pStyle w:val="96"/>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rPr>
              <w:t>卫生间保持清洁、干净，洗手盆上无杂物、无纸屑、无积水；及时清理脚印、水渍；镜子每日全面擦拭清洁；大小便池内外无污垢；墙面、水管、隔断、</w:t>
            </w:r>
            <w:r>
              <w:rPr>
                <w:rFonts w:hint="eastAsia" w:ascii="宋体" w:hAnsi="宋体" w:eastAsia="宋体" w:cs="宋体"/>
                <w:color w:val="auto"/>
                <w:sz w:val="21"/>
                <w:szCs w:val="21"/>
                <w:lang w:eastAsia="zh-CN"/>
              </w:rPr>
              <w:t>门槛</w:t>
            </w:r>
            <w:r>
              <w:rPr>
                <w:rFonts w:hint="eastAsia" w:ascii="宋体" w:hAnsi="宋体" w:eastAsia="宋体" w:cs="宋体"/>
                <w:color w:val="auto"/>
                <w:sz w:val="21"/>
                <w:szCs w:val="21"/>
              </w:rPr>
              <w:t>、窗台无灰尘，厕所内无异味。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（7）电梯轿厢：</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①保持干净，无污渍、无粘贴物、无异味，每日至少开展1次清洁作业。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②灯具、操作指示板明亮。</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电梯轿厢内地毯每</w:t>
            </w:r>
            <w:r>
              <w:rPr>
                <w:rFonts w:hint="eastAsia" w:ascii="宋体" w:hAnsi="宋体" w:eastAsia="宋体" w:cs="宋体"/>
                <w:color w:val="auto"/>
                <w:sz w:val="21"/>
                <w:szCs w:val="21"/>
                <w:lang w:val="en-US" w:eastAsia="zh-CN"/>
              </w:rPr>
              <w:t>周</w:t>
            </w:r>
            <w:r>
              <w:rPr>
                <w:rFonts w:hint="eastAsia" w:ascii="宋体" w:hAnsi="宋体" w:eastAsia="宋体" w:cs="宋体"/>
                <w:color w:val="auto"/>
                <w:sz w:val="21"/>
                <w:szCs w:val="21"/>
              </w:rPr>
              <w:t>更换1次。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（8）平台、屋顶、天沟保持干净，有杂物及时清扫，每月至少开展1次清洁作业。</w:t>
            </w:r>
            <w:r>
              <w:rPr>
                <w:rFonts w:hint="eastAsia" w:ascii="宋体" w:hAnsi="宋体" w:eastAsia="宋体" w:cs="宋体"/>
                <w:color w:val="auto"/>
                <w:sz w:val="21"/>
                <w:szCs w:val="21"/>
                <w:lang w:val="en-US" w:eastAsia="zh-CN"/>
              </w:rPr>
              <w:t>负责办公大楼大厅、通道、地板、立柱的抛光打腊，每季保养1次。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color w:val="auto"/>
                <w:sz w:val="21"/>
                <w:szCs w:val="21"/>
                <w:highlight w:val="none"/>
                <w:u w:val="none"/>
                <w:lang w:val="en-US" w:eastAsia="zh-CN"/>
              </w:rPr>
              <w:t>石材地面、内墙做好养护工作</w:t>
            </w:r>
            <w:r>
              <w:rPr>
                <w:rFonts w:hint="eastAsia" w:ascii="宋体" w:hAnsi="宋体" w:eastAsia="宋体" w:cs="宋体"/>
                <w:b w:val="0"/>
                <w:bCs w:val="0"/>
                <w:color w:val="auto"/>
                <w:kern w:val="0"/>
                <w:sz w:val="21"/>
                <w:szCs w:val="21"/>
                <w:highlight w:val="none"/>
                <w:lang w:val="en-US" w:eastAsia="zh-CN"/>
              </w:rPr>
              <w:t>，每3月开展1次清洁作业。（各类材质地面、内墙服务管理标准详见3.4.1）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color w:val="auto"/>
                <w:sz w:val="21"/>
                <w:szCs w:val="21"/>
                <w:highlight w:val="none"/>
                <w:u w:val="none"/>
                <w:lang w:val="en-US" w:eastAsia="zh-CN"/>
              </w:rPr>
              <w:t>地毯干净、无油渍、无污渍、无褪色</w:t>
            </w:r>
            <w:r>
              <w:rPr>
                <w:rFonts w:hint="eastAsia" w:ascii="宋体" w:hAnsi="宋体" w:eastAsia="宋体" w:cs="宋体"/>
                <w:b w:val="0"/>
                <w:bCs w:val="0"/>
                <w:color w:val="auto"/>
                <w:kern w:val="0"/>
                <w:sz w:val="21"/>
                <w:szCs w:val="21"/>
                <w:highlight w:val="none"/>
                <w:lang w:val="en-US" w:eastAsia="zh-CN"/>
              </w:rPr>
              <w:t>，每月至少开展1次清洁作业。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（11）</w:t>
            </w:r>
            <w:r>
              <w:rPr>
                <w:rFonts w:hint="eastAsia" w:ascii="宋体" w:hAnsi="宋体" w:eastAsia="宋体" w:cs="宋体"/>
                <w:color w:val="auto"/>
                <w:sz w:val="21"/>
                <w:szCs w:val="21"/>
                <w:lang w:val="en-US" w:eastAsia="zh-CN"/>
              </w:rPr>
              <w:t>负责办公楼大厅灯具保洁保养，每季保养1次。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w:t>
            </w:r>
            <w:r>
              <w:rPr>
                <w:rFonts w:hint="eastAsia" w:ascii="宋体" w:hAnsi="宋体" w:eastAsia="宋体" w:cs="宋体"/>
                <w:color w:val="auto"/>
                <w:sz w:val="21"/>
                <w:szCs w:val="21"/>
                <w:lang w:val="en-US" w:eastAsia="zh-CN"/>
              </w:rPr>
              <w:t>负责办公大院室外及地下室部分的清洁。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w:t>
            </w:r>
            <w:r>
              <w:rPr>
                <w:rFonts w:hint="eastAsia" w:ascii="宋体" w:hAnsi="宋体" w:eastAsia="宋体" w:cs="宋体"/>
                <w:color w:val="auto"/>
                <w:sz w:val="21"/>
                <w:szCs w:val="21"/>
                <w:lang w:val="en-US" w:eastAsia="zh-CN"/>
              </w:rPr>
              <w:t>负责管道、下水道、水池、清理疏通和杂物打捞。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（14）</w:t>
            </w:r>
            <w:r>
              <w:rPr>
                <w:rFonts w:hint="eastAsia" w:ascii="宋体" w:hAnsi="宋体" w:eastAsia="宋体" w:cs="宋体"/>
                <w:color w:val="auto"/>
                <w:sz w:val="21"/>
                <w:szCs w:val="21"/>
                <w:lang w:val="en-US" w:eastAsia="zh-CN"/>
              </w:rPr>
              <w:t>负责服务范围内每年4次的除“四害”工作。</w:t>
            </w:r>
            <w:r>
              <w:rPr>
                <w:rFonts w:hint="eastAsia" w:ascii="宋体" w:hAnsi="宋体" w:eastAsia="宋体" w:cs="宋体"/>
                <w:color w:val="auto"/>
                <w:spacing w:val="-6"/>
                <w:sz w:val="21"/>
                <w:szCs w:val="21"/>
              </w:rPr>
              <w:t>化粪池、下水道无溢流，道路地面无“四害”粪便痕迹。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w:t>
            </w:r>
            <w:r>
              <w:rPr>
                <w:rFonts w:hint="eastAsia" w:ascii="宋体" w:hAnsi="宋体" w:eastAsia="宋体" w:cs="宋体"/>
                <w:color w:val="auto"/>
                <w:sz w:val="21"/>
                <w:szCs w:val="21"/>
              </w:rPr>
              <w:t>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单位完成保洁临时性任务。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公共场地区域保洁</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（1）每日清扫道路地面、停车场等公共区域2次，保持干净、无杂物、无积水。（</w:t>
            </w:r>
            <w:r>
              <w:rPr>
                <w:rFonts w:hint="eastAsia" w:ascii="宋体" w:hAnsi="宋体" w:eastAsia="宋体" w:cs="宋体"/>
                <w:color w:val="auto"/>
                <w:sz w:val="21"/>
                <w:szCs w:val="21"/>
              </w:rPr>
              <w:t>道路、广场、活动场所、停车场、绿地每日清扫1次。</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sz w:val="21"/>
                <w:szCs w:val="21"/>
              </w:rPr>
              <w:t>公共区域各种设施的清洁，符合卫生标准。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（2）暴雨、台风等恶劣天气时及时清扫积水，并采取安全防护措施。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垃圾处理</w:t>
            </w:r>
          </w:p>
        </w:tc>
        <w:tc>
          <w:tcPr>
            <w:tcW w:w="6754" w:type="dxa"/>
            <w:noWrap w:val="0"/>
            <w:vAlign w:val="center"/>
          </w:tcPr>
          <w:p>
            <w:pPr>
              <w:pStyle w:val="96"/>
              <w:spacing w:line="36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（1）在指定位置摆放分类垃圾桶，并在显著处张贴垃圾分类标识。分类垃圾桶和垃圾分类标识根据所在城市的要求设置。</w:t>
            </w:r>
            <w:r>
              <w:rPr>
                <w:rFonts w:hint="eastAsia" w:ascii="宋体" w:hAnsi="宋体" w:eastAsia="宋体" w:cs="宋体"/>
                <w:color w:val="auto"/>
                <w:sz w:val="21"/>
                <w:szCs w:val="21"/>
              </w:rPr>
              <w:t>各办公楼按楼层设置垃圾桶，垃圾处理须装袋，每日清运2次。负责服务区域内生活垃圾、绿化垃圾及废弃物品的收集和清运。户外合理设置果壳箱或垃圾桶，每日清运2次。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（4）化粪池清掏，无明显异味，每半年至少开展1次清洁作业。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u w:val="none"/>
                <w:lang w:val="en-US" w:eastAsia="zh-CN"/>
              </w:rPr>
              <w:t>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（6）垃圾装袋，日产日清。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（7）建立垃圾清运台账，交由规范的渠道回收处理。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color w:val="auto"/>
                <w:sz w:val="21"/>
                <w:szCs w:val="21"/>
                <w:highlight w:val="none"/>
                <w:u w:val="none"/>
                <w:lang w:val="en-US" w:eastAsia="zh-CN"/>
              </w:rPr>
              <w:t>做好垃圾分类管理的宣传工作，督促并引导全员参与垃圾分类投放。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color w:val="auto"/>
                <w:sz w:val="21"/>
                <w:szCs w:val="21"/>
                <w:highlight w:val="none"/>
                <w:u w:val="none"/>
                <w:lang w:val="en-US" w:eastAsia="zh-CN"/>
              </w:rPr>
              <w:t>垃圾分类投放管理工作的执行标准，按</w:t>
            </w:r>
            <w:r>
              <w:rPr>
                <w:rFonts w:hint="eastAsia" w:ascii="宋体" w:hAnsi="宋体" w:eastAsia="宋体" w:cs="宋体"/>
                <w:b w:val="0"/>
                <w:bCs w:val="0"/>
                <w:color w:val="auto"/>
                <w:kern w:val="0"/>
                <w:sz w:val="21"/>
                <w:szCs w:val="21"/>
                <w:highlight w:val="none"/>
                <w:lang w:val="en-US" w:eastAsia="zh-CN"/>
              </w:rPr>
              <w:t>所在城市</w:t>
            </w:r>
            <w:r>
              <w:rPr>
                <w:rFonts w:hint="eastAsia" w:ascii="宋体" w:hAnsi="宋体" w:eastAsia="宋体" w:cs="宋体"/>
                <w:color w:val="auto"/>
                <w:sz w:val="21"/>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卫生消毒</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（1）办公用房区域、公共场所区域和周围环境预防性卫生消毒，</w:t>
            </w:r>
            <w:r>
              <w:rPr>
                <w:rFonts w:hint="eastAsia" w:ascii="宋体" w:hAnsi="宋体" w:eastAsia="宋体" w:cs="宋体"/>
                <w:color w:val="auto"/>
                <w:sz w:val="21"/>
                <w:szCs w:val="21"/>
                <w:highlight w:val="none"/>
                <w:u w:val="none"/>
                <w:lang w:val="en-US" w:eastAsia="zh-CN"/>
              </w:rPr>
              <w:t>消毒后及时通风，每周</w:t>
            </w:r>
            <w:r>
              <w:rPr>
                <w:rFonts w:hint="eastAsia" w:ascii="宋体" w:hAnsi="宋体" w:eastAsia="宋体" w:cs="宋体"/>
                <w:b w:val="0"/>
                <w:bCs w:val="0"/>
                <w:color w:val="auto"/>
                <w:kern w:val="0"/>
                <w:sz w:val="21"/>
                <w:szCs w:val="21"/>
                <w:highlight w:val="none"/>
                <w:lang w:val="en-US" w:eastAsia="zh-CN"/>
              </w:rPr>
              <w:t>至少开展</w:t>
            </w:r>
            <w:r>
              <w:rPr>
                <w:rFonts w:hint="eastAsia" w:ascii="宋体" w:hAnsi="宋体" w:eastAsia="宋体" w:cs="宋体"/>
                <w:color w:val="auto"/>
                <w:sz w:val="21"/>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（2）采取综合措施消灭老鼠、蟑螂，控制室内外蚊虫孳生，达到基本无蝇</w:t>
            </w:r>
            <w:r>
              <w:rPr>
                <w:rFonts w:hint="eastAsia" w:ascii="宋体" w:hAnsi="宋体" w:eastAsia="宋体" w:cs="宋体"/>
                <w:color w:val="auto"/>
                <w:sz w:val="21"/>
                <w:szCs w:val="21"/>
                <w:highlight w:val="none"/>
                <w:u w:val="none"/>
                <w:lang w:val="en-US" w:eastAsia="zh-CN"/>
              </w:rPr>
              <w:t>，每3月</w:t>
            </w:r>
            <w:r>
              <w:rPr>
                <w:rFonts w:hint="eastAsia" w:ascii="宋体" w:hAnsi="宋体" w:eastAsia="宋体" w:cs="宋体"/>
                <w:b w:val="0"/>
                <w:bCs w:val="0"/>
                <w:color w:val="auto"/>
                <w:kern w:val="0"/>
                <w:sz w:val="21"/>
                <w:szCs w:val="21"/>
                <w:highlight w:val="none"/>
                <w:lang w:val="en-US" w:eastAsia="zh-CN"/>
              </w:rPr>
              <w:t>至少开展</w:t>
            </w:r>
            <w:r>
              <w:rPr>
                <w:rFonts w:hint="eastAsia" w:ascii="宋体" w:hAnsi="宋体" w:eastAsia="宋体" w:cs="宋体"/>
                <w:color w:val="auto"/>
                <w:sz w:val="21"/>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（3）发生公共卫生事件时，邀请专业单位开展消毒、检测等工作。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办公区市领导办公室卫生保洁服务</w:t>
            </w: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rPr>
              <w:t>服务要求和标准：保持地面、天面、墙面、玻璃、桌椅、门窗、灯具、天花板洁净光亮，无灰尘、无手印、无污渍；真皮沙发每季保养1次，饮水机每季清洗1次，定期清洗卧具；卫生间清洁无污渍、无异味。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rPr>
              <w:t>要求在不干扰领导工作的前提下完成保洁工作，每天</w:t>
            </w:r>
            <w:r>
              <w:rPr>
                <w:rFonts w:hint="eastAsia" w:ascii="宋体" w:hAnsi="宋体" w:eastAsia="宋体" w:cs="宋体"/>
                <w:color w:val="auto"/>
                <w:sz w:val="21"/>
                <w:szCs w:val="21"/>
                <w:lang w:eastAsia="zh-CN"/>
              </w:rPr>
              <w:t>至少保洁1次</w:t>
            </w:r>
            <w:r>
              <w:rPr>
                <w:rFonts w:hint="eastAsia" w:ascii="宋体" w:hAnsi="宋体" w:eastAsia="宋体" w:cs="宋体"/>
                <w:color w:val="auto"/>
                <w:sz w:val="21"/>
                <w:szCs w:val="21"/>
              </w:rPr>
              <w:t>，发现水电设施等故障及时报修，完成领导交办的其他任务。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红日街公寓楼保洁服务</w:t>
            </w: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小区实际情况合理布设果皮箱或垃圾桶，垃圾袋装化。垃圾清运日产日清，每天早晚定时清运2次，无垃圾桶、果皮箱满溢现象，每周至少清洗1次，保持垃圾设施清洁、无异味；垃圾收集点周围地面无散落垃圾、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健全的保洁制度，小区道路、广场、停车场、绿地等公共区域设专人保洁，每天清扫2次；楼道、一层共用大厅每日清扫1次，拖洗1次；楼梯扶手每日擦洗1次；共用部位玻璃每周清洁1次；室外标识、宣传栏.信报箱等共用部位设施设备每周擦拭2次；路灯、楼道灯每月清洁1次；设施设备用房每天清扫1次；休闲、娱乐、健身设施每天清洁一次，每月刷洗消毒1次</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雨水、污水管道每年疏通1次；雨水井、化粪井、污水井每月检查1次，视检查情况及时清掏，保持通畅，无堵塞外溢；化粪池每月检查1次，每半年清掏1次，发现异常及时清掏。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二次供水水箱按规定清洗，定时巡查，水质符合卫生要求。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进行保洁巡查，楼道内无乱悬挂、乱贴乱画、乱堆放，无明显暴露垃圾、卫生死角等现象，保证小区内干净整洁。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建立消杀工作管理制度，根据小区实际情况开展消毒和灭虫除害工作，适时投放消杀药物，有效控制鼠、蟑、蚊、蝇等害虫孳生。</w:t>
            </w:r>
          </w:p>
        </w:tc>
      </w:tr>
    </w:tbl>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3.4.1具体清洁要求</w:t>
      </w:r>
    </w:p>
    <w:tbl>
      <w:tblPr>
        <w:tblStyle w:val="49"/>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198"/>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符号</w:t>
            </w:r>
          </w:p>
        </w:tc>
        <w:tc>
          <w:tcPr>
            <w:tcW w:w="2198"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材质</w:t>
            </w:r>
          </w:p>
        </w:tc>
        <w:tc>
          <w:tcPr>
            <w:tcW w:w="6729"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清洗要求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环氧地坪地面</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耐磨漆地面</w:t>
            </w:r>
          </w:p>
        </w:tc>
        <w:tc>
          <w:tcPr>
            <w:tcW w:w="6729" w:type="dxa"/>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瓷砖地面</w:t>
            </w:r>
          </w:p>
        </w:tc>
        <w:tc>
          <w:tcPr>
            <w:tcW w:w="6729"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w:t>
            </w:r>
            <w:r>
              <w:rPr>
                <w:rFonts w:hint="eastAsia" w:ascii="宋体" w:hAnsi="宋体" w:eastAsia="宋体" w:cs="宋体"/>
                <w:color w:val="auto"/>
                <w:sz w:val="21"/>
                <w:szCs w:val="21"/>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石材地面</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根据各区域的人流量及大理石的实际磨损程度制定大理石的晶面保养计划。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（2）启动晶面机，使用中性清洁剂清洁，避免使用强酸或强碱清洁剂，定期进行基础维护。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水磨石地面</w:t>
            </w:r>
          </w:p>
        </w:tc>
        <w:tc>
          <w:tcPr>
            <w:tcW w:w="6729"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w:t>
            </w:r>
            <w:r>
              <w:rPr>
                <w:rFonts w:hint="eastAsia" w:ascii="宋体" w:hAnsi="宋体" w:eastAsia="宋体" w:cs="宋体"/>
                <w:color w:val="auto"/>
                <w:sz w:val="21"/>
                <w:szCs w:val="21"/>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地胶板地面</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日常维护。使用湿润的拖把清洁，污染严重时局部清洁，每月对地胶板地面进行打蜡处理。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地板地面</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地毯地面</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日常用吸尘机除尘，局部脏污用湿布配中性清洁液重点清洁。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乳胶漆内墙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墙纸内墙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木饰面内墙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石材内墙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金属板内墙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涂料外墙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真石漆外墙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瓷砖外墙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保温一体板外墙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铝板外墙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干挂石材外墙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玻璃幕墙外墙</w:t>
            </w:r>
          </w:p>
        </w:tc>
        <w:tc>
          <w:tcPr>
            <w:tcW w:w="6729"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定期专业清洗。</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注：根据物业用材情况选择清洁要求</w:t>
      </w:r>
    </w:p>
    <w:p>
      <w:pPr>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3.5绿化服务</w:t>
      </w:r>
    </w:p>
    <w:tbl>
      <w:tblPr>
        <w:tblStyle w:val="49"/>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280"/>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8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1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基本要求</w:t>
            </w: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（1）制定绿化服务的工作制度及工作计划，并按照执行。</w:t>
            </w:r>
            <w:r>
              <w:rPr>
                <w:rFonts w:hint="eastAsia" w:ascii="宋体" w:hAnsi="宋体" w:eastAsia="宋体" w:cs="宋体"/>
                <w:color w:val="auto"/>
                <w:sz w:val="21"/>
                <w:szCs w:val="21"/>
              </w:rPr>
              <w:t>负责对服务区域公用绿地、花草、树木养护、修剪、补种，负责室内花草布置、养护。负责阳台、楼顶绿色植物和花卉的养护。</w:t>
            </w:r>
            <w:r>
              <w:rPr>
                <w:rFonts w:hint="eastAsia" w:ascii="宋体" w:hAnsi="宋体" w:eastAsia="宋体" w:cs="宋体"/>
                <w:color w:val="auto"/>
                <w:spacing w:val="-6"/>
                <w:sz w:val="21"/>
                <w:szCs w:val="21"/>
              </w:rPr>
              <w:t>负责服务范围内各种花卉植物的修剪、养护、补种、浇灌、施肥、松土、防涝、防冻工作。定期喷洒药物，预防病虫害。</w:t>
            </w:r>
            <w:r>
              <w:rPr>
                <w:rFonts w:hint="eastAsia" w:ascii="宋体" w:hAnsi="宋体" w:eastAsia="宋体" w:cs="宋体"/>
                <w:color w:val="auto"/>
                <w:sz w:val="21"/>
                <w:szCs w:val="21"/>
              </w:rPr>
              <w:t>做好草坪树木修剪、补种，保持无杂草、枯枝，清运修剪余下的杂草、枯枝等废弃物。配合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完成领导办公室、办公楼大厅、公共走廊荫生植物及盆景的摆放。配合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单位完成绿化临时性工作任务。服务标准：绿地无破坏、践踏，花草树木长势良好，无病虫害，无杂草，无枯死。及时更换各类荫生植物，保持地面无枯枝、枯叶、无绿化</w:t>
            </w:r>
            <w:r>
              <w:rPr>
                <w:rFonts w:hint="eastAsia" w:ascii="宋体" w:hAnsi="宋体" w:eastAsia="宋体" w:cs="宋体"/>
                <w:color w:val="auto"/>
                <w:sz w:val="21"/>
                <w:szCs w:val="21"/>
                <w:lang w:eastAsia="zh-CN"/>
              </w:rPr>
              <w:t>废弃物</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（4）相关耗材的环保、安全性应符合规定要求。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室外绿化养护</w:t>
            </w: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u w:val="none"/>
                <w:lang w:val="en-US" w:eastAsia="zh-CN"/>
              </w:rPr>
              <w:t>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（2）根据生长情况修剪绿地，绿地内无枯草、无杂物，</w:t>
            </w:r>
            <w:r>
              <w:rPr>
                <w:rFonts w:hint="eastAsia" w:ascii="宋体" w:hAnsi="宋体" w:eastAsia="宋体" w:cs="宋体"/>
                <w:color w:val="auto"/>
                <w:sz w:val="21"/>
                <w:szCs w:val="21"/>
                <w:highlight w:val="none"/>
                <w:u w:val="none"/>
                <w:lang w:val="en-US" w:eastAsia="zh-CN"/>
              </w:rPr>
              <w:t>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（3）定期修剪树木、花卉等，</w:t>
            </w:r>
            <w:r>
              <w:rPr>
                <w:rFonts w:hint="eastAsia" w:ascii="宋体" w:hAnsi="宋体" w:eastAsia="宋体" w:cs="宋体"/>
                <w:color w:val="auto"/>
                <w:sz w:val="21"/>
                <w:szCs w:val="21"/>
                <w:highlight w:val="none"/>
                <w:u w:val="none"/>
                <w:lang w:val="en-US" w:eastAsia="zh-CN"/>
              </w:rPr>
              <w:t>灌乔木生长正常、造型美观自然、花枝新鲜，无枯叶、无病虫、无死树缺株。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u w:val="none"/>
                <w:lang w:val="en-US" w:eastAsia="zh-CN"/>
              </w:rPr>
              <w:t>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color w:val="auto"/>
                <w:sz w:val="21"/>
                <w:szCs w:val="21"/>
                <w:highlight w:val="none"/>
                <w:u w:val="none"/>
                <w:lang w:val="en-US" w:eastAsia="zh-CN"/>
              </w:rPr>
              <w:t>水池水面定期清理，无枯枝落叶、水质清洁。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（8）暴雨、台风等恶劣天气来临前，专人巡查，对绿植做好预防措施，排除安全隐患。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红日街公寓楼绿化养护服务</w:t>
            </w: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有专业人员实施绿化养护管理。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根据气候状况和季节，适时组织浇灌、松土，花草树木生长良好，无枯死、无树挂，适时修剪、疏密得当，有良好的观赏效果；树形符合自然特征，整形植物保持一定形状。发现枯树在一周内清除，并适时补种。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草坪生长整齐，高度不应超过8公分，超过时应在一周内及时进行修剪，每年清除杂草4次以上，有效控制杂草孳生；无垃圾、无烟头纸屑。</w:t>
            </w:r>
          </w:p>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绿篱枝叶较茂密，适时进行修剪，绿篱根部无枯枝枯叶及杂物，当天清除修剪废弃物。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按植物品种、生长状况、土壤条件适时施肥，每年施肥1次，并视树木情况进行追肥1次。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适时组织防冻保暖，定期喷洒药物，预防病虫害，病虫害无明显迹象。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园林建筑和辅助设施完好，整洁无损。</w:t>
            </w:r>
          </w:p>
        </w:tc>
      </w:tr>
    </w:tbl>
    <w:p>
      <w:pPr>
        <w:pStyle w:val="4"/>
        <w:rPr>
          <w:rFonts w:hint="eastAsia" w:ascii="宋体" w:hAnsi="宋体" w:eastAsia="宋体" w:cs="宋体"/>
          <w:color w:val="auto"/>
          <w:sz w:val="21"/>
          <w:szCs w:val="21"/>
          <w:highlight w:val="none"/>
        </w:rPr>
      </w:pPr>
    </w:p>
    <w:p>
      <w:pPr>
        <w:pStyle w:val="4"/>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3.6</w:t>
      </w:r>
      <w:r>
        <w:rPr>
          <w:rFonts w:hint="eastAsia" w:ascii="宋体" w:hAnsi="宋体" w:eastAsia="宋体" w:cs="宋体"/>
          <w:color w:val="auto"/>
          <w:kern w:val="2"/>
          <w:sz w:val="21"/>
          <w:szCs w:val="21"/>
          <w:highlight w:val="none"/>
          <w:u w:val="none"/>
          <w:lang w:val="en-US" w:eastAsia="zh-CN" w:bidi="ar-SA"/>
        </w:rPr>
        <w:t>保安服务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79"/>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7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69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（1）建立保安服务相关制度，并按照执行。</w:t>
            </w:r>
            <w:r>
              <w:rPr>
                <w:rFonts w:hint="eastAsia" w:ascii="宋体" w:hAnsi="宋体" w:eastAsia="宋体" w:cs="宋体"/>
                <w:color w:val="auto"/>
                <w:sz w:val="21"/>
                <w:szCs w:val="21"/>
              </w:rPr>
              <w:t>门岗室整洁，公共秩序维护人员统一着装，佩戴有明显的标志，定期接受安全技能培训，有较强的安全防范能力，能正确使用各级消防、物防、技防设备和器材。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出入管理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（1）办公楼（区）主出入口应实行 24小时值班制。</w:t>
            </w:r>
            <w:r>
              <w:rPr>
                <w:rFonts w:hint="eastAsia" w:ascii="宋体" w:hAnsi="宋体" w:eastAsia="宋体" w:cs="宋体"/>
                <w:color w:val="auto"/>
                <w:sz w:val="21"/>
                <w:szCs w:val="21"/>
              </w:rPr>
              <w:t>设专人24小时值勤，其中出入口不少于8小时立岗值勤，并有详细的交接班记录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（2）设置接待岗。</w:t>
            </w:r>
            <w:r>
              <w:rPr>
                <w:rFonts w:hint="eastAsia" w:ascii="宋体" w:hAnsi="宋体" w:eastAsia="宋体" w:cs="宋体"/>
                <w:color w:val="auto"/>
                <w:spacing w:val="-6"/>
                <w:sz w:val="21"/>
                <w:szCs w:val="21"/>
              </w:rPr>
              <w:t>对进出小区的装修、家政等劳务人员实行临时出入证管理。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r>
              <w:rPr>
                <w:rFonts w:hint="eastAsia" w:ascii="宋体" w:hAnsi="宋体" w:eastAsia="宋体" w:cs="宋体"/>
                <w:color w:val="auto"/>
                <w:sz w:val="21"/>
                <w:szCs w:val="21"/>
              </w:rPr>
              <w:t>配备有楼宇可视对讲系统、电子监控系统、电子巡更系统或者其他安全防范设施的，对安全监控设施实施24小时监控并及时记录，发现问题30分钟内有人到现场处理。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做好来访人员、车辆进出证件登记，及时通报。</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④现场办理等待时间不超过5分钟，等待较长时间应及时沟通。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⑥接待服务工作时间应覆盖采购人工作时间（上班时间为</w:t>
            </w:r>
            <w:r>
              <w:rPr>
                <w:rFonts w:hint="eastAsia" w:ascii="宋体" w:hAnsi="宋体" w:eastAsia="宋体" w:cs="宋体"/>
                <w:color w:val="auto"/>
                <w:sz w:val="21"/>
                <w:szCs w:val="21"/>
                <w:highlight w:val="none"/>
                <w:u w:val="none"/>
                <w:lang w:val="en-US" w:eastAsia="zh-CN"/>
              </w:rPr>
              <w:t>8：00</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12：00，15：00</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18：00</w:t>
            </w:r>
            <w:r>
              <w:rPr>
                <w:rFonts w:hint="eastAsia" w:ascii="宋体" w:hAnsi="宋体" w:eastAsia="宋体" w:cs="宋体"/>
                <w:color w:val="auto"/>
                <w:sz w:val="21"/>
                <w:szCs w:val="21"/>
                <w:highlight w:val="none"/>
                <w:u w:val="none"/>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⑦与被访人进行核实确认；告知被访人的办公室门牌号；告知访客注意事项（</w:t>
            </w:r>
            <w:r>
              <w:rPr>
                <w:rFonts w:hint="eastAsia" w:ascii="宋体" w:hAnsi="宋体" w:eastAsia="宋体" w:cs="宋体"/>
                <w:color w:val="auto"/>
                <w:sz w:val="21"/>
                <w:szCs w:val="21"/>
                <w:highlight w:val="none"/>
                <w:u w:val="none"/>
                <w:lang w:val="en-US" w:eastAsia="zh-CN"/>
              </w:rPr>
              <w:t>根据实际需要</w:t>
            </w:r>
            <w:r>
              <w:rPr>
                <w:rFonts w:hint="eastAsia" w:ascii="宋体" w:hAnsi="宋体" w:eastAsia="宋体" w:cs="宋体"/>
                <w:color w:val="auto"/>
                <w:sz w:val="21"/>
                <w:szCs w:val="21"/>
                <w:highlight w:val="none"/>
                <w:u w:val="none"/>
              </w:rPr>
              <w:t>填写</w:t>
            </w:r>
            <w:r>
              <w:rPr>
                <w:rFonts w:hint="eastAsia" w:ascii="宋体" w:hAnsi="宋体" w:eastAsia="宋体" w:cs="宋体"/>
                <w:color w:val="auto"/>
                <w:sz w:val="21"/>
                <w:szCs w:val="21"/>
                <w:highlight w:val="none"/>
                <w:u w:val="none"/>
                <w:lang w:val="en-US" w:eastAsia="zh-CN"/>
              </w:rPr>
              <w:t>注意事项</w:t>
            </w:r>
            <w:r>
              <w:rPr>
                <w:rFonts w:hint="eastAsia" w:ascii="宋体" w:hAnsi="宋体" w:eastAsia="宋体" w:cs="宋体"/>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对火灾、治安、公共卫生等突发事件有应急预案，事发时及时报告有关部门，并协助采取相应措施。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每年应组织不少于1次应急预案演习。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值班</w:t>
            </w:r>
            <w:r>
              <w:rPr>
                <w:rFonts w:hint="eastAsia" w:ascii="宋体" w:hAnsi="宋体" w:eastAsia="宋体" w:cs="宋体"/>
                <w:color w:val="auto"/>
                <w:sz w:val="21"/>
                <w:szCs w:val="21"/>
                <w:highlight w:val="none"/>
              </w:rPr>
              <w:t>巡查</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（2）制定巡查路线，按照指定时间和路线执行，加强重点区域、重点部位及装修区域的巡查。</w:t>
            </w:r>
            <w:r>
              <w:rPr>
                <w:rFonts w:hint="eastAsia" w:ascii="宋体" w:hAnsi="宋体" w:eastAsia="宋体" w:cs="宋体"/>
                <w:color w:val="auto"/>
                <w:sz w:val="21"/>
                <w:szCs w:val="21"/>
              </w:rPr>
              <w:t>按照规定路线和时间24小时进行有计划、不间断的巡逻，每天不少于8次。对重点区域.重点部位每1小时至少巡查1次，并做好巡查记录。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rPr>
              <w:t>夜间对服务范围内重点部位、道路进行不少于一次的防范检查和巡逻。配有安全监控设施的，实施24小时监控并做有完备的记录。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r>
              <w:rPr>
                <w:rFonts w:hint="eastAsia" w:ascii="宋体" w:hAnsi="宋体" w:eastAsia="宋体" w:cs="宋体"/>
                <w:color w:val="auto"/>
                <w:sz w:val="21"/>
                <w:szCs w:val="21"/>
                <w:highlight w:val="none"/>
                <w:lang w:val="en-US" w:eastAsia="zh-CN"/>
              </w:rPr>
              <w:t>值守</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（5）监控记录保持完整，保存时间不应少于90天。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车辆停放</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color w:val="auto"/>
                <w:spacing w:val="-6"/>
                <w:sz w:val="21"/>
                <w:szCs w:val="21"/>
              </w:rPr>
              <w:t>对进出</w:t>
            </w:r>
            <w:r>
              <w:rPr>
                <w:rFonts w:hint="eastAsia" w:ascii="宋体" w:hAnsi="宋体" w:eastAsia="宋体" w:cs="宋体"/>
                <w:color w:val="auto"/>
                <w:spacing w:val="-6"/>
                <w:sz w:val="21"/>
                <w:szCs w:val="21"/>
                <w:lang w:val="en-US" w:eastAsia="zh-CN"/>
              </w:rPr>
              <w:t>办公</w:t>
            </w:r>
            <w:r>
              <w:rPr>
                <w:rFonts w:hint="eastAsia" w:ascii="宋体" w:hAnsi="宋体" w:eastAsia="宋体" w:cs="宋体"/>
                <w:color w:val="auto"/>
                <w:spacing w:val="-6"/>
                <w:sz w:val="21"/>
                <w:szCs w:val="21"/>
              </w:rPr>
              <w:t>区的车辆实施有效管理，引导车辆有序通行、停放。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消防安全管理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（2）消防控制室实行24小时值班制度。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突发事件处理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大型活动秩序</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（2）应保障通道、出入口、停车场等区域畅通。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（3）活动举办过程中，做好现场秩序的维护和突发事故的处置工作，确保活动正常进行。</w:t>
            </w:r>
          </w:p>
        </w:tc>
      </w:tr>
    </w:tbl>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3.7会议服务</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负责市委、市人民政府会议服务工作和会议场所保洁工作。</w:t>
      </w:r>
      <w:r>
        <w:rPr>
          <w:rFonts w:hint="eastAsia" w:ascii="宋体" w:hAnsi="宋体" w:eastAsia="宋体" w:cs="宋体"/>
          <w:color w:val="auto"/>
          <w:sz w:val="21"/>
          <w:szCs w:val="21"/>
        </w:rPr>
        <w:t>配合做好在市委、市人民政府举行的重大活动、仪式等服务保障工作。</w:t>
      </w:r>
    </w:p>
    <w:p>
      <w:pPr>
        <w:rPr>
          <w:rFonts w:hint="eastAsia"/>
          <w:color w:val="auto"/>
          <w:lang w:val="en-US" w:eastAsia="zh-CN"/>
        </w:rPr>
      </w:pPr>
    </w:p>
    <w:tbl>
      <w:tblPr>
        <w:tblStyle w:val="49"/>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6"/>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服务内容构成</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接受会议预订，记录会议需求。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根据会议需求、场地大小、用途，明确会议桌椅、物品、设备、文具等摆放规定。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做好引导牌并放置在指定位置，引导人员引导手势规范，语言标准。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会议开始后按要求加水。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会后整理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对会议现场进行检查，做好会场清扫工作。</w:t>
            </w:r>
            <w:r>
              <w:rPr>
                <w:rFonts w:hint="eastAsia" w:ascii="宋体" w:hAnsi="宋体" w:eastAsia="宋体" w:cs="宋体"/>
                <w:color w:val="auto"/>
                <w:sz w:val="21"/>
                <w:szCs w:val="21"/>
              </w:rPr>
              <w:t>保洁工作包括：会议室、接待室的杯子、毛巾消毒；场内座位、桌椅、沙发、茶几清洁保养；会议室、接待室场内地面、墙面、柱面、门窗、玻璃、灯具、天花板光亮，无灰尘、无手印、无污渍。</w:t>
            </w:r>
          </w:p>
        </w:tc>
      </w:tr>
    </w:tbl>
    <w:p>
      <w:pPr>
        <w:pStyle w:val="2"/>
        <w:bidi w:val="0"/>
        <w:rPr>
          <w:rFonts w:hint="eastAsia" w:ascii="宋体" w:hAnsi="宋体" w:eastAsia="宋体" w:cs="宋体"/>
          <w:color w:val="auto"/>
          <w:sz w:val="21"/>
          <w:szCs w:val="21"/>
          <w:highlight w:val="none"/>
          <w:lang w:val="en-US" w:eastAsia="zh-CN"/>
        </w:rPr>
      </w:pPr>
    </w:p>
    <w:p>
      <w:pPr>
        <w:pStyle w:val="2"/>
        <w:numPr>
          <w:ilvl w:val="0"/>
          <w:numId w:val="0"/>
        </w:numPr>
        <w:bidi w:val="0"/>
        <w:rPr>
          <w:color w:val="auto"/>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物业管理服务人员需求</w:t>
      </w:r>
    </w:p>
    <w:tbl>
      <w:tblPr>
        <w:tblStyle w:val="49"/>
        <w:tblW w:w="48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080"/>
        <w:gridCol w:w="2439"/>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w:t>
            </w:r>
          </w:p>
        </w:tc>
        <w:tc>
          <w:tcPr>
            <w:tcW w:w="108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同时在岗人数</w:t>
            </w:r>
          </w:p>
        </w:tc>
        <w:tc>
          <w:tcPr>
            <w:tcW w:w="243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岗位所需总人数</w:t>
            </w:r>
          </w:p>
        </w:tc>
        <w:tc>
          <w:tcPr>
            <w:tcW w:w="434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备注（岗位所需服务时长或时段、需具备的上岗资格证</w:t>
            </w:r>
            <w:r>
              <w:rPr>
                <w:rFonts w:hint="eastAsia" w:ascii="宋体" w:hAnsi="宋体" w:eastAsia="宋体" w:cs="宋体"/>
                <w:b/>
                <w:bCs w:val="0"/>
                <w:color w:val="auto"/>
                <w:sz w:val="21"/>
                <w:szCs w:val="21"/>
                <w:highlight w:val="none"/>
                <w:lang w:eastAsia="zh-CN"/>
              </w:rPr>
              <w:t>、人员学历、工作经验</w:t>
            </w:r>
            <w:r>
              <w:rPr>
                <w:rFonts w:hint="eastAsia" w:ascii="宋体" w:hAnsi="宋体" w:eastAsia="宋体" w:cs="宋体"/>
                <w:b/>
                <w:bCs w:val="0"/>
                <w:color w:val="auto"/>
                <w:sz w:val="21"/>
                <w:szCs w:val="21"/>
                <w:highlight w:val="none"/>
              </w:rPr>
              <w:t>等</w:t>
            </w:r>
            <w:r>
              <w:rPr>
                <w:rFonts w:hint="eastAsia" w:ascii="宋体" w:hAnsi="宋体" w:eastAsia="宋体" w:cs="宋体"/>
                <w:b/>
                <w:bCs w:val="0"/>
                <w:color w:val="auto"/>
                <w:sz w:val="21"/>
                <w:szCs w:val="21"/>
                <w:highlight w:val="none"/>
                <w:lang w:eastAsia="zh-CN"/>
              </w:rPr>
              <w:t>要求</w:t>
            </w:r>
            <w:r>
              <w:rPr>
                <w:rFonts w:hint="eastAsia" w:ascii="宋体" w:hAnsi="宋体" w:eastAsia="宋体" w:cs="宋体"/>
                <w:b/>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341" w:type="dxa"/>
            <w:noWrap w:val="0"/>
            <w:vAlign w:val="center"/>
          </w:tcPr>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性别不限，</w:t>
            </w:r>
            <w:r>
              <w:rPr>
                <w:rFonts w:hint="eastAsia" w:ascii="宋体" w:hAnsi="宋体" w:eastAsia="宋体" w:cs="宋体"/>
                <w:color w:val="auto"/>
                <w:sz w:val="21"/>
                <w:szCs w:val="21"/>
                <w:lang w:val="en-US" w:eastAsia="zh-CN"/>
              </w:rPr>
              <w:t>45岁以下，要求思想品德好，政治觉悟高，保密意识强，</w:t>
            </w:r>
            <w:r>
              <w:rPr>
                <w:rFonts w:hint="eastAsia" w:ascii="宋体" w:hAnsi="宋体" w:eastAsia="宋体" w:cs="宋体"/>
                <w:b/>
                <w:bCs/>
                <w:color w:val="auto"/>
                <w:sz w:val="21"/>
                <w:szCs w:val="21"/>
                <w:lang w:val="en-US" w:eastAsia="zh-CN"/>
              </w:rPr>
              <w:t>须为中共党员</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具有 3年以上物业管理经验，有较强的沟通协调指挥能力，掌握保安、保洁、绿化、维修、会务的运作流程和管理工作</w:t>
            </w:r>
            <w:r>
              <w:rPr>
                <w:rFonts w:hint="eastAsia" w:ascii="宋体" w:hAnsi="宋体" w:eastAsia="宋体" w:cs="宋体"/>
                <w:color w:val="auto"/>
                <w:sz w:val="21"/>
                <w:szCs w:val="21"/>
                <w:lang w:val="en-US" w:eastAsia="zh-CN"/>
              </w:rPr>
              <w:t>（须在投标时提供在党员管理信息系统查询结果或相关证明资料及有效的工作经验证明材料)；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rPr>
              <w:t>经理助理</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女性，形象好、气质佳，沟通协调能力强，</w:t>
            </w:r>
            <w:r>
              <w:rPr>
                <w:rFonts w:hint="eastAsia" w:ascii="宋体" w:hAnsi="宋体" w:eastAsia="宋体" w:cs="宋体"/>
                <w:color w:val="auto"/>
                <w:sz w:val="21"/>
                <w:szCs w:val="21"/>
                <w:lang w:val="en-US" w:eastAsia="zh-CN"/>
              </w:rPr>
              <w:t>2年以上工作经验</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保安</w:t>
            </w:r>
            <w:r>
              <w:rPr>
                <w:rFonts w:hint="eastAsia" w:ascii="宋体" w:hAnsi="宋体" w:eastAsia="宋体" w:cs="宋体"/>
                <w:bCs/>
                <w:color w:val="auto"/>
                <w:sz w:val="21"/>
                <w:szCs w:val="21"/>
                <w:highlight w:val="none"/>
              </w:rPr>
              <w:t>主管</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rPr>
              <w:t>要求思想品德好，政治觉悟高，保密意识强，</w:t>
            </w:r>
            <w:r>
              <w:rPr>
                <w:rFonts w:hint="eastAsia" w:ascii="宋体" w:hAnsi="宋体" w:eastAsia="宋体" w:cs="宋体"/>
                <w:color w:val="auto"/>
                <w:sz w:val="21"/>
                <w:szCs w:val="21"/>
              </w:rPr>
              <w:t>五官端正，身体健康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有沟通协调指挥能力，年龄50岁以下，具有3年以上保安主管经验，无犯罪记录。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保安礼仪岗</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身体健康，身高170cm以上，无犯罪记录。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保安员</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38</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38</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rPr>
              <w:t>五官端正，身体健康，无犯罪记录。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rPr>
              <w:t>维修主管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rPr>
              <w:t>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w:t>
            </w:r>
            <w:r>
              <w:rPr>
                <w:rFonts w:hint="eastAsia" w:ascii="宋体" w:hAnsi="宋体" w:eastAsia="宋体" w:cs="宋体"/>
                <w:color w:val="auto"/>
                <w:sz w:val="21"/>
                <w:szCs w:val="21"/>
                <w:lang w:val="en-US" w:eastAsia="zh-CN"/>
              </w:rPr>
              <w:t>低压上岗</w:t>
            </w:r>
            <w:r>
              <w:rPr>
                <w:rFonts w:hint="eastAsia" w:ascii="宋体" w:hAnsi="宋体" w:eastAsia="宋体" w:cs="宋体"/>
                <w:color w:val="auto"/>
                <w:sz w:val="21"/>
                <w:szCs w:val="21"/>
              </w:rPr>
              <w:t>证，年龄55岁以下，有3年以上的工作经验。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维修电工</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有水电工从业资格证</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空调维护工</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 xml:space="preserve">身体健康，有2年以上工作经验。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音响</w:t>
            </w:r>
            <w:r>
              <w:rPr>
                <w:rFonts w:hint="eastAsia" w:ascii="宋体" w:hAnsi="宋体" w:eastAsia="宋体" w:cs="宋体"/>
                <w:color w:val="auto"/>
                <w:sz w:val="21"/>
                <w:szCs w:val="21"/>
                <w:lang w:val="en-US" w:eastAsia="zh-CN"/>
              </w:rPr>
              <w:t>师</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保洁</w:t>
            </w:r>
            <w:r>
              <w:rPr>
                <w:rFonts w:hint="eastAsia" w:ascii="宋体" w:hAnsi="宋体" w:eastAsia="宋体" w:cs="宋体"/>
                <w:color w:val="auto"/>
                <w:sz w:val="21"/>
                <w:szCs w:val="21"/>
                <w:lang w:val="en-US" w:eastAsia="zh-CN"/>
              </w:rPr>
              <w:t>绿化主管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性别不限，身体健康、年龄45岁以下，有3年以上</w:t>
            </w:r>
            <w:r>
              <w:rPr>
                <w:rFonts w:hint="eastAsia" w:ascii="宋体" w:hAnsi="宋体" w:eastAsia="宋体" w:cs="宋体"/>
                <w:color w:val="auto"/>
                <w:sz w:val="21"/>
                <w:szCs w:val="21"/>
                <w:lang w:val="en-US" w:eastAsia="zh-CN"/>
              </w:rPr>
              <w:t>绿化</w:t>
            </w:r>
            <w:r>
              <w:rPr>
                <w:rFonts w:hint="eastAsia" w:ascii="宋体" w:hAnsi="宋体" w:eastAsia="宋体" w:cs="宋体"/>
                <w:color w:val="auto"/>
                <w:sz w:val="21"/>
                <w:szCs w:val="21"/>
              </w:rPr>
              <w:t>保洁管理经验。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保洁员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18</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18</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 xml:space="preserve">身体健康，具有保洁和消杀经验。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绿化人员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身体健康，熟悉植物和绿地养护工作。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会务服务主管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女性，形象好、气质佳，沟通协调能力强，具有礼仪和会务服务知识，具备会务主管经验。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会务服务员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女性，身体健康，形象好、气质佳，有礼仪服务和会务服务工作经验。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场务人员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lang w:val="en-US" w:eastAsia="zh-CN"/>
              </w:rPr>
              <w:t>性别不限，身体健康，具有2年以上工作经验。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监控人员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lang w:val="en-US" w:eastAsia="zh-CN"/>
              </w:rPr>
              <w:t>性别不限，身体健康，具备熟识和熟练掌握室内电子监控、消防监控设备系统的基本原理、功能和操作技术、维护和修理技术。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后勤人员（文员）</w:t>
            </w:r>
          </w:p>
        </w:tc>
        <w:tc>
          <w:tcPr>
            <w:tcW w:w="1080"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21</w:t>
            </w:r>
          </w:p>
        </w:tc>
        <w:tc>
          <w:tcPr>
            <w:tcW w:w="2439"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21</w:t>
            </w:r>
          </w:p>
        </w:tc>
        <w:tc>
          <w:tcPr>
            <w:tcW w:w="4341"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rPr>
              <w:t>性别不限，身体健康，具有2年以上工作经验。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美发工</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439" w:type="dxa"/>
            <w:noWrap w:val="0"/>
            <w:vAlign w:val="center"/>
          </w:tcPr>
          <w:p>
            <w:pPr>
              <w:rPr>
                <w:rFonts w:hint="eastAsia" w:eastAsiaTheme="minorEastAsia"/>
                <w:color w:val="auto"/>
                <w:lang w:val="en-US" w:eastAsia="zh-CN"/>
              </w:rPr>
            </w:pPr>
            <w:r>
              <w:rPr>
                <w:rFonts w:hint="eastAsia"/>
                <w:color w:val="auto"/>
                <w:lang w:val="en-US" w:eastAsia="zh-CN"/>
              </w:rPr>
              <w:t>2</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性别不限，身体健康，具有2年以上工作经验。</w:t>
            </w:r>
          </w:p>
        </w:tc>
      </w:tr>
    </w:tbl>
    <w:p>
      <w:pPr>
        <w:numPr>
          <w:ilvl w:val="0"/>
          <w:numId w:val="0"/>
        </w:numPr>
        <w:rPr>
          <w:rFonts w:hint="eastAsia"/>
          <w:color w:val="auto"/>
        </w:rPr>
      </w:pP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b w:val="0"/>
          <w:bCs/>
          <w:color w:val="auto"/>
          <w:sz w:val="21"/>
          <w:szCs w:val="21"/>
          <w:highlight w:val="none"/>
          <w:u w:val="none"/>
          <w:lang w:val="en-US" w:eastAsia="zh-CN"/>
        </w:rPr>
        <w:t>供应商</w:t>
      </w:r>
      <w:r>
        <w:rPr>
          <w:rFonts w:hint="eastAsia" w:ascii="宋体" w:hAnsi="宋体" w:eastAsia="宋体" w:cs="宋体"/>
          <w:b w:val="0"/>
          <w:bCs/>
          <w:color w:val="auto"/>
          <w:sz w:val="21"/>
          <w:szCs w:val="21"/>
          <w:highlight w:val="none"/>
          <w:u w:val="none"/>
        </w:rPr>
        <w:t>应</w:t>
      </w:r>
      <w:r>
        <w:rPr>
          <w:rFonts w:hint="eastAsia" w:ascii="宋体" w:hAnsi="宋体" w:eastAsia="宋体" w:cs="宋体"/>
          <w:b w:val="0"/>
          <w:bCs/>
          <w:color w:val="auto"/>
          <w:sz w:val="21"/>
          <w:szCs w:val="21"/>
          <w:highlight w:val="none"/>
          <w:u w:val="none"/>
          <w:lang w:eastAsia="zh-CN"/>
        </w:rPr>
        <w:t>按国家相关法律法规，合理确定服务人员工资标准，确保</w:t>
      </w:r>
      <w:r>
        <w:rPr>
          <w:rFonts w:hint="eastAsia" w:ascii="宋体" w:hAnsi="宋体" w:eastAsia="宋体" w:cs="宋体"/>
          <w:b w:val="0"/>
          <w:bCs/>
          <w:color w:val="auto"/>
          <w:sz w:val="21"/>
          <w:szCs w:val="21"/>
          <w:highlight w:val="none"/>
          <w:u w:val="none"/>
        </w:rPr>
        <w:t>工作时间符合</w:t>
      </w:r>
      <w:r>
        <w:rPr>
          <w:rFonts w:hint="eastAsia" w:ascii="宋体" w:hAnsi="宋体" w:eastAsia="宋体" w:cs="宋体"/>
          <w:b w:val="0"/>
          <w:bCs/>
          <w:color w:val="auto"/>
          <w:sz w:val="21"/>
          <w:szCs w:val="21"/>
          <w:highlight w:val="none"/>
          <w:u w:val="none"/>
          <w:lang w:val="en-US" w:eastAsia="zh-CN"/>
        </w:rPr>
        <w:t>国家</w:t>
      </w:r>
      <w:r>
        <w:rPr>
          <w:rFonts w:hint="eastAsia" w:ascii="宋体" w:hAnsi="宋体" w:eastAsia="宋体" w:cs="宋体"/>
          <w:b w:val="0"/>
          <w:bCs/>
          <w:color w:val="auto"/>
          <w:sz w:val="21"/>
          <w:szCs w:val="21"/>
          <w:highlight w:val="none"/>
          <w:u w:val="none"/>
        </w:rPr>
        <w:t>劳动法的规定。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sz w:val="21"/>
          <w:szCs w:val="21"/>
          <w:highlight w:val="none"/>
          <w:u w:val="none"/>
          <w:lang w:val="en-US" w:eastAsia="zh-CN"/>
        </w:rPr>
        <w:t>供应商</w:t>
      </w:r>
      <w:r>
        <w:rPr>
          <w:rFonts w:hint="eastAsia" w:ascii="宋体" w:hAnsi="宋体" w:eastAsia="宋体" w:cs="宋体"/>
          <w:bCs/>
          <w:i w:val="0"/>
          <w:iCs w:val="0"/>
          <w:color w:val="auto"/>
          <w:kern w:val="0"/>
          <w:sz w:val="21"/>
          <w:szCs w:val="21"/>
          <w:highlight w:val="none"/>
          <w:u w:val="none"/>
          <w:lang w:val="en-US" w:eastAsia="zh-CN" w:bidi="ar"/>
        </w:rPr>
        <w:t>应自行为服务人员办理必需的保险</w:t>
      </w:r>
      <w:r>
        <w:rPr>
          <w:rFonts w:hint="eastAsia" w:ascii="宋体" w:hAnsi="宋体" w:eastAsia="宋体" w:cs="宋体"/>
          <w:b w:val="0"/>
          <w:bCs/>
          <w:color w:val="auto"/>
          <w:sz w:val="21"/>
          <w:szCs w:val="21"/>
          <w:highlight w:val="none"/>
          <w:u w:val="none"/>
        </w:rPr>
        <w:t>，有关人员伤亡及第三者责任险均</w:t>
      </w:r>
      <w:r>
        <w:rPr>
          <w:rFonts w:hint="eastAsia" w:ascii="宋体" w:hAnsi="宋体" w:eastAsia="宋体" w:cs="宋体"/>
          <w:b w:val="0"/>
          <w:bCs/>
          <w:color w:val="auto"/>
          <w:sz w:val="21"/>
          <w:szCs w:val="21"/>
          <w:highlight w:val="none"/>
          <w:u w:val="none"/>
          <w:lang w:val="en-US" w:eastAsia="zh-CN"/>
        </w:rPr>
        <w:t>应</w:t>
      </w:r>
      <w:r>
        <w:rPr>
          <w:rFonts w:hint="eastAsia" w:ascii="宋体" w:hAnsi="宋体" w:eastAsia="宋体" w:cs="宋体"/>
          <w:b w:val="0"/>
          <w:bCs/>
          <w:color w:val="auto"/>
          <w:sz w:val="21"/>
          <w:szCs w:val="21"/>
          <w:highlight w:val="none"/>
          <w:u w:val="none"/>
        </w:rPr>
        <w:t>考虑在报价因素中</w:t>
      </w:r>
      <w:r>
        <w:rPr>
          <w:rFonts w:hint="eastAsia" w:ascii="宋体" w:hAnsi="宋体" w:eastAsia="宋体" w:cs="宋体"/>
          <w:b w:val="0"/>
          <w:bCs/>
          <w:color w:val="auto"/>
          <w:kern w:val="0"/>
          <w:sz w:val="21"/>
          <w:szCs w:val="21"/>
          <w:highlight w:val="none"/>
          <w:u w:val="none"/>
        </w:rPr>
        <w:t>。</w:t>
      </w:r>
    </w:p>
    <w:bookmarkEnd w:id="46"/>
    <w:bookmarkEnd w:id="47"/>
    <w:bookmarkEnd w:id="48"/>
    <w:p>
      <w:pPr>
        <w:pStyle w:val="59"/>
        <w:spacing w:line="36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p>
    <w:p>
      <w:pPr>
        <w:pStyle w:val="43"/>
        <w:shd w:val="clear" w:color="auto" w:fill="FFFFFF"/>
        <w:spacing w:line="360" w:lineRule="auto"/>
        <w:ind w:firstLine="420"/>
        <w:rPr>
          <w:rFonts w:hint="eastAsia" w:ascii="宋体" w:hAnsi="宋体" w:eastAsia="宋体" w:cs="宋体"/>
          <w:b/>
          <w:bCs/>
          <w:color w:val="auto"/>
          <w:kern w:val="2"/>
          <w:sz w:val="21"/>
          <w:szCs w:val="21"/>
          <w:lang w:val="en-US" w:eastAsia="zh-CN"/>
        </w:rPr>
      </w:pPr>
      <w:r>
        <w:rPr>
          <w:rFonts w:hint="eastAsia" w:ascii="宋体" w:hAnsi="宋体" w:cs="宋体"/>
          <w:b/>
          <w:bCs/>
          <w:color w:val="auto"/>
          <w:kern w:val="2"/>
          <w:sz w:val="21"/>
          <w:szCs w:val="21"/>
          <w:lang w:val="en-US" w:eastAsia="zh-CN"/>
        </w:rPr>
        <w:t>6.</w:t>
      </w:r>
      <w:r>
        <w:rPr>
          <w:rFonts w:hint="eastAsia" w:ascii="宋体" w:hAnsi="宋体" w:eastAsia="宋体" w:cs="宋体"/>
          <w:b/>
          <w:bCs/>
          <w:color w:val="auto"/>
          <w:kern w:val="2"/>
          <w:sz w:val="21"/>
          <w:szCs w:val="21"/>
          <w:lang w:val="en-US" w:eastAsia="zh-CN"/>
        </w:rPr>
        <w:t>其他要求</w:t>
      </w:r>
    </w:p>
    <w:p>
      <w:pPr>
        <w:pStyle w:val="43"/>
        <w:shd w:val="clear" w:color="auto" w:fill="FFFFFF"/>
        <w:spacing w:line="360" w:lineRule="auto"/>
        <w:ind w:firstLine="420"/>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1、</w:t>
      </w:r>
      <w:r>
        <w:rPr>
          <w:rFonts w:hint="eastAsia" w:ascii="宋体" w:hAnsi="宋体" w:eastAsia="宋体" w:cs="宋体"/>
          <w:color w:val="auto"/>
          <w:kern w:val="2"/>
          <w:sz w:val="21"/>
          <w:szCs w:val="21"/>
          <w:lang w:val="en-US" w:eastAsia="zh-CN"/>
        </w:rPr>
        <w:t>加强“两新”组织党组织建设</w:t>
      </w:r>
      <w:r>
        <w:rPr>
          <w:rFonts w:hint="eastAsia" w:ascii="宋体" w:hAnsi="宋体" w:eastAsia="宋体" w:cs="宋体"/>
          <w:color w:val="auto"/>
          <w:kern w:val="2"/>
          <w:sz w:val="21"/>
          <w:szCs w:val="21"/>
          <w:lang w:val="en-US" w:eastAsia="zh-CN"/>
        </w:rPr>
        <w:br w:type="textWrapping"/>
      </w:r>
      <w:r>
        <w:rPr>
          <w:rFonts w:hint="eastAsia" w:ascii="宋体" w:hAnsi="宋体" w:eastAsia="宋体" w:cs="宋体"/>
          <w:color w:val="auto"/>
          <w:kern w:val="2"/>
          <w:sz w:val="21"/>
          <w:szCs w:val="21"/>
          <w:lang w:val="en-US" w:eastAsia="zh-CN"/>
        </w:rPr>
        <w:t xml:space="preserve">    把党组织融入日常的物业服务，发挥创建自身党组织的凝聚力和影响力，在做好服务本职工作的同时，主动担当政策宣传、民意反馈等方面的工作，将了解社情、宣传政策、收集问题融入日常物业服务中，让采购人感受到贴心的温暖，有效密切党群关系。</w:t>
      </w:r>
    </w:p>
    <w:p>
      <w:pPr>
        <w:spacing w:line="360" w:lineRule="auto"/>
        <w:ind w:firstLine="48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加强保密培训与教育，增强保密工作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把保密工作列入年度员工培训与教育计划，增强保密工作，确保市行政信息中心会务服务与市领导办公区域的保密保障。</w:t>
      </w:r>
    </w:p>
    <w:p>
      <w:pPr>
        <w:pStyle w:val="59"/>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人拟投入本项目物业经理具有大专或以上学历、人社部门备案的评价机构颁发的物业管理师证书、国家保密局宣传教育司颁发的保密教育培训证书、人力资源和社会保障部门颁发的项目管理专业职称得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拟投入本项目安保主管具有大专或以上学历、为退伍军人、有消防设施操作员证、人力资源和社会保障厅颁发的职称证书、行政管理部门颁发的安全生产管理人员证书的优先考虑；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投标人拟投入本项目保洁主管具有大专或以上学历、人力资源和社会保障厅颁发的职称证书、人社部门备案的评价机构颁发的物业管理师证书的优先考虑；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投标人拟投入本项目维修主管具有电气工程与自动化相关专业大专以上学历、人力资源和社会保障部门颁发的工业电气及其电动化专业相关专业职称证书、行政部门颁发的特种设备作业证、电工证的优先考虑。</w:t>
      </w:r>
    </w:p>
    <w:p>
      <w:pPr>
        <w:pStyle w:val="59"/>
        <w:spacing w:line="360" w:lineRule="auto"/>
        <w:rPr>
          <w:rFonts w:hint="default" w:eastAsia="宋体"/>
          <w:color w:val="auto"/>
          <w:lang w:val="en-US" w:eastAsia="zh-CN"/>
        </w:rPr>
      </w:pPr>
      <w:r>
        <w:rPr>
          <w:rFonts w:hint="eastAsia" w:ascii="宋体" w:hAnsi="宋体" w:eastAsia="宋体" w:cs="宋体"/>
          <w:color w:val="auto"/>
          <w:sz w:val="21"/>
          <w:szCs w:val="21"/>
          <w:lang w:val="en-US" w:eastAsia="zh-CN"/>
        </w:rPr>
        <w:t>投标人拟投入本项目绿化主管具有园林专业本科或以上学历、人力资源和社会保障厅颁发的风景园林相关专业职称证书、人社部门颁发的绿化工证书的优先考虑。</w:t>
      </w:r>
    </w:p>
    <w:p>
      <w:p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商务要求</w:t>
      </w:r>
    </w:p>
    <w:p>
      <w:pPr>
        <w:keepNext w:val="0"/>
        <w:keepLines w:val="0"/>
        <w:pageBreakBefore w:val="0"/>
        <w:kinsoku/>
        <w:wordWrap/>
        <w:overflowPunct/>
        <w:topLinePunct w:val="0"/>
        <w:bidi w:val="0"/>
        <w:snapToGrid/>
        <w:spacing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要求</w:t>
      </w:r>
    </w:p>
    <w:p>
      <w:pPr>
        <w:snapToGrid w:val="0"/>
        <w:spacing w:line="360" w:lineRule="auto"/>
        <w:ind w:firstLine="42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lang w:val="en-US" w:eastAsia="zh-CN"/>
        </w:rPr>
        <w:t>项目总预算：572万/年；</w:t>
      </w:r>
    </w:p>
    <w:p>
      <w:pPr>
        <w:snapToGrid w:val="0"/>
        <w:spacing w:line="360" w:lineRule="auto"/>
        <w:ind w:firstLine="422"/>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报价必须含以下部分：</w:t>
      </w:r>
    </w:p>
    <w:p>
      <w:pPr>
        <w:snapToGrid w:val="0"/>
        <w:spacing w:line="360" w:lineRule="auto"/>
        <w:ind w:firstLine="420"/>
        <w:rPr>
          <w:rFonts w:hint="eastAsia" w:ascii="宋体" w:hAnsi="宋体" w:eastAsia="宋体" w:cs="宋体"/>
          <w:color w:val="auto"/>
          <w:sz w:val="21"/>
          <w:szCs w:val="21"/>
        </w:rPr>
      </w:pPr>
      <w:bookmarkStart w:id="49" w:name="OLE_LINK20"/>
      <w:r>
        <w:rPr>
          <w:rFonts w:hint="eastAsia" w:ascii="宋体" w:hAnsi="宋体" w:eastAsia="宋体" w:cs="宋体"/>
          <w:color w:val="auto"/>
          <w:sz w:val="21"/>
          <w:szCs w:val="21"/>
        </w:rPr>
        <w:t>（1）服务价格；由投标人在投标报价文件中作出明确报价，要求按每月单价及一年总价报价，提供详细投标报价明细表（内容如下）。</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（2）各项</w:t>
      </w:r>
      <w:r>
        <w:rPr>
          <w:rFonts w:hint="eastAsia" w:ascii="宋体" w:hAnsi="宋体" w:eastAsia="宋体" w:cs="宋体"/>
          <w:b w:val="0"/>
          <w:bCs w:val="0"/>
          <w:color w:val="auto"/>
          <w:sz w:val="21"/>
          <w:szCs w:val="21"/>
          <w:lang w:val="en-US" w:eastAsia="zh-CN"/>
        </w:rPr>
        <w:t>预算</w:t>
      </w:r>
      <w:r>
        <w:rPr>
          <w:rFonts w:hint="eastAsia" w:ascii="宋体" w:hAnsi="宋体" w:eastAsia="宋体" w:cs="宋体"/>
          <w:color w:val="auto"/>
          <w:sz w:val="21"/>
          <w:szCs w:val="21"/>
        </w:rPr>
        <w:t>费用应包括（</w:t>
      </w:r>
      <w:r>
        <w:rPr>
          <w:rFonts w:hint="eastAsia" w:ascii="宋体" w:hAnsi="宋体" w:eastAsia="宋体" w:cs="宋体"/>
          <w:color w:val="auto"/>
          <w:sz w:val="21"/>
          <w:szCs w:val="21"/>
          <w:lang w:val="en-US" w:eastAsia="zh-CN"/>
        </w:rPr>
        <w:t>120人</w:t>
      </w:r>
      <w:r>
        <w:rPr>
          <w:rFonts w:hint="eastAsia" w:ascii="宋体" w:hAnsi="宋体" w:eastAsia="宋体" w:cs="宋体"/>
          <w:color w:val="auto"/>
          <w:sz w:val="21"/>
          <w:szCs w:val="21"/>
        </w:rPr>
        <w:t>预算）：</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①管理、服务人员的工资和社保、服装费、健康体检费。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②法定节假日</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lang w:val="en-US" w:eastAsia="zh-CN"/>
        </w:rPr>
        <w:t>8小时以外的</w:t>
      </w:r>
      <w:r>
        <w:rPr>
          <w:rFonts w:hint="eastAsia" w:ascii="宋体" w:hAnsi="宋体" w:eastAsia="宋体" w:cs="宋体"/>
          <w:color w:val="auto"/>
          <w:sz w:val="21"/>
          <w:szCs w:val="21"/>
        </w:rPr>
        <w:t>加班费用。</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③</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bookmarkEnd w:id="49"/>
    <w:p>
      <w:pPr>
        <w:snapToGrid w:val="0"/>
        <w:spacing w:line="360" w:lineRule="auto"/>
        <w:ind w:firstLine="42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报价不包含部分说明如下：</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电梯、中央空调、变压设备、加压设备、消防设备、安防监控、防雷设备、（发）配电设施、高压水泵、避雷设施等公共设施设备及系统的运行维修费、维保费、年检费、检测费、设备保险费、更换改造费等；</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办公楼外墙清洗费、窗帘、地毯清洗费；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城市生活垃圾、废弃办公（生活）家具、修剪绿化树枝清运费、绿化苗木补种采购费、大树修剪费；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公共设施设备的日常维修材料费、大、中、小修及更新改造费用；维修所产生的第三方费用及零配件采购费用。</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四害消杀费、</w:t>
      </w:r>
      <w:r>
        <w:rPr>
          <w:rFonts w:hint="eastAsia" w:ascii="宋体" w:hAnsi="宋体" w:eastAsia="宋体" w:cs="宋体"/>
          <w:color w:val="auto"/>
          <w:sz w:val="21"/>
          <w:szCs w:val="21"/>
          <w:lang w:eastAsia="zh-CN"/>
        </w:rPr>
        <w:t>沉砂池、</w:t>
      </w:r>
      <w:r>
        <w:rPr>
          <w:rFonts w:hint="eastAsia" w:ascii="宋体" w:hAnsi="宋体" w:eastAsia="宋体" w:cs="宋体"/>
          <w:color w:val="auto"/>
          <w:sz w:val="21"/>
          <w:szCs w:val="21"/>
        </w:rPr>
        <w:t>化粪池清理、管道疏通、水池清</w:t>
      </w:r>
      <w:r>
        <w:rPr>
          <w:rFonts w:hint="eastAsia" w:ascii="宋体" w:hAnsi="宋体" w:eastAsia="宋体" w:cs="宋体"/>
          <w:color w:val="auto"/>
          <w:sz w:val="21"/>
          <w:szCs w:val="21"/>
          <w:lang w:eastAsia="zh-CN"/>
        </w:rPr>
        <w:t>洗等费用及</w:t>
      </w:r>
      <w:r>
        <w:rPr>
          <w:rFonts w:hint="eastAsia" w:ascii="宋体" w:hAnsi="宋体" w:eastAsia="宋体" w:cs="宋体"/>
          <w:color w:val="auto"/>
          <w:sz w:val="21"/>
          <w:szCs w:val="21"/>
        </w:rPr>
        <w:t>检测费；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⑥</w:t>
      </w:r>
      <w:r>
        <w:rPr>
          <w:rFonts w:hint="eastAsia" w:ascii="宋体" w:hAnsi="宋体" w:eastAsia="宋体" w:cs="宋体"/>
          <w:color w:val="auto"/>
          <w:sz w:val="21"/>
          <w:szCs w:val="21"/>
        </w:rPr>
        <w:t>电梯地毯、各处垃圾桶、各种指示标牌制作费。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⑦</w:t>
      </w:r>
      <w:r>
        <w:rPr>
          <w:rFonts w:hint="eastAsia" w:ascii="宋体" w:hAnsi="宋体" w:eastAsia="宋体" w:cs="宋体"/>
          <w:color w:val="auto"/>
          <w:sz w:val="21"/>
          <w:szCs w:val="21"/>
        </w:rPr>
        <w:t>服务所需的安防服务器械（如安防器械、电筒、对讲机等）、环境卫生清洁工具（如吸尘器、拖扫把、垃圾铲、手推车等）、保洁易耗品（如不锈钢油、推尘油、洗洁精、消毒液、卫生间用纸、洗手液、檀香、垃圾袋等）、绿化养护工具及物料（如修割草机、高枝剪、化肥、杀虫药等）、会务服务物料（如一次性饮用水杯、手纸巾、茶叶等）、工程维修工具及物料（如梯子、电钻、各开关配件、各照明物料等）等物料采购费用。</w:t>
      </w:r>
    </w:p>
    <w:p>
      <w:pPr>
        <w:pStyle w:val="45"/>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说明：以上所需物料由中标人根据使用情况，向采购人提交书面领用申请，采购费用由采购人承担。中标人做好各方协助服务工作及设备的日常管理和巡检，发现问题及时联系专业单位进行处理并做好相关配合工作。</w:t>
      </w:r>
    </w:p>
    <w:p>
      <w:pPr>
        <w:keepNext w:val="0"/>
        <w:keepLines w:val="0"/>
        <w:pageBreakBefore w:val="0"/>
        <w:numPr>
          <w:ilvl w:val="0"/>
          <w:numId w:val="0"/>
        </w:numPr>
        <w:kinsoku/>
        <w:wordWrap/>
        <w:overflowPunct/>
        <w:topLinePunct w:val="0"/>
        <w:bidi w:val="0"/>
        <w:snapToGrid/>
        <w:spacing w:line="360" w:lineRule="auto"/>
        <w:ind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SA"/>
        </w:rPr>
        <w:t>4.</w:t>
      </w:r>
      <w:r>
        <w:rPr>
          <w:rFonts w:hint="eastAsia" w:ascii="宋体" w:hAnsi="宋体" w:eastAsia="宋体" w:cs="宋体"/>
          <w:b w:val="0"/>
          <w:bCs/>
          <w:color w:val="auto"/>
          <w:sz w:val="21"/>
          <w:szCs w:val="21"/>
        </w:rPr>
        <w:t>合同期内如因政府政策性文件增调的各项费用，由采购方足额补足。</w:t>
      </w:r>
    </w:p>
    <w:p>
      <w:pPr>
        <w:keepNext w:val="0"/>
        <w:keepLines w:val="0"/>
        <w:pageBreakBefore w:val="0"/>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（二）付款方式</w:t>
      </w:r>
    </w:p>
    <w:p>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本项目无预付款，中标人所提交的服务成本经采购人书面验收合格后，按月支付合同款。</w:t>
      </w:r>
    </w:p>
    <w:p>
      <w:pPr>
        <w:pStyle w:val="153"/>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三</w:t>
      </w:r>
      <w:r>
        <w:rPr>
          <w:rFonts w:hint="eastAsia" w:hAnsi="宋体" w:cs="宋体"/>
          <w:b/>
          <w:bCs/>
          <w:color w:val="auto"/>
          <w:kern w:val="2"/>
          <w:sz w:val="21"/>
          <w:szCs w:val="21"/>
          <w:lang w:val="en-US" w:eastAsia="zh-CN" w:bidi="ar-SA"/>
        </w:rPr>
        <w:t>）</w:t>
      </w:r>
      <w:r>
        <w:rPr>
          <w:rFonts w:hint="eastAsia" w:ascii="宋体" w:hAnsi="宋体" w:eastAsia="宋体" w:cs="宋体"/>
          <w:b/>
          <w:bCs/>
          <w:color w:val="auto"/>
          <w:kern w:val="2"/>
          <w:sz w:val="21"/>
          <w:szCs w:val="21"/>
          <w:highlight w:val="none"/>
          <w:lang w:val="en-US" w:eastAsia="zh-CN" w:bidi="ar-SA"/>
        </w:rPr>
        <w:t>服务期限</w:t>
      </w:r>
    </w:p>
    <w:p>
      <w:pPr>
        <w:pStyle w:val="153"/>
        <w:keepNext w:val="0"/>
        <w:keepLines w:val="0"/>
        <w:pageBreakBefore w:val="0"/>
        <w:numPr>
          <w:ilvl w:val="0"/>
          <w:numId w:val="0"/>
        </w:numPr>
        <w:kinsoku/>
        <w:wordWrap/>
        <w:overflowPunct/>
        <w:topLinePunct w:val="0"/>
        <w:bidi w:val="0"/>
        <w:snapToGrid/>
        <w:spacing w:line="360" w:lineRule="auto"/>
        <w:ind w:leftChars="0"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rPr>
        <w:t>自合同签订之日起一年。鉴于本项目购买内容相对固定性、延续性且价格变化幅度小、年度预算保障，采用一次招标、</w:t>
      </w:r>
      <w:r>
        <w:rPr>
          <w:rFonts w:hint="eastAsia" w:hAnsi="宋体" w:cs="宋体"/>
          <w:color w:val="auto"/>
          <w:sz w:val="21"/>
          <w:szCs w:val="21"/>
          <w:lang w:val="en-US" w:eastAsia="zh-CN"/>
        </w:rPr>
        <w:t>考核合格后</w:t>
      </w:r>
      <w:r>
        <w:rPr>
          <w:rFonts w:hint="eastAsia" w:ascii="宋体" w:hAnsi="宋体" w:eastAsia="宋体" w:cs="宋体"/>
          <w:color w:val="auto"/>
          <w:sz w:val="21"/>
          <w:szCs w:val="21"/>
        </w:rPr>
        <w:t>沿用三年、合同一年一签方式。</w:t>
      </w:r>
    </w:p>
    <w:p>
      <w:pPr>
        <w:keepNext w:val="0"/>
        <w:keepLines w:val="0"/>
        <w:pageBreakBefore w:val="0"/>
        <w:kinsoku/>
        <w:wordWrap/>
        <w:overflowPunct/>
        <w:topLinePunct w:val="0"/>
        <w:bidi w:val="0"/>
        <w:snapToGrid/>
        <w:spacing w:line="360" w:lineRule="auto"/>
        <w:ind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color w:val="auto"/>
          <w:sz w:val="21"/>
          <w:szCs w:val="21"/>
        </w:rPr>
        <w:t>提交服务成果时间及地点</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合同签订期：自中标通知书发出之日起7个工作日内；</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提交服务成果时间：自合同签订之日起服务1年；合同签订之日起10日内，中标人必须入驻钦州市直属机关服务中心指定地址，做好相关移交手续，并作好包括设施及设备的看守、维护、保洁工作；</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提交服务成果地点： 广西钦州市采购人指定地址 </w:t>
      </w:r>
    </w:p>
    <w:p>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（五）管理要求</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中标人应按照采购单位要求，结合该物业实际情况，制定《物业管理服务制度》及管理岗位操作章程，并有权按采购单位委托对违反《管理制度》规定的行为进行处理。</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人员必须足额配置，如有调整需经过采购人同意方可调整。如中标方未按采购方要求配备配齐相关工作人员（因员工提出辞职后导致的缺员，人员补员期为10天），或是因缺员影响物业管理工作的，采购人有权按所缺人员的数量及相关费用标准从物业管理费中扣除。员工补充期内不能影响采购方正常工作。</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人必须按照《中华人民共和国劳动合同法》的规定与员工签订劳动合同并依据国家、广西和钦州市有关最低工资标准的规定要求以及缴纳各种社会保险的规定要求向员工支付工资和缴纳社保及其他保险。中标人</w:t>
      </w:r>
      <w:r>
        <w:rPr>
          <w:rFonts w:hint="eastAsia" w:ascii="宋体" w:hAnsi="宋体" w:eastAsia="宋体" w:cs="宋体"/>
          <w:color w:val="auto"/>
          <w:sz w:val="21"/>
          <w:szCs w:val="21"/>
          <w:lang w:eastAsia="zh-CN"/>
        </w:rPr>
        <w:t>中标后十五日内</w:t>
      </w:r>
      <w:r>
        <w:rPr>
          <w:rFonts w:hint="eastAsia" w:ascii="宋体" w:hAnsi="宋体" w:eastAsia="宋体" w:cs="宋体"/>
          <w:color w:val="auto"/>
          <w:sz w:val="21"/>
          <w:szCs w:val="21"/>
        </w:rPr>
        <w:t>制定薪酬方案报采购人备案。</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中标人必须在合同签订之后10个工作日内办理好物业交接手续。</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重点岗位，如四大办、本中心各科室等后勤人员保留现行管理方式，由中标人与采购人实行双重管理。</w:t>
      </w:r>
    </w:p>
    <w:p>
      <w:pPr>
        <w:pStyle w:val="5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中标人不得将整体管理责任及利益转让给其他单位和个人。也不能给第三者挂靠。</w:t>
      </w:r>
    </w:p>
    <w:p>
      <w:pPr>
        <w:pStyle w:val="13"/>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处理问题响应时间：接到采购人处理问题通知后30分钟内到达采购人指定现场。</w:t>
      </w:r>
    </w:p>
    <w:p>
      <w:pPr>
        <w:pStyle w:val="59"/>
        <w:spacing w:line="360" w:lineRule="auto"/>
        <w:rPr>
          <w:rFonts w:hint="eastAsia" w:ascii="宋体" w:hAnsi="宋体" w:eastAsia="宋体" w:cs="宋体"/>
          <w:color w:val="auto"/>
          <w:sz w:val="21"/>
          <w:szCs w:val="21"/>
          <w:lang w:val="en-US" w:eastAsia="zh-CN"/>
        </w:rPr>
      </w:pPr>
    </w:p>
    <w:p>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（六）验收标准</w:t>
      </w:r>
    </w:p>
    <w:p>
      <w:pPr>
        <w:pStyle w:val="13"/>
        <w:rPr>
          <w:rFonts w:hint="eastAsia" w:ascii="宋体" w:hAnsi="宋体" w:eastAsia="宋体" w:cs="宋体"/>
          <w:bCs/>
          <w:color w:val="auto"/>
          <w:sz w:val="21"/>
          <w:szCs w:val="21"/>
        </w:rPr>
      </w:pPr>
      <w:r>
        <w:rPr>
          <w:rFonts w:hint="eastAsia" w:ascii="宋体" w:hAnsi="宋体" w:eastAsia="宋体" w:cs="宋体"/>
          <w:bCs/>
          <w:color w:val="auto"/>
          <w:sz w:val="21"/>
          <w:szCs w:val="21"/>
        </w:rPr>
        <w:t>符合现行国家相关标准、行业标准、地方标准或者其他标准、规范。</w:t>
      </w:r>
    </w:p>
    <w:p>
      <w:pPr>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（七）其他要求</w:t>
      </w:r>
    </w:p>
    <w:p>
      <w:pPr>
        <w:keepNext w:val="0"/>
        <w:keepLines w:val="0"/>
        <w:pageBreakBefore w:val="0"/>
        <w:widowControl/>
        <w:kinsoku/>
        <w:wordWrap/>
        <w:overflowPunct/>
        <w:topLinePunct w:val="0"/>
        <w:bidi w:val="0"/>
        <w:adjustRightInd/>
        <w:snapToGrid/>
        <w:spacing w:line="360" w:lineRule="auto"/>
        <w:ind w:firstLine="42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1.投标人在采购活动中提供虚假材料，以及提供的服务与投标文件不一致的，报采购监管部门查处。</w:t>
      </w:r>
    </w:p>
    <w:p>
      <w:pPr>
        <w:spacing w:line="36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2.中标人所供服务不按投标文件履约的，将按照《中华人民共和国政府采购法》及其实施条例、《政府采购货物和服务招标投标管理办法》等有关规定等严肃处理。</w:t>
      </w:r>
    </w:p>
    <w:p>
      <w:pPr>
        <w:spacing w:line="360" w:lineRule="auto"/>
        <w:rPr>
          <w:rFonts w:hint="default" w:ascii="Times New Roman" w:hAnsi="Times New Roman" w:eastAsia="宋体" w:cs="Times New Roman"/>
          <w:color w:val="auto"/>
          <w:sz w:val="21"/>
          <w:szCs w:val="21"/>
          <w:highlight w:val="none"/>
          <w:lang w:val="en-US" w:eastAsia="zh-CN"/>
        </w:rPr>
      </w:pPr>
    </w:p>
    <w:p>
      <w:pPr>
        <w:pStyle w:val="13"/>
        <w:rPr>
          <w:rFonts w:hint="eastAsia"/>
          <w:color w:val="auto"/>
          <w:lang w:eastAsia="zh-CN"/>
        </w:rPr>
      </w:pPr>
    </w:p>
    <w:p>
      <w:pPr>
        <w:rPr>
          <w:rFonts w:ascii="Times New Roman" w:hAnsi="Times New Roman" w:eastAsia="宋体" w:cs="Times New Roman"/>
          <w:color w:val="auto"/>
          <w:szCs w:val="24"/>
          <w:highlight w:val="none"/>
        </w:rPr>
        <w:sectPr>
          <w:headerReference r:id="rId3" w:type="default"/>
          <w:footerReference r:id="rId4" w:type="default"/>
          <w:pgSz w:w="11906" w:h="16838"/>
          <w:pgMar w:top="1440" w:right="1133" w:bottom="1440" w:left="1134" w:header="851" w:footer="992" w:gutter="0"/>
          <w:pgNumType w:fmt="decimal" w:start="1"/>
          <w:cols w:space="425" w:num="1"/>
          <w:docGrid w:type="lines" w:linePitch="312" w:charSpace="0"/>
        </w:sectPr>
      </w:pPr>
    </w:p>
    <w:p>
      <w:pPr>
        <w:pStyle w:val="13"/>
        <w:rPr>
          <w:color w:val="auto"/>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50" w:name="_Toc173764940"/>
      <w:r>
        <w:rPr>
          <w:rFonts w:hint="eastAsia" w:ascii="Cambria" w:hAnsi="Cambria" w:eastAsia="方正小标宋_GBK" w:cs="Times New Roman"/>
          <w:b/>
          <w:bCs/>
          <w:color w:val="auto"/>
          <w:kern w:val="0"/>
          <w:sz w:val="44"/>
          <w:szCs w:val="32"/>
          <w:highlight w:val="none"/>
        </w:rPr>
        <w:t>第三章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投标人须知及前附表</w:t>
      </w:r>
      <w:bookmarkEnd w:id="45"/>
      <w:bookmarkEnd w:id="50"/>
    </w:p>
    <w:p>
      <w:pPr>
        <w:keepNext/>
        <w:keepLines/>
        <w:spacing w:before="260" w:after="260" w:line="415" w:lineRule="auto"/>
        <w:jc w:val="center"/>
        <w:outlineLvl w:val="1"/>
        <w:rPr>
          <w:rFonts w:hint="eastAsia" w:ascii="宋体" w:hAnsi="宋体" w:eastAsia="宋体" w:cs="Times New Roman"/>
          <w:b/>
          <w:bCs/>
          <w:color w:val="auto"/>
          <w:kern w:val="44"/>
          <w:sz w:val="44"/>
          <w:szCs w:val="44"/>
          <w:highlight w:val="none"/>
        </w:rPr>
      </w:pPr>
      <w:r>
        <w:rPr>
          <w:rFonts w:hint="eastAsia" w:ascii="方正小标宋_GBK" w:hAnsi="方正小标宋_GBK" w:eastAsia="方正小标宋_GBK" w:cs="Times New Roman"/>
          <w:color w:val="auto"/>
          <w:sz w:val="32"/>
          <w:szCs w:val="32"/>
          <w:highlight w:val="none"/>
        </w:rPr>
        <w:br w:type="page"/>
      </w:r>
      <w:r>
        <w:rPr>
          <w:rFonts w:hint="eastAsia" w:ascii="宋体" w:hAnsi="宋体" w:eastAsia="宋体" w:cs="Times New Roman"/>
          <w:b/>
          <w:bCs/>
          <w:color w:val="auto"/>
          <w:kern w:val="44"/>
          <w:sz w:val="44"/>
          <w:szCs w:val="44"/>
          <w:highlight w:val="none"/>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Arial"/>
                <w:bCs/>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Times New Roman" w:hAnsi="宋体" w:eastAsia="宋体" w:cs="Times New Roman"/>
                <w:color w:val="auto"/>
                <w:szCs w:val="24"/>
                <w:highlight w:val="none"/>
              </w:rPr>
              <w:t>项目名称：</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lang w:eastAsia="zh-CN"/>
              </w:rPr>
              <w:t>钦州市行政信息中心物业服务</w:t>
            </w:r>
          </w:p>
          <w:p>
            <w:pPr>
              <w:snapToGrid w:val="0"/>
              <w:spacing w:line="340" w:lineRule="exact"/>
              <w:ind w:firstLine="8" w:firstLineChars="4"/>
              <w:rPr>
                <w:rFonts w:hint="eastAsia" w:ascii="Times New Roman" w:hAnsi="Times New Roman" w:eastAsia="宋体" w:cs="Times New Roman"/>
                <w:color w:val="auto"/>
                <w:szCs w:val="24"/>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项目编号：</w:t>
            </w:r>
            <w:r>
              <w:rPr>
                <w:rFonts w:hint="eastAsia" w:ascii="宋体" w:hAnsi="宋体" w:eastAsia="宋体" w:cs="Times New Roman"/>
                <w:color w:val="auto"/>
                <w:szCs w:val="24"/>
                <w:highlight w:val="none"/>
              </w:rPr>
              <w:fldChar w:fldCharType="end"/>
            </w:r>
            <w:r>
              <w:rPr>
                <w:rFonts w:hint="eastAsia" w:ascii="宋体" w:hAnsi="宋体" w:eastAsia="宋体" w:cs="Times New Roman"/>
                <w:color w:val="auto"/>
                <w:szCs w:val="24"/>
                <w:highlight w:val="none"/>
                <w:lang w:eastAsia="zh-CN"/>
              </w:rPr>
              <w:t>QZZC2026-G3-990075-QZSZ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hint="eastAsia" w:ascii="宋体"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投标人资格：</w:t>
            </w:r>
            <w:r>
              <w:rPr>
                <w:rFonts w:hint="eastAsia" w:ascii="宋体" w:hAnsi="宋体" w:eastAsia="宋体" w:cs="Times New Roman"/>
                <w:color w:val="auto"/>
                <w:szCs w:val="24"/>
                <w:highlight w:val="none"/>
              </w:rPr>
              <w:fldChar w:fldCharType="end"/>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1.满足《中华人民共和国政府采购法》第二十二条规定；</w:t>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2.落实政府采购政策需满足的资格要求：服务全部由符合政策要求的中小企业承接</w:t>
            </w:r>
          </w:p>
          <w:p>
            <w:pPr>
              <w:spacing w:line="34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3.本项目的特定资格要求：无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"_三、投标文件" </w:instrText>
            </w:r>
            <w:r>
              <w:rPr>
                <w:color w:val="auto"/>
                <w:highlight w:val="none"/>
              </w:rPr>
              <w:fldChar w:fldCharType="separate"/>
            </w:r>
            <w:r>
              <w:rPr>
                <w:rFonts w:hint="eastAsia" w:ascii="宋体" w:hAnsi="宋体" w:eastAsia="宋体" w:cs="Times New Roman"/>
                <w:color w:val="auto"/>
                <w:szCs w:val="21"/>
                <w:highlight w:val="none"/>
              </w:rPr>
              <w:t>投标文件组成：</w:t>
            </w:r>
            <w:r>
              <w:rPr>
                <w:rFonts w:hint="eastAsia" w:ascii="宋体" w:hAnsi="宋体" w:eastAsia="宋体" w:cs="Arial"/>
                <w:color w:val="auto"/>
                <w:szCs w:val="21"/>
                <w:highlight w:val="none"/>
              </w:rPr>
              <w:t>资格文件、商务技术文件、</w:t>
            </w:r>
            <w:r>
              <w:rPr>
                <w:rFonts w:hint="eastAsia" w:ascii="宋体" w:hAnsi="宋体" w:eastAsia="宋体" w:cs="Times New Roman"/>
                <w:color w:val="auto"/>
                <w:szCs w:val="21"/>
                <w:highlight w:val="none"/>
              </w:rPr>
              <w:t>报价文件。</w:t>
            </w:r>
            <w:r>
              <w:rPr>
                <w:rFonts w:hint="eastAsia"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"_（五）投标报价" </w:instrText>
            </w:r>
            <w:r>
              <w:rPr>
                <w:color w:val="auto"/>
                <w:highlight w:val="none"/>
              </w:rPr>
              <w:fldChar w:fldCharType="separate"/>
            </w:r>
            <w:r>
              <w:rPr>
                <w:rFonts w:hint="eastAsia" w:ascii="Times New Roman" w:hAnsi="宋体" w:eastAsia="宋体" w:cs="Times New Roman"/>
                <w:color w:val="auto"/>
                <w:szCs w:val="24"/>
                <w:highlight w:val="none"/>
              </w:rPr>
              <w:t>投标报价：投标人</w:t>
            </w:r>
            <w:r>
              <w:rPr>
                <w:rFonts w:hint="eastAsia" w:ascii="Times New Roman" w:hAnsi="Times New Roman" w:eastAsia="宋体" w:cs="Times New Roman"/>
                <w:color w:val="auto"/>
                <w:szCs w:val="24"/>
                <w:highlight w:val="none"/>
              </w:rPr>
              <w:t>必须就本项目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标项货物及服务内容作完整唯一报价，否则投标无效。</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"_（六）投标文件有效期" </w:instrText>
            </w:r>
            <w:r>
              <w:rPr>
                <w:color w:val="auto"/>
                <w:highlight w:val="none"/>
              </w:rPr>
              <w:fldChar w:fldCharType="separate"/>
            </w:r>
            <w:r>
              <w:rPr>
                <w:rFonts w:hint="eastAsia" w:ascii="Times New Roman" w:hAnsi="宋体" w:eastAsia="宋体" w:cs="Times New Roman"/>
                <w:color w:val="auto"/>
                <w:szCs w:val="24"/>
                <w:highlight w:val="none"/>
              </w:rPr>
              <w:t>投标有效期：</w:t>
            </w:r>
            <w:r>
              <w:rPr>
                <w:rFonts w:ascii="Times New Roman" w:hAnsi="宋体" w:eastAsia="宋体" w:cs="Times New Roman"/>
                <w:color w:val="auto"/>
                <w:szCs w:val="24"/>
                <w:highlight w:val="none"/>
              </w:rPr>
              <w:t>90</w:t>
            </w:r>
            <w:r>
              <w:rPr>
                <w:rFonts w:hint="eastAsia" w:ascii="Times New Roman" w:hAnsi="宋体" w:eastAsia="宋体" w:cs="Times New Roman"/>
                <w:color w:val="auto"/>
                <w:szCs w:val="24"/>
                <w:highlight w:val="none"/>
              </w:rPr>
              <w:t>天</w:t>
            </w:r>
            <w:r>
              <w:rPr>
                <w:rFonts w:hint="eastAsia" w:ascii="Times New Roman" w:hAnsi="宋体"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eastAsia="宋体" w:cs="宋体"/>
                <w:color w:val="auto"/>
                <w:kern w:val="0"/>
                <w:szCs w:val="21"/>
                <w:highlight w:val="none"/>
                <w:lang w:val="en-US" w:eastAsia="zh-CN"/>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hint="eastAsia" w:ascii="宋体" w:hAnsi="宋体" w:eastAsia="宋体" w:cs="宋体"/>
                <w:color w:val="auto"/>
                <w:kern w:val="0"/>
                <w:szCs w:val="21"/>
                <w:highlight w:val="none"/>
              </w:rPr>
              <w:t>投标保证金：</w:t>
            </w:r>
            <w:r>
              <w:rPr>
                <w:rFonts w:hint="eastAsia" w:ascii="宋体" w:hAnsi="宋体" w:eastAsia="宋体" w:cs="宋体"/>
                <w:color w:val="auto"/>
                <w:kern w:val="0"/>
                <w:szCs w:val="21"/>
                <w:highlight w:val="none"/>
              </w:rPr>
              <w:fldChar w:fldCharType="end"/>
            </w:r>
            <w:r>
              <w:rPr>
                <w:rFonts w:hint="eastAsia" w:ascii="宋体" w:hAnsi="宋体" w:eastAsia="宋体" w:cs="宋体"/>
                <w:b/>
                <w:bCs/>
                <w:color w:val="auto"/>
                <w:highlight w:val="none"/>
                <w:lang w:val="en-US" w:eastAsia="zh-CN"/>
              </w:rPr>
              <w:t>伍万柒仟元整(￥57,000.00)</w:t>
            </w:r>
          </w:p>
          <w:p>
            <w:pPr>
              <w:widowControl/>
              <w:spacing w:line="400" w:lineRule="exact"/>
              <w:rPr>
                <w:rFonts w:ascii="宋体"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hint="eastAsia" w:ascii="宋体" w:hAnsi="Times New Roman" w:eastAsia="宋体" w:cs="Times New Roman"/>
                <w:color w:val="auto"/>
                <w:szCs w:val="21"/>
                <w:highlight w:val="none"/>
              </w:rPr>
              <w:t>注：</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4"/>
                <w:highlight w:val="none"/>
              </w:rPr>
              <w:t>以支票、汇票、本票或者金融机构、担保机构出具的保函等形式提交保证金的，</w:t>
            </w:r>
            <w:r>
              <w:rPr>
                <w:rFonts w:hint="eastAsia" w:ascii="Times New Roman" w:hAnsi="Times New Roman" w:eastAsia="宋体" w:cs="Times New Roman"/>
                <w:b/>
                <w:bCs/>
                <w:color w:val="auto"/>
                <w:szCs w:val="24"/>
                <w:highlight w:val="none"/>
              </w:rPr>
              <w:t>投标人必须将</w:t>
            </w:r>
            <w:bookmarkStart w:id="51" w:name="_Hlk94188895"/>
            <w:r>
              <w:rPr>
                <w:rFonts w:hint="eastAsia" w:ascii="Times New Roman" w:hAnsi="Times New Roman" w:eastAsia="宋体" w:cs="Times New Roman"/>
                <w:b/>
                <w:bCs/>
                <w:color w:val="auto"/>
                <w:szCs w:val="24"/>
                <w:highlight w:val="none"/>
              </w:rPr>
              <w:t>票据、保函</w:t>
            </w:r>
            <w:bookmarkEnd w:id="51"/>
            <w:r>
              <w:rPr>
                <w:rFonts w:hint="eastAsia" w:ascii="Times New Roman" w:hAnsi="Times New Roman" w:eastAsia="宋体" w:cs="Times New Roman"/>
                <w:b/>
                <w:bCs/>
                <w:color w:val="auto"/>
                <w:szCs w:val="24"/>
                <w:highlight w:val="none"/>
              </w:rPr>
              <w:t>等原件于投标文件提交截止时间前递交至本中心财务室</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fldChar w:fldCharType="end"/>
            </w:r>
          </w:p>
          <w:p>
            <w:pPr>
              <w:autoSpaceDE w:val="0"/>
              <w:autoSpaceDN w:val="0"/>
              <w:snapToGrid w:val="0"/>
              <w:spacing w:line="400" w:lineRule="exact"/>
              <w:ind w:firstLine="8" w:firstLineChars="4"/>
              <w:textAlignment w:val="bottom"/>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1"/>
                <w:highlight w:val="none"/>
              </w:rPr>
              <w:t>以网上银行</w:t>
            </w:r>
            <w:r>
              <w:rPr>
                <w:rFonts w:hint="eastAsia" w:ascii="宋体" w:hAnsi="宋体" w:eastAsia="宋体" w:cs="Times New Roman"/>
                <w:color w:val="auto"/>
                <w:szCs w:val="21"/>
                <w:highlight w:val="none"/>
              </w:rPr>
              <w:t>形</w:t>
            </w:r>
            <w:r>
              <w:rPr>
                <w:rFonts w:hint="eastAsia" w:ascii="Times New Roman" w:hAnsi="Times New Roman" w:eastAsia="宋体" w:cs="Times New Roman"/>
                <w:color w:val="auto"/>
                <w:szCs w:val="21"/>
                <w:highlight w:val="none"/>
              </w:rPr>
              <w:t>式提交保证金的，投标人必须于投标文件提交截止时间前从投标人账户缴存至本中心银行账户（以到账时间为准）。</w:t>
            </w:r>
            <w:r>
              <w:rPr>
                <w:rFonts w:hint="eastAsia" w:ascii="Times New Roman" w:hAnsi="Times New Roman"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 w:firstLineChars="4"/>
              <w:rPr>
                <w:rFonts w:hint="eastAsia" w:ascii="宋体" w:hAnsi="Courier New" w:eastAsia="宋体" w:cs="Courier New"/>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宋体" w:hAnsi="Courier New" w:eastAsia="宋体" w:cs="Courier New"/>
                <w:b/>
                <w:color w:val="auto"/>
                <w:szCs w:val="21"/>
                <w:highlight w:val="none"/>
              </w:rPr>
              <w:t>投标文件提交截止时间及开标时间：</w:t>
            </w:r>
            <w:r>
              <w:rPr>
                <w:rFonts w:hint="eastAsia" w:ascii="宋体" w:hAnsi="宋体" w:eastAsia="宋体" w:cs="Arial"/>
                <w:color w:val="auto"/>
                <w:szCs w:val="21"/>
                <w:highlight w:val="none"/>
                <w:lang w:eastAsia="zh-CN"/>
              </w:rPr>
              <w:t>2026年</w:t>
            </w:r>
            <w:r>
              <w:rPr>
                <w:rFonts w:hint="eastAsia" w:ascii="宋体" w:hAnsi="宋体" w:eastAsia="宋体" w:cs="Arial"/>
                <w:color w:val="auto"/>
                <w:szCs w:val="21"/>
                <w:highlight w:val="none"/>
                <w:lang w:val="en-US" w:eastAsia="zh-CN"/>
              </w:rPr>
              <w:t xml:space="preserve"> </w:t>
            </w:r>
            <w:r>
              <w:rPr>
                <w:rFonts w:hint="eastAsia" w:ascii="宋体" w:hAnsi="宋体" w:eastAsia="宋体" w:cs="Arial"/>
                <w:color w:val="auto"/>
                <w:szCs w:val="21"/>
                <w:highlight w:val="none"/>
              </w:rPr>
              <w:t>月</w:t>
            </w:r>
            <w:r>
              <w:rPr>
                <w:rFonts w:hint="eastAsia" w:ascii="宋体" w:hAnsi="宋体" w:eastAsia="宋体" w:cs="Arial"/>
                <w:color w:val="auto"/>
                <w:szCs w:val="21"/>
                <w:highlight w:val="none"/>
                <w:lang w:val="en-US" w:eastAsia="zh-CN"/>
              </w:rPr>
              <w:t xml:space="preserve"> </w:t>
            </w:r>
            <w:r>
              <w:rPr>
                <w:rFonts w:hint="eastAsia" w:ascii="宋体" w:hAnsi="宋体" w:eastAsia="宋体" w:cs="Arial"/>
                <w:color w:val="auto"/>
                <w:szCs w:val="21"/>
                <w:highlight w:val="none"/>
              </w:rPr>
              <w:t>日上午09时30分</w:t>
            </w:r>
            <w:r>
              <w:rPr>
                <w:rFonts w:hint="eastAsia" w:ascii="宋体" w:hAnsi="宋体" w:eastAsia="宋体" w:cs="Arial"/>
                <w:color w:val="auto"/>
                <w:szCs w:val="21"/>
                <w:highlight w:val="none"/>
              </w:rPr>
              <w:fldChar w:fldCharType="end"/>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北京时间</w:t>
            </w:r>
            <w:r>
              <w:rPr>
                <w:rFonts w:hint="eastAsia" w:ascii="宋体" w:hAnsi="宋体" w:eastAsia="宋体" w:cs="Arial"/>
                <w:color w:val="auto"/>
                <w:szCs w:val="21"/>
                <w:highlight w:val="none"/>
                <w:lang w:eastAsia="zh-CN"/>
              </w:rPr>
              <w:t>）</w:t>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投标地点</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网址）：政府采购云平台</w:t>
            </w:r>
            <w:r>
              <w:rPr>
                <w:rFonts w:hint="eastAsia" w:ascii="Times New Roman" w:hAnsi="Times New Roman" w:eastAsia="宋体" w:cs="Times New Roman"/>
                <w:color w:val="auto"/>
                <w:szCs w:val="21"/>
                <w:highlight w:val="none"/>
              </w:rPr>
              <w:fldChar w:fldCharType="end"/>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开标地点：</w:t>
            </w:r>
            <w:r>
              <w:rPr>
                <w:rFonts w:hint="eastAsia" w:ascii="Times New Roman" w:hAnsi="Times New Roman" w:eastAsia="宋体" w:cs="Times New Roman"/>
                <w:color w:val="auto"/>
                <w:szCs w:val="24"/>
                <w:highlight w:val="none"/>
              </w:rPr>
              <w:t>广西钦州市金海湾东大街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号市政务服务中心三楼开标室</w:t>
            </w:r>
            <w:r>
              <w:rPr>
                <w:rFonts w:hint="eastAsia" w:ascii="Times New Roman" w:hAnsi="Times New Roman" w:eastAsia="宋体" w:cs="Times New Roman"/>
                <w:color w:val="auto"/>
                <w:szCs w:val="24"/>
                <w:highlight w:val="none"/>
              </w:rPr>
              <w:fldChar w:fldCharType="end"/>
            </w:r>
          </w:p>
          <w:p>
            <w:pPr>
              <w:spacing w:line="400" w:lineRule="exact"/>
              <w:ind w:firstLine="8" w:firstLineChars="4"/>
              <w:rPr>
                <w:rFonts w:ascii="Times New Roman" w:hAnsi="Times New Roman" w:eastAsia="宋体" w:cs="Times New Roman"/>
                <w:b/>
                <w:bCs/>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b/>
                <w:bCs/>
                <w:color w:val="auto"/>
                <w:szCs w:val="24"/>
                <w:highlight w:val="none"/>
              </w:rPr>
              <w:t>注：</w:t>
            </w:r>
            <w:bookmarkStart w:id="52" w:name="_Hlk90299755"/>
            <w:r>
              <w:rPr>
                <w:rFonts w:hint="eastAsia" w:ascii="Times New Roman" w:hAnsi="Times New Roman" w:eastAsia="宋体" w:cs="Times New Roman"/>
                <w:b/>
                <w:bCs/>
                <w:color w:val="auto"/>
                <w:szCs w:val="24"/>
                <w:highlight w:val="none"/>
              </w:rPr>
              <w:t>投标人法定代表人或委托代理人须按时登录</w:t>
            </w:r>
            <w:r>
              <w:rPr>
                <w:rFonts w:hint="eastAsia" w:ascii="宋体" w:hAnsi="宋体" w:eastAsia="宋体" w:cs="Courier New"/>
                <w:b/>
                <w:bCs/>
                <w:color w:val="auto"/>
                <w:szCs w:val="21"/>
                <w:highlight w:val="none"/>
              </w:rPr>
              <w:t>政采云远程开标大厅</w:t>
            </w:r>
            <w:r>
              <w:rPr>
                <w:rFonts w:hint="eastAsia" w:ascii="Times New Roman" w:hAnsi="Times New Roman" w:eastAsia="宋体" w:cs="Times New Roman"/>
                <w:b/>
                <w:bCs/>
                <w:color w:val="auto"/>
                <w:szCs w:val="24"/>
                <w:highlight w:val="none"/>
              </w:rPr>
              <w:t>，保持全程在线并关注开标评标进度，评标期间评标委员会提出澄清等要求时，投标人须在规定时间内进行在线应答，否则按招标文件或政采云平台的相关规定执行。</w:t>
            </w:r>
            <w:bookmarkEnd w:id="52"/>
            <w:r>
              <w:rPr>
                <w:rFonts w:hint="eastAsia" w:ascii="Times New Roman" w:hAnsi="Times New Roman" w:eastAsia="宋体" w:cs="Times New Roman"/>
                <w:b/>
                <w:bCs/>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textAlignment w:val="bottom"/>
              <w:rPr>
                <w:rFonts w:hint="eastAsia" w:ascii="宋体" w:hAnsi="宋体"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"_五、评标" </w:instrText>
            </w:r>
            <w:r>
              <w:rPr>
                <w:color w:val="auto"/>
                <w:highlight w:val="none"/>
              </w:rPr>
              <w:fldChar w:fldCharType="separate"/>
            </w:r>
            <w:r>
              <w:rPr>
                <w:rFonts w:hint="eastAsia" w:ascii="宋体" w:hAnsi="宋体" w:eastAsia="宋体" w:cs="Times New Roman"/>
                <w:color w:val="auto"/>
                <w:szCs w:val="21"/>
                <w:highlight w:val="none"/>
              </w:rPr>
              <w:t>评标方法：</w:t>
            </w:r>
            <w:r>
              <w:rPr>
                <w:rFonts w:hint="eastAsia" w:ascii="Times New Roman" w:hAnsi="Times New Roman" w:eastAsia="宋体" w:cs="Times New Roman"/>
                <w:color w:val="auto"/>
                <w:szCs w:val="24"/>
                <w:highlight w:val="none"/>
              </w:rPr>
              <w:t>综合评分法</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ascii="宋体" w:hAnsi="Courier New" w:eastAsia="宋体" w:cs="Courier New"/>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"_九、其他事项" </w:instrText>
            </w:r>
            <w:r>
              <w:rPr>
                <w:color w:val="auto"/>
                <w:highlight w:val="none"/>
              </w:rPr>
              <w:fldChar w:fldCharType="separate"/>
            </w:r>
            <w:r>
              <w:rPr>
                <w:rFonts w:hint="eastAsia" w:ascii="宋体" w:hAnsi="宋体" w:eastAsia="宋体" w:cs="Courier New"/>
                <w:color w:val="auto"/>
                <w:szCs w:val="21"/>
                <w:highlight w:val="none"/>
              </w:rPr>
              <w:t>代理服务费：本中心按钦州市物价局“钦市价费﹝2013﹞4号”文件规定向中标人收取代理服务费。中标人应向本中心一次性付清代理服务费。</w:t>
            </w:r>
            <w:r>
              <w:rPr>
                <w:rFonts w:hint="eastAsia" w:ascii="宋体" w:hAnsi="宋体" w:eastAsia="宋体" w:cs="Courier New"/>
                <w:color w:val="auto"/>
                <w:szCs w:val="21"/>
                <w:highlight w:val="none"/>
              </w:rPr>
              <w:fldChar w:fldCharType="end"/>
            </w:r>
          </w:p>
        </w:tc>
      </w:tr>
    </w:tbl>
    <w:p>
      <w:pPr>
        <w:spacing w:line="40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53" w:name="_Toc353785275"/>
      <w:bookmarkStart w:id="54" w:name="_Toc352578861"/>
      <w:bookmarkStart w:id="55" w:name="_Toc352578843"/>
      <w:bookmarkStart w:id="56" w:name="_Toc352578891"/>
      <w:bookmarkStart w:id="57" w:name="_Toc352700405"/>
    </w:p>
    <w:p>
      <w:pPr>
        <w:spacing w:line="520" w:lineRule="exact"/>
        <w:jc w:val="center"/>
        <w:rPr>
          <w:rFonts w:hint="eastAsia" w:ascii="仿宋_GB2312" w:hAnsi="宋体" w:eastAsia="仿宋_GB2312" w:cs="Times New Roman"/>
          <w:b/>
          <w:color w:val="auto"/>
          <w:sz w:val="44"/>
          <w:szCs w:val="44"/>
          <w:highlight w:val="none"/>
        </w:rPr>
      </w:pPr>
      <w:bookmarkStart w:id="58" w:name="_Hlk92374740"/>
      <w:r>
        <w:rPr>
          <w:rFonts w:hint="eastAsia" w:ascii="Times New Roman" w:hAnsi="Times New Roman" w:eastAsia="宋体" w:cs="Times New Roman"/>
          <w:b/>
          <w:color w:val="auto"/>
          <w:sz w:val="44"/>
          <w:szCs w:val="44"/>
          <w:highlight w:val="none"/>
        </w:rPr>
        <w:t>投标人须知</w:t>
      </w:r>
      <w:bookmarkEnd w:id="53"/>
      <w:bookmarkEnd w:id="54"/>
      <w:bookmarkEnd w:id="55"/>
      <w:bookmarkEnd w:id="56"/>
      <w:bookmarkEnd w:id="57"/>
    </w:p>
    <w:p>
      <w:pPr>
        <w:keepNext/>
        <w:keepLines/>
        <w:spacing w:line="400" w:lineRule="exact"/>
        <w:outlineLvl w:val="1"/>
        <w:rPr>
          <w:rFonts w:ascii="方正小标宋_GBK" w:hAnsi="Arial" w:eastAsia="方正小标宋_GBK" w:cs="Times New Roman"/>
          <w:b/>
          <w:bCs/>
          <w:color w:val="auto"/>
          <w:sz w:val="24"/>
          <w:szCs w:val="24"/>
          <w:highlight w:val="none"/>
        </w:rPr>
      </w:pPr>
      <w:bookmarkStart w:id="59" w:name="_一、总__则"/>
      <w:bookmarkEnd w:id="59"/>
      <w:bookmarkStart w:id="60" w:name="_Toc353785276"/>
      <w:bookmarkStart w:id="61" w:name="_Toc352700406"/>
      <w:r>
        <w:rPr>
          <w:rFonts w:hint="eastAsia" w:ascii="方正小标宋_GBK" w:hAnsi="Arial" w:eastAsia="方正小标宋_GBK" w:cs="Times New Roman"/>
          <w:b/>
          <w:bCs/>
          <w:color w:val="auto"/>
          <w:sz w:val="24"/>
          <w:szCs w:val="24"/>
          <w:highlight w:val="none"/>
        </w:rPr>
        <w:t>一、总  则</w:t>
      </w:r>
      <w:bookmarkEnd w:id="60"/>
      <w:bookmarkEnd w:id="61"/>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（一）适用范围</w:t>
      </w:r>
    </w:p>
    <w:p>
      <w:pPr>
        <w:spacing w:line="400" w:lineRule="exact"/>
        <w:ind w:firstLine="420" w:firstLineChars="200"/>
        <w:rPr>
          <w:rFonts w:hint="eastAsia" w:ascii="Times New Roman" w:hAnsi="Times New Roman" w:eastAsia="宋体" w:cs="Times New Roman"/>
          <w:color w:val="auto"/>
          <w:szCs w:val="24"/>
          <w:highlight w:val="none"/>
          <w:lang w:eastAsia="zh-CN"/>
        </w:rPr>
      </w:pPr>
      <w:bookmarkStart w:id="62" w:name="_Toc254970669"/>
      <w:bookmarkStart w:id="63" w:name="_Toc352700408"/>
      <w:bookmarkStart w:id="64" w:name="_Toc254970528"/>
      <w:bookmarkStart w:id="65" w:name="_Toc353785278"/>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项目名称：</w:t>
      </w:r>
      <w:r>
        <w:rPr>
          <w:rFonts w:hint="eastAsia" w:ascii="Times New Roman" w:hAnsi="Times New Roman" w:eastAsia="宋体" w:cs="Times New Roman"/>
          <w:color w:val="auto"/>
          <w:szCs w:val="24"/>
          <w:highlight w:val="none"/>
          <w:lang w:eastAsia="zh-CN"/>
        </w:rPr>
        <w:t>钦州市行政信息中心物业服务</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项目编号：</w:t>
      </w:r>
      <w:r>
        <w:rPr>
          <w:rFonts w:hint="eastAsia" w:ascii="Times New Roman" w:hAnsi="Times New Roman" w:eastAsia="宋体" w:cs="Times New Roman"/>
          <w:color w:val="auto"/>
          <w:szCs w:val="24"/>
          <w:highlight w:val="none"/>
          <w:lang w:eastAsia="zh-CN"/>
        </w:rPr>
        <w:t>QZZC2026-G3-990075-QZSZ</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本招标文件仅适用于上述项目的招标、投标、评标、定标、验收、合同履约、付款等行为（法律、法规另有规定的，从其规定）。</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（二）定义</w:t>
      </w:r>
      <w:bookmarkEnd w:id="62"/>
      <w:bookmarkEnd w:id="63"/>
      <w:bookmarkEnd w:id="64"/>
      <w:bookmarkEnd w:id="65"/>
    </w:p>
    <w:p>
      <w:pPr>
        <w:snapToGrid w:val="0"/>
        <w:spacing w:line="400" w:lineRule="exact"/>
        <w:ind w:firstLine="420" w:firstLineChars="200"/>
        <w:rPr>
          <w:rFonts w:hint="eastAsia" w:ascii="宋体" w:hAnsi="宋体" w:eastAsia="宋体" w:cs="Courier New"/>
          <w:color w:val="auto"/>
          <w:szCs w:val="21"/>
          <w:highlight w:val="none"/>
        </w:rPr>
      </w:pPr>
      <w:bookmarkStart w:id="66" w:name="_Hlk92374304"/>
      <w:r>
        <w:rPr>
          <w:rFonts w:hint="eastAsia" w:ascii="宋体" w:hAnsi="宋体" w:eastAsia="宋体" w:cs="Courier New"/>
          <w:bCs/>
          <w:color w:val="auto"/>
          <w:szCs w:val="21"/>
          <w:highlight w:val="none"/>
        </w:rPr>
        <w:t>1.“采购人”系指</w:t>
      </w:r>
      <w:r>
        <w:rPr>
          <w:rFonts w:hint="eastAsia" w:ascii="宋体" w:hAnsi="宋体" w:eastAsia="宋体" w:cs="Courier New"/>
          <w:color w:val="auto"/>
          <w:szCs w:val="21"/>
          <w:highlight w:val="none"/>
        </w:rPr>
        <w:t>依法进行政府采购的国家机关、事业单位、团体组织</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2.“投标人”系指向招标方提交投标文件的单位或自然人。</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3.“采购代理机构”系指组织本次招标的钦州市政府采购中心（以下简称“本中心）。</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4.“货物”系指各种形态和种类的物品，包括原材料、燃料、设备、产品等。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5.“服务”系指除货物和工程以外的其他政府采购对象。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6.“项目”系指投标人按招标文件规定向采购人提供的产品和服务。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7.“书面形式”</w:t>
      </w:r>
      <w:bookmarkEnd w:id="66"/>
      <w:r>
        <w:rPr>
          <w:rFonts w:hint="eastAsia" w:ascii="宋体" w:hAnsi="宋体" w:eastAsia="宋体" w:cs="Courier New"/>
          <w:bCs/>
          <w:color w:val="auto"/>
          <w:szCs w:val="21"/>
          <w:highlight w:val="none"/>
        </w:rPr>
        <w:t>是合同书、信件、电报、电传、传真等可以有形地表现所载内容的形式。</w:t>
      </w:r>
    </w:p>
    <w:p>
      <w:pPr>
        <w:spacing w:line="400" w:lineRule="exact"/>
        <w:ind w:firstLine="211" w:firstLineChars="100"/>
        <w:rPr>
          <w:rFonts w:ascii="Times New Roman" w:hAnsi="Times New Roman" w:eastAsia="宋体" w:cs="Times New Roman"/>
          <w:b/>
          <w:bCs/>
          <w:color w:val="auto"/>
          <w:szCs w:val="24"/>
          <w:highlight w:val="none"/>
        </w:rPr>
      </w:pPr>
      <w:bookmarkStart w:id="67" w:name="_Toc353785279"/>
      <w:r>
        <w:rPr>
          <w:rFonts w:hint="eastAsia" w:ascii="Times New Roman" w:hAnsi="Times New Roman" w:eastAsia="宋体" w:cs="Times New Roman"/>
          <w:b/>
          <w:bCs/>
          <w:color w:val="auto"/>
          <w:szCs w:val="24"/>
          <w:highlight w:val="none"/>
        </w:rPr>
        <w:t>（三）投标人资格</w:t>
      </w:r>
      <w:bookmarkEnd w:id="67"/>
    </w:p>
    <w:p>
      <w:pPr>
        <w:snapToGrid w:val="0"/>
        <w:spacing w:line="400" w:lineRule="exact"/>
        <w:ind w:firstLine="420" w:firstLineChars="200"/>
        <w:rPr>
          <w:rFonts w:hint="eastAsia" w:ascii="宋体" w:hAnsi="宋体" w:eastAsia="宋体" w:cs="Courier New"/>
          <w:bCs/>
          <w:color w:val="auto"/>
          <w:szCs w:val="21"/>
          <w:highlight w:val="none"/>
        </w:rPr>
      </w:pPr>
      <w:bookmarkStart w:id="68" w:name="_Toc254970529"/>
      <w:bookmarkStart w:id="69" w:name="_Toc352700409"/>
      <w:bookmarkStart w:id="70" w:name="_Toc254970670"/>
      <w:bookmarkStart w:id="71" w:name="_Toc353785280"/>
      <w:bookmarkStart w:id="72" w:name="_Hlk92444465"/>
      <w:r>
        <w:rPr>
          <w:rFonts w:hint="eastAsia" w:ascii="宋体" w:hAnsi="宋体" w:eastAsia="宋体" w:cs="Courier New"/>
          <w:bCs/>
          <w:color w:val="auto"/>
          <w:szCs w:val="21"/>
          <w:highlight w:val="none"/>
        </w:rPr>
        <w:t>1.满足《中华人民共和国政府采购法》第二十二条规定；</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2.落实政府采购政策需满足的资格要求：服务全部由符合政策要求的中小企业承接</w:t>
      </w:r>
    </w:p>
    <w:p>
      <w:pPr>
        <w:snapToGrid w:val="0"/>
        <w:spacing w:line="400" w:lineRule="exact"/>
        <w:ind w:firstLine="420" w:firstLineChars="200"/>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rPr>
        <w:t>3.本项目的特定资格要求：</w:t>
      </w:r>
      <w:r>
        <w:rPr>
          <w:rFonts w:hint="eastAsia" w:ascii="宋体" w:hAnsi="宋体" w:eastAsia="宋体" w:cs="Courier New"/>
          <w:bCs/>
          <w:color w:val="auto"/>
          <w:szCs w:val="21"/>
          <w:highlight w:val="none"/>
          <w:lang w:val="en-US" w:eastAsia="zh-CN"/>
        </w:rPr>
        <w:t>无</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（四）采购方式</w:t>
      </w:r>
      <w:bookmarkEnd w:id="68"/>
      <w:bookmarkEnd w:id="69"/>
      <w:bookmarkEnd w:id="70"/>
      <w:bookmarkEnd w:id="71"/>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公开招标方式。</w:t>
      </w:r>
    </w:p>
    <w:p>
      <w:pPr>
        <w:spacing w:line="400" w:lineRule="exact"/>
        <w:ind w:firstLine="211" w:firstLineChars="100"/>
        <w:rPr>
          <w:rFonts w:ascii="Times New Roman" w:hAnsi="Times New Roman" w:eastAsia="宋体" w:cs="Times New Roman"/>
          <w:b/>
          <w:bCs/>
          <w:color w:val="auto"/>
          <w:szCs w:val="24"/>
          <w:highlight w:val="none"/>
        </w:rPr>
      </w:pPr>
      <w:bookmarkStart w:id="73" w:name="_Toc254970530"/>
      <w:bookmarkStart w:id="74" w:name="_Toc353785281"/>
      <w:bookmarkStart w:id="75" w:name="_Toc352700410"/>
      <w:bookmarkStart w:id="76" w:name="_Toc254970671"/>
      <w:r>
        <w:rPr>
          <w:rFonts w:hint="eastAsia" w:ascii="Times New Roman" w:hAnsi="Times New Roman" w:eastAsia="宋体" w:cs="Times New Roman"/>
          <w:b/>
          <w:bCs/>
          <w:color w:val="auto"/>
          <w:szCs w:val="24"/>
          <w:highlight w:val="none"/>
        </w:rPr>
        <w:t>（五）投标委托</w:t>
      </w:r>
      <w:bookmarkEnd w:id="73"/>
      <w:bookmarkEnd w:id="74"/>
      <w:bookmarkEnd w:id="75"/>
      <w:bookmarkEnd w:id="76"/>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委托投标的投标人须提供授权委托书（格式见第六章）。</w:t>
      </w:r>
    </w:p>
    <w:p>
      <w:pPr>
        <w:spacing w:line="400" w:lineRule="exact"/>
        <w:ind w:firstLine="211" w:firstLineChars="100"/>
        <w:rPr>
          <w:rFonts w:ascii="Times New Roman" w:hAnsi="Times New Roman" w:eastAsia="宋体" w:cs="Times New Roman"/>
          <w:b/>
          <w:bCs/>
          <w:color w:val="auto"/>
          <w:szCs w:val="24"/>
          <w:highlight w:val="none"/>
        </w:rPr>
      </w:pPr>
      <w:bookmarkStart w:id="77" w:name="_Toc353785282"/>
      <w:bookmarkStart w:id="78" w:name="_Toc254970531"/>
      <w:bookmarkStart w:id="79" w:name="_Toc352700411"/>
      <w:bookmarkStart w:id="80" w:name="_Toc254970672"/>
      <w:r>
        <w:rPr>
          <w:rFonts w:hint="eastAsia" w:ascii="Times New Roman" w:hAnsi="Times New Roman" w:eastAsia="宋体" w:cs="Times New Roman"/>
          <w:b/>
          <w:bCs/>
          <w:color w:val="auto"/>
          <w:szCs w:val="24"/>
          <w:highlight w:val="none"/>
        </w:rPr>
        <w:t>（六）投标费用</w:t>
      </w:r>
      <w:bookmarkEnd w:id="77"/>
      <w:bookmarkEnd w:id="78"/>
      <w:bookmarkEnd w:id="79"/>
      <w:bookmarkEnd w:id="80"/>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投标人自行承担所有与投标有关的全部费用。</w:t>
      </w:r>
    </w:p>
    <w:p>
      <w:pPr>
        <w:spacing w:line="400" w:lineRule="exact"/>
        <w:ind w:firstLine="211" w:firstLineChars="100"/>
        <w:rPr>
          <w:rFonts w:ascii="Times New Roman" w:hAnsi="Times New Roman" w:eastAsia="宋体" w:cs="Times New Roman"/>
          <w:b/>
          <w:bCs/>
          <w:color w:val="auto"/>
          <w:szCs w:val="24"/>
          <w:highlight w:val="none"/>
        </w:rPr>
      </w:pPr>
      <w:bookmarkStart w:id="81" w:name="_Toc353785283"/>
      <w:bookmarkStart w:id="82" w:name="_Toc352700413"/>
      <w:r>
        <w:rPr>
          <w:rFonts w:hint="eastAsia" w:ascii="Times New Roman" w:hAnsi="Times New Roman" w:eastAsia="宋体" w:cs="Times New Roman"/>
          <w:b/>
          <w:bCs/>
          <w:color w:val="auto"/>
          <w:szCs w:val="24"/>
          <w:highlight w:val="none"/>
        </w:rPr>
        <w:t>（七）转包与分包</w:t>
      </w:r>
      <w:bookmarkEnd w:id="81"/>
      <w:bookmarkEnd w:id="82"/>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1.本项目不允许转包。</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2.采购人允许采用分包方式履行合同的，应当在采购文件中明确可以分包履行的具体内容、金额或者比例。</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3.依据《政府采购促进中小企业发展管理办法》规定享受扶持政策获得政府采购合同的，小微企业不得将合同分包给大中型企业，中型企业不得将合同分包给大型企业。</w:t>
      </w:r>
    </w:p>
    <w:bookmarkEnd w:id="72"/>
    <w:p>
      <w:pPr>
        <w:spacing w:line="400" w:lineRule="exact"/>
        <w:ind w:firstLine="211" w:firstLineChars="100"/>
        <w:rPr>
          <w:rFonts w:ascii="Times New Roman" w:hAnsi="Times New Roman" w:eastAsia="宋体" w:cs="Times New Roman"/>
          <w:b/>
          <w:bCs/>
          <w:color w:val="auto"/>
          <w:szCs w:val="24"/>
          <w:highlight w:val="none"/>
        </w:rPr>
      </w:pPr>
      <w:bookmarkStart w:id="83" w:name="_Toc254970673"/>
      <w:bookmarkStart w:id="84" w:name="_Toc254970532"/>
      <w:bookmarkStart w:id="85" w:name="_Toc353785284"/>
      <w:bookmarkStart w:id="86" w:name="_Toc352700414"/>
      <w:bookmarkStart w:id="87" w:name="_Hlk92444771"/>
      <w:r>
        <w:rPr>
          <w:rFonts w:hint="eastAsia" w:ascii="Times New Roman" w:hAnsi="Times New Roman" w:eastAsia="宋体" w:cs="Times New Roman"/>
          <w:b/>
          <w:bCs/>
          <w:color w:val="auto"/>
          <w:szCs w:val="24"/>
          <w:highlight w:val="none"/>
        </w:rPr>
        <w:t>（八）特别说明：</w:t>
      </w:r>
      <w:bookmarkEnd w:id="83"/>
      <w:bookmarkEnd w:id="84"/>
      <w:bookmarkEnd w:id="85"/>
      <w:bookmarkEnd w:id="86"/>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关联供应商不得参加同一合同项下政府采购活动，否则投标文件将被视为无效：</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1.单位负责人为同一人或者存在直接控股、管理关系的不同的投标人，不得参加同一合同项下的政府采购活动。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2.为采购项目提供整体设计、规范编制或者项目管理、监理、检测等服务的投标人，不得再参加该采购项目的其他采购活动。</w:t>
      </w:r>
    </w:p>
    <w:p>
      <w:pPr>
        <w:spacing w:line="400" w:lineRule="exact"/>
        <w:ind w:firstLine="211" w:firstLineChars="100"/>
        <w:rPr>
          <w:rFonts w:ascii="Times New Roman" w:hAnsi="Times New Roman" w:eastAsia="宋体" w:cs="Times New Roman"/>
          <w:b/>
          <w:bCs/>
          <w:color w:val="auto"/>
          <w:szCs w:val="24"/>
          <w:highlight w:val="none"/>
        </w:rPr>
      </w:pPr>
      <w:bookmarkStart w:id="88" w:name="_Toc254970674"/>
      <w:bookmarkStart w:id="89" w:name="_Toc352700415"/>
      <w:bookmarkStart w:id="90" w:name="_Toc254970533"/>
      <w:bookmarkStart w:id="91" w:name="_Toc353785285"/>
      <w:r>
        <w:rPr>
          <w:rFonts w:hint="eastAsia" w:ascii="Times New Roman" w:hAnsi="Times New Roman" w:eastAsia="宋体" w:cs="Times New Roman"/>
          <w:b/>
          <w:bCs/>
          <w:color w:val="auto"/>
          <w:szCs w:val="24"/>
          <w:highlight w:val="none"/>
        </w:rPr>
        <w:t>（九）询问、质疑和投诉</w:t>
      </w:r>
      <w:bookmarkEnd w:id="88"/>
      <w:bookmarkEnd w:id="89"/>
      <w:bookmarkEnd w:id="90"/>
      <w:bookmarkEnd w:id="91"/>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w:t>
      </w:r>
      <w:r>
        <w:rPr>
          <w:rFonts w:hint="eastAsia" w:ascii="Arial" w:hAnsi="Arial" w:eastAsia="宋体" w:cs="Arial"/>
          <w:color w:val="auto"/>
          <w:kern w:val="0"/>
          <w:szCs w:val="21"/>
          <w:highlight w:val="none"/>
        </w:rPr>
        <w:t>投标人对政府采购活动事项有疑问的，可以向采购人或本中心提出询问，采购人或本中心当在</w:t>
      </w:r>
      <w:r>
        <w:rPr>
          <w:rFonts w:ascii="Arial" w:hAnsi="Arial" w:eastAsia="宋体" w:cs="Arial"/>
          <w:color w:val="auto"/>
          <w:kern w:val="0"/>
          <w:szCs w:val="21"/>
          <w:highlight w:val="none"/>
        </w:rPr>
        <w:t>3</w:t>
      </w:r>
      <w:r>
        <w:rPr>
          <w:rFonts w:hint="eastAsia" w:ascii="Arial" w:hAnsi="Arial" w:eastAsia="宋体" w:cs="Arial"/>
          <w:color w:val="auto"/>
          <w:kern w:val="0"/>
          <w:szCs w:val="21"/>
          <w:highlight w:val="none"/>
        </w:rPr>
        <w:t>个工作日内对投标人依法提出的询问作出答复，但答复的内容不得涉及商业秘密。</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2.投标人认为招标文件、招标过程或中标结果使自己的合法权益受到损害的，可以在知道或者应知其权益受到损害之日起7个工作日内，</w:t>
      </w:r>
      <w:r>
        <w:rPr>
          <w:rFonts w:hint="eastAsia" w:ascii="宋体" w:hAnsi="Courier New" w:eastAsia="宋体" w:cs="Arial"/>
          <w:color w:val="auto"/>
          <w:szCs w:val="21"/>
          <w:highlight w:val="none"/>
        </w:rPr>
        <w:t>以书面形式（政采云平台）向采购人、采购代理机构提出质疑。</w:t>
      </w:r>
      <w:r>
        <w:rPr>
          <w:rFonts w:hint="eastAsia" w:ascii="宋体" w:hAnsi="宋体" w:eastAsia="宋体" w:cs="Courier New"/>
          <w:bCs/>
          <w:color w:val="auto"/>
          <w:szCs w:val="21"/>
          <w:highlight w:val="none"/>
        </w:rPr>
        <w:t>投标人必须在法定质疑期内一次性提出针对同一采购程序环节的质疑。</w:t>
      </w:r>
      <w:r>
        <w:rPr>
          <w:rFonts w:hint="eastAsia" w:ascii="宋体" w:hAnsi="宋体" w:eastAsia="宋体" w:cs="宋体"/>
          <w:color w:val="auto"/>
          <w:szCs w:val="21"/>
          <w:highlight w:val="none"/>
        </w:rPr>
        <w:t>投标人应知其权益受到损害之日，是指：</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(1)对招标文件提出质疑的，为获取招标文件之日；</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(2)对招标过程提出质疑的，为各采购程序环节结束之日；</w:t>
      </w:r>
    </w:p>
    <w:p>
      <w:pPr>
        <w:widowControl/>
        <w:adjustRightInd w:val="0"/>
        <w:snapToGrid w:val="0"/>
        <w:spacing w:line="400" w:lineRule="exact"/>
        <w:ind w:firstLine="102" w:firstLineChars="49"/>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 xml:space="preserve">  (3)对中标结果提出质疑的，为中标结果公告期限届满之日。</w:t>
      </w:r>
    </w:p>
    <w:p>
      <w:pPr>
        <w:widowControl/>
        <w:adjustRightInd w:val="0"/>
        <w:snapToGrid w:val="0"/>
        <w:spacing w:line="400" w:lineRule="exact"/>
        <w:ind w:firstLine="420" w:firstLineChars="200"/>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w:t>
      </w:r>
      <w:r>
        <w:rPr>
          <w:rFonts w:hint="eastAsia" w:ascii="Times New Roman" w:hAnsi="宋体" w:eastAsia="宋体" w:cs="Times New Roman"/>
          <w:color w:val="auto"/>
          <w:szCs w:val="24"/>
          <w:highlight w:val="none"/>
        </w:rPr>
        <w:t>投标人对采购人、本中心质疑答复不满意或者采购人、本中心未在规定时间内作出答复的，可以在答复期满后十五个工作日内向同级采购监管部门投诉。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质疑部门联系方式：钦州市政府采购中心</w:t>
      </w:r>
      <w:r>
        <w:rPr>
          <w:rFonts w:ascii="Times New Roman" w:hAnsi="Times New Roman" w:eastAsia="宋体" w:cs="Times New Roman"/>
          <w:color w:val="auto"/>
          <w:szCs w:val="24"/>
          <w:highlight w:val="none"/>
        </w:rPr>
        <w:t xml:space="preserve">    0777-2886002</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采购监管部门联系方式：钦州市财政局</w:t>
      </w:r>
      <w:r>
        <w:rPr>
          <w:rFonts w:ascii="Times New Roman" w:hAnsi="Times New Roman" w:eastAsia="宋体" w:cs="Times New Roman"/>
          <w:color w:val="auto"/>
          <w:szCs w:val="24"/>
          <w:highlight w:val="none"/>
        </w:rPr>
        <w:t xml:space="preserve">      0777-2895258</w:t>
      </w:r>
    </w:p>
    <w:p>
      <w:pPr>
        <w:spacing w:line="400" w:lineRule="exact"/>
        <w:ind w:firstLine="211" w:firstLineChars="100"/>
        <w:rPr>
          <w:rFonts w:hint="eastAsia" w:ascii="Times New Roman" w:hAnsi="宋体" w:eastAsia="宋体" w:cs="Times New Roman"/>
          <w:color w:val="auto"/>
          <w:szCs w:val="24"/>
          <w:highlight w:val="none"/>
        </w:rPr>
      </w:pPr>
      <w:bookmarkStart w:id="92" w:name="_Hlk92793564"/>
      <w:r>
        <w:rPr>
          <w:rFonts w:hint="eastAsia" w:ascii="Times New Roman" w:hAnsi="Times New Roman" w:eastAsia="宋体" w:cs="Times New Roman"/>
          <w:b/>
          <w:bCs/>
          <w:color w:val="auto"/>
          <w:szCs w:val="24"/>
          <w:highlight w:val="none"/>
        </w:rPr>
        <w:t>（十）查询媒体</w:t>
      </w:r>
      <w:bookmarkEnd w:id="87"/>
      <w:bookmarkEnd w:id="92"/>
      <w:r>
        <w:rPr>
          <w:rFonts w:ascii="Times New Roman" w:hAnsi="Times New Roman" w:eastAsia="宋体" w:cs="Times New Roman"/>
          <w:b/>
          <w:bCs/>
          <w:color w:val="auto"/>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Times New Roman" w:hAnsi="宋体" w:eastAsia="宋体" w:cs="Times New Roman"/>
          <w:color w:val="auto"/>
          <w:szCs w:val="24"/>
          <w:highlight w:val="none"/>
        </w:rPr>
        <w:t>中国政府采购网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rPr>
        <w:t>广西政府采购网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p>
    <w:p>
      <w:pPr>
        <w:spacing w:line="400" w:lineRule="exact"/>
        <w:ind w:firstLine="211" w:firstLineChars="100"/>
        <w:rPr>
          <w:rFonts w:ascii="Times New Roman" w:hAnsi="Times New Roman" w:eastAsia="宋体" w:cs="Times New Roman"/>
          <w:b/>
          <w:bCs/>
          <w:color w:val="auto"/>
          <w:szCs w:val="24"/>
          <w:highlight w:val="none"/>
        </w:rPr>
      </w:pPr>
    </w:p>
    <w:p>
      <w:pPr>
        <w:keepNext/>
        <w:keepLines/>
        <w:spacing w:line="400" w:lineRule="exact"/>
        <w:outlineLvl w:val="1"/>
        <w:rPr>
          <w:rFonts w:ascii="方正小标宋_GBK" w:hAnsi="Arial" w:eastAsia="方正小标宋_GBK" w:cs="Times New Roman"/>
          <w:b/>
          <w:bCs/>
          <w:color w:val="auto"/>
          <w:sz w:val="24"/>
          <w:szCs w:val="24"/>
          <w:highlight w:val="none"/>
        </w:rPr>
      </w:pPr>
      <w:bookmarkStart w:id="93" w:name="_Toc352700416"/>
      <w:bookmarkStart w:id="94" w:name="_Toc353785286"/>
      <w:r>
        <w:rPr>
          <w:rFonts w:hint="eastAsia" w:ascii="方正小标宋_GBK" w:hAnsi="Arial" w:eastAsia="方正小标宋_GBK" w:cs="Times New Roman"/>
          <w:b/>
          <w:bCs/>
          <w:color w:val="auto"/>
          <w:sz w:val="24"/>
          <w:szCs w:val="24"/>
          <w:highlight w:val="none"/>
        </w:rPr>
        <w:t>二、招标文件</w:t>
      </w:r>
      <w:bookmarkEnd w:id="93"/>
      <w:bookmarkEnd w:id="94"/>
    </w:p>
    <w:p>
      <w:pPr>
        <w:spacing w:line="400" w:lineRule="exact"/>
        <w:ind w:firstLine="211" w:firstLineChars="100"/>
        <w:rPr>
          <w:rFonts w:ascii="Times New Roman" w:hAnsi="Times New Roman" w:eastAsia="宋体" w:cs="Times New Roman"/>
          <w:b/>
          <w:bCs/>
          <w:color w:val="auto"/>
          <w:szCs w:val="24"/>
          <w:highlight w:val="none"/>
        </w:rPr>
      </w:pPr>
      <w:bookmarkStart w:id="95" w:name="_Toc353785287"/>
      <w:bookmarkStart w:id="96" w:name="_Toc352700417"/>
      <w:r>
        <w:rPr>
          <w:rFonts w:hint="eastAsia" w:ascii="Times New Roman" w:hAnsi="Times New Roman" w:eastAsia="宋体" w:cs="Times New Roman"/>
          <w:b/>
          <w:bCs/>
          <w:color w:val="auto"/>
          <w:szCs w:val="24"/>
          <w:highlight w:val="none"/>
        </w:rPr>
        <w:t>（一）招标文件的组成</w:t>
      </w:r>
      <w:bookmarkEnd w:id="95"/>
      <w:bookmarkEnd w:id="96"/>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第一章 招标公告</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第二章 项目需求</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第三章 投标人须知及前附表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第四章 评定标准及推荐原则</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第五章 政府采购合同主要条款</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第六章 投标文件格式</w:t>
      </w:r>
    </w:p>
    <w:p>
      <w:pPr>
        <w:spacing w:line="400" w:lineRule="exact"/>
        <w:ind w:firstLine="211" w:firstLineChars="100"/>
        <w:rPr>
          <w:rFonts w:ascii="Times New Roman" w:hAnsi="Times New Roman" w:eastAsia="宋体" w:cs="Times New Roman"/>
          <w:b/>
          <w:bCs/>
          <w:color w:val="auto"/>
          <w:szCs w:val="24"/>
          <w:highlight w:val="none"/>
        </w:rPr>
      </w:pPr>
      <w:bookmarkStart w:id="97" w:name="_Toc352700419"/>
      <w:bookmarkStart w:id="98" w:name="_Toc353785289"/>
      <w:r>
        <w:rPr>
          <w:rFonts w:hint="eastAsia" w:ascii="Times New Roman" w:hAnsi="Times New Roman" w:eastAsia="宋体" w:cs="Times New Roman"/>
          <w:b/>
          <w:bCs/>
          <w:color w:val="auto"/>
          <w:szCs w:val="24"/>
          <w:highlight w:val="none"/>
        </w:rPr>
        <w:t>（二）招标文件的澄清与修改</w:t>
      </w:r>
      <w:bookmarkEnd w:id="97"/>
      <w:bookmarkEnd w:id="98"/>
    </w:p>
    <w:p>
      <w:pPr>
        <w:snapToGrid w:val="0"/>
        <w:spacing w:line="400" w:lineRule="exact"/>
        <w:ind w:firstLine="420" w:firstLineChars="200"/>
        <w:jc w:val="left"/>
        <w:rPr>
          <w:rFonts w:ascii="宋体" w:hAnsi="Courier New" w:eastAsia="宋体" w:cs="Courier New"/>
          <w:color w:val="auto"/>
          <w:szCs w:val="21"/>
          <w:highlight w:val="none"/>
        </w:rPr>
      </w:pPr>
      <w:r>
        <w:rPr>
          <w:rFonts w:hint="eastAsia" w:ascii="宋体" w:hAnsi="宋体" w:eastAsia="宋体" w:cs="Courier New"/>
          <w:color w:val="auto"/>
          <w:szCs w:val="21"/>
          <w:highlight w:val="none"/>
        </w:rPr>
        <w:t>1.</w:t>
      </w:r>
      <w:r>
        <w:rPr>
          <w:rFonts w:hint="eastAsia" w:ascii="宋体" w:hAnsi="Courier New" w:eastAsia="宋体" w:cs="Courier New"/>
          <w:color w:val="auto"/>
          <w:szCs w:val="21"/>
          <w:highlight w:val="none"/>
        </w:rPr>
        <w:t>采购人或者本中心可以对已发出的招标文件进行必要的</w:t>
      </w:r>
      <w:bookmarkStart w:id="99" w:name="_Hlk92287343"/>
      <w:r>
        <w:rPr>
          <w:rFonts w:hint="eastAsia" w:ascii="宋体" w:hAnsi="Courier New" w:eastAsia="宋体" w:cs="Courier New"/>
          <w:color w:val="auto"/>
          <w:szCs w:val="21"/>
          <w:highlight w:val="none"/>
        </w:rPr>
        <w:t>澄清或者修改</w:t>
      </w:r>
      <w:bookmarkEnd w:id="99"/>
      <w:r>
        <w:rPr>
          <w:rFonts w:hint="eastAsia" w:ascii="宋体" w:hAnsi="Courier New" w:eastAsia="宋体" w:cs="Courier New"/>
          <w:color w:val="auto"/>
          <w:szCs w:val="21"/>
          <w:highlight w:val="none"/>
        </w:rPr>
        <w:t>，但不得改变采购标的和资格条件。澄清或者修改应当在原公告发布媒体上发布澄清公告。澄清或者修改的内容为招标文件的组成部分。</w:t>
      </w:r>
    </w:p>
    <w:p>
      <w:pPr>
        <w:snapToGrid w:val="0"/>
        <w:spacing w:line="400" w:lineRule="exact"/>
        <w:ind w:firstLine="420" w:firstLineChars="2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pPr>
        <w:snapToGrid w:val="0"/>
        <w:spacing w:line="400" w:lineRule="exact"/>
        <w:ind w:firstLine="420" w:firstLineChars="200"/>
        <w:jc w:val="left"/>
        <w:rPr>
          <w:rFonts w:ascii="Arial" w:hAnsi="Arial" w:eastAsia="宋体" w:cs="Arial"/>
          <w:color w:val="auto"/>
          <w:szCs w:val="21"/>
          <w:highlight w:val="none"/>
        </w:rPr>
      </w:pPr>
      <w:bookmarkStart w:id="100" w:name="_Hlk92446337"/>
      <w:r>
        <w:rPr>
          <w:rFonts w:hint="eastAsia" w:ascii="宋体" w:hAnsi="宋体" w:eastAsia="宋体" w:cs="Courier New"/>
          <w:color w:val="auto"/>
          <w:szCs w:val="21"/>
          <w:highlight w:val="none"/>
        </w:rPr>
        <w:t>3.</w:t>
      </w:r>
      <w:r>
        <w:rPr>
          <w:rFonts w:hint="eastAsia" w:ascii="Arial" w:hAnsi="Arial" w:eastAsia="宋体" w:cs="Arial"/>
          <w:color w:val="auto"/>
          <w:szCs w:val="21"/>
          <w:highlight w:val="none"/>
        </w:rPr>
        <w:t>提供期限届满后，获取招标文件的潜在投标人不足</w:t>
      </w:r>
      <w:r>
        <w:rPr>
          <w:rFonts w:ascii="Arial" w:hAnsi="Arial" w:eastAsia="宋体" w:cs="Arial"/>
          <w:color w:val="auto"/>
          <w:szCs w:val="21"/>
          <w:highlight w:val="none"/>
        </w:rPr>
        <w:t>3</w:t>
      </w:r>
      <w:r>
        <w:rPr>
          <w:rFonts w:hint="eastAsia" w:ascii="Arial" w:hAnsi="Arial" w:eastAsia="宋体" w:cs="Arial"/>
          <w:color w:val="auto"/>
          <w:szCs w:val="21"/>
          <w:highlight w:val="none"/>
        </w:rPr>
        <w:t>家的，本中心可以顺延提供期限，并予公告。</w:t>
      </w:r>
    </w:p>
    <w:bookmarkEnd w:id="100"/>
    <w:p>
      <w:pPr>
        <w:keepNext/>
        <w:keepLines/>
        <w:spacing w:line="400" w:lineRule="exact"/>
        <w:outlineLvl w:val="1"/>
        <w:rPr>
          <w:rFonts w:ascii="方正小标宋_GBK" w:hAnsi="Arial" w:eastAsia="方正小标宋_GBK" w:cs="Times New Roman"/>
          <w:bCs/>
          <w:color w:val="auto"/>
          <w:sz w:val="24"/>
          <w:szCs w:val="24"/>
          <w:highlight w:val="none"/>
        </w:rPr>
      </w:pPr>
      <w:bookmarkStart w:id="101" w:name="_三、投标文件"/>
      <w:bookmarkEnd w:id="101"/>
      <w:bookmarkStart w:id="102" w:name="_Toc353785290"/>
      <w:bookmarkStart w:id="103" w:name="_Toc254970676"/>
      <w:bookmarkStart w:id="104" w:name="_Toc254970535"/>
      <w:bookmarkStart w:id="105" w:name="_Toc352700420"/>
      <w:r>
        <w:rPr>
          <w:rFonts w:hint="eastAsia" w:ascii="方正小标宋_GBK" w:hAnsi="Arial" w:eastAsia="方正小标宋_GBK" w:cs="Times New Roman"/>
          <w:bCs/>
          <w:color w:val="auto"/>
          <w:sz w:val="24"/>
          <w:szCs w:val="24"/>
          <w:highlight w:val="none"/>
        </w:rPr>
        <w:t>三、</w:t>
      </w:r>
      <w:bookmarkStart w:id="106" w:name="_Hlk92446512"/>
      <w:r>
        <w:rPr>
          <w:rFonts w:hint="eastAsia" w:ascii="方正小标宋_GBK" w:hAnsi="Arial" w:eastAsia="方正小标宋_GBK" w:cs="Times New Roman"/>
          <w:bCs/>
          <w:color w:val="auto"/>
          <w:sz w:val="24"/>
          <w:szCs w:val="24"/>
          <w:highlight w:val="none"/>
        </w:rPr>
        <w:t>投标文件</w:t>
      </w:r>
      <w:bookmarkEnd w:id="102"/>
      <w:bookmarkEnd w:id="103"/>
      <w:bookmarkEnd w:id="104"/>
      <w:bookmarkEnd w:id="105"/>
    </w:p>
    <w:p>
      <w:pPr>
        <w:spacing w:line="400" w:lineRule="exact"/>
        <w:ind w:firstLine="211" w:firstLineChars="100"/>
        <w:rPr>
          <w:rFonts w:hint="eastAsia" w:ascii="Times New Roman" w:hAnsi="宋体" w:eastAsia="宋体" w:cs="Times New Roman"/>
          <w:b/>
          <w:bCs/>
          <w:color w:val="auto"/>
          <w:szCs w:val="24"/>
          <w:highlight w:val="none"/>
        </w:rPr>
      </w:pPr>
      <w:bookmarkStart w:id="107" w:name="_Toc352700421"/>
      <w:bookmarkStart w:id="108" w:name="_Toc353785291"/>
      <w:bookmarkStart w:id="109" w:name="_Toc254970536"/>
      <w:bookmarkStart w:id="110" w:name="_Toc254970677"/>
      <w:r>
        <w:rPr>
          <w:rFonts w:hint="eastAsia" w:ascii="Times New Roman" w:hAnsi="宋体" w:eastAsia="宋体" w:cs="Times New Roman"/>
          <w:b/>
          <w:bCs/>
          <w:color w:val="auto"/>
          <w:szCs w:val="24"/>
          <w:highlight w:val="none"/>
        </w:rPr>
        <w:t>（一）投标人的风险</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投标人应仔细阅读招标文件的全部内容，按照招标文件的要求提交投标文件，并对所提供的全部资料的真实性承担法律责任。</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投标人在投标活动中提供任何虚假材料的，评标委员会将报财政部门查处。</w:t>
      </w:r>
    </w:p>
    <w:bookmarkEnd w:id="106"/>
    <w:p>
      <w:pPr>
        <w:snapToGrid w:val="0"/>
        <w:spacing w:line="400" w:lineRule="exact"/>
        <w:ind w:firstLine="211" w:firstLineChars="100"/>
        <w:rPr>
          <w:rFonts w:hint="eastAsia" w:ascii="宋体" w:hAnsi="宋体" w:eastAsia="宋体" w:cs="Times New Roman"/>
          <w:b/>
          <w:color w:val="auto"/>
          <w:szCs w:val="21"/>
          <w:highlight w:val="none"/>
        </w:rPr>
      </w:pPr>
      <w:bookmarkStart w:id="111" w:name="_Hlk92446638"/>
      <w:r>
        <w:rPr>
          <w:rFonts w:hint="eastAsia" w:ascii="Times New Roman" w:hAnsi="宋体" w:eastAsia="宋体" w:cs="Times New Roman"/>
          <w:b/>
          <w:bCs/>
          <w:color w:val="auto"/>
          <w:szCs w:val="24"/>
          <w:highlight w:val="none"/>
        </w:rPr>
        <w:t>（二）</w:t>
      </w:r>
      <w:r>
        <w:rPr>
          <w:rFonts w:hint="eastAsia" w:ascii="宋体" w:hAnsi="宋体" w:eastAsia="宋体" w:cs="Times New Roman"/>
          <w:b/>
          <w:color w:val="auto"/>
          <w:szCs w:val="21"/>
          <w:highlight w:val="none"/>
        </w:rPr>
        <w:t>投标文件的组成</w:t>
      </w:r>
    </w:p>
    <w:p>
      <w:pPr>
        <w:snapToGrid w:val="0"/>
        <w:spacing w:line="400" w:lineRule="exact"/>
        <w:ind w:firstLine="422" w:firstLineChars="200"/>
        <w:rPr>
          <w:rFonts w:hint="eastAsia" w:ascii="宋体" w:hAnsi="宋体" w:eastAsia="宋体" w:cs="Times New Roman"/>
          <w:b/>
          <w:color w:val="auto"/>
          <w:szCs w:val="21"/>
          <w:highlight w:val="none"/>
        </w:rPr>
      </w:pPr>
      <w:bookmarkStart w:id="112" w:name="_Hlk92285760"/>
      <w:r>
        <w:rPr>
          <w:rFonts w:hint="eastAsia" w:ascii="宋体" w:hAnsi="宋体" w:eastAsia="宋体" w:cs="Times New Roman"/>
          <w:b/>
          <w:color w:val="auto"/>
          <w:szCs w:val="21"/>
          <w:highlight w:val="none"/>
        </w:rPr>
        <w:t>1.资格文件：</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bookmarkStart w:id="113" w:name="_Hlk90369149"/>
      <w:r>
        <w:rPr>
          <w:rFonts w:hint="eastAsia" w:ascii="宋体" w:hAnsi="宋体" w:eastAsia="宋体" w:cs="Times New Roman"/>
          <w:color w:val="auto"/>
          <w:szCs w:val="21"/>
          <w:highlight w:val="none"/>
        </w:rPr>
        <w:t>(1)法人或者其他组织的营业执照等证明文件</w:t>
      </w:r>
    </w:p>
    <w:bookmarkEnd w:id="113"/>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★(2)</w:t>
      </w:r>
      <w:bookmarkStart w:id="114" w:name="_Hlk154044758"/>
      <w:r>
        <w:rPr>
          <w:rFonts w:hint="eastAsia" w:ascii="宋体" w:hAnsi="宋体" w:eastAsia="宋体" w:cs="Times New Roman"/>
          <w:color w:val="auto"/>
          <w:szCs w:val="21"/>
          <w:highlight w:val="none"/>
        </w:rPr>
        <w:t>投标人具备参加政府采购活动条件的承诺书</w:t>
      </w:r>
      <w:r>
        <w:rPr>
          <w:rFonts w:hint="eastAsia" w:ascii="宋体" w:hAnsi="宋体" w:eastAsia="宋体" w:cs="宋体"/>
          <w:color w:val="auto"/>
          <w:szCs w:val="21"/>
          <w:highlight w:val="none"/>
        </w:rPr>
        <w:t>(格式见第六章）</w:t>
      </w:r>
      <w:bookmarkEnd w:id="114"/>
    </w:p>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★(3)</w:t>
      </w:r>
      <w:r>
        <w:rPr>
          <w:rFonts w:hint="eastAsia" w:ascii="Times New Roman" w:hAnsi="宋体" w:eastAsia="宋体" w:cs="Times New Roman"/>
          <w:color w:val="auto"/>
          <w:szCs w:val="24"/>
          <w:highlight w:val="none"/>
        </w:rPr>
        <w:t>参加政府采购活动前</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年内在经营活动中没有重大违法记录的书面声明</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格式见第六章</w:t>
      </w:r>
      <w:r>
        <w:rPr>
          <w:rFonts w:ascii="Times New Roman" w:hAnsi="宋体" w:eastAsia="宋体" w:cs="Times New Roman"/>
          <w:color w:val="auto"/>
          <w:szCs w:val="24"/>
          <w:highlight w:val="none"/>
        </w:rPr>
        <w:t>)</w:t>
      </w:r>
    </w:p>
    <w:p>
      <w:pPr>
        <w:tabs>
          <w:tab w:val="left" w:pos="3870"/>
          <w:tab w:val="left" w:pos="4085"/>
        </w:tabs>
        <w:snapToGrid w:val="0"/>
        <w:spacing w:line="46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★(4)《中小企业声明函》(格式见第六章)</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2.商务技术文件：</w:t>
      </w:r>
    </w:p>
    <w:p>
      <w:pPr>
        <w:snapToGrid w:val="0"/>
        <w:spacing w:line="40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 xml:space="preserve"> </w:t>
      </w:r>
      <w:r>
        <w:rPr>
          <w:rFonts w:hint="eastAsia" w:ascii="宋体" w:hAnsi="宋体" w:eastAsia="宋体" w:cs="Times New Roman"/>
          <w:color w:val="auto"/>
          <w:szCs w:val="21"/>
          <w:highlight w:val="none"/>
        </w:rPr>
        <w:t xml:space="preserve"> (1)</w:t>
      </w:r>
      <w:bookmarkStart w:id="115" w:name="_Hlk97803518"/>
      <w:r>
        <w:rPr>
          <w:rFonts w:hint="eastAsia" w:ascii="宋体" w:hAnsi="宋体" w:eastAsia="宋体" w:cs="Times New Roman"/>
          <w:color w:val="auto"/>
          <w:szCs w:val="21"/>
          <w:highlight w:val="none"/>
        </w:rPr>
        <w:t>投标保证金票据或转账凭证(户名、账号及开户行等信息清晰可辨）</w:t>
      </w:r>
      <w:bookmarkEnd w:id="115"/>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(2)投标函（格式见第六章）</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(3)法定代表人身份证</w:t>
      </w:r>
    </w:p>
    <w:p>
      <w:pPr>
        <w:snapToGrid w:val="0"/>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★(4)法定代表人授权委托书和代理人身份证（委托代理时必须提供，格式见第六章）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1"/>
          <w:highlight w:val="none"/>
        </w:rPr>
        <w:t>(5)</w:t>
      </w:r>
      <w:r>
        <w:rPr>
          <w:rFonts w:hint="eastAsia" w:ascii="宋体" w:hAnsi="宋体" w:eastAsia="宋体" w:cs="Times New Roman"/>
          <w:color w:val="auto"/>
          <w:szCs w:val="24"/>
          <w:highlight w:val="none"/>
        </w:rPr>
        <w:t>商务响应表(格式见第六章)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4"/>
          <w:highlight w:val="none"/>
        </w:rPr>
        <w:t>(6)</w:t>
      </w:r>
      <w:r>
        <w:rPr>
          <w:rFonts w:hint="eastAsia" w:ascii="宋体" w:hAnsi="宋体" w:eastAsia="宋体" w:cs="Times New Roman"/>
          <w:color w:val="auto"/>
          <w:szCs w:val="21"/>
          <w:highlight w:val="none"/>
        </w:rPr>
        <w:t>技术响应表</w:t>
      </w:r>
      <w:bookmarkStart w:id="116" w:name="_Hlk92285954"/>
      <w:r>
        <w:rPr>
          <w:rFonts w:hint="eastAsia" w:ascii="宋体" w:hAnsi="宋体" w:eastAsia="宋体" w:cs="Times New Roman"/>
          <w:color w:val="auto"/>
          <w:szCs w:val="24"/>
          <w:highlight w:val="none"/>
        </w:rPr>
        <w:t>(格式见第六章)</w:t>
      </w:r>
      <w:bookmarkEnd w:id="116"/>
    </w:p>
    <w:p>
      <w:pPr>
        <w:snapToGrid w:val="0"/>
        <w:spacing w:line="400" w:lineRule="exact"/>
        <w:ind w:firstLine="417" w:firstLineChars="199"/>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(7)</w:t>
      </w:r>
      <w:r>
        <w:rPr>
          <w:rFonts w:hint="eastAsia" w:ascii="宋体" w:hAnsi="宋体" w:eastAsia="宋体" w:cs="Times New Roman"/>
          <w:color w:val="auto"/>
          <w:szCs w:val="24"/>
          <w:highlight w:val="none"/>
        </w:rPr>
        <w:t>《项目需求》中要求</w:t>
      </w:r>
      <w:r>
        <w:rPr>
          <w:rFonts w:hint="eastAsia" w:ascii="宋体" w:hAnsi="宋体" w:eastAsia="宋体" w:cs="Times New Roman"/>
          <w:b/>
          <w:color w:val="auto"/>
          <w:szCs w:val="24"/>
          <w:highlight w:val="none"/>
        </w:rPr>
        <w:t>必须提供</w:t>
      </w:r>
      <w:r>
        <w:rPr>
          <w:rFonts w:hint="eastAsia" w:ascii="宋体" w:hAnsi="宋体" w:eastAsia="宋体" w:cs="Times New Roman"/>
          <w:color w:val="auto"/>
          <w:szCs w:val="24"/>
          <w:highlight w:val="none"/>
        </w:rPr>
        <w:t>的材料</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3.报价文件</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(1)</w:t>
      </w:r>
      <w:r>
        <w:rPr>
          <w:rFonts w:hint="eastAsia" w:ascii="宋体" w:hAnsi="宋体" w:eastAsia="宋体" w:cs="Times New Roman"/>
          <w:color w:val="auto"/>
          <w:szCs w:val="21"/>
          <w:highlight w:val="none"/>
        </w:rPr>
        <w:t>开标一览表(格式见第六章</w:t>
      </w:r>
    </w:p>
    <w:p>
      <w:pPr>
        <w:snapToGrid w:val="0"/>
        <w:spacing w:line="400" w:lineRule="exact"/>
        <w:ind w:firstLine="422" w:firstLineChars="200"/>
        <w:rPr>
          <w:rFonts w:hint="eastAsia" w:ascii="宋体" w:hAnsi="宋体" w:eastAsia="宋体" w:cs="Times New Roman"/>
          <w:color w:val="auto"/>
          <w:szCs w:val="24"/>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(2)</w:t>
      </w:r>
      <w:bookmarkStart w:id="117" w:name="_Hlk92265738"/>
      <w:r>
        <w:rPr>
          <w:rFonts w:hint="eastAsia" w:ascii="宋体" w:hAnsi="宋体" w:eastAsia="宋体" w:cs="Times New Roman"/>
          <w:bCs/>
          <w:color w:val="auto"/>
          <w:szCs w:val="21"/>
          <w:highlight w:val="none"/>
        </w:rPr>
        <w:t>报价明细表</w:t>
      </w:r>
      <w:bookmarkEnd w:id="117"/>
      <w:r>
        <w:rPr>
          <w:rFonts w:hint="eastAsia" w:ascii="宋体" w:hAnsi="宋体" w:eastAsia="宋体" w:cs="Times New Roman"/>
          <w:bCs/>
          <w:color w:val="auto"/>
          <w:szCs w:val="21"/>
          <w:highlight w:val="none"/>
        </w:rPr>
        <w:t>(格式见第六章)</w:t>
      </w:r>
    </w:p>
    <w:bookmarkEnd w:id="112"/>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bookmarkStart w:id="118" w:name="_Hlk154044832"/>
      <w:r>
        <w:rPr>
          <w:rFonts w:hint="eastAsia" w:ascii="宋体" w:hAnsi="宋体" w:eastAsia="宋体" w:cs="Times New Roman"/>
          <w:color w:val="auto"/>
          <w:szCs w:val="21"/>
          <w:highlight w:val="none"/>
        </w:rPr>
        <w:t>标注★号的材料均为必须提供的材料须由投标人并加盖公章，授权委托书必须由法定代表人签名，开标一览表必须由法定代表人或授权代表签名，否则视为无效投标文件。</w:t>
      </w:r>
      <w:bookmarkEnd w:id="118"/>
    </w:p>
    <w:bookmarkEnd w:id="107"/>
    <w:bookmarkEnd w:id="108"/>
    <w:bookmarkEnd w:id="109"/>
    <w:bookmarkEnd w:id="110"/>
    <w:bookmarkEnd w:id="111"/>
    <w:p>
      <w:pPr>
        <w:spacing w:line="400" w:lineRule="exact"/>
        <w:ind w:firstLine="211" w:firstLineChars="100"/>
        <w:rPr>
          <w:rFonts w:hint="eastAsia" w:ascii="宋体" w:hAnsi="宋体" w:eastAsia="宋体" w:cs="Times New Roman"/>
          <w:b/>
          <w:bCs/>
          <w:color w:val="auto"/>
          <w:szCs w:val="21"/>
          <w:highlight w:val="none"/>
        </w:rPr>
      </w:pPr>
      <w:bookmarkStart w:id="119" w:name="_Hlk90906323"/>
      <w:bookmarkStart w:id="120" w:name="_Hlk92447223"/>
      <w:r>
        <w:rPr>
          <w:rFonts w:hint="eastAsia" w:ascii="宋体" w:hAnsi="宋体" w:eastAsia="宋体" w:cs="Times New Roman"/>
          <w:b/>
          <w:color w:val="auto"/>
          <w:szCs w:val="21"/>
          <w:highlight w:val="none"/>
        </w:rPr>
        <w:t>（三）</w:t>
      </w:r>
      <w:bookmarkStart w:id="121" w:name="_Toc254970678"/>
      <w:bookmarkStart w:id="122" w:name="_Toc353785292"/>
      <w:bookmarkStart w:id="123" w:name="_Toc352700422"/>
      <w:bookmarkStart w:id="124" w:name="_Toc254970537"/>
      <w:r>
        <w:rPr>
          <w:rFonts w:hint="eastAsia" w:ascii="宋体" w:hAnsi="宋体" w:eastAsia="宋体" w:cs="Times New Roman"/>
          <w:b/>
          <w:bCs/>
          <w:color w:val="auto"/>
          <w:szCs w:val="21"/>
          <w:highlight w:val="none"/>
        </w:rPr>
        <w:t>投标文件的编制、签署及加密</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1.投标人应认真阅读、并充分理解招标文件的全部内容(包括所有的补充、修改内容)，承诺履行其各项条款的规定并按要求编制，</w:t>
      </w:r>
      <w:bookmarkStart w:id="125" w:name="_Hlk154044894"/>
      <w:r>
        <w:rPr>
          <w:rFonts w:hint="eastAsia" w:ascii="宋体" w:hAnsi="宋体" w:eastAsia="宋体" w:cs="Times New Roman"/>
          <w:color w:val="auto"/>
          <w:szCs w:val="21"/>
          <w:highlight w:val="none"/>
        </w:rPr>
        <w:t>投标文件应为电子文件或扫描件(样品除外)。</w:t>
      </w:r>
      <w:bookmarkEnd w:id="125"/>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2.投标人应通过</w:t>
      </w:r>
      <w:r>
        <w:rPr>
          <w:rFonts w:hint="eastAsia" w:ascii="Times New Roman" w:hAnsi="Times New Roman" w:eastAsia="宋体" w:cs="Times New Roman"/>
          <w:color w:val="auto"/>
          <w:szCs w:val="24"/>
          <w:highlight w:val="none"/>
        </w:rPr>
        <w:t>广西政府采购云平台客户端</w:t>
      </w:r>
      <w:r>
        <w:rPr>
          <w:rFonts w:hint="eastAsia" w:ascii="宋体" w:hAnsi="宋体" w:eastAsia="宋体" w:cs="Times New Roman"/>
          <w:color w:val="auto"/>
          <w:szCs w:val="21"/>
          <w:highlight w:val="none"/>
        </w:rPr>
        <w:t>编制加密投标文件。</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b/>
          <w:bCs/>
          <w:color w:val="auto"/>
          <w:szCs w:val="21"/>
          <w:highlight w:val="none"/>
        </w:rPr>
        <w:t>4.投标文件由投标人在规定位置由法定代表人或授权委托人签名（可为电子签名）、填写投标人名称，并加盖公章(简称“盖章”，可为电子公章)，投标人名称应写全称。</w:t>
      </w:r>
    </w:p>
    <w:p>
      <w:pPr>
        <w:snapToGrid w:val="0"/>
        <w:spacing w:line="400" w:lineRule="exact"/>
        <w:ind w:firstLine="210" w:firstLineChars="100"/>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5.投标文件内容不完整、编排混乱、不清晰等原因导致被误读或漏读的责任和后果由投标人承担。</w:t>
      </w:r>
    </w:p>
    <w:bookmarkEnd w:id="119"/>
    <w:p>
      <w:pPr>
        <w:spacing w:line="400" w:lineRule="exact"/>
        <w:ind w:firstLine="211" w:firstLineChars="100"/>
        <w:rPr>
          <w:rFonts w:ascii="Times New Roman" w:hAnsi="Times New Roman" w:eastAsia="宋体" w:cs="Times New Roman"/>
          <w:color w:val="auto"/>
          <w:szCs w:val="24"/>
          <w:highlight w:val="none"/>
        </w:rPr>
      </w:pPr>
      <w:r>
        <w:rPr>
          <w:rFonts w:hint="eastAsia" w:ascii="Times New Roman" w:hAnsi="Times New Roman" w:eastAsia="宋体" w:cs="Times New Roman"/>
          <w:b/>
          <w:bCs/>
          <w:color w:val="auto"/>
          <w:szCs w:val="24"/>
          <w:highlight w:val="none"/>
        </w:rPr>
        <w:t>（四）投标文件的语言及计量</w:t>
      </w:r>
      <w:bookmarkEnd w:id="121"/>
      <w:bookmarkEnd w:id="122"/>
      <w:bookmarkEnd w:id="123"/>
      <w:bookmarkEnd w:id="124"/>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1.投标文件以及投标人与采购人、本中心就有关投标事宜的所有来往函电，均应以中文汉语书写。除签名、盖章、专用名称等特殊情形外，以中文汉语以外的文字表述的视为无效文件。</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2.投标计量单位，招标文件已有明确规定的，使用招标文件规定的计量单位；招标文件没有规定的，应采用中华人民共和国法定计量单位（货币单位：人民币元），否则视为无效投标文件。</w:t>
      </w:r>
    </w:p>
    <w:bookmarkEnd w:id="120"/>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26" w:name="_（五）投标报价"/>
      <w:bookmarkEnd w:id="126"/>
      <w:bookmarkStart w:id="127" w:name="_Toc254970538"/>
      <w:bookmarkStart w:id="128" w:name="_Toc352700423"/>
      <w:bookmarkStart w:id="129" w:name="_Toc353785293"/>
      <w:bookmarkStart w:id="130" w:name="_Toc254970679"/>
      <w:bookmarkStart w:id="131" w:name="_Hlk92447977"/>
      <w:r>
        <w:rPr>
          <w:rFonts w:hint="eastAsia" w:ascii="宋体" w:hAnsi="宋体" w:eastAsia="宋体" w:cs="Times New Roman"/>
          <w:b/>
          <w:bCs/>
          <w:color w:val="auto"/>
          <w:szCs w:val="21"/>
          <w:highlight w:val="none"/>
        </w:rPr>
        <w:t>（五）投标报价</w:t>
      </w:r>
      <w:bookmarkEnd w:id="127"/>
      <w:bookmarkEnd w:id="128"/>
      <w:bookmarkEnd w:id="129"/>
      <w:bookmarkEnd w:id="130"/>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1.招标文件中未列明，而供应商认为必需的费用也须列入总报价。在合同实施时，采购人将不予支付中标人没有列入总报价的费用，并认为此项费用已包含在总报价中。</w:t>
      </w:r>
    </w:p>
    <w:p>
      <w:pPr>
        <w:snapToGrid w:val="0"/>
        <w:spacing w:line="400" w:lineRule="exact"/>
        <w:ind w:firstLine="420" w:firstLineChars="200"/>
        <w:rPr>
          <w:rFonts w:ascii="宋体" w:hAnsi="Courier New" w:eastAsia="宋体" w:cs="Courier New"/>
          <w:color w:val="auto"/>
          <w:szCs w:val="21"/>
          <w:highlight w:val="none"/>
        </w:rPr>
      </w:pPr>
      <w:r>
        <w:rPr>
          <w:rFonts w:hint="eastAsia" w:ascii="宋体" w:hAnsi="宋体" w:eastAsia="宋体" w:cs="Courier New"/>
          <w:color w:val="auto"/>
          <w:szCs w:val="21"/>
          <w:highlight w:val="none"/>
        </w:rPr>
        <w:t>2.投标报价应按招标文件中相关附表格式填写。投标人</w:t>
      </w:r>
      <w:r>
        <w:rPr>
          <w:rFonts w:hint="eastAsia" w:ascii="宋体" w:hAnsi="Courier New" w:eastAsia="宋体" w:cs="Courier New"/>
          <w:color w:val="auto"/>
          <w:szCs w:val="21"/>
          <w:highlight w:val="none"/>
        </w:rPr>
        <w:t>必须就《项目需求》的内容作完整唯一报价。</w:t>
      </w:r>
    </w:p>
    <w:p>
      <w:pPr>
        <w:tabs>
          <w:tab w:val="left" w:pos="52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3.投标文件每标项只允许有一个总报价，有选择的或有条件的报价视为无效投标文件。</w:t>
      </w:r>
    </w:p>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32" w:name="_（六）投标文件有效期"/>
      <w:bookmarkEnd w:id="132"/>
      <w:bookmarkStart w:id="133" w:name="_Toc353785294"/>
      <w:bookmarkStart w:id="134" w:name="_Toc352700424"/>
      <w:r>
        <w:rPr>
          <w:rFonts w:hint="eastAsia" w:ascii="宋体" w:hAnsi="宋体" w:eastAsia="宋体" w:cs="Times New Roman"/>
          <w:b/>
          <w:bCs/>
          <w:color w:val="auto"/>
          <w:szCs w:val="21"/>
          <w:highlight w:val="none"/>
        </w:rPr>
        <w:t>（六）投标有效期</w:t>
      </w:r>
      <w:bookmarkEnd w:id="131"/>
      <w:bookmarkEnd w:id="133"/>
      <w:bookmarkEnd w:id="134"/>
      <w:bookmarkStart w:id="135" w:name="_（七）投标保证金"/>
      <w:bookmarkEnd w:id="135"/>
      <w:bookmarkStart w:id="136" w:name="_Toc254970541"/>
      <w:bookmarkStart w:id="137" w:name="_Toc353785295"/>
      <w:bookmarkStart w:id="138" w:name="_Toc254970682"/>
      <w:bookmarkStart w:id="139" w:name="_Toc352700425"/>
      <w:bookmarkStart w:id="140" w:name="_Hlk92448848"/>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投标有效期从提交投标文件的截止之日起算。投标文件中承诺的投标有效期应当不少于</w:t>
      </w:r>
      <w:r>
        <w:rPr>
          <w:rFonts w:ascii="Times New Roman" w:hAnsi="Times New Roman" w:eastAsia="宋体" w:cs="Times New Roman"/>
          <w:color w:val="auto"/>
          <w:szCs w:val="24"/>
          <w:highlight w:val="none"/>
        </w:rPr>
        <w:t>90</w:t>
      </w:r>
      <w:r>
        <w:rPr>
          <w:rFonts w:hint="eastAsia" w:ascii="Times New Roman" w:hAnsi="Times New Roman" w:eastAsia="宋体" w:cs="Times New Roman"/>
          <w:color w:val="auto"/>
          <w:szCs w:val="24"/>
          <w:highlight w:val="none"/>
        </w:rPr>
        <w:t>天。</w:t>
      </w:r>
    </w:p>
    <w:p>
      <w:pPr>
        <w:keepNext/>
        <w:keepLines/>
        <w:spacing w:line="400" w:lineRule="exact"/>
        <w:ind w:firstLine="211" w:firstLineChars="100"/>
        <w:outlineLvl w:val="1"/>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（七）投标保证金</w:t>
      </w:r>
      <w:bookmarkEnd w:id="136"/>
      <w:bookmarkEnd w:id="137"/>
      <w:bookmarkEnd w:id="138"/>
      <w:bookmarkEnd w:id="139"/>
    </w:p>
    <w:p>
      <w:pPr>
        <w:snapToGrid w:val="0"/>
        <w:spacing w:line="400" w:lineRule="exact"/>
        <w:ind w:firstLine="420" w:firstLineChars="200"/>
        <w:rPr>
          <w:rFonts w:hint="eastAsia" w:ascii="宋体" w:hAnsi="宋体" w:eastAsia="宋体" w:cs="Times New Roman"/>
          <w:color w:val="auto"/>
          <w:szCs w:val="21"/>
          <w:highlight w:val="none"/>
        </w:rPr>
      </w:pPr>
      <w:bookmarkStart w:id="141" w:name="_Toc254970542"/>
      <w:bookmarkStart w:id="142" w:name="_Toc353785296"/>
      <w:bookmarkStart w:id="143" w:name="_Toc254970683"/>
      <w:bookmarkStart w:id="144" w:name="_Toc352700426"/>
      <w:r>
        <w:rPr>
          <w:rFonts w:hint="eastAsia" w:ascii="宋体" w:hAnsi="宋体" w:eastAsia="宋体" w:cs="Times New Roman"/>
          <w:color w:val="auto"/>
          <w:szCs w:val="21"/>
          <w:highlight w:val="none"/>
        </w:rPr>
        <w:t>1.投标保证金金额：</w:t>
      </w:r>
      <w:r>
        <w:rPr>
          <w:rFonts w:hint="eastAsia" w:ascii="宋体" w:hAnsi="宋体" w:eastAsia="宋体" w:cs="宋体"/>
          <w:b/>
          <w:bCs/>
          <w:color w:val="auto"/>
          <w:highlight w:val="none"/>
          <w:lang w:val="en-US" w:eastAsia="zh-CN"/>
        </w:rPr>
        <w:t>伍万柒仟元整(￥57,000.00)</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2.提交形式：以支票、汇票、本票、网上银行支付</w:t>
      </w:r>
      <w:bookmarkStart w:id="145" w:name="_Hlk91771269"/>
      <w:r>
        <w:rPr>
          <w:rFonts w:hint="eastAsia" w:ascii="宋体" w:hAnsi="宋体" w:eastAsia="宋体" w:cs="Times New Roman"/>
          <w:color w:val="auto"/>
          <w:szCs w:val="21"/>
          <w:highlight w:val="none"/>
        </w:rPr>
        <w:t>或者金融机构、担保机构出具的保函</w:t>
      </w:r>
      <w:bookmarkEnd w:id="145"/>
      <w:r>
        <w:rPr>
          <w:rFonts w:hint="eastAsia" w:ascii="宋体" w:hAnsi="宋体" w:eastAsia="宋体" w:cs="Times New Roman"/>
          <w:color w:val="auto"/>
          <w:szCs w:val="21"/>
          <w:highlight w:val="none"/>
        </w:rPr>
        <w:t>等非现金形式提交。</w:t>
      </w:r>
    </w:p>
    <w:p>
      <w:pPr>
        <w:snapToGrid w:val="0"/>
        <w:spacing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(2)以网上银行形式提交保证金的，投标人必须于投标文件提交截止时间前从投标人账户缴存至本中心银行账户并确保到账，否则视为无效保证金。</w:t>
      </w:r>
    </w:p>
    <w:p>
      <w:pPr>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本中心银行账户：</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开户名称：钦州市政府采购中心</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开户银行：中国工商银行股份有限公司钦州市永福东支行</w:t>
      </w:r>
    </w:p>
    <w:p>
      <w:pPr>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银行账号：2115591229100078724</w:t>
      </w:r>
    </w:p>
    <w:p>
      <w:pPr>
        <w:snapToGrid w:val="0"/>
        <w:spacing w:line="400" w:lineRule="exact"/>
        <w:ind w:firstLine="42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注：投标人无法选择以上开户银行的，请选择“中国工商银行股份有限公司钦州分行”进行缴存。</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3.评标委员会将以投标人递交的支票、汇票、本票、保函原件以及本中心财务室出具的《保证金收缴情况表》作为评审依据，对未按规定提交投标保证金的投标文件作无效处理。</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4.保证金的退付：</w:t>
      </w:r>
    </w:p>
    <w:tbl>
      <w:tblPr>
        <w:tblStyle w:val="48"/>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firstLine="33" w:firstLineChars="1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注：因投标人自身原因导致无法及时退还的除外</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5.投标人有下列情形之一的，投标保证金将不予退还：</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(1)投标人在投标有效期内撤回投标文件的；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(2)投标人在投标文件中提供虚假材料的；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(3)投标人与其他投标人或采购代理机构恶意串通的；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(4)中标人无正当理由不与采购人签订采购合同的；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(5)招标文件规定的其他情形。</w:t>
      </w:r>
    </w:p>
    <w:bookmarkEnd w:id="140"/>
    <w:bookmarkEnd w:id="141"/>
    <w:bookmarkEnd w:id="142"/>
    <w:bookmarkEnd w:id="143"/>
    <w:bookmarkEnd w:id="144"/>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（八）投标文件的上传、提交、修改、撤回</w:t>
      </w:r>
    </w:p>
    <w:p>
      <w:pPr>
        <w:snapToGrid w:val="0"/>
        <w:spacing w:line="410" w:lineRule="exact"/>
        <w:ind w:firstLine="420" w:firstLineChars="200"/>
        <w:rPr>
          <w:rFonts w:hint="eastAsia" w:ascii="宋体" w:hAnsi="宋体" w:eastAsia="宋体" w:cs="Times New Roman"/>
          <w:color w:val="auto"/>
          <w:szCs w:val="21"/>
          <w:highlight w:val="none"/>
        </w:rPr>
      </w:pPr>
      <w:bookmarkStart w:id="146" w:name="_Toc353785297"/>
      <w:bookmarkStart w:id="147" w:name="_Toc352700427"/>
      <w:r>
        <w:rPr>
          <w:rFonts w:hint="eastAsia" w:ascii="宋体" w:hAnsi="宋体" w:eastAsia="宋体" w:cs="Times New Roman"/>
          <w:color w:val="auto"/>
          <w:szCs w:val="21"/>
          <w:highlight w:val="none"/>
        </w:rPr>
        <w:t>1.投标文件的上传和提交:投标人须将编制好的加密投标文件上传至政府采购云平台，并在投标文件提交截止时间前提交，否则</w:t>
      </w:r>
      <w:bookmarkStart w:id="148" w:name="_Hlk91772691"/>
      <w:r>
        <w:rPr>
          <w:rFonts w:hint="eastAsia" w:ascii="宋体" w:hAnsi="宋体" w:eastAsia="宋体" w:cs="Times New Roman"/>
          <w:color w:val="auto"/>
          <w:szCs w:val="21"/>
          <w:highlight w:val="none"/>
        </w:rPr>
        <w:t>政府采购云平台</w:t>
      </w:r>
      <w:bookmarkEnd w:id="148"/>
      <w:r>
        <w:rPr>
          <w:rFonts w:hint="eastAsia" w:ascii="宋体" w:hAnsi="宋体" w:eastAsia="宋体" w:cs="Times New Roman"/>
          <w:color w:val="auto"/>
          <w:szCs w:val="21"/>
          <w:highlight w:val="none"/>
        </w:rPr>
        <w:t>将予以拒收。投标文件提交成功后，投标人可自行打印投标文件接收回执。</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color w:val="auto"/>
          <w:sz w:val="24"/>
          <w:szCs w:val="24"/>
          <w:highlight w:val="none"/>
        </w:rPr>
      </w:pPr>
      <w:bookmarkStart w:id="149" w:name="_四、开标"/>
      <w:bookmarkEnd w:id="149"/>
      <w:r>
        <w:rPr>
          <w:rFonts w:hint="eastAsia" w:ascii="方正小标宋_GBK" w:hAnsi="Arial" w:eastAsia="方正小标宋_GBK" w:cs="Times New Roman"/>
          <w:color w:val="auto"/>
          <w:sz w:val="24"/>
          <w:szCs w:val="24"/>
          <w:highlight w:val="none"/>
        </w:rPr>
        <w:t>四、开标</w:t>
      </w:r>
      <w:bookmarkStart w:id="150" w:name="_Toc353785300"/>
      <w:bookmarkStart w:id="151" w:name="_Toc352700430"/>
    </w:p>
    <w:bookmarkEnd w:id="150"/>
    <w:bookmarkEnd w:id="151"/>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（一）本中心将在投标文件提交截止时间后在</w:t>
      </w:r>
      <w:bookmarkStart w:id="152" w:name="_Hlk90300735"/>
      <w:r>
        <w:rPr>
          <w:rFonts w:hint="eastAsia" w:ascii="Times New Roman" w:hAnsi="Times New Roman" w:eastAsia="宋体" w:cs="Times New Roman"/>
          <w:color w:val="auto"/>
          <w:szCs w:val="24"/>
          <w:highlight w:val="none"/>
        </w:rPr>
        <w:t>政采云远程开标大厅</w:t>
      </w:r>
      <w:bookmarkEnd w:id="152"/>
      <w:r>
        <w:rPr>
          <w:rFonts w:hint="eastAsia" w:ascii="Times New Roman" w:hAnsi="Times New Roman" w:eastAsia="宋体" w:cs="Times New Roman"/>
          <w:color w:val="auto"/>
          <w:szCs w:val="24"/>
          <w:highlight w:val="none"/>
        </w:rPr>
        <w:t>进行开标，投标人法定代表人或委托代理人须按时登录</w:t>
      </w:r>
      <w:bookmarkStart w:id="153" w:name="_Hlk90300780"/>
      <w:r>
        <w:rPr>
          <w:rFonts w:hint="eastAsia" w:ascii="Times New Roman" w:hAnsi="Times New Roman" w:eastAsia="宋体" w:cs="Times New Roman"/>
          <w:color w:val="auto"/>
          <w:szCs w:val="24"/>
          <w:highlight w:val="none"/>
        </w:rPr>
        <w:t>政采云远程开标大厅</w:t>
      </w:r>
      <w:bookmarkEnd w:id="153"/>
      <w:r>
        <w:rPr>
          <w:rFonts w:hint="eastAsia" w:ascii="Times New Roman" w:hAnsi="Times New Roman" w:eastAsia="宋体" w:cs="Times New Roman"/>
          <w:color w:val="auto"/>
          <w:szCs w:val="24"/>
          <w:highlight w:val="none"/>
        </w:rPr>
        <w:t>（政府采购云平台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应用中心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开标评标），保持全程在线并关注开标评标进度，评标期间评标委员会提出澄清等要求时，投标人须在规定时间内进行应答，否则按招标文件或政采云平台的相关规定执行。</w:t>
      </w:r>
      <w:bookmarkStart w:id="154" w:name="_Toc353785301"/>
      <w:bookmarkStart w:id="155" w:name="_Toc352700431"/>
    </w:p>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（二）开标程序</w:t>
      </w:r>
      <w:bookmarkEnd w:id="154"/>
      <w:bookmarkEnd w:id="155"/>
    </w:p>
    <w:p>
      <w:pPr>
        <w:spacing w:line="410" w:lineRule="exact"/>
        <w:ind w:left="42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开标会由本中心主持；</w:t>
      </w:r>
    </w:p>
    <w:p>
      <w:pPr>
        <w:spacing w:line="41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b/>
          <w:bCs/>
          <w:color w:val="auto"/>
          <w:szCs w:val="24"/>
          <w:highlight w:val="none"/>
        </w:rPr>
        <w:t>解密：</w:t>
      </w:r>
      <w:r>
        <w:rPr>
          <w:rFonts w:hint="eastAsia" w:ascii="Times New Roman" w:hAnsi="Times New Roman" w:eastAsia="宋体" w:cs="Times New Roman"/>
          <w:color w:val="auto"/>
          <w:szCs w:val="24"/>
          <w:highlight w:val="none"/>
        </w:rPr>
        <w:t>投标文件提交时间截止后，我中心将向各提交投标文件的投标人发出电子加密投标文件解密通知，投标人代表应当在接到解密通知后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分钟内对已加密的电子投标文件进行在线解密。投标人未在规定时间内完成解密的，政府采购云平台视为投标人自主放弃投标。</w:t>
      </w:r>
    </w:p>
    <w:p>
      <w:pPr>
        <w:spacing w:line="41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注：当招标项目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或分标</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的投标人不足</w:t>
      </w: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家的，不开标。</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（三）资格审查</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1.采购人依法对投标人的资格进行审查，招标项目(或分标)</w:t>
      </w:r>
      <w:r>
        <w:rPr>
          <w:rFonts w:hint="eastAsia" w:ascii="Arial" w:hAnsi="Arial" w:eastAsia="宋体" w:cs="Arial"/>
          <w:color w:val="auto"/>
          <w:szCs w:val="24"/>
          <w:highlight w:val="none"/>
        </w:rPr>
        <w:t>合格投标人不足</w:t>
      </w:r>
      <w:r>
        <w:rPr>
          <w:rFonts w:ascii="Arial" w:hAnsi="Arial" w:eastAsia="宋体" w:cs="Arial"/>
          <w:color w:val="auto"/>
          <w:szCs w:val="24"/>
          <w:highlight w:val="none"/>
        </w:rPr>
        <w:t>3</w:t>
      </w:r>
      <w:r>
        <w:rPr>
          <w:rFonts w:hint="eastAsia" w:ascii="Arial" w:hAnsi="Arial" w:eastAsia="宋体" w:cs="Arial"/>
          <w:color w:val="auto"/>
          <w:szCs w:val="24"/>
          <w:highlight w:val="none"/>
        </w:rPr>
        <w:t>家的，不评标</w:t>
      </w:r>
      <w:r>
        <w:rPr>
          <w:rFonts w:hint="eastAsia" w:ascii="宋体" w:hAnsi="宋体" w:eastAsia="宋体" w:cs="Times New Roman"/>
          <w:color w:val="auto"/>
          <w:szCs w:val="21"/>
          <w:highlight w:val="none"/>
        </w:rPr>
        <w:t>。</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2.资格性审查时，如发现下列情形之一的，投标文件将被视为无效：</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(1)超越了按照法律法规规定必须获得行政许可或者行政审批的经营范围的；</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(2)资格证明文件不全的，或者不符合招标文件标明的资格要求的；</w:t>
      </w:r>
    </w:p>
    <w:p>
      <w:pPr>
        <w:snapToGrid w:val="0"/>
        <w:spacing w:line="41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keepNext/>
        <w:keepLines/>
        <w:spacing w:line="410" w:lineRule="exact"/>
        <w:outlineLvl w:val="1"/>
        <w:rPr>
          <w:rFonts w:ascii="方正小标宋_GBK" w:hAnsi="Arial" w:eastAsia="方正小标宋_GBK" w:cs="Times New Roman"/>
          <w:color w:val="auto"/>
          <w:sz w:val="24"/>
          <w:szCs w:val="24"/>
          <w:highlight w:val="none"/>
        </w:rPr>
      </w:pPr>
      <w:bookmarkStart w:id="156" w:name="_五、评标"/>
      <w:bookmarkEnd w:id="156"/>
      <w:bookmarkStart w:id="157" w:name="_Toc254970545"/>
      <w:bookmarkStart w:id="158" w:name="_Toc353785302"/>
      <w:bookmarkStart w:id="159" w:name="_Toc352700432"/>
      <w:bookmarkStart w:id="160" w:name="_Toc254970686"/>
      <w:r>
        <w:rPr>
          <w:rFonts w:hint="eastAsia" w:ascii="方正小标宋_GBK" w:hAnsi="Arial" w:eastAsia="方正小标宋_GBK" w:cs="Times New Roman"/>
          <w:color w:val="auto"/>
          <w:sz w:val="24"/>
          <w:szCs w:val="24"/>
          <w:highlight w:val="none"/>
        </w:rPr>
        <w:t>五、评标</w:t>
      </w:r>
      <w:bookmarkEnd w:id="157"/>
      <w:bookmarkEnd w:id="158"/>
      <w:bookmarkEnd w:id="159"/>
      <w:bookmarkEnd w:id="160"/>
    </w:p>
    <w:p>
      <w:pPr>
        <w:snapToGrid w:val="0"/>
        <w:spacing w:line="410" w:lineRule="exact"/>
        <w:ind w:firstLine="211" w:firstLineChars="100"/>
        <w:rPr>
          <w:rFonts w:hint="eastAsia" w:ascii="宋体" w:hAnsi="宋体" w:eastAsia="宋体" w:cs="Times New Roman"/>
          <w:b/>
          <w:bCs/>
          <w:color w:val="auto"/>
          <w:szCs w:val="21"/>
          <w:highlight w:val="none"/>
        </w:rPr>
      </w:pPr>
      <w:bookmarkStart w:id="161" w:name="_Toc353785303"/>
      <w:bookmarkStart w:id="162" w:name="_Toc352700433"/>
      <w:r>
        <w:rPr>
          <w:rFonts w:hint="eastAsia" w:ascii="宋体" w:hAnsi="宋体" w:eastAsia="宋体" w:cs="Times New Roman"/>
          <w:b/>
          <w:bCs/>
          <w:color w:val="auto"/>
          <w:szCs w:val="21"/>
          <w:highlight w:val="none"/>
        </w:rPr>
        <w:t>（一）评标原则：</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Courier New"/>
          <w:color w:val="auto"/>
          <w:szCs w:val="21"/>
          <w:highlight w:val="none"/>
        </w:rPr>
        <w:t>本项目采用不公开方式评标，评标的依据为招标文件和投标文件。</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3.</w:t>
      </w:r>
      <w:r>
        <w:rPr>
          <w:rFonts w:hint="eastAsia" w:ascii="宋体" w:hAnsi="宋体" w:eastAsia="宋体" w:cs="宋体"/>
          <w:color w:val="auto"/>
          <w:szCs w:val="21"/>
          <w:highlight w:val="none"/>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Times New Roman" w:hAnsi="Times New Roman" w:eastAsia="宋体" w:cs="Times New Roman"/>
          <w:b/>
          <w:bCs/>
          <w:color w:val="auto"/>
          <w:szCs w:val="24"/>
          <w:highlight w:val="none"/>
        </w:rPr>
        <w:t>（二）组建评标委员会</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bCs/>
          <w:color w:val="auto"/>
          <w:szCs w:val="21"/>
          <w:highlight w:val="none"/>
        </w:rPr>
        <w:t>评标委员会由采购人代表和评审专家组成，成员人数应当为5人以上单数，其中评审专家不得少于成员总数的三分之二。</w:t>
      </w:r>
      <w:bookmarkEnd w:id="161"/>
      <w:bookmarkEnd w:id="162"/>
    </w:p>
    <w:p>
      <w:pPr>
        <w:spacing w:line="410" w:lineRule="exact"/>
        <w:ind w:firstLine="211" w:firstLineChars="100"/>
        <w:rPr>
          <w:rFonts w:hint="eastAsia" w:ascii="宋体" w:hAnsi="宋体" w:eastAsia="宋体" w:cs="Courier New"/>
          <w:color w:val="auto"/>
          <w:szCs w:val="21"/>
          <w:highlight w:val="none"/>
        </w:rPr>
      </w:pPr>
      <w:r>
        <w:rPr>
          <w:rFonts w:hint="eastAsia" w:ascii="宋体" w:hAnsi="宋体" w:eastAsia="宋体" w:cs="Times New Roman"/>
          <w:b/>
          <w:bCs/>
          <w:color w:val="auto"/>
          <w:szCs w:val="21"/>
          <w:highlight w:val="none"/>
        </w:rPr>
        <w:t>（三）符合性审查</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评标委员会对符合资格的投标人投标文件进行符合性审查，以确定其是否满足招标文件的实质性要求。</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1.符合性审查时，如发现下列情形之一的，投标文件将被视为无效：</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(1)商务评审:</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①应交未交投标保证金的；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③投标文件无法定代表人或其委托代理人签署、未提供授权委托书，或未按规定盖章的；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⑤投</w:t>
      </w:r>
      <w:bookmarkStart w:id="163" w:name="_Hlk112423038"/>
      <w:r>
        <w:rPr>
          <w:rFonts w:hint="eastAsia" w:ascii="宋体" w:hAnsi="宋体" w:eastAsia="宋体" w:cs="Times New Roman"/>
          <w:color w:val="auto"/>
          <w:szCs w:val="21"/>
          <w:highlight w:val="none"/>
        </w:rPr>
        <w:t>标有效期、交货时间、质保期等不允许偏离的实质性要求和条件不能满足招标文件要求的；</w:t>
      </w:r>
      <w:bookmarkEnd w:id="163"/>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⑦未实质性响应招标文件要求或者投标文件有采购人不能接受的附加条件的；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(2)技术评审：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w:t>
      </w:r>
      <w:r>
        <w:rPr>
          <w:rFonts w:hint="eastAsia" w:ascii="宋体" w:hAnsi="宋体" w:eastAsia="宋体" w:cs="Times New Roman"/>
          <w:color w:val="auto"/>
          <w:szCs w:val="21"/>
          <w:highlight w:val="none"/>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③投标文件技术方案不明确，存在一个或一个以上备选（替代）投标方案的。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(3)报价评审：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①报价超过招标文件中规定的预算金额或者最高限价的；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②未采用人民币报价或者未按照招标文件标明的币种报价的；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③投标报价具有选择性；</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④</w:t>
      </w:r>
      <w:r>
        <w:rPr>
          <w:rFonts w:hint="eastAsia" w:ascii="宋体" w:hAnsi="宋体" w:eastAsia="宋体" w:cs="Courier New"/>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⑤</w:t>
      </w:r>
      <w:bookmarkStart w:id="164" w:name="OLE_LINK4"/>
      <w:r>
        <w:rPr>
          <w:rFonts w:hint="eastAsia" w:ascii="宋体" w:hAnsi="宋体" w:eastAsia="宋体" w:cs="Times New Roman"/>
          <w:color w:val="auto"/>
          <w:spacing w:val="-4"/>
          <w:szCs w:val="21"/>
          <w:highlight w:val="none"/>
        </w:rPr>
        <w:t>评审中出现下列情形之一的，评审小组应当启动异常低价响应审查程序:</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A.响应报价低于全部通过符合性审查供应商响应报价平均值50%的，即响应报价＜全部通过符合性审查供应商响应报价平均值×50%；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B.响应报价低于通过符合性审查的次低报价供应商响应报价50%的，即响应报价＜通过符合性审查的次低报价供应商响应报价×50%；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C.响应报价低于采购项目最高限价45%的，即响应报价＜采购项目最高限价×45%。（未设定最高限价的采购项目，以采购项目预算金额作为最高限价）</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D.评审小组基于专业判断，认为供应商报价过低，有可能影响产品质量或者不能诚信履约的其他情形。</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E.相关法律法规对供应商报价有规定的，从其规定。</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F.评审小组启动异常低价响应审查后，属于前述第</w:t>
      </w:r>
      <w:r>
        <w:rPr>
          <w:rFonts w:hint="eastAsia" w:ascii="宋体" w:hAnsi="宋体" w:eastAsia="宋体" w:cs="Times New Roman"/>
          <w:color w:val="auto"/>
          <w:spacing w:val="-4"/>
          <w:szCs w:val="21"/>
          <w:highlight w:val="none"/>
          <w:lang w:val="en-US" w:eastAsia="zh-CN"/>
        </w:rPr>
        <w:t>A</w:t>
      </w:r>
      <w:r>
        <w:rPr>
          <w:rFonts w:hint="eastAsia" w:ascii="宋体" w:hAnsi="宋体" w:eastAsia="宋体" w:cs="Times New Roman"/>
          <w:color w:val="auto"/>
          <w:spacing w:val="-4"/>
          <w:szCs w:val="21"/>
          <w:highlight w:val="none"/>
        </w:rPr>
        <w:t>项至第</w:t>
      </w:r>
      <w:r>
        <w:rPr>
          <w:rFonts w:hint="eastAsia" w:ascii="宋体" w:hAnsi="宋体" w:eastAsia="宋体" w:cs="Times New Roman"/>
          <w:color w:val="auto"/>
          <w:spacing w:val="-4"/>
          <w:szCs w:val="21"/>
          <w:highlight w:val="none"/>
          <w:lang w:val="en-US" w:eastAsia="zh-CN"/>
        </w:rPr>
        <w:t>D</w:t>
      </w:r>
      <w:r>
        <w:rPr>
          <w:rFonts w:hint="eastAsia" w:ascii="宋体" w:hAnsi="宋体" w:eastAsia="宋体" w:cs="Times New Roman"/>
          <w:color w:val="auto"/>
          <w:spacing w:val="-4"/>
          <w:szCs w:val="21"/>
          <w:highlight w:val="none"/>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Times New Roman"/>
          <w:color w:val="auto"/>
          <w:spacing w:val="-4"/>
          <w:szCs w:val="21"/>
          <w:highlight w:val="none"/>
          <w:lang w:val="en-US" w:eastAsia="zh-CN"/>
        </w:rPr>
        <w:t>C</w:t>
      </w:r>
      <w:r>
        <w:rPr>
          <w:rFonts w:hint="eastAsia" w:ascii="宋体" w:hAnsi="宋体" w:eastAsia="宋体" w:cs="Times New Roman"/>
          <w:color w:val="auto"/>
          <w:spacing w:val="-4"/>
          <w:szCs w:val="21"/>
          <w:highlight w:val="none"/>
        </w:rPr>
        <w:t>项情形，供应商已随响应文件一并提交相关书面说明及必要的证明材料的，在评审现场可不再重复提交。</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bookmarkEnd w:id="164"/>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（四）比较与评价</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Courier New" w:eastAsia="宋体" w:cs="Courier New"/>
          <w:color w:val="auto"/>
          <w:szCs w:val="21"/>
          <w:highlight w:val="none"/>
        </w:rPr>
        <w:t>评分细则：</w:t>
      </w:r>
      <w:bookmarkStart w:id="165" w:name="_Hlk92463857"/>
      <w:r>
        <w:rPr>
          <w:rFonts w:hint="eastAsia" w:ascii="宋体" w:hAnsi="Courier New" w:eastAsia="宋体" w:cs="Courier New"/>
          <w:color w:val="auto"/>
          <w:szCs w:val="21"/>
          <w:highlight w:val="none"/>
        </w:rPr>
        <w:t>详见第四章《评定标准及推荐原则》</w:t>
      </w:r>
      <w:bookmarkEnd w:id="165"/>
      <w:r>
        <w:rPr>
          <w:rFonts w:hint="eastAsia" w:ascii="宋体" w:hAnsi="Courier New" w:eastAsia="宋体" w:cs="Courier New"/>
          <w:color w:val="auto"/>
          <w:szCs w:val="21"/>
          <w:highlight w:val="none"/>
        </w:rPr>
        <w:t>。</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2.评标委员会按评分细则对各投标人的投标文件进行评价打分，由政府采购云平台进行计算。</w:t>
      </w:r>
    </w:p>
    <w:p>
      <w:pPr>
        <w:snapToGrid w:val="0"/>
        <w:spacing w:line="410" w:lineRule="exact"/>
        <w:ind w:firstLine="420" w:firstLineChars="200"/>
        <w:rPr>
          <w:rFonts w:hint="eastAsia" w:ascii="宋体" w:hAnsi="宋体" w:eastAsia="宋体" w:cs="Times New Roman"/>
          <w:color w:val="auto"/>
          <w:szCs w:val="21"/>
          <w:highlight w:val="none"/>
        </w:rPr>
      </w:pPr>
      <w:bookmarkStart w:id="166" w:name="_Hlk90303998"/>
      <w:r>
        <w:rPr>
          <w:rFonts w:hint="eastAsia" w:ascii="宋体" w:hAnsi="宋体" w:eastAsia="宋体" w:cs="Times New Roman"/>
          <w:color w:val="auto"/>
          <w:szCs w:val="21"/>
          <w:highlight w:val="none"/>
        </w:rPr>
        <w:t>2.评标委员会</w:t>
      </w:r>
      <w:bookmarkEnd w:id="166"/>
      <w:r>
        <w:rPr>
          <w:rFonts w:hint="eastAsia" w:ascii="宋体" w:hAnsi="宋体" w:eastAsia="宋体" w:cs="Times New Roman"/>
          <w:color w:val="auto"/>
          <w:szCs w:val="21"/>
          <w:highlight w:val="none"/>
        </w:rPr>
        <w:t>完成评标后,由政府采购云平台对各投标人各项得分进行汇总，计算各投标人最终得分。评标委员会按推荐原则推荐中标候选人同时形成评标报告。</w:t>
      </w:r>
      <w:bookmarkStart w:id="167" w:name="_Toc353785306"/>
      <w:bookmarkStart w:id="168" w:name="_Toc352700436"/>
    </w:p>
    <w:p>
      <w:pPr>
        <w:snapToGrid w:val="0"/>
        <w:spacing w:line="410" w:lineRule="exact"/>
        <w:ind w:firstLine="211" w:firstLineChars="100"/>
        <w:rPr>
          <w:rFonts w:hint="eastAsia" w:ascii="宋体" w:hAnsi="宋体" w:eastAsia="宋体" w:cs="Times New Roman"/>
          <w:b/>
          <w:bCs/>
          <w:color w:val="auto"/>
          <w:szCs w:val="32"/>
          <w:highlight w:val="none"/>
        </w:rPr>
      </w:pPr>
      <w:r>
        <w:rPr>
          <w:rFonts w:hint="eastAsia" w:ascii="宋体" w:hAnsi="宋体" w:eastAsia="宋体" w:cs="Times New Roman"/>
          <w:b/>
          <w:bCs/>
          <w:color w:val="auto"/>
          <w:szCs w:val="32"/>
          <w:highlight w:val="none"/>
        </w:rPr>
        <w:t>（五）澄清问题的形式</w:t>
      </w:r>
      <w:bookmarkEnd w:id="167"/>
      <w:bookmarkEnd w:id="168"/>
    </w:p>
    <w:p>
      <w:pPr>
        <w:spacing w:line="410" w:lineRule="exact"/>
        <w:ind w:firstLine="420" w:firstLineChars="200"/>
        <w:rPr>
          <w:rFonts w:ascii="Times New Roman" w:hAnsi="Times New Roman" w:eastAsia="宋体" w:cs="Times New Roman"/>
          <w:color w:val="auto"/>
          <w:szCs w:val="24"/>
          <w:highlight w:val="none"/>
        </w:rPr>
      </w:pPr>
      <w:bookmarkStart w:id="169" w:name="_Toc352700437"/>
      <w:bookmarkStart w:id="170" w:name="_Toc353785307"/>
      <w:r>
        <w:rPr>
          <w:rFonts w:hint="eastAsia" w:ascii="Times New Roman" w:hAnsi="Times New Roman" w:eastAsia="宋体" w:cs="Times New Roman"/>
          <w:color w:val="auto"/>
          <w:szCs w:val="24"/>
          <w:highlight w:val="none"/>
        </w:rPr>
        <w:t>对于投标文件中含义不明确、同类问题表述不一致或者有明显文字和计算错误的内容，评标委员会应当以书面形式要求投标人作出必要的</w:t>
      </w:r>
      <w:bookmarkStart w:id="171" w:name="_Hlk92457660"/>
      <w:r>
        <w:rPr>
          <w:rFonts w:hint="eastAsia" w:ascii="Times New Roman" w:hAnsi="Times New Roman" w:eastAsia="宋体" w:cs="Times New Roman"/>
          <w:color w:val="auto"/>
          <w:szCs w:val="24"/>
          <w:highlight w:val="none"/>
        </w:rPr>
        <w:t>澄清、说明或者补正</w:t>
      </w:r>
      <w:bookmarkEnd w:id="171"/>
      <w:r>
        <w:rPr>
          <w:rFonts w:hint="eastAsia" w:ascii="Times New Roman" w:hAnsi="Times New Roman" w:eastAsia="宋体" w:cs="Times New Roman"/>
          <w:color w:val="auto"/>
          <w:szCs w:val="24"/>
          <w:highlight w:val="none"/>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（六）错误修正</w:t>
      </w:r>
      <w:bookmarkEnd w:id="169"/>
      <w:bookmarkEnd w:id="170"/>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投标文件报价出现前后不一致的，除招标文件另有规定外，按照下列规定修正：</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1.投标文件中开标一览表内容</w:t>
      </w:r>
      <w:bookmarkStart w:id="172" w:name="_Hlk92464203"/>
      <w:r>
        <w:rPr>
          <w:rFonts w:hint="eastAsia" w:ascii="宋体" w:hAnsi="宋体" w:eastAsia="宋体" w:cs="Courier New"/>
          <w:color w:val="auto"/>
          <w:szCs w:val="21"/>
          <w:highlight w:val="none"/>
        </w:rPr>
        <w:t>与投标文件中相应内容不一致的</w:t>
      </w:r>
      <w:bookmarkEnd w:id="172"/>
      <w:r>
        <w:rPr>
          <w:rFonts w:hint="eastAsia" w:ascii="宋体" w:hAnsi="宋体" w:eastAsia="宋体" w:cs="Courier New"/>
          <w:color w:val="auto"/>
          <w:szCs w:val="21"/>
          <w:highlight w:val="none"/>
        </w:rPr>
        <w:t>，以开标一览表为准；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2.大写金额和小写金额不一致的，以大写金额为准；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3.单价金额小数点或者百分比有明显错位的，以开标一览表的总价为准，并修改单价；</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4.总价金额与按单价汇总金额不一致的，以单价金额计算结果为准。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46"/>
    <w:bookmarkEnd w:id="147"/>
    <w:p>
      <w:pPr>
        <w:spacing w:line="410" w:lineRule="exact"/>
        <w:ind w:firstLine="211" w:firstLineChars="100"/>
        <w:rPr>
          <w:rFonts w:hint="eastAsia" w:ascii="宋体" w:hAnsi="宋体" w:eastAsia="宋体" w:cs="Courier New"/>
          <w:b/>
          <w:color w:val="auto"/>
          <w:szCs w:val="21"/>
          <w:highlight w:val="none"/>
        </w:rPr>
      </w:pPr>
      <w:bookmarkStart w:id="173" w:name="_Toc254970544"/>
      <w:bookmarkStart w:id="174" w:name="_Toc352700429"/>
      <w:bookmarkStart w:id="175" w:name="_Toc254970685"/>
      <w:bookmarkStart w:id="176" w:name="_Toc353785299"/>
      <w:r>
        <w:rPr>
          <w:rFonts w:hint="eastAsia" w:ascii="宋体" w:hAnsi="宋体" w:eastAsia="宋体" w:cs="Courier New"/>
          <w:b/>
          <w:color w:val="auto"/>
          <w:szCs w:val="21"/>
          <w:highlight w:val="none"/>
        </w:rPr>
        <w:t>（七）核心产品相同品牌产品投标、串通投标、恶意串通行为的说明：</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2.有下列情形之一的视为供应商相互串通投标，投标文件将被视为无效：</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(1)不同投标人的投标文件由同一单位或者个人编制；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(2)不同投标人委托同一单位或者个人办理投标事宜；</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(3)不同投标人的投标文件载明的项目管理成员或者联系人员为同一人；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(4)不同投标人的投标文件异常一致或者投标报价呈规律性差异；</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(5)不同投标人的投标文件相互混装；</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(6)不同投标人的投标保证金从同一单位或者个人的账户转出。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3.供应商有下列情形之一的，属于</w:t>
      </w:r>
      <w:bookmarkStart w:id="177" w:name="_Hlk90304995"/>
      <w:r>
        <w:rPr>
          <w:rFonts w:hint="eastAsia" w:ascii="宋体" w:hAnsi="宋体" w:eastAsia="宋体" w:cs="Times New Roman"/>
          <w:color w:val="auto"/>
          <w:szCs w:val="24"/>
          <w:highlight w:val="none"/>
        </w:rPr>
        <w:t>恶意串通</w:t>
      </w:r>
      <w:bookmarkEnd w:id="177"/>
      <w:r>
        <w:rPr>
          <w:rFonts w:hint="eastAsia" w:ascii="宋体" w:hAnsi="宋体" w:eastAsia="宋体" w:cs="Times New Roman"/>
          <w:color w:val="auto"/>
          <w:szCs w:val="24"/>
          <w:highlight w:val="none"/>
        </w:rPr>
        <w:t>：</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(1)供应商直接或者间接从采购人或者采购代理机构处获得其他供应商的相关信息并修改其投标文件：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(2)供应商按照采购人或者采购代理机构的授意撤换、修改投标文件；</w:t>
      </w:r>
    </w:p>
    <w:p>
      <w:pPr>
        <w:spacing w:line="410" w:lineRule="exac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ab/>
      </w:r>
      <w:r>
        <w:rPr>
          <w:rFonts w:hint="eastAsia" w:ascii="宋体" w:hAnsi="宋体" w:eastAsia="宋体" w:cs="Times New Roman"/>
          <w:color w:val="auto"/>
          <w:szCs w:val="24"/>
          <w:highlight w:val="none"/>
        </w:rPr>
        <w:t>(3)供应商之间协商报价、技术方案等投标文件的实质性内容；</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(4)属于同一集团、协会、商会等组织成员的供应商按照该组织要求协同参加政府采购活动；</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(5)供应商之间事先约定一致抬高或者压低报价，或者在采购项目中事先约定轮流以高价位或者低价位成交，或者事先约定由某一特定供应商成交，然后再参加投标；</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(6)供应商之间商定部分供应商放弃参加政府采购活动或者放弃成交；</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(7)供应商与采购人或者采购代理机构之间、供应商相互之间，为谋求特定供应商成交或者排斥其他供应商的其他串通行为。</w:t>
      </w:r>
    </w:p>
    <w:p>
      <w:pPr>
        <w:spacing w:line="410" w:lineRule="exact"/>
        <w:ind w:firstLine="211" w:firstLineChars="100"/>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（八）废标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出现下列情形之一的，应予废标：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1.符合专业条件的供应商或者对招标文件作实质响应的供应商不足三家的；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2.出现影响采购公正的违法、违规行为的；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3.投标人的报价均超过了采购预算，采购人不能支付的；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4.因重大变故，采购任务取消的。</w:t>
      </w:r>
      <w:bookmarkEnd w:id="173"/>
      <w:bookmarkEnd w:id="174"/>
      <w:bookmarkEnd w:id="175"/>
      <w:bookmarkEnd w:id="176"/>
    </w:p>
    <w:p>
      <w:pPr>
        <w:spacing w:line="410" w:lineRule="exact"/>
        <w:ind w:firstLine="211" w:firstLineChars="100"/>
        <w:rPr>
          <w:rFonts w:ascii="Times New Roman" w:hAnsi="Times New Roman" w:eastAsia="宋体" w:cs="Times New Roman"/>
          <w:b/>
          <w:bCs/>
          <w:color w:val="auto"/>
          <w:szCs w:val="24"/>
          <w:highlight w:val="none"/>
        </w:rPr>
      </w:pPr>
      <w:bookmarkStart w:id="178" w:name="_Toc353785309"/>
      <w:bookmarkStart w:id="179" w:name="_Toc352700439"/>
      <w:r>
        <w:rPr>
          <w:rFonts w:hint="eastAsia" w:ascii="Times New Roman" w:hAnsi="Times New Roman" w:eastAsia="宋体" w:cs="Times New Roman"/>
          <w:b/>
          <w:bCs/>
          <w:color w:val="auto"/>
          <w:szCs w:val="24"/>
          <w:highlight w:val="none"/>
        </w:rPr>
        <w:t>（</w:t>
      </w:r>
      <w:r>
        <w:rPr>
          <w:rFonts w:hint="eastAsia" w:ascii="Times New Roman" w:hAnsi="宋体" w:eastAsia="宋体" w:cs="Times New Roman"/>
          <w:b/>
          <w:color w:val="auto"/>
          <w:szCs w:val="24"/>
          <w:highlight w:val="none"/>
        </w:rPr>
        <w:t>九</w:t>
      </w:r>
      <w:r>
        <w:rPr>
          <w:rFonts w:hint="eastAsia" w:ascii="Times New Roman" w:hAnsi="Times New Roman" w:eastAsia="宋体" w:cs="Times New Roman"/>
          <w:b/>
          <w:bCs/>
          <w:color w:val="auto"/>
          <w:szCs w:val="24"/>
          <w:highlight w:val="none"/>
        </w:rPr>
        <w:t>）评标过程的监控</w:t>
      </w:r>
      <w:bookmarkEnd w:id="178"/>
      <w:bookmarkEnd w:id="179"/>
    </w:p>
    <w:p>
      <w:pPr>
        <w:snapToGrid w:val="0"/>
        <w:spacing w:line="41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本项目评标过程实行全程录音、录像监控，投标人在评标过程中所进行的试图影响评标结果的不公正活动，可能导致其投标无效。</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80" w:name="_Toc254970546"/>
      <w:bookmarkStart w:id="181" w:name="_Toc352700440"/>
      <w:bookmarkStart w:id="182" w:name="_Toc353785310"/>
      <w:bookmarkStart w:id="183" w:name="_Toc254970687"/>
      <w:r>
        <w:rPr>
          <w:rFonts w:hint="eastAsia" w:ascii="方正小标宋_GBK" w:hAnsi="Arial" w:eastAsia="方正小标宋_GBK" w:cs="Times New Roman"/>
          <w:bCs/>
          <w:color w:val="auto"/>
          <w:sz w:val="24"/>
          <w:szCs w:val="24"/>
          <w:highlight w:val="none"/>
        </w:rPr>
        <w:t>六、评标结果</w:t>
      </w:r>
      <w:bookmarkEnd w:id="180"/>
      <w:bookmarkEnd w:id="181"/>
      <w:bookmarkEnd w:id="182"/>
      <w:bookmarkEnd w:id="183"/>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bCs/>
          <w:color w:val="auto"/>
          <w:szCs w:val="21"/>
          <w:highlight w:val="none"/>
        </w:rPr>
        <w:t>（一）</w:t>
      </w:r>
      <w:r>
        <w:rPr>
          <w:rFonts w:hint="eastAsia" w:ascii="宋体" w:hAnsi="宋体" w:eastAsia="宋体" w:cs="Courier New"/>
          <w:color w:val="auto"/>
          <w:szCs w:val="21"/>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eastAsia="宋体" w:cs="Times New Roman"/>
          <w:color w:val="auto"/>
          <w:szCs w:val="24"/>
          <w:highlight w:val="none"/>
        </w:rPr>
      </w:pPr>
      <w:r>
        <w:rPr>
          <w:rFonts w:hint="eastAsia" w:ascii="Times New Roman" w:hAnsi="Times New Roman" w:eastAsia="宋体" w:cs="Times New Roman"/>
          <w:color w:val="auto"/>
          <w:szCs w:val="24"/>
          <w:highlight w:val="none"/>
        </w:rPr>
        <w:t>（二）中标人确定后，本中心</w:t>
      </w:r>
      <w:r>
        <w:rPr>
          <w:rFonts w:hint="eastAsia" w:ascii="宋体" w:hAnsi="宋体" w:eastAsia="宋体" w:cs="Times New Roman"/>
          <w:color w:val="auto"/>
          <w:szCs w:val="24"/>
          <w:highlight w:val="none"/>
        </w:rPr>
        <w:t>在省级以上财政部门指定的媒体上公告中标结果，</w:t>
      </w:r>
      <w:r>
        <w:rPr>
          <w:rFonts w:hint="eastAsia" w:ascii="Times New Roman" w:hAnsi="宋体" w:eastAsia="宋体" w:cs="Times New Roman"/>
          <w:color w:val="auto"/>
          <w:szCs w:val="24"/>
          <w:highlight w:val="none"/>
        </w:rPr>
        <w:t>同时向中标人发出中标通知书</w:t>
      </w:r>
      <w:r>
        <w:rPr>
          <w:rFonts w:hint="eastAsia" w:ascii="宋体" w:hAnsi="宋体" w:eastAsia="宋体" w:cs="Times New Roman"/>
          <w:color w:val="auto"/>
          <w:szCs w:val="24"/>
          <w:highlight w:val="none"/>
        </w:rPr>
        <w:t>。</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bookmarkStart w:id="184" w:name="_Toc352700441"/>
      <w:bookmarkStart w:id="185" w:name="_Toc353785311"/>
      <w:r>
        <w:rPr>
          <w:rFonts w:hint="eastAsia" w:ascii="宋体" w:hAnsi="宋体" w:eastAsia="宋体" w:cs="Courier New"/>
          <w:color w:val="auto"/>
          <w:szCs w:val="21"/>
          <w:highlight w:val="none"/>
        </w:rPr>
        <w:t>中标通知书发出后，采购人不得违法改变中标结果，中标人无正当理由不得放弃中标。</w:t>
      </w:r>
    </w:p>
    <w:p>
      <w:pPr>
        <w:spacing w:line="410" w:lineRule="exact"/>
        <w:ind w:firstLine="210" w:firstLineChars="100"/>
        <w:rPr>
          <w:rFonts w:hint="eastAsia" w:ascii="宋体" w:hAnsi="宋体" w:eastAsia="宋体" w:cs="Courier New"/>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r>
        <w:rPr>
          <w:rFonts w:hint="eastAsia" w:ascii="方正小标宋_GBK" w:hAnsi="Arial" w:eastAsia="方正小标宋_GBK" w:cs="Times New Roman"/>
          <w:bCs/>
          <w:color w:val="auto"/>
          <w:sz w:val="24"/>
          <w:szCs w:val="24"/>
          <w:highlight w:val="none"/>
        </w:rPr>
        <w:t>七、签订合同</w:t>
      </w:r>
      <w:bookmarkEnd w:id="184"/>
      <w:bookmarkEnd w:id="185"/>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Times New Roman"/>
          <w:color w:val="auto"/>
          <w:szCs w:val="32"/>
          <w:highlight w:val="none"/>
        </w:rPr>
        <w:t>（一）</w:t>
      </w:r>
      <w:bookmarkStart w:id="186" w:name="_Hlk154045215"/>
      <w:r>
        <w:rPr>
          <w:rFonts w:hint="eastAsia" w:ascii="宋体" w:hAnsi="宋体" w:eastAsia="宋体" w:cs="Courier New"/>
          <w:color w:val="auto"/>
          <w:szCs w:val="21"/>
          <w:highlight w:val="none"/>
        </w:rPr>
        <w:t>采购人应当自中标通知书发出之日起</w:t>
      </w:r>
      <w:r>
        <w:rPr>
          <w:rFonts w:hint="eastAsia" w:ascii="宋体" w:hAnsi="宋体" w:eastAsia="宋体" w:cs="Courier New"/>
          <w:color w:val="auto"/>
          <w:szCs w:val="21"/>
          <w:highlight w:val="none"/>
          <w:lang w:val="en-US" w:eastAsia="zh-CN"/>
        </w:rPr>
        <w:t>7个工作</w:t>
      </w:r>
      <w:r>
        <w:rPr>
          <w:rFonts w:hint="eastAsia" w:ascii="宋体" w:hAnsi="宋体" w:eastAsia="宋体" w:cs="Courier New"/>
          <w:color w:val="auto"/>
          <w:szCs w:val="21"/>
          <w:highlight w:val="none"/>
        </w:rPr>
        <w:t>日内，按照招标文件和中标人投标文件的规定，与中标人签订书面合同。</w:t>
      </w:r>
      <w:bookmarkEnd w:id="186"/>
      <w:r>
        <w:rPr>
          <w:rFonts w:hint="eastAsia" w:ascii="宋体" w:hAnsi="宋体" w:eastAsia="宋体" w:cs="Courier New"/>
          <w:color w:val="auto"/>
          <w:szCs w:val="21"/>
          <w:highlight w:val="none"/>
        </w:rPr>
        <w:t>所签订的合同不得对招标文件确定的事项和中标人投标文件作实质性修改。</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（二）中标通知书对采购人和中标人均具有法律效力。中标通知书发出后，采购人改变中标结果的，或者中标人放弃中标项目的，应当依法承担法律责任。</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r>
        <w:rPr>
          <w:rFonts w:hint="eastAsia" w:ascii="宋体" w:hAnsi="宋体" w:eastAsia="宋体" w:cs="宋体"/>
          <w:color w:val="auto"/>
          <w:kern w:val="0"/>
          <w:szCs w:val="21"/>
          <w:highlight w:val="none"/>
        </w:rPr>
        <w:t>中标人可凭成交通知书或政府采购合同等在内的相关材料、信息，通过中征应收账款融资服务平台向银行业金融机构在线申请“政采贷”融资。</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（四）中标人拒绝与采购人签订合同的，采购人可以按照评标报告推荐的中标候选人名单排序，确定下一候选人为中标人，也可以重新开展政府采购活动。</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（五）采购人与中标人应当根据合同的约定依法履行合同义务。政府采购合同的履行、违约责任和解决争议的方法等适用《中华人民共和国民法典》。</w:t>
      </w:r>
    </w:p>
    <w:p>
      <w:pPr>
        <w:spacing w:line="410" w:lineRule="exact"/>
        <w:rPr>
          <w:rFonts w:hint="eastAsia" w:ascii="宋体" w:hAnsi="宋体" w:eastAsia="宋体" w:cs="Courier New"/>
          <w:color w:val="auto"/>
          <w:szCs w:val="21"/>
          <w:highlight w:val="none"/>
        </w:rPr>
      </w:pPr>
    </w:p>
    <w:p>
      <w:pPr>
        <w:spacing w:line="410" w:lineRule="exact"/>
        <w:rPr>
          <w:rFonts w:ascii="方正小标宋_GBK" w:hAnsi="Times New Roman" w:eastAsia="方正小标宋_GBK" w:cs="Times New Roman"/>
          <w:b/>
          <w:color w:val="auto"/>
          <w:sz w:val="24"/>
          <w:szCs w:val="24"/>
          <w:highlight w:val="none"/>
        </w:rPr>
      </w:pPr>
      <w:bookmarkStart w:id="187" w:name="_Toc352315998"/>
      <w:bookmarkStart w:id="188" w:name="_Toc352700445"/>
      <w:bookmarkStart w:id="189" w:name="_Toc353785315"/>
      <w:r>
        <w:rPr>
          <w:rFonts w:hint="eastAsia" w:ascii="方正小标宋_GBK" w:hAnsi="Times New Roman" w:eastAsia="方正小标宋_GBK" w:cs="Times New Roman"/>
          <w:b/>
          <w:color w:val="auto"/>
          <w:sz w:val="24"/>
          <w:szCs w:val="24"/>
          <w:highlight w:val="none"/>
        </w:rPr>
        <w:t>八、适用法律</w:t>
      </w:r>
    </w:p>
    <w:p>
      <w:pPr>
        <w:spacing w:line="41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本项目采购活动适用于《中华人民共和国政府采购法》及其实施条例、《政府采购货物和服务招标投标管理办法》等规定。</w:t>
      </w:r>
    </w:p>
    <w:p>
      <w:pPr>
        <w:spacing w:line="410" w:lineRule="exact"/>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90" w:name="_九、其他事项"/>
      <w:bookmarkEnd w:id="190"/>
      <w:r>
        <w:rPr>
          <w:rFonts w:hint="eastAsia" w:ascii="方正小标宋_GBK" w:hAnsi="Arial" w:eastAsia="方正小标宋_GBK" w:cs="Times New Roman"/>
          <w:bCs/>
          <w:color w:val="auto"/>
          <w:sz w:val="24"/>
          <w:szCs w:val="24"/>
          <w:highlight w:val="none"/>
        </w:rPr>
        <w:t>九、其他事项</w:t>
      </w:r>
      <w:bookmarkEnd w:id="187"/>
      <w:bookmarkEnd w:id="188"/>
      <w:bookmarkEnd w:id="189"/>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（一）代理服务费</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w:t>
      </w:r>
      <w:bookmarkStart w:id="191" w:name="_Hlk92466646"/>
      <w:r>
        <w:rPr>
          <w:rFonts w:hint="eastAsia" w:ascii="宋体" w:hAnsi="宋体" w:eastAsia="宋体" w:cs="Courier New"/>
          <w:color w:val="auto"/>
          <w:szCs w:val="21"/>
          <w:highlight w:val="none"/>
        </w:rPr>
        <w:t>本中心按钦州市物价局“钦市价费﹝2013﹞4号”文件规定向中标人收取代理服务费，中标人须向本中心一次付清代理服务费。</w:t>
      </w:r>
      <w:bookmarkEnd w:id="191"/>
    </w:p>
    <w:p>
      <w:pPr>
        <w:spacing w:line="41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w:t>
      </w:r>
      <w:bookmarkStart w:id="192" w:name="_Hlk92466736"/>
      <w:r>
        <w:rPr>
          <w:rFonts w:hint="eastAsia" w:ascii="宋体" w:hAnsi="宋体" w:eastAsia="宋体" w:cs="Courier New"/>
          <w:bCs/>
          <w:color w:val="auto"/>
          <w:szCs w:val="21"/>
          <w:highlight w:val="none"/>
        </w:rPr>
        <w:t>代理服务收费标准：</w:t>
      </w:r>
      <w:bookmarkEnd w:id="192"/>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spacing w:line="400" w:lineRule="exact"/>
              <w:ind w:firstLine="420" w:firstLineChars="200"/>
              <w:rPr>
                <w:rFonts w:hint="eastAsia" w:ascii="宋体" w:hAnsi="宋体" w:eastAsia="宋体" w:cs="Times New Roman"/>
                <w:color w:val="auto"/>
                <w:kern w:val="0"/>
                <w:szCs w:val="21"/>
                <w:highlight w:val="none"/>
              </w:rPr>
            </w:pPr>
            <w:r>
              <w:rPr>
                <w:rFonts w:hint="eastAsia" w:ascii="Times New Roman" w:hAnsi="Times New Roman" w:eastAsia="宋体" w:cs="Times New Roman"/>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服务类型</w:t>
            </w:r>
          </w:p>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spacing w:line="400" w:lineRule="exact"/>
              <w:ind w:left="2" w:firstLine="420" w:firstLineChars="200"/>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bottom w:val="nil"/>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51" w:firstLineChars="215"/>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spacing w:line="410" w:lineRule="exact"/>
        <w:ind w:firstLine="315" w:firstLineChars="15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bookmarkStart w:id="193" w:name="_Hlk92466755"/>
      <w:r>
        <w:rPr>
          <w:rFonts w:hint="eastAsia" w:ascii="宋体" w:hAnsi="宋体" w:eastAsia="宋体" w:cs="Courier New"/>
          <w:color w:val="auto"/>
          <w:szCs w:val="21"/>
          <w:highlight w:val="none"/>
        </w:rPr>
        <w:t>注：代理服务收费按差额定率累进法计算</w:t>
      </w:r>
      <w:bookmarkEnd w:id="193"/>
      <w:r>
        <w:rPr>
          <w:rFonts w:hint="eastAsia" w:ascii="宋体" w:hAnsi="宋体" w:eastAsia="宋体" w:cs="Courier New"/>
          <w:color w:val="auto"/>
          <w:szCs w:val="21"/>
          <w:highlight w:val="none"/>
        </w:rPr>
        <w:t>。</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3.缴纳代理服务费银行账户：</w:t>
      </w:r>
    </w:p>
    <w:p>
      <w:pPr>
        <w:spacing w:line="410" w:lineRule="exact"/>
        <w:ind w:left="420"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开户名称:钦州市政府采购中心</w:t>
      </w:r>
    </w:p>
    <w:p>
      <w:pPr>
        <w:spacing w:line="410" w:lineRule="exact"/>
        <w:ind w:firstLine="630" w:firstLineChars="3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开户银行:兴业银行钦州支行</w:t>
      </w:r>
    </w:p>
    <w:p>
      <w:pPr>
        <w:spacing w:line="410" w:lineRule="exact"/>
        <w:ind w:firstLine="630" w:firstLineChars="300"/>
        <w:rPr>
          <w:rFonts w:hint="eastAsia" w:ascii="仿宋_GB2312" w:hAnsi="宋体" w:eastAsia="仿宋_GB2312" w:cs="Courier New"/>
          <w:b/>
          <w:color w:val="auto"/>
          <w:sz w:val="28"/>
          <w:szCs w:val="28"/>
          <w:highlight w:val="none"/>
        </w:rPr>
      </w:pPr>
      <w:r>
        <w:rPr>
          <w:rFonts w:hint="eastAsia" w:ascii="宋体" w:hAnsi="宋体" w:eastAsia="宋体" w:cs="Courier New"/>
          <w:color w:val="auto"/>
          <w:szCs w:val="21"/>
          <w:highlight w:val="none"/>
        </w:rPr>
        <w:t>银行账号:554010100100129709</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（二）解释权：</w:t>
      </w:r>
      <w:bookmarkStart w:id="194" w:name="_Hlk92466777"/>
      <w:r>
        <w:rPr>
          <w:rFonts w:hint="eastAsia" w:ascii="宋体" w:hAnsi="宋体" w:eastAsia="宋体" w:cs="Courier New"/>
          <w:bCs/>
          <w:color w:val="auto"/>
          <w:spacing w:val="-4"/>
          <w:szCs w:val="21"/>
          <w:highlight w:val="none"/>
        </w:rPr>
        <w:t>本招标文件解释权属本中心</w:t>
      </w:r>
      <w:bookmarkEnd w:id="194"/>
      <w:r>
        <w:rPr>
          <w:rFonts w:hint="eastAsia" w:ascii="宋体" w:hAnsi="宋体" w:eastAsia="宋体" w:cs="Courier New"/>
          <w:bCs/>
          <w:color w:val="auto"/>
          <w:spacing w:val="-4"/>
          <w:szCs w:val="21"/>
          <w:highlight w:val="none"/>
        </w:rPr>
        <w:t>。</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（三）有关事宜</w:t>
      </w:r>
    </w:p>
    <w:p>
      <w:pPr>
        <w:spacing w:line="410" w:lineRule="exac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r>
        <w:rPr>
          <w:rFonts w:hint="eastAsia" w:ascii="宋体" w:hAnsi="宋体" w:eastAsia="宋体" w:cs="Courier New"/>
          <w:color w:val="auto"/>
          <w:szCs w:val="21"/>
          <w:highlight w:val="none"/>
        </w:rPr>
        <w:t>所有与本招标文件有关的函件请按下列通讯地址联系：</w:t>
      </w:r>
    </w:p>
    <w:p>
      <w:pPr>
        <w:spacing w:line="410" w:lineRule="exact"/>
        <w:ind w:firstLine="420" w:firstLineChars="200"/>
        <w:rPr>
          <w:rFonts w:hint="eastAsia" w:ascii="宋体" w:hAnsi="宋体" w:eastAsia="宋体" w:cs="Courier New"/>
          <w:color w:val="auto"/>
          <w:szCs w:val="21"/>
          <w:highlight w:val="none"/>
        </w:rPr>
      </w:pPr>
      <w:bookmarkStart w:id="195" w:name="_Hlk92466867"/>
      <w:r>
        <w:rPr>
          <w:rFonts w:hint="eastAsia" w:ascii="宋体" w:hAnsi="宋体" w:eastAsia="宋体" w:cs="Courier New"/>
          <w:color w:val="auto"/>
          <w:szCs w:val="21"/>
          <w:highlight w:val="none"/>
        </w:rPr>
        <w:t>钦州市政府采购中心</w:t>
      </w:r>
    </w:p>
    <w:p>
      <w:pPr>
        <w:tabs>
          <w:tab w:val="left" w:pos="1990"/>
        </w:tabs>
        <w:spacing w:line="410" w:lineRule="exact"/>
        <w:ind w:firstLine="420" w:firstLineChars="200"/>
        <w:rPr>
          <w:rFonts w:hint="eastAsia" w:ascii="宋体" w:hAnsi="宋体" w:eastAsia="宋体" w:cs="Courier New"/>
          <w:color w:val="auto"/>
          <w:szCs w:val="21"/>
          <w:highlight w:val="none"/>
          <w:u w:val="single"/>
        </w:rPr>
      </w:pPr>
      <w:r>
        <w:rPr>
          <w:rFonts w:hint="eastAsia" w:ascii="宋体" w:hAnsi="宋体" w:eastAsia="宋体" w:cs="Courier New"/>
          <w:color w:val="auto"/>
          <w:szCs w:val="21"/>
          <w:highlight w:val="none"/>
        </w:rPr>
        <w:t>邮政编码：535000</w:t>
      </w:r>
    </w:p>
    <w:p>
      <w:pPr>
        <w:tabs>
          <w:tab w:val="left" w:pos="1990"/>
        </w:tabs>
        <w:spacing w:line="410" w:lineRule="exact"/>
        <w:ind w:firstLine="420" w:firstLineChars="200"/>
        <w:rPr>
          <w:rFonts w:hint="eastAsia" w:ascii="宋体" w:hAnsi="宋体" w:eastAsia="宋体" w:cs="Courier New"/>
          <w:color w:val="auto"/>
          <w:spacing w:val="-4"/>
          <w:szCs w:val="21"/>
          <w:highlight w:val="none"/>
        </w:rPr>
      </w:pPr>
      <w:r>
        <w:rPr>
          <w:rFonts w:hint="eastAsia" w:ascii="宋体" w:hAnsi="宋体" w:eastAsia="宋体" w:cs="Courier New"/>
          <w:color w:val="auto"/>
          <w:szCs w:val="21"/>
          <w:highlight w:val="none"/>
        </w:rPr>
        <w:t>通讯地址：</w:t>
      </w:r>
      <w:r>
        <w:rPr>
          <w:rFonts w:hint="eastAsia" w:ascii="Times New Roman" w:hAnsi="Times New Roman" w:eastAsia="宋体" w:cs="Times New Roman"/>
          <w:color w:val="auto"/>
          <w:szCs w:val="24"/>
          <w:highlight w:val="none"/>
        </w:rPr>
        <w:t>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bookmarkEnd w:id="58"/>
    <w:bookmarkEnd w:id="195"/>
    <w:p>
      <w:pPr>
        <w:widowControl/>
        <w:spacing w:line="430" w:lineRule="exact"/>
        <w:ind w:firstLine="420" w:firstLineChars="200"/>
        <w:jc w:val="left"/>
        <w:rPr>
          <w:rFonts w:ascii="Times New Roman" w:hAnsi="Times New Roman" w:eastAsia="宋体" w:cs="Times New Roman"/>
          <w:color w:val="auto"/>
          <w:szCs w:val="24"/>
          <w:highlight w:val="none"/>
        </w:rPr>
      </w:pPr>
      <w:bookmarkStart w:id="196" w:name="_Hlk108515537"/>
      <w:r>
        <w:rPr>
          <w:rFonts w:hint="eastAsia" w:ascii="Times New Roman" w:hAnsi="宋体" w:eastAsia="宋体" w:cs="Times New Roman"/>
          <w:color w:val="auto"/>
          <w:szCs w:val="24"/>
          <w:highlight w:val="none"/>
        </w:rPr>
        <w:t>钦州市政府采购中心联系方式</w:t>
      </w:r>
      <w:r>
        <w:rPr>
          <w:rFonts w:hint="eastAsia"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采购文件</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w:t>
      </w:r>
      <w:r>
        <w:rPr>
          <w:rFonts w:hint="eastAsia" w:ascii="Times New Roman" w:hAnsi="Times New Roman" w:eastAsia="宋体" w:cs="Times New Roman"/>
          <w:color w:val="auto"/>
          <w:szCs w:val="24"/>
          <w:highlight w:val="none"/>
          <w:lang w:val="en-US" w:eastAsia="zh-CN"/>
        </w:rPr>
        <w:t>黄忠秀</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0777-2886022</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综合二部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保证金、开标、评标、中标及合同管理</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联系人：陈侃</w:t>
      </w:r>
      <w:r>
        <w:rPr>
          <w:rFonts w:hint="eastAsia" w:ascii="Times New Roman" w:hAnsi="Times New Roman" w:eastAsia="宋体" w:cs="Times New Roman"/>
          <w:color w:val="auto"/>
          <w:szCs w:val="24"/>
          <w:highlight w:val="none"/>
          <w:lang w:eastAsia="zh-CN"/>
        </w:rPr>
        <w:t>、</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陈启梅</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0777-2886006</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3</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政采云技术支持热线：</w:t>
      </w:r>
      <w:r>
        <w:rPr>
          <w:rFonts w:ascii="Times New Roman" w:hAnsi="宋体" w:eastAsia="宋体" w:cs="Times New Roman"/>
          <w:color w:val="auto"/>
          <w:szCs w:val="24"/>
          <w:highlight w:val="none"/>
        </w:rPr>
        <w:t>95763</w:t>
      </w:r>
    </w:p>
    <w:bookmarkEnd w:id="196"/>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197" w:name="_Toc173764941"/>
      <w:r>
        <w:rPr>
          <w:rFonts w:hint="eastAsia" w:ascii="Cambria" w:hAnsi="Cambria" w:eastAsia="方正小标宋_GBK" w:cs="Times New Roman"/>
          <w:b/>
          <w:bCs/>
          <w:color w:val="auto"/>
          <w:kern w:val="0"/>
          <w:sz w:val="44"/>
          <w:szCs w:val="32"/>
          <w:highlight w:val="none"/>
        </w:rPr>
        <w:t>第四章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评定标准及推荐原则</w:t>
      </w:r>
      <w:bookmarkEnd w:id="197"/>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198" w:name="_Hlk92268453"/>
    </w:p>
    <w:p>
      <w:pPr>
        <w:spacing w:line="380" w:lineRule="exact"/>
        <w:ind w:firstLine="643" w:firstLineChars="20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24"/>
          <w:highlight w:val="none"/>
        </w:rPr>
        <w:t>评定标准和推荐原则</w:t>
      </w:r>
      <w:bookmarkEnd w:id="198"/>
    </w:p>
    <w:p>
      <w:pPr>
        <w:spacing w:line="460" w:lineRule="exact"/>
        <w:rPr>
          <w:rFonts w:ascii="Times New Roman" w:hAnsi="Times New Roman" w:eastAsia="宋体" w:cs="Times New Roman"/>
          <w:color w:val="auto"/>
          <w:szCs w:val="24"/>
          <w:highlight w:val="none"/>
        </w:rPr>
      </w:pPr>
    </w:p>
    <w:p>
      <w:pPr>
        <w:spacing w:line="460" w:lineRule="exact"/>
        <w:jc w:val="left"/>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rPr>
        <w:t>一、评标原则</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（一）评标依据：评标委员会将以招投标文件为评标依据，对投标人的投标报价、</w:t>
      </w:r>
      <w:r>
        <w:rPr>
          <w:rFonts w:hint="eastAsia" w:ascii="宋体" w:hAnsi="宋体" w:eastAsia="宋体" w:cs="Courier New"/>
          <w:bCs/>
          <w:color w:val="auto"/>
          <w:szCs w:val="21"/>
          <w:highlight w:val="none"/>
        </w:rPr>
        <w:t>技术商务资信</w:t>
      </w:r>
      <w:r>
        <w:rPr>
          <w:rFonts w:hint="eastAsia" w:ascii="宋体" w:hAnsi="宋体" w:eastAsia="宋体" w:cs="Courier New"/>
          <w:color w:val="auto"/>
          <w:szCs w:val="21"/>
          <w:highlight w:val="none"/>
        </w:rPr>
        <w:t>等方面内容进行评价。</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（二）评标委员会组成：由采购人代表和评审专家组成，成员人数应当为5人以上单数，其中评审专家的人数不得少于成员总数的三分之二。</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（三）评分方式：评标委员会各成员独立对每个投标人的投标文件进行评价。</w:t>
      </w:r>
    </w:p>
    <w:p>
      <w:pPr>
        <w:pStyle w:val="26"/>
        <w:spacing w:line="460" w:lineRule="exact"/>
        <w:rPr>
          <w:rFonts w:hAnsi="宋体"/>
          <w:b/>
          <w:bCs/>
          <w:color w:val="auto"/>
          <w:highlight w:val="none"/>
        </w:rPr>
      </w:pPr>
      <w:r>
        <w:rPr>
          <w:rFonts w:hint="eastAsia" w:hAnsi="宋体"/>
          <w:b/>
          <w:bCs/>
          <w:color w:val="auto"/>
          <w:highlight w:val="none"/>
        </w:rPr>
        <w:t>二、评分细则</w:t>
      </w:r>
    </w:p>
    <w:p>
      <w:pPr>
        <w:pStyle w:val="26"/>
        <w:spacing w:line="460" w:lineRule="exact"/>
        <w:ind w:firstLine="420" w:firstLineChars="200"/>
        <w:jc w:val="left"/>
        <w:rPr>
          <w:rFonts w:hAnsi="宋体"/>
          <w:b/>
          <w:bCs/>
          <w:color w:val="auto"/>
          <w:highlight w:val="none"/>
        </w:rPr>
      </w:pPr>
      <w:r>
        <w:rPr>
          <w:rFonts w:hint="eastAsia" w:hAnsi="宋体"/>
          <w:color w:val="auto"/>
          <w:highlight w:val="none"/>
        </w:rPr>
        <w:t>综合评分法：对满足招标文件全部实质性要求的投标人投标文件</w:t>
      </w:r>
      <w:r>
        <w:rPr>
          <w:rFonts w:hAnsi="宋体" w:cs="Arial"/>
          <w:color w:val="auto"/>
          <w:highlight w:val="none"/>
        </w:rPr>
        <w:t>按照评审因素的量化指标评审</w:t>
      </w:r>
      <w:r>
        <w:rPr>
          <w:rFonts w:hint="eastAsia" w:hAnsi="宋体" w:cs="Arial"/>
          <w:color w:val="auto"/>
          <w:highlight w:val="none"/>
        </w:rPr>
        <w:t>并汇总(</w:t>
      </w:r>
      <w:r>
        <w:rPr>
          <w:rFonts w:hint="eastAsia" w:hAnsi="宋体"/>
          <w:color w:val="auto"/>
          <w:highlight w:val="none"/>
        </w:rPr>
        <w:t>四舍五入取至百分位)。</w:t>
      </w:r>
    </w:p>
    <w:p>
      <w:pPr>
        <w:spacing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（一）价格分……………………………………………………………………</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1.投标人的价格分统一按照下列公式计算：</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b/>
          <w:bCs/>
          <w:color w:val="auto"/>
          <w:sz w:val="21"/>
          <w:szCs w:val="21"/>
          <w:highlight w:val="none"/>
        </w:rPr>
        <w:t>某投标人价格分=（评标基准价/某投标人投标报价）×</w:t>
      </w:r>
      <w:r>
        <w:rPr>
          <w:rFonts w:hint="eastAsia" w:ascii="宋体" w:hAnsi="宋体" w:eastAsia="宋体" w:cs="宋体"/>
          <w:b/>
          <w:bCs/>
          <w:color w:val="auto"/>
          <w:sz w:val="21"/>
          <w:szCs w:val="21"/>
          <w:highlight w:val="none"/>
          <w:lang w:val="en-US" w:eastAsia="zh-CN"/>
        </w:rPr>
        <w:t xml:space="preserve"> 15</w:t>
      </w:r>
      <w:r>
        <w:rPr>
          <w:rFonts w:hint="eastAsia" w:ascii="宋体" w:hAnsi="宋体" w:eastAsia="宋体" w:cs="宋体"/>
          <w:b/>
          <w:bCs/>
          <w:color w:val="auto"/>
          <w:sz w:val="21"/>
          <w:szCs w:val="21"/>
          <w:highlight w:val="none"/>
        </w:rPr>
        <w:t>分</w:t>
      </w:r>
    </w:p>
    <w:p>
      <w:pPr>
        <w:spacing w:line="460" w:lineRule="exact"/>
        <w:ind w:firstLine="420"/>
        <w:jc w:val="left"/>
        <w:rPr>
          <w:rFonts w:hint="eastAsia" w:ascii="宋体" w:hAnsi="宋体" w:eastAsia="宋体" w:cs="Courier New"/>
          <w:color w:val="auto"/>
          <w:szCs w:val="21"/>
        </w:rPr>
      </w:pPr>
      <w:r>
        <w:rPr>
          <w:rFonts w:hint="eastAsia" w:ascii="宋体" w:hAnsi="宋体" w:eastAsia="宋体" w:cs="Courier New"/>
          <w:color w:val="auto"/>
          <w:szCs w:val="21"/>
        </w:rPr>
        <w:t>注：满足招标文件全部实质性要求的投标人最低报价为评标基准价。</w:t>
      </w:r>
    </w:p>
    <w:p>
      <w:pPr>
        <w:pStyle w:val="13"/>
        <w:rPr>
          <w:rFonts w:hint="eastAsia"/>
          <w:color w:val="auto"/>
        </w:rPr>
      </w:pP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（二）技术分……………………………………………………………………（</w:t>
      </w:r>
      <w:r>
        <w:rPr>
          <w:rFonts w:hint="eastAsia" w:ascii="宋体" w:hAnsi="宋体" w:eastAsia="宋体" w:cs="宋体"/>
          <w:b/>
          <w:color w:val="auto"/>
          <w:sz w:val="21"/>
          <w:szCs w:val="21"/>
          <w:highlight w:val="none"/>
          <w:lang w:val="en-US" w:eastAsia="zh-CN"/>
        </w:rPr>
        <w:t>64</w:t>
      </w:r>
      <w:r>
        <w:rPr>
          <w:rFonts w:hint="eastAsia" w:ascii="宋体" w:hAnsi="宋体" w:eastAsia="宋体" w:cs="宋体"/>
          <w:b/>
          <w:color w:val="auto"/>
          <w:sz w:val="21"/>
          <w:szCs w:val="21"/>
          <w:highlight w:val="none"/>
        </w:rPr>
        <w:t>分）</w:t>
      </w:r>
    </w:p>
    <w:p>
      <w:pPr>
        <w:widowControl/>
        <w:spacing w:line="460" w:lineRule="exact"/>
        <w:ind w:firstLine="422"/>
        <w:jc w:val="left"/>
        <w:outlineLvl w:val="1"/>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1</w:t>
      </w:r>
      <w:bookmarkStart w:id="199" w:name="_Hlk208838496"/>
      <w:r>
        <w:rPr>
          <w:rFonts w:hint="eastAsia" w:ascii="宋体" w:hAnsi="宋体" w:eastAsia="宋体" w:cs="宋体"/>
          <w:b/>
          <w:bCs/>
          <w:color w:val="auto"/>
          <w:kern w:val="0"/>
          <w:sz w:val="21"/>
          <w:szCs w:val="21"/>
          <w:lang w:bidi="ar"/>
        </w:rPr>
        <w:t>.</w:t>
      </w:r>
      <w:bookmarkStart w:id="200" w:name="_Hlk209779692"/>
      <w:r>
        <w:rPr>
          <w:rFonts w:hint="eastAsia" w:ascii="宋体" w:hAnsi="宋体" w:eastAsia="宋体" w:cs="宋体"/>
          <w:b/>
          <w:bCs/>
          <w:color w:val="auto"/>
          <w:kern w:val="0"/>
          <w:sz w:val="21"/>
          <w:szCs w:val="21"/>
          <w:lang w:bidi="ar"/>
        </w:rPr>
        <w:t>项目管理方案</w:t>
      </w:r>
      <w:bookmarkEnd w:id="199"/>
      <w:r>
        <w:rPr>
          <w:rFonts w:hint="eastAsia" w:ascii="宋体" w:hAnsi="宋体" w:eastAsia="宋体" w:cs="宋体"/>
          <w:b/>
          <w:bCs/>
          <w:color w:val="auto"/>
          <w:kern w:val="0"/>
          <w:sz w:val="21"/>
          <w:szCs w:val="21"/>
          <w:lang w:bidi="ar"/>
        </w:rPr>
        <w:t>(满分</w:t>
      </w:r>
      <w:r>
        <w:rPr>
          <w:rFonts w:hint="eastAsia" w:ascii="宋体" w:hAnsi="宋体" w:eastAsia="宋体" w:cs="宋体"/>
          <w:b/>
          <w:bCs/>
          <w:color w:val="auto"/>
          <w:kern w:val="0"/>
          <w:sz w:val="21"/>
          <w:szCs w:val="21"/>
          <w:lang w:val="en-US" w:eastAsia="zh-CN" w:bidi="ar"/>
        </w:rPr>
        <w:t>38</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sz w:val="21"/>
          <w:szCs w:val="21"/>
        </w:rPr>
      </w:pPr>
      <w:bookmarkStart w:id="201" w:name="_Hlk207379510"/>
      <w:r>
        <w:rPr>
          <w:rFonts w:hint="eastAsia" w:ascii="宋体" w:hAnsi="宋体" w:eastAsia="宋体" w:cs="宋体"/>
          <w:color w:val="auto"/>
          <w:sz w:val="21"/>
          <w:szCs w:val="21"/>
        </w:rPr>
        <w:t>由评标委员会各成员根据投标人所提供项目管理方案进行独立评审打分。</w:t>
      </w:r>
    </w:p>
    <w:p>
      <w:pPr>
        <w:widowControl/>
        <w:spacing w:line="460" w:lineRule="exact"/>
        <w:ind w:firstLine="420"/>
        <w:jc w:val="left"/>
        <w:outlineLvl w:val="1"/>
        <w:rPr>
          <w:rFonts w:hint="eastAsia" w:ascii="宋体" w:hAnsi="宋体" w:eastAsia="宋体" w:cs="宋体"/>
          <w:b/>
          <w:bCs/>
          <w:color w:val="auto"/>
          <w:sz w:val="21"/>
          <w:szCs w:val="21"/>
          <w:lang w:val="en-US" w:eastAsia="zh-CN"/>
        </w:rPr>
      </w:pPr>
      <w:bookmarkStart w:id="202" w:name="OLE_LINK31"/>
      <w:r>
        <w:rPr>
          <w:rFonts w:hint="eastAsia" w:ascii="宋体" w:hAnsi="宋体" w:eastAsia="宋体" w:cs="宋体"/>
          <w:b/>
          <w:bCs/>
          <w:color w:val="auto"/>
          <w:sz w:val="21"/>
          <w:szCs w:val="21"/>
          <w:lang w:val="en-US" w:eastAsia="zh-CN"/>
        </w:rPr>
        <w:t>1.1</w:t>
      </w:r>
      <w:r>
        <w:rPr>
          <w:rFonts w:hint="eastAsia" w:ascii="宋体" w:hAnsi="宋体" w:eastAsia="宋体" w:cs="宋体"/>
          <w:b/>
          <w:color w:val="auto"/>
          <w:kern w:val="0"/>
          <w:sz w:val="21"/>
          <w:szCs w:val="21"/>
          <w:highlight w:val="none"/>
        </w:rPr>
        <w:t>总体工作计划、管理规章制度及方案</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9分</w:t>
      </w:r>
      <w:r>
        <w:rPr>
          <w:rFonts w:hint="eastAsia" w:ascii="宋体" w:hAnsi="宋体" w:eastAsia="宋体" w:cs="宋体"/>
          <w:b/>
          <w:color w:val="auto"/>
          <w:kern w:val="0"/>
          <w:sz w:val="21"/>
          <w:szCs w:val="21"/>
          <w:highlight w:val="none"/>
          <w:lang w:eastAsia="zh-CN"/>
        </w:rPr>
        <w:t>）</w:t>
      </w:r>
    </w:p>
    <w:p>
      <w:pPr>
        <w:widowControl/>
        <w:spacing w:line="460" w:lineRule="exact"/>
        <w:ind w:firstLine="420"/>
        <w:jc w:val="left"/>
        <w:outlineLvl w:val="1"/>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投标人</w:t>
      </w:r>
      <w:r>
        <w:rPr>
          <w:rFonts w:hint="eastAsia" w:ascii="宋体" w:hAnsi="宋体" w:eastAsia="宋体" w:cs="宋体"/>
          <w:bCs/>
          <w:color w:val="auto"/>
          <w:sz w:val="21"/>
          <w:szCs w:val="21"/>
        </w:rPr>
        <w:t>提供</w:t>
      </w:r>
      <w:r>
        <w:rPr>
          <w:rFonts w:hint="eastAsia" w:ascii="宋体" w:hAnsi="宋体" w:eastAsia="宋体" w:cs="宋体"/>
          <w:bCs/>
          <w:color w:val="auto"/>
          <w:sz w:val="21"/>
          <w:szCs w:val="21"/>
          <w:lang w:val="en-US" w:eastAsia="zh-CN"/>
        </w:rPr>
        <w:t>本次物业项目</w:t>
      </w:r>
      <w:r>
        <w:rPr>
          <w:rFonts w:hint="eastAsia" w:ascii="宋体" w:hAnsi="宋体" w:eastAsia="宋体" w:cs="宋体"/>
          <w:bCs/>
          <w:color w:val="auto"/>
          <w:sz w:val="21"/>
          <w:szCs w:val="21"/>
        </w:rPr>
        <w:t>①</w:t>
      </w:r>
      <w:r>
        <w:rPr>
          <w:rFonts w:hint="eastAsia" w:ascii="宋体" w:hAnsi="宋体" w:eastAsia="宋体" w:cs="宋体"/>
          <w:bCs/>
          <w:color w:val="auto"/>
          <w:kern w:val="0"/>
          <w:sz w:val="21"/>
          <w:szCs w:val="21"/>
          <w:highlight w:val="none"/>
        </w:rPr>
        <w:t>总体设想</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②服务宗旨、③</w:t>
      </w:r>
      <w:r>
        <w:rPr>
          <w:rFonts w:hint="eastAsia" w:ascii="宋体" w:hAnsi="宋体" w:eastAsia="宋体" w:cs="宋体"/>
          <w:bCs/>
          <w:color w:val="auto"/>
          <w:kern w:val="0"/>
          <w:sz w:val="21"/>
          <w:szCs w:val="21"/>
          <w:highlight w:val="none"/>
        </w:rPr>
        <w:t>重点关键问题</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bCs/>
          <w:color w:val="auto"/>
          <w:kern w:val="0"/>
          <w:sz w:val="21"/>
          <w:szCs w:val="21"/>
          <w:highlight w:val="none"/>
        </w:rPr>
        <w:t>工作计划</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⑤</w:t>
      </w:r>
      <w:r>
        <w:rPr>
          <w:rFonts w:hint="eastAsia" w:ascii="宋体" w:hAnsi="宋体" w:eastAsia="宋体" w:cs="宋体"/>
          <w:bCs/>
          <w:color w:val="auto"/>
          <w:sz w:val="21"/>
          <w:szCs w:val="21"/>
        </w:rPr>
        <w:t>公共管理制度</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⑥</w:t>
      </w:r>
      <w:r>
        <w:rPr>
          <w:rFonts w:hint="eastAsia" w:ascii="宋体" w:hAnsi="宋体" w:eastAsia="宋体" w:cs="宋体"/>
          <w:bCs/>
          <w:color w:val="auto"/>
          <w:sz w:val="21"/>
          <w:szCs w:val="21"/>
        </w:rPr>
        <w:t>内部岗位责任制</w:t>
      </w:r>
      <w:r>
        <w:rPr>
          <w:rFonts w:hint="eastAsia" w:ascii="宋体" w:hAnsi="宋体" w:eastAsia="宋体" w:cs="宋体"/>
          <w:bCs/>
          <w:color w:val="auto"/>
          <w:sz w:val="21"/>
          <w:szCs w:val="21"/>
          <w:lang w:val="en-US" w:eastAsia="zh-CN"/>
        </w:rPr>
        <w:t>、⑦</w:t>
      </w:r>
      <w:r>
        <w:rPr>
          <w:rFonts w:hint="eastAsia" w:ascii="宋体" w:hAnsi="宋体" w:eastAsia="宋体" w:cs="宋体"/>
          <w:bCs/>
          <w:color w:val="auto"/>
          <w:sz w:val="21"/>
          <w:szCs w:val="21"/>
        </w:rPr>
        <w:t>管理运作制度及标准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⑧</w:t>
      </w:r>
      <w:r>
        <w:rPr>
          <w:rFonts w:hint="eastAsia" w:ascii="宋体" w:hAnsi="宋体" w:eastAsia="宋体" w:cs="宋体"/>
          <w:bCs/>
          <w:color w:val="auto"/>
          <w:sz w:val="21"/>
          <w:szCs w:val="21"/>
        </w:rPr>
        <w:t>管理人员考核</w:t>
      </w:r>
      <w:r>
        <w:rPr>
          <w:rFonts w:hint="eastAsia" w:ascii="宋体" w:hAnsi="宋体" w:eastAsia="宋体" w:cs="宋体"/>
          <w:bCs/>
          <w:color w:val="auto"/>
          <w:sz w:val="21"/>
          <w:szCs w:val="21"/>
          <w:lang w:val="en-US" w:eastAsia="zh-CN"/>
        </w:rPr>
        <w:t>制度、⑨</w:t>
      </w:r>
      <w:r>
        <w:rPr>
          <w:rFonts w:hint="eastAsia" w:ascii="宋体" w:hAnsi="宋体" w:eastAsia="宋体" w:cs="宋体"/>
          <w:bCs/>
          <w:color w:val="auto"/>
          <w:sz w:val="21"/>
          <w:szCs w:val="21"/>
        </w:rPr>
        <w:t>档案的建立及归档管理制度(利用办公自动化对档案进行管理)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满足本项目采购需求的，每项得</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满分9分</w:t>
      </w:r>
      <w:bookmarkEnd w:id="201"/>
    </w:p>
    <w:p>
      <w:pPr>
        <w:widowControl/>
        <w:spacing w:line="460" w:lineRule="exact"/>
        <w:ind w:firstLine="422"/>
        <w:jc w:val="left"/>
        <w:outlineLvl w:val="1"/>
        <w:rPr>
          <w:rFonts w:hint="eastAsia" w:ascii="宋体" w:hAnsi="宋体" w:eastAsia="宋体" w:cs="宋体"/>
          <w:b/>
          <w:bCs/>
          <w:color w:val="auto"/>
          <w:kern w:val="0"/>
          <w:sz w:val="21"/>
          <w:szCs w:val="21"/>
          <w:lang w:bidi="ar"/>
        </w:rPr>
      </w:pPr>
      <w:bookmarkStart w:id="203" w:name="_Hlk207378253"/>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2人员管理</w:t>
      </w:r>
      <w:r>
        <w:rPr>
          <w:rFonts w:hint="eastAsia" w:ascii="宋体" w:hAnsi="宋体" w:eastAsia="宋体" w:cs="宋体"/>
          <w:b/>
          <w:bCs/>
          <w:color w:val="auto"/>
          <w:kern w:val="0"/>
          <w:sz w:val="21"/>
          <w:szCs w:val="21"/>
          <w:lang w:bidi="ar"/>
        </w:rPr>
        <w:t>和</w:t>
      </w:r>
      <w:r>
        <w:rPr>
          <w:rFonts w:hint="eastAsia" w:ascii="宋体" w:hAnsi="宋体" w:eastAsia="宋体" w:cs="宋体"/>
          <w:b/>
          <w:bCs/>
          <w:color w:val="auto"/>
          <w:kern w:val="0"/>
          <w:sz w:val="21"/>
          <w:szCs w:val="21"/>
          <w:lang w:val="en-US" w:eastAsia="zh-CN" w:bidi="ar"/>
        </w:rPr>
        <w:t>人员培训</w:t>
      </w:r>
      <w:r>
        <w:rPr>
          <w:rFonts w:hint="eastAsia" w:ascii="宋体" w:hAnsi="宋体" w:eastAsia="宋体" w:cs="宋体"/>
          <w:b/>
          <w:bCs/>
          <w:color w:val="auto"/>
          <w:kern w:val="0"/>
          <w:sz w:val="21"/>
          <w:szCs w:val="21"/>
          <w:lang w:bidi="ar"/>
        </w:rPr>
        <w:t>方案（</w:t>
      </w:r>
      <w:r>
        <w:rPr>
          <w:rFonts w:hint="eastAsia" w:ascii="宋体" w:hAnsi="宋体" w:eastAsia="宋体" w:cs="宋体"/>
          <w:b/>
          <w:bCs/>
          <w:color w:val="auto"/>
          <w:kern w:val="0"/>
          <w:sz w:val="21"/>
          <w:szCs w:val="21"/>
          <w:lang w:val="en-US" w:eastAsia="zh-CN" w:bidi="ar"/>
        </w:rPr>
        <w:t>6</w:t>
      </w:r>
      <w:r>
        <w:rPr>
          <w:rFonts w:hint="eastAsia" w:ascii="宋体" w:hAnsi="宋体" w:eastAsia="宋体" w:cs="宋体"/>
          <w:b/>
          <w:bCs/>
          <w:color w:val="auto"/>
          <w:kern w:val="0"/>
          <w:sz w:val="21"/>
          <w:szCs w:val="21"/>
          <w:lang w:bidi="ar"/>
        </w:rPr>
        <w:t>分）</w:t>
      </w:r>
    </w:p>
    <w:bookmarkEnd w:id="203"/>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w:t>
      </w:r>
      <w:r>
        <w:rPr>
          <w:rFonts w:hint="eastAsia" w:ascii="宋体" w:hAnsi="宋体" w:eastAsia="宋体" w:cs="宋体"/>
          <w:bCs/>
          <w:color w:val="auto"/>
          <w:sz w:val="21"/>
          <w:szCs w:val="21"/>
        </w:rPr>
        <w:t>①人员管理方式②控制员工流失的措施③人员招聘与录用④人员意外伤害应急处理⑤员工替岗管理制度</w:t>
      </w:r>
      <w:r>
        <w:rPr>
          <w:rFonts w:hint="eastAsia" w:ascii="宋体" w:hAnsi="宋体" w:eastAsia="宋体" w:cs="宋体"/>
          <w:color w:val="auto"/>
          <w:kern w:val="0"/>
          <w:sz w:val="21"/>
          <w:szCs w:val="21"/>
          <w:lang w:val="en-US" w:eastAsia="zh-CN" w:bidi="ar"/>
        </w:rPr>
        <w:t>⑥</w:t>
      </w:r>
      <w:r>
        <w:rPr>
          <w:rFonts w:hint="eastAsia" w:ascii="宋体" w:hAnsi="宋体" w:eastAsia="宋体" w:cs="宋体"/>
          <w:bCs/>
          <w:color w:val="auto"/>
          <w:kern w:val="0"/>
          <w:sz w:val="21"/>
          <w:szCs w:val="21"/>
          <w:highlight w:val="none"/>
        </w:rPr>
        <w:t>人员培训方案（含年度培训大纲、培训的方式方法、培训效果评估）</w:t>
      </w:r>
      <w:r>
        <w:rPr>
          <w:rFonts w:hint="eastAsia" w:ascii="宋体" w:hAnsi="宋体" w:eastAsia="宋体" w:cs="宋体"/>
          <w:color w:val="auto"/>
          <w:kern w:val="0"/>
          <w:sz w:val="21"/>
          <w:szCs w:val="21"/>
          <w:lang w:bidi="ar"/>
        </w:rPr>
        <w:t>，</w:t>
      </w:r>
      <w:bookmarkStart w:id="204" w:name="_Hlk207378206"/>
      <w:r>
        <w:rPr>
          <w:rFonts w:hint="eastAsia" w:ascii="宋体" w:hAnsi="宋体" w:eastAsia="宋体" w:cs="宋体"/>
          <w:color w:val="auto"/>
          <w:sz w:val="21"/>
          <w:szCs w:val="21"/>
        </w:rPr>
        <w:t>符合项目需求，且在方案中有明确描述的，</w:t>
      </w:r>
      <w:bookmarkEnd w:id="204"/>
      <w:r>
        <w:rPr>
          <w:rFonts w:hint="eastAsia" w:ascii="宋体" w:hAnsi="宋体" w:eastAsia="宋体" w:cs="宋体"/>
          <w:color w:val="auto"/>
          <w:sz w:val="21"/>
          <w:szCs w:val="21"/>
        </w:rPr>
        <w:t>每项得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3</w:t>
      </w:r>
      <w:r>
        <w:rPr>
          <w:rFonts w:hint="eastAsia" w:ascii="宋体" w:hAnsi="宋体" w:eastAsia="宋体" w:cs="宋体"/>
          <w:b/>
          <w:bCs/>
          <w:color w:val="auto"/>
          <w:kern w:val="0"/>
          <w:sz w:val="21"/>
          <w:szCs w:val="21"/>
          <w:lang w:bidi="ar"/>
        </w:rPr>
        <w:t>安保服务方案（</w:t>
      </w: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投标人提供本次物业项目安保服务方案，包含①</w:t>
      </w:r>
      <w:r>
        <w:rPr>
          <w:rFonts w:hint="eastAsia" w:ascii="宋体" w:hAnsi="宋体" w:eastAsia="宋体" w:cs="宋体"/>
          <w:bCs/>
          <w:color w:val="auto"/>
          <w:kern w:val="0"/>
          <w:sz w:val="21"/>
          <w:szCs w:val="21"/>
          <w:highlight w:val="none"/>
        </w:rPr>
        <w:t>公共秩序维护</w:t>
      </w:r>
      <w:r>
        <w:rPr>
          <w:rFonts w:hint="eastAsia" w:ascii="宋体" w:hAnsi="宋体" w:eastAsia="宋体" w:cs="宋体"/>
          <w:color w:val="auto"/>
          <w:kern w:val="0"/>
          <w:sz w:val="21"/>
          <w:szCs w:val="21"/>
          <w:lang w:bidi="ar"/>
        </w:rPr>
        <w:t>、②</w:t>
      </w:r>
      <w:r>
        <w:rPr>
          <w:rFonts w:hint="eastAsia" w:ascii="宋体" w:hAnsi="宋体" w:eastAsia="宋体" w:cs="宋体"/>
          <w:bCs/>
          <w:color w:val="auto"/>
          <w:kern w:val="0"/>
          <w:sz w:val="21"/>
          <w:szCs w:val="21"/>
          <w:highlight w:val="none"/>
        </w:rPr>
        <w:t>巡检计划</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交通车辆管理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color w:val="auto"/>
          <w:sz w:val="21"/>
          <w:szCs w:val="21"/>
          <w:lang w:val="en-US" w:eastAsia="zh-CN"/>
        </w:rPr>
        <w:t>消防安全管理</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⑤</w:t>
      </w:r>
      <w:r>
        <w:rPr>
          <w:rFonts w:hint="eastAsia" w:ascii="宋体" w:hAnsi="宋体" w:eastAsia="宋体" w:cs="宋体"/>
          <w:color w:val="auto"/>
          <w:kern w:val="0"/>
          <w:sz w:val="21"/>
          <w:szCs w:val="21"/>
          <w:lang w:bidi="ar"/>
        </w:rPr>
        <w:t>安保人员</w:t>
      </w:r>
      <w:r>
        <w:rPr>
          <w:rFonts w:hint="eastAsia" w:ascii="宋体" w:hAnsi="宋体" w:eastAsia="宋体" w:cs="宋体"/>
          <w:color w:val="auto"/>
          <w:kern w:val="0"/>
          <w:sz w:val="21"/>
          <w:szCs w:val="21"/>
          <w:lang w:val="en-US" w:eastAsia="zh-CN" w:bidi="ar"/>
        </w:rPr>
        <w:t>突发</w:t>
      </w:r>
      <w:r>
        <w:rPr>
          <w:rFonts w:hint="eastAsia" w:ascii="宋体" w:hAnsi="宋体" w:eastAsia="宋体" w:cs="宋体"/>
          <w:color w:val="auto"/>
          <w:kern w:val="0"/>
          <w:sz w:val="21"/>
          <w:szCs w:val="21"/>
          <w:lang w:bidi="ar"/>
        </w:rPr>
        <w:t>事件处置措施，</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保洁服务方案（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投标人提供本次物业项目保洁服务方案，包含①</w:t>
      </w:r>
      <w:r>
        <w:rPr>
          <w:rFonts w:hint="eastAsia" w:ascii="宋体" w:hAnsi="宋体" w:eastAsia="宋体" w:cs="宋体"/>
          <w:bCs/>
          <w:color w:val="auto"/>
          <w:kern w:val="0"/>
          <w:sz w:val="21"/>
          <w:szCs w:val="21"/>
          <w:highlight w:val="none"/>
        </w:rPr>
        <w:t>作业现场管理</w:t>
      </w:r>
      <w:r>
        <w:rPr>
          <w:rFonts w:hint="eastAsia" w:ascii="宋体" w:hAnsi="宋体" w:eastAsia="宋体" w:cs="宋体"/>
          <w:color w:val="auto"/>
          <w:kern w:val="0"/>
          <w:sz w:val="21"/>
          <w:szCs w:val="21"/>
          <w:lang w:bidi="ar"/>
        </w:rPr>
        <w:t>、②</w:t>
      </w:r>
      <w:r>
        <w:rPr>
          <w:rFonts w:hint="eastAsia" w:ascii="宋体" w:hAnsi="宋体" w:eastAsia="宋体" w:cs="宋体"/>
          <w:bCs/>
          <w:color w:val="auto"/>
          <w:kern w:val="0"/>
          <w:sz w:val="21"/>
          <w:szCs w:val="21"/>
          <w:highlight w:val="none"/>
        </w:rPr>
        <w:t>工作操作规程</w:t>
      </w:r>
      <w:r>
        <w:rPr>
          <w:rFonts w:hint="eastAsia" w:ascii="宋体" w:hAnsi="宋体" w:eastAsia="宋体" w:cs="宋体"/>
          <w:color w:val="auto"/>
          <w:kern w:val="0"/>
          <w:sz w:val="21"/>
          <w:szCs w:val="21"/>
          <w:lang w:bidi="ar"/>
        </w:rPr>
        <w:t>、③设</w:t>
      </w:r>
      <w:r>
        <w:rPr>
          <w:rFonts w:hint="eastAsia" w:ascii="宋体" w:hAnsi="宋体" w:eastAsia="宋体" w:cs="宋体"/>
          <w:bCs/>
          <w:color w:val="auto"/>
          <w:kern w:val="0"/>
          <w:sz w:val="21"/>
          <w:szCs w:val="21"/>
          <w:highlight w:val="none"/>
        </w:rPr>
        <w:t>工作管理制度</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bCs/>
          <w:color w:val="auto"/>
          <w:kern w:val="0"/>
          <w:sz w:val="21"/>
          <w:szCs w:val="21"/>
          <w:highlight w:val="none"/>
        </w:rPr>
        <w:t>保洁安全保障措施、服务质量保证措施</w:t>
      </w:r>
      <w:r>
        <w:rPr>
          <w:rFonts w:hint="eastAsia" w:ascii="宋体" w:hAnsi="宋体" w:eastAsia="宋体" w:cs="宋体"/>
          <w:color w:val="auto"/>
          <w:kern w:val="0"/>
          <w:sz w:val="21"/>
          <w:szCs w:val="21"/>
          <w:lang w:bidi="ar"/>
        </w:rPr>
        <w:t>，</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绿化服务方案（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投标人提供本次物业项目绿化服务方案包含①</w:t>
      </w:r>
      <w:r>
        <w:rPr>
          <w:rFonts w:hint="eastAsia" w:ascii="宋体" w:hAnsi="宋体" w:eastAsia="宋体" w:cs="宋体"/>
          <w:color w:val="auto"/>
          <w:kern w:val="2"/>
          <w:sz w:val="21"/>
          <w:szCs w:val="21"/>
          <w:highlight w:val="none"/>
          <w:lang w:val="en-US" w:eastAsia="zh-CN" w:bidi="ar-SA"/>
        </w:rPr>
        <w:t>绿化养护服务的基本要点</w:t>
      </w:r>
      <w:r>
        <w:rPr>
          <w:rFonts w:hint="eastAsia" w:ascii="宋体" w:hAnsi="宋体" w:eastAsia="宋体" w:cs="宋体"/>
          <w:color w:val="auto"/>
          <w:kern w:val="0"/>
          <w:sz w:val="21"/>
          <w:szCs w:val="21"/>
          <w:lang w:bidi="ar"/>
        </w:rPr>
        <w:t>、②</w:t>
      </w:r>
      <w:r>
        <w:rPr>
          <w:rFonts w:hint="eastAsia" w:ascii="宋体" w:hAnsi="宋体" w:eastAsia="宋体" w:cs="宋体"/>
          <w:color w:val="auto"/>
          <w:kern w:val="2"/>
          <w:sz w:val="21"/>
          <w:szCs w:val="21"/>
          <w:highlight w:val="none"/>
          <w:lang w:val="en-US" w:eastAsia="zh-CN" w:bidi="ar-SA"/>
        </w:rPr>
        <w:t>全年绿化养护工作计划、③园林建筑附属设施维护方案、④绿化服务质量保证措施，</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6</w:t>
      </w:r>
      <w:r>
        <w:rPr>
          <w:rFonts w:hint="eastAsia" w:ascii="宋体" w:hAnsi="宋体" w:eastAsia="宋体" w:cs="宋体"/>
          <w:b/>
          <w:bCs/>
          <w:color w:val="auto"/>
          <w:kern w:val="0"/>
          <w:sz w:val="21"/>
          <w:szCs w:val="21"/>
          <w:lang w:bidi="ar"/>
        </w:rPr>
        <w:t>水电维修服务方案（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firstLineChars="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投标人提供本次物业项目水电维修方案预案包含①</w:t>
      </w:r>
      <w:r>
        <w:rPr>
          <w:rFonts w:hint="eastAsia" w:ascii="宋体" w:hAnsi="宋体" w:eastAsia="宋体" w:cs="宋体"/>
          <w:color w:val="auto"/>
          <w:kern w:val="0"/>
          <w:sz w:val="21"/>
          <w:szCs w:val="21"/>
          <w:lang w:val="en-US" w:eastAsia="zh-CN" w:bidi="ar"/>
        </w:rPr>
        <w:t>日常巡查工作制度</w:t>
      </w:r>
      <w:r>
        <w:rPr>
          <w:rFonts w:hint="eastAsia" w:ascii="宋体" w:hAnsi="宋体" w:eastAsia="宋体" w:cs="宋体"/>
          <w:color w:val="auto"/>
          <w:kern w:val="0"/>
          <w:sz w:val="21"/>
          <w:szCs w:val="21"/>
          <w:lang w:bidi="ar"/>
        </w:rPr>
        <w:t>、②</w:t>
      </w:r>
      <w:r>
        <w:rPr>
          <w:rFonts w:hint="eastAsia" w:ascii="宋体" w:hAnsi="宋体" w:eastAsia="宋体" w:cs="宋体"/>
          <w:color w:val="auto"/>
          <w:kern w:val="0"/>
          <w:sz w:val="21"/>
          <w:szCs w:val="21"/>
          <w:lang w:val="en-US" w:eastAsia="zh-CN" w:bidi="ar"/>
        </w:rPr>
        <w:t>房屋及公共设施设备的巡检、维护、③水电维修类表单齐全，④</w:t>
      </w:r>
      <w:r>
        <w:rPr>
          <w:rFonts w:hint="eastAsia" w:ascii="宋体" w:hAnsi="宋体" w:eastAsia="宋体" w:cs="宋体"/>
          <w:bCs/>
          <w:color w:val="auto"/>
          <w:kern w:val="0"/>
          <w:sz w:val="21"/>
          <w:szCs w:val="21"/>
          <w:highlight w:val="none"/>
        </w:rPr>
        <w:t>设备设施节能降耗运行方案</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bookmarkStart w:id="205" w:name="_Hlk207378321"/>
      <w:bookmarkStart w:id="206" w:name="_Hlk207378487"/>
      <w:r>
        <w:rPr>
          <w:rFonts w:hint="eastAsia" w:ascii="宋体" w:hAnsi="宋体" w:eastAsia="宋体" w:cs="宋体"/>
          <w:b/>
          <w:bCs/>
          <w:color w:val="auto"/>
          <w:kern w:val="0"/>
          <w:sz w:val="21"/>
          <w:szCs w:val="21"/>
          <w:lang w:val="en-US" w:eastAsia="zh-CN" w:bidi="ar"/>
        </w:rPr>
        <w:t>7</w:t>
      </w:r>
      <w:r>
        <w:rPr>
          <w:rFonts w:hint="eastAsia" w:ascii="宋体" w:hAnsi="宋体" w:eastAsia="宋体" w:cs="宋体"/>
          <w:b/>
          <w:bCs/>
          <w:color w:val="auto"/>
          <w:kern w:val="0"/>
          <w:sz w:val="21"/>
          <w:szCs w:val="21"/>
          <w:lang w:bidi="ar"/>
        </w:rPr>
        <w:t>应急服务方案</w:t>
      </w:r>
      <w:bookmarkEnd w:id="205"/>
      <w:r>
        <w:rPr>
          <w:rFonts w:hint="eastAsia" w:ascii="宋体" w:hAnsi="宋体" w:eastAsia="宋体" w:cs="宋体"/>
          <w:b/>
          <w:bCs/>
          <w:color w:val="auto"/>
          <w:kern w:val="0"/>
          <w:sz w:val="21"/>
          <w:szCs w:val="21"/>
          <w:lang w:bidi="ar"/>
        </w:rPr>
        <w:t>（6分）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投标人提供本次物业项目应急处置方案预案包含①</w:t>
      </w:r>
      <w:r>
        <w:rPr>
          <w:rFonts w:hint="eastAsia" w:ascii="宋体" w:hAnsi="宋体" w:eastAsia="宋体" w:cs="宋体"/>
          <w:color w:val="auto"/>
          <w:kern w:val="0"/>
          <w:sz w:val="21"/>
          <w:szCs w:val="21"/>
          <w:lang w:val="en-US" w:eastAsia="zh-CN" w:bidi="ar"/>
        </w:rPr>
        <w:t>成立专门的应急部门</w:t>
      </w:r>
      <w:r>
        <w:rPr>
          <w:rFonts w:hint="eastAsia" w:ascii="宋体" w:hAnsi="宋体" w:eastAsia="宋体" w:cs="宋体"/>
          <w:color w:val="auto"/>
          <w:kern w:val="0"/>
          <w:sz w:val="21"/>
          <w:szCs w:val="21"/>
          <w:lang w:bidi="ar"/>
        </w:rPr>
        <w:t>②台风、暴雨应急、③各类报警应急、④暴力事件应急方案、⑤应急人员调配、⑥应急设备配备，</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符合项目需求，且在方案中有明确描述的，每项得1分，满分6分。</w:t>
      </w:r>
    </w:p>
    <w:bookmarkEnd w:id="200"/>
    <w:bookmarkEnd w:id="202"/>
    <w:bookmarkEnd w:id="206"/>
    <w:p>
      <w:pPr>
        <w:spacing w:line="460" w:lineRule="exact"/>
        <w:ind w:firstLine="384" w:firstLineChars="0"/>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2.</w:t>
      </w:r>
      <w:r>
        <w:rPr>
          <w:rFonts w:hint="eastAsia" w:ascii="宋体" w:hAnsi="宋体" w:eastAsia="宋体" w:cs="宋体"/>
          <w:b/>
          <w:bCs/>
          <w:color w:val="auto"/>
          <w:sz w:val="21"/>
          <w:szCs w:val="21"/>
        </w:rPr>
        <w:t>人员配置方案分（满分</w:t>
      </w:r>
      <w:r>
        <w:rPr>
          <w:rFonts w:hint="eastAsia" w:ascii="宋体" w:hAnsi="宋体" w:eastAsia="宋体" w:cs="宋体"/>
          <w:b/>
          <w:bCs/>
          <w:color w:val="auto"/>
          <w:sz w:val="21"/>
          <w:szCs w:val="21"/>
          <w:lang w:val="en-US" w:eastAsia="zh-CN"/>
        </w:rPr>
        <w:t>28</w:t>
      </w:r>
      <w:r>
        <w:rPr>
          <w:rFonts w:hint="eastAsia" w:ascii="宋体" w:hAnsi="宋体" w:eastAsia="宋体" w:cs="宋体"/>
          <w:b/>
          <w:bCs/>
          <w:color w:val="auto"/>
          <w:sz w:val="21"/>
          <w:szCs w:val="21"/>
        </w:rPr>
        <w:t>分）</w:t>
      </w:r>
    </w:p>
    <w:p>
      <w:pPr>
        <w:widowControl/>
        <w:spacing w:line="460" w:lineRule="exact"/>
        <w:ind w:firstLine="420"/>
        <w:jc w:val="left"/>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2.1</w:t>
      </w:r>
      <w:bookmarkStart w:id="207" w:name="OLE_LINK3"/>
      <w:r>
        <w:rPr>
          <w:rFonts w:hint="eastAsia" w:ascii="宋体" w:hAnsi="宋体" w:eastAsia="宋体" w:cs="宋体"/>
          <w:color w:val="auto"/>
          <w:sz w:val="21"/>
          <w:szCs w:val="21"/>
        </w:rPr>
        <w:t>投标人拟投入本项目物业经理</w:t>
      </w:r>
      <w:bookmarkStart w:id="208" w:name="OLE_LINK8"/>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①</w:t>
      </w:r>
      <w:bookmarkEnd w:id="208"/>
      <w:r>
        <w:rPr>
          <w:rFonts w:hint="eastAsia" w:ascii="宋体" w:hAnsi="宋体" w:eastAsia="宋体" w:cs="宋体"/>
          <w:color w:val="auto"/>
          <w:sz w:val="21"/>
          <w:szCs w:val="21"/>
          <w:highlight w:val="none"/>
        </w:rPr>
        <w:t>本科或以上学历</w:t>
      </w:r>
      <w:bookmarkStart w:id="209" w:name="OLE_LINK9"/>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得2分；</w:t>
      </w:r>
      <w:r>
        <w:rPr>
          <w:rFonts w:hint="eastAsia" w:ascii="宋体" w:hAnsi="宋体" w:eastAsia="宋体" w:cs="宋体"/>
          <w:color w:val="auto"/>
          <w:sz w:val="21"/>
          <w:szCs w:val="21"/>
        </w:rPr>
        <w:t>②</w:t>
      </w:r>
      <w:bookmarkEnd w:id="209"/>
      <w:r>
        <w:rPr>
          <w:rFonts w:hint="eastAsia" w:ascii="宋体" w:hAnsi="宋体" w:eastAsia="宋体" w:cs="宋体"/>
          <w:color w:val="auto"/>
          <w:sz w:val="21"/>
          <w:szCs w:val="21"/>
          <w:lang w:val="en-US" w:eastAsia="zh-CN"/>
        </w:rPr>
        <w:t>人社部门备案的评价机构颁发的三级以上（不含）物业管理师证书，得2分；③国家保密局宣传教育司颁发的保密教育培训证书，得2分；</w:t>
      </w:r>
      <w:r>
        <w:rPr>
          <w:rFonts w:hint="eastAsia" w:ascii="宋体" w:hAnsi="宋体" w:eastAsia="宋体" w:cs="宋体"/>
          <w:color w:val="auto"/>
          <w:sz w:val="21"/>
          <w:szCs w:val="21"/>
          <w:highlight w:val="none"/>
          <w:lang w:val="en-US" w:eastAsia="zh-CN"/>
        </w:rPr>
        <w:t>④人力资源和社会保障部门颁发的项目管理专业高级职称证书，</w:t>
      </w:r>
      <w:bookmarkStart w:id="210" w:name="OLE_LINK10"/>
      <w:r>
        <w:rPr>
          <w:rFonts w:hint="eastAsia" w:ascii="宋体" w:hAnsi="宋体" w:eastAsia="宋体" w:cs="宋体"/>
          <w:color w:val="auto"/>
          <w:sz w:val="21"/>
          <w:szCs w:val="21"/>
          <w:highlight w:val="none"/>
          <w:lang w:val="en-US" w:eastAsia="zh-CN"/>
        </w:rPr>
        <w:t>得2分；中级职称得1分，不累计计分</w:t>
      </w:r>
      <w:bookmarkEnd w:id="210"/>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bookmarkEnd w:id="207"/>
    </w:p>
    <w:p>
      <w:pPr>
        <w:widowControl/>
        <w:spacing w:line="460" w:lineRule="exact"/>
        <w:ind w:firstLine="420"/>
        <w:jc w:val="left"/>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bookmarkStart w:id="211" w:name="OLE_LINK11"/>
      <w:r>
        <w:rPr>
          <w:rFonts w:hint="eastAsia" w:ascii="宋体" w:hAnsi="宋体" w:eastAsia="宋体" w:cs="宋体"/>
          <w:color w:val="auto"/>
          <w:sz w:val="21"/>
          <w:szCs w:val="21"/>
          <w:highlight w:val="none"/>
        </w:rPr>
        <w:t>投标人拟投入本项目安保</w:t>
      </w:r>
      <w:r>
        <w:rPr>
          <w:rFonts w:hint="eastAsia" w:ascii="宋体" w:hAnsi="宋体" w:eastAsia="宋体" w:cs="宋体"/>
          <w:color w:val="auto"/>
          <w:sz w:val="21"/>
          <w:szCs w:val="21"/>
          <w:highlight w:val="none"/>
          <w:lang w:val="en-US" w:eastAsia="zh-CN"/>
        </w:rPr>
        <w:t>主管</w:t>
      </w:r>
      <w:bookmarkEnd w:id="211"/>
      <w:bookmarkStart w:id="212" w:name="OLE_LINK13"/>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①大专</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以上学历</w:t>
      </w:r>
      <w:bookmarkEnd w:id="21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退伍军人；③</w:t>
      </w:r>
      <w:r>
        <w:rPr>
          <w:rFonts w:hint="eastAsia" w:ascii="宋体" w:hAnsi="宋体" w:eastAsia="宋体" w:cs="宋体"/>
          <w:color w:val="auto"/>
          <w:sz w:val="21"/>
          <w:szCs w:val="21"/>
          <w:lang w:val="en-US" w:eastAsia="zh-CN"/>
        </w:rPr>
        <w:t>有应急管理部门或人力资源和社会保障部门颁发的应急救援员职业资格证书；</w:t>
      </w:r>
      <w:r>
        <w:rPr>
          <w:rFonts w:hint="eastAsia" w:ascii="宋体" w:hAnsi="宋体" w:eastAsia="宋体" w:cs="宋体"/>
          <w:color w:val="auto"/>
          <w:sz w:val="21"/>
          <w:szCs w:val="21"/>
          <w:highlight w:val="none"/>
          <w:lang w:val="en-US" w:eastAsia="zh-CN"/>
        </w:rPr>
        <w:t>④中级消防设施操作员证；⑤人力资源和社会保障厅颁发的中级或以上职称证书</w:t>
      </w:r>
      <w:bookmarkStart w:id="213" w:name="OLE_LINK12"/>
      <w:r>
        <w:rPr>
          <w:rFonts w:hint="eastAsia" w:ascii="宋体" w:hAnsi="宋体" w:eastAsia="宋体" w:cs="宋体"/>
          <w:color w:val="auto"/>
          <w:sz w:val="21"/>
          <w:szCs w:val="21"/>
          <w:highlight w:val="none"/>
          <w:lang w:val="en-US" w:eastAsia="zh-CN"/>
        </w:rPr>
        <w:t>；⑥行政管理部门颁发的安全生产管理人员证书，每一项1分，满分6分</w:t>
      </w:r>
      <w:bookmarkEnd w:id="213"/>
      <w:r>
        <w:rPr>
          <w:rFonts w:hint="eastAsia" w:ascii="宋体" w:hAnsi="宋体" w:eastAsia="宋体" w:cs="宋体"/>
          <w:color w:val="auto"/>
          <w:sz w:val="21"/>
          <w:szCs w:val="21"/>
          <w:highlight w:val="none"/>
        </w:rPr>
        <w:t>。</w:t>
      </w:r>
    </w:p>
    <w:p>
      <w:pPr>
        <w:widowControl/>
        <w:spacing w:line="460" w:lineRule="exact"/>
        <w:ind w:firstLine="420"/>
        <w:jc w:val="left"/>
        <w:outlineLvl w:val="1"/>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2.3投标人拟投入本项目</w:t>
      </w:r>
      <w:r>
        <w:rPr>
          <w:rFonts w:hint="eastAsia" w:ascii="宋体" w:hAnsi="宋体" w:eastAsia="宋体" w:cs="宋体"/>
          <w:color w:val="auto"/>
          <w:sz w:val="21"/>
          <w:szCs w:val="21"/>
          <w:highlight w:val="none"/>
          <w:lang w:val="en-US" w:eastAsia="zh-CN"/>
        </w:rPr>
        <w:t>保洁主管具有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大专或以上学历、②</w:t>
      </w:r>
      <w:r>
        <w:rPr>
          <w:rFonts w:hint="eastAsia" w:ascii="宋体" w:hAnsi="宋体" w:eastAsia="宋体" w:cs="宋体"/>
          <w:color w:val="auto"/>
          <w:kern w:val="0"/>
          <w:sz w:val="21"/>
          <w:szCs w:val="21"/>
          <w:highlight w:val="none"/>
        </w:rPr>
        <w:t>人力资源和社会保障厅颁发的</w:t>
      </w:r>
      <w:r>
        <w:rPr>
          <w:rFonts w:hint="eastAsia" w:ascii="宋体" w:hAnsi="宋体" w:eastAsia="宋体" w:cs="宋体"/>
          <w:color w:val="auto"/>
          <w:kern w:val="0"/>
          <w:sz w:val="21"/>
          <w:szCs w:val="21"/>
          <w:highlight w:val="none"/>
          <w:lang w:val="en-US" w:eastAsia="zh-CN"/>
        </w:rPr>
        <w:t>中级</w:t>
      </w:r>
      <w:r>
        <w:rPr>
          <w:rFonts w:hint="eastAsia" w:ascii="宋体" w:hAnsi="宋体" w:eastAsia="宋体" w:cs="宋体"/>
          <w:color w:val="auto"/>
          <w:kern w:val="0"/>
          <w:sz w:val="21"/>
          <w:szCs w:val="21"/>
          <w:highlight w:val="none"/>
        </w:rPr>
        <w:t>或以上职称证书</w:t>
      </w:r>
      <w:r>
        <w:rPr>
          <w:rFonts w:hint="eastAsia"/>
          <w:color w:val="auto"/>
          <w:lang w:eastAsia="zh-CN"/>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人社部门备案的评价机构颁发的三级以上（含）物业管理师证书</w:t>
      </w:r>
      <w:r>
        <w:rPr>
          <w:rFonts w:hint="eastAsia" w:ascii="宋体" w:hAnsi="宋体" w:eastAsia="宋体" w:cs="宋体"/>
          <w:color w:val="auto"/>
          <w:kern w:val="0"/>
          <w:sz w:val="21"/>
          <w:szCs w:val="21"/>
          <w:highlight w:val="none"/>
          <w:lang w:eastAsia="zh-CN"/>
        </w:rPr>
        <w:t>，</w:t>
      </w:r>
      <w:bookmarkStart w:id="214" w:name="OLE_LINK14"/>
      <w:r>
        <w:rPr>
          <w:rFonts w:hint="eastAsia" w:ascii="宋体" w:hAnsi="宋体" w:eastAsia="宋体" w:cs="宋体"/>
          <w:color w:val="auto"/>
          <w:sz w:val="21"/>
          <w:szCs w:val="21"/>
          <w:lang w:val="en-US" w:eastAsia="zh-CN"/>
        </w:rPr>
        <w:t>每一项1分，满分3分</w:t>
      </w:r>
      <w:bookmarkEnd w:id="214"/>
      <w:r>
        <w:rPr>
          <w:rFonts w:hint="eastAsia" w:ascii="宋体" w:hAnsi="宋体" w:eastAsia="宋体" w:cs="宋体"/>
          <w:color w:val="auto"/>
          <w:sz w:val="21"/>
          <w:szCs w:val="21"/>
        </w:rPr>
        <w:t>。</w:t>
      </w:r>
    </w:p>
    <w:p>
      <w:pPr>
        <w:widowControl/>
        <w:spacing w:line="460" w:lineRule="exact"/>
        <w:ind w:firstLine="420"/>
        <w:jc w:val="left"/>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2.4投标人拟投入本项目</w:t>
      </w:r>
      <w:r>
        <w:rPr>
          <w:rFonts w:hint="eastAsia" w:ascii="宋体" w:hAnsi="宋体" w:eastAsia="宋体" w:cs="宋体"/>
          <w:color w:val="auto"/>
          <w:sz w:val="21"/>
          <w:szCs w:val="21"/>
          <w:lang w:val="en-US" w:eastAsia="zh-CN"/>
        </w:rPr>
        <w:t>维修主管具有</w:t>
      </w:r>
      <w:r>
        <w:rPr>
          <w:rFonts w:hint="eastAsia" w:ascii="宋体" w:hAnsi="宋体" w:eastAsia="宋体" w:cs="宋体"/>
          <w:color w:val="auto"/>
          <w:sz w:val="21"/>
          <w:szCs w:val="21"/>
        </w:rPr>
        <w:t>①电气工程与自动化</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专业</w:t>
      </w:r>
      <w:r>
        <w:rPr>
          <w:rFonts w:hint="eastAsia" w:ascii="宋体" w:hAnsi="宋体" w:eastAsia="宋体" w:cs="宋体"/>
          <w:color w:val="auto"/>
          <w:kern w:val="0"/>
          <w:sz w:val="21"/>
          <w:szCs w:val="21"/>
          <w:highlight w:val="none"/>
        </w:rPr>
        <w:t>本科</w:t>
      </w:r>
      <w:r>
        <w:rPr>
          <w:rFonts w:hint="eastAsia" w:ascii="宋体" w:hAnsi="宋体" w:eastAsia="宋体" w:cs="宋体"/>
          <w:color w:val="auto"/>
          <w:kern w:val="0"/>
          <w:sz w:val="21"/>
          <w:szCs w:val="21"/>
          <w:highlight w:val="none"/>
          <w:lang w:val="en-US" w:eastAsia="zh-CN"/>
        </w:rPr>
        <w:t>或以上学历，得2分；大专学历，得1分，不累计计分；</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0"/>
          <w:sz w:val="21"/>
          <w:szCs w:val="21"/>
          <w:highlight w:val="none"/>
        </w:rPr>
        <w:t>人力资源和社会保障</w:t>
      </w:r>
      <w:r>
        <w:rPr>
          <w:rFonts w:hint="eastAsia" w:ascii="宋体" w:hAnsi="宋体" w:eastAsia="宋体" w:cs="宋体"/>
          <w:color w:val="auto"/>
          <w:kern w:val="0"/>
          <w:sz w:val="21"/>
          <w:szCs w:val="21"/>
          <w:highlight w:val="none"/>
          <w:lang w:val="en-US" w:eastAsia="zh-CN"/>
        </w:rPr>
        <w:t>部门</w:t>
      </w:r>
      <w:r>
        <w:rPr>
          <w:rFonts w:hint="eastAsia" w:ascii="宋体" w:hAnsi="宋体" w:eastAsia="宋体" w:cs="宋体"/>
          <w:color w:val="auto"/>
          <w:kern w:val="0"/>
          <w:sz w:val="21"/>
          <w:szCs w:val="21"/>
          <w:highlight w:val="none"/>
        </w:rPr>
        <w:t>颁发的工业电气及其电动化专业</w:t>
      </w:r>
      <w:r>
        <w:rPr>
          <w:rFonts w:hint="eastAsia" w:ascii="宋体" w:hAnsi="宋体" w:eastAsia="宋体" w:cs="宋体"/>
          <w:color w:val="auto"/>
          <w:kern w:val="0"/>
          <w:sz w:val="21"/>
          <w:szCs w:val="21"/>
          <w:highlight w:val="none"/>
          <w:lang w:val="en-US" w:eastAsia="zh-CN"/>
        </w:rPr>
        <w:t>相关专业</w:t>
      </w:r>
      <w:r>
        <w:rPr>
          <w:rFonts w:hint="eastAsia" w:ascii="宋体" w:hAnsi="宋体" w:eastAsia="宋体" w:cs="宋体"/>
          <w:color w:val="auto"/>
          <w:kern w:val="0"/>
          <w:sz w:val="21"/>
          <w:szCs w:val="21"/>
          <w:highlight w:val="none"/>
        </w:rPr>
        <w:t>高级职称证书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得2分；中级职称，得1分</w:t>
      </w:r>
      <w:r>
        <w:rPr>
          <w:rFonts w:hint="eastAsia" w:ascii="宋体" w:hAnsi="宋体" w:eastAsia="宋体" w:cs="宋体"/>
          <w:color w:val="auto"/>
          <w:lang w:eastAsia="zh-CN"/>
        </w:rPr>
        <w:t>，</w:t>
      </w:r>
      <w:r>
        <w:rPr>
          <w:rFonts w:hint="eastAsia" w:ascii="宋体" w:hAnsi="宋体" w:eastAsia="宋体" w:cs="宋体"/>
          <w:color w:val="auto"/>
          <w:lang w:val="en-US" w:eastAsia="zh-CN"/>
        </w:rPr>
        <w:t>不累计计分；</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行政部门颁发的</w:t>
      </w:r>
      <w:r>
        <w:rPr>
          <w:rFonts w:hint="eastAsia" w:ascii="宋体" w:hAnsi="宋体" w:eastAsia="宋体" w:cs="宋体"/>
          <w:color w:val="auto"/>
          <w:szCs w:val="21"/>
          <w:lang w:eastAsia="zh-CN"/>
        </w:rPr>
        <w:t>特种设备作业A证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得2分，④高压电工证，得</w:t>
      </w:r>
      <w:r>
        <w:rPr>
          <w:rFonts w:hint="eastAsia" w:ascii="宋体" w:hAnsi="宋体" w:eastAsia="宋体" w:cs="宋体"/>
          <w:color w:val="auto"/>
          <w:sz w:val="21"/>
          <w:szCs w:val="21"/>
          <w:lang w:val="en-US" w:eastAsia="zh-CN"/>
        </w:rPr>
        <w:t>2分。满分8分。</w:t>
      </w:r>
    </w:p>
    <w:p>
      <w:pPr>
        <w:pStyle w:val="59"/>
        <w:spacing w:line="360" w:lineRule="auto"/>
        <w:rPr>
          <w:rFonts w:hint="default"/>
          <w:color w:val="auto"/>
          <w:lang w:val="en-US" w:eastAsia="zh-CN"/>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投标人拟投入本项目绿化主管</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园林专业本科或以上学历、②</w:t>
      </w:r>
      <w:r>
        <w:rPr>
          <w:rFonts w:hint="eastAsia" w:ascii="宋体" w:hAnsi="宋体" w:eastAsia="宋体" w:cs="宋体"/>
          <w:color w:val="auto"/>
          <w:kern w:val="0"/>
          <w:sz w:val="21"/>
          <w:szCs w:val="21"/>
          <w:highlight w:val="none"/>
        </w:rPr>
        <w:t>人力资源和社会保障厅颁发的</w:t>
      </w:r>
      <w:r>
        <w:rPr>
          <w:rFonts w:hint="eastAsia" w:ascii="宋体" w:hAnsi="宋体" w:eastAsia="宋体" w:cs="宋体"/>
          <w:color w:val="auto"/>
          <w:kern w:val="0"/>
          <w:sz w:val="21"/>
          <w:szCs w:val="21"/>
          <w:highlight w:val="none"/>
          <w:lang w:val="en-US" w:eastAsia="zh-CN"/>
        </w:rPr>
        <w:t>风景园林相关专业中级</w:t>
      </w:r>
      <w:r>
        <w:rPr>
          <w:rFonts w:hint="eastAsia" w:ascii="宋体" w:hAnsi="宋体" w:eastAsia="宋体" w:cs="宋体"/>
          <w:color w:val="auto"/>
          <w:kern w:val="0"/>
          <w:sz w:val="21"/>
          <w:szCs w:val="21"/>
          <w:highlight w:val="none"/>
        </w:rPr>
        <w:t>或以上职称证书</w:t>
      </w:r>
      <w:r>
        <w:rPr>
          <w:rFonts w:hint="eastAsia"/>
          <w:color w:val="auto"/>
          <w:lang w:eastAsia="zh-CN"/>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人社部门颁发的三级或以上</w:t>
      </w:r>
      <w:bookmarkStart w:id="238" w:name="_GoBack"/>
      <w:bookmarkEnd w:id="238"/>
      <w:r>
        <w:rPr>
          <w:rFonts w:hint="eastAsia" w:ascii="宋体" w:hAnsi="宋体" w:eastAsia="宋体" w:cs="宋体"/>
          <w:color w:val="auto"/>
          <w:sz w:val="21"/>
          <w:szCs w:val="21"/>
          <w:lang w:val="en-US" w:eastAsia="zh-CN"/>
        </w:rPr>
        <w:t>绿化工证书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lang w:val="en-US" w:eastAsia="zh-CN"/>
        </w:rPr>
        <w:t>每一项1分，满分3分</w:t>
      </w:r>
      <w:r>
        <w:rPr>
          <w:rFonts w:hint="eastAsia" w:ascii="宋体" w:hAnsi="宋体" w:eastAsia="宋体" w:cs="宋体"/>
          <w:color w:val="auto"/>
          <w:sz w:val="21"/>
          <w:szCs w:val="21"/>
        </w:rPr>
        <w:t>。</w:t>
      </w:r>
    </w:p>
    <w:p>
      <w:pPr>
        <w:widowControl/>
        <w:spacing w:line="360" w:lineRule="auto"/>
        <w:ind w:firstLine="420"/>
        <w:jc w:val="left"/>
        <w:outlineLvl w:val="1"/>
        <w:rPr>
          <w:rFonts w:hint="eastAsia" w:ascii="宋体" w:hAnsi="宋体" w:eastAsia="宋体" w:cs="宋体"/>
          <w:color w:val="auto"/>
          <w:sz w:val="21"/>
          <w:szCs w:val="21"/>
        </w:rPr>
      </w:pPr>
      <w:r>
        <w:rPr>
          <w:rFonts w:hint="eastAsia" w:ascii="宋体" w:hAnsi="宋体" w:eastAsia="宋体" w:cs="宋体"/>
          <w:color w:val="auto"/>
          <w:sz w:val="21"/>
          <w:szCs w:val="21"/>
        </w:rPr>
        <w:t>注：须提供</w:t>
      </w:r>
      <w:r>
        <w:rPr>
          <w:rFonts w:hint="eastAsia" w:ascii="宋体" w:hAnsi="宋体" w:eastAsia="宋体" w:cs="宋体"/>
          <w:color w:val="auto"/>
          <w:sz w:val="21"/>
          <w:szCs w:val="21"/>
          <w:lang w:val="en-US" w:eastAsia="zh-CN"/>
        </w:rPr>
        <w:t>2.1-2.5</w:t>
      </w:r>
      <w:r>
        <w:rPr>
          <w:rFonts w:hint="eastAsia" w:ascii="宋体" w:hAnsi="宋体" w:eastAsia="宋体" w:cs="宋体"/>
          <w:color w:val="auto"/>
          <w:kern w:val="0"/>
          <w:sz w:val="21"/>
          <w:szCs w:val="21"/>
        </w:rPr>
        <w:t>拟投入的相关管理人员及上述所有相关证书证件的扫描件及供应商为其缴纳近半年任意三个月的社保证明</w:t>
      </w:r>
      <w:r>
        <w:rPr>
          <w:rFonts w:hint="eastAsia" w:ascii="宋体" w:hAnsi="宋体" w:eastAsia="宋体" w:cs="宋体"/>
          <w:b w:val="0"/>
          <w:bCs w:val="0"/>
          <w:color w:val="auto"/>
          <w:kern w:val="0"/>
          <w:sz w:val="21"/>
          <w:szCs w:val="21"/>
        </w:rPr>
        <w:t>或劳动合同等证明材料</w:t>
      </w:r>
      <w:r>
        <w:rPr>
          <w:rFonts w:hint="eastAsia" w:ascii="宋体" w:hAnsi="宋体" w:eastAsia="宋体" w:cs="宋体"/>
          <w:b w:val="0"/>
          <w:bCs w:val="0"/>
          <w:color w:val="auto"/>
          <w:kern w:val="0"/>
          <w:sz w:val="21"/>
          <w:szCs w:val="21"/>
          <w:lang w:eastAsia="zh-CN"/>
        </w:rPr>
        <w:t>。</w:t>
      </w:r>
    </w:p>
    <w:p>
      <w:pPr>
        <w:rPr>
          <w:rFonts w:hint="eastAsia" w:ascii="宋体" w:hAnsi="宋体" w:eastAsia="宋体" w:cs="宋体"/>
          <w:color w:val="auto"/>
          <w:sz w:val="21"/>
          <w:szCs w:val="21"/>
        </w:rPr>
      </w:pPr>
    </w:p>
    <w:p>
      <w:pPr>
        <w:spacing w:line="360" w:lineRule="auto"/>
        <w:ind w:firstLine="426" w:firstLineChars="202"/>
        <w:rPr>
          <w:rFonts w:hint="eastAsia" w:ascii="宋体" w:hAnsi="宋体" w:eastAsia="宋体" w:cs="宋体"/>
          <w:b/>
          <w:color w:val="auto"/>
          <w:sz w:val="21"/>
          <w:szCs w:val="21"/>
          <w:highlight w:val="none"/>
        </w:rPr>
      </w:pPr>
    </w:p>
    <w:p>
      <w:pPr>
        <w:spacing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（三）商务分……………………………………………………………………（</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投标人具有IS09001质量管理体系认证、IS014001 环境管理体系认证、IS045001 职业健康安全管理体系认证，每份证书得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分，否则不得分。（须提供有效认证证书并加盖投标人公章）</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投标人自2022年以来具有同类项目业绩的，每项得1分，满分</w:t>
      </w:r>
      <w:r>
        <w:rPr>
          <w:rFonts w:hint="eastAsia" w:ascii="宋体" w:hAnsi="宋体" w:eastAsia="宋体" w:cs="宋体"/>
          <w:color w:val="auto"/>
          <w:kern w:val="0"/>
          <w:sz w:val="21"/>
          <w:szCs w:val="21"/>
          <w:lang w:val="en-US" w:eastAsia="zh-CN" w:bidi="ar"/>
        </w:rPr>
        <w:t>10</w:t>
      </w:r>
      <w:r>
        <w:rPr>
          <w:rFonts w:hint="eastAsia" w:ascii="宋体" w:hAnsi="宋体" w:eastAsia="宋体" w:cs="宋体"/>
          <w:color w:val="auto"/>
          <w:kern w:val="0"/>
          <w:sz w:val="21"/>
          <w:szCs w:val="21"/>
          <w:lang w:bidi="ar"/>
        </w:rPr>
        <w:t>分。(须提供包括合同名称、标的、金额、期限、签字盖章内容的合同关键页)</w:t>
      </w:r>
    </w:p>
    <w:p>
      <w:pPr>
        <w:spacing w:line="460" w:lineRule="exact"/>
        <w:rPr>
          <w:rFonts w:hint="eastAsia" w:ascii="宋体" w:hAnsi="宋体" w:eastAsia="宋体" w:cs="宋体"/>
          <w:strike w:val="0"/>
          <w:dstrike w:val="0"/>
          <w:color w:val="auto"/>
          <w:sz w:val="21"/>
          <w:szCs w:val="21"/>
          <w:u w:val="none"/>
        </w:rPr>
      </w:pPr>
      <w:r>
        <w:rPr>
          <w:rFonts w:hint="eastAsia" w:ascii="宋体" w:hAnsi="宋体" w:eastAsia="宋体" w:cs="宋体"/>
          <w:strike w:val="0"/>
          <w:dstrike w:val="0"/>
          <w:color w:val="auto"/>
          <w:kern w:val="0"/>
          <w:sz w:val="21"/>
          <w:szCs w:val="21"/>
          <w:u w:val="none"/>
          <w:lang w:val="en-US" w:eastAsia="zh-CN" w:bidi="ar"/>
        </w:rPr>
        <w:t>3.</w:t>
      </w:r>
      <w:r>
        <w:rPr>
          <w:rFonts w:hint="eastAsia" w:ascii="宋体" w:hAnsi="宋体" w:eastAsia="宋体" w:cs="宋体"/>
          <w:strike w:val="0"/>
          <w:dstrike w:val="0"/>
          <w:color w:val="auto"/>
          <w:sz w:val="21"/>
          <w:szCs w:val="21"/>
          <w:u w:val="none"/>
        </w:rPr>
        <w:t>自2022年1月1日以来，投标人或所服务的项目获得行政部门颁发的与物业服务相关的荣誉奖项的，</w:t>
      </w:r>
      <w:r>
        <w:rPr>
          <w:rFonts w:hint="eastAsia" w:ascii="宋体" w:hAnsi="宋体" w:eastAsia="宋体" w:cs="宋体"/>
          <w:strike w:val="0"/>
          <w:dstrike w:val="0"/>
          <w:color w:val="auto"/>
          <w:sz w:val="21"/>
          <w:szCs w:val="21"/>
          <w:u w:val="none"/>
          <w:lang w:val="en-US" w:eastAsia="zh-CN"/>
        </w:rPr>
        <w:t>地级市的得1分，</w:t>
      </w:r>
      <w:r>
        <w:rPr>
          <w:rFonts w:hint="eastAsia" w:ascii="宋体" w:hAnsi="宋体" w:eastAsia="宋体" w:cs="宋体"/>
          <w:strike w:val="0"/>
          <w:dstrike w:val="0"/>
          <w:color w:val="auto"/>
          <w:sz w:val="21"/>
          <w:szCs w:val="21"/>
          <w:u w:val="none"/>
        </w:rPr>
        <w:t>省（区、直辖市）级及以上的得</w:t>
      </w:r>
      <w:r>
        <w:rPr>
          <w:rFonts w:hint="eastAsia" w:ascii="宋体" w:hAnsi="宋体" w:eastAsia="宋体" w:cs="宋体"/>
          <w:strike w:val="0"/>
          <w:dstrike w:val="0"/>
          <w:color w:val="auto"/>
          <w:sz w:val="21"/>
          <w:szCs w:val="21"/>
          <w:u w:val="none"/>
          <w:lang w:val="en-US" w:eastAsia="zh-CN"/>
        </w:rPr>
        <w:t>2</w:t>
      </w:r>
      <w:r>
        <w:rPr>
          <w:rFonts w:hint="eastAsia" w:ascii="宋体" w:hAnsi="宋体" w:eastAsia="宋体" w:cs="宋体"/>
          <w:strike w:val="0"/>
          <w:dstrike w:val="0"/>
          <w:color w:val="auto"/>
          <w:sz w:val="21"/>
          <w:szCs w:val="21"/>
          <w:u w:val="none"/>
        </w:rPr>
        <w:t>分，</w:t>
      </w:r>
      <w:r>
        <w:rPr>
          <w:rFonts w:hint="eastAsia" w:ascii="宋体" w:hAnsi="宋体" w:eastAsia="宋体" w:cs="宋体"/>
          <w:strike w:val="0"/>
          <w:dstrike w:val="0"/>
          <w:color w:val="auto"/>
          <w:sz w:val="21"/>
          <w:szCs w:val="21"/>
          <w:u w:val="none"/>
          <w:lang w:val="en-US" w:eastAsia="zh-CN"/>
        </w:rPr>
        <w:t>国家级及以上的得3分，</w:t>
      </w:r>
      <w:r>
        <w:rPr>
          <w:rFonts w:hint="eastAsia" w:ascii="宋体" w:hAnsi="宋体" w:eastAsia="宋体" w:cs="宋体"/>
          <w:strike w:val="0"/>
          <w:dstrike w:val="0"/>
          <w:color w:val="auto"/>
          <w:sz w:val="21"/>
          <w:szCs w:val="21"/>
          <w:u w:val="none"/>
        </w:rPr>
        <w:t>满分</w:t>
      </w:r>
      <w:r>
        <w:rPr>
          <w:rFonts w:hint="eastAsia" w:ascii="宋体" w:hAnsi="宋体" w:eastAsia="宋体" w:cs="宋体"/>
          <w:strike w:val="0"/>
          <w:dstrike w:val="0"/>
          <w:color w:val="auto"/>
          <w:sz w:val="21"/>
          <w:szCs w:val="21"/>
          <w:u w:val="none"/>
          <w:lang w:val="en-US" w:eastAsia="zh-CN"/>
        </w:rPr>
        <w:t>3</w:t>
      </w:r>
      <w:r>
        <w:rPr>
          <w:rFonts w:hint="eastAsia" w:ascii="宋体" w:hAnsi="宋体" w:eastAsia="宋体" w:cs="宋体"/>
          <w:strike w:val="0"/>
          <w:dstrike w:val="0"/>
          <w:color w:val="auto"/>
          <w:sz w:val="21"/>
          <w:szCs w:val="21"/>
          <w:u w:val="none"/>
        </w:rPr>
        <w:t>分。（须提供相关证明材料）</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三、总得分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价格分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技术商务资信分</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四、中标候选人</w:t>
      </w:r>
      <w:bookmarkStart w:id="215" w:name="_Hlk92267887"/>
      <w:r>
        <w:rPr>
          <w:rFonts w:hint="eastAsia" w:ascii="Times New Roman" w:hAnsi="Times New Roman" w:eastAsia="宋体" w:cs="Times New Roman"/>
          <w:b/>
          <w:bCs/>
          <w:color w:val="auto"/>
          <w:szCs w:val="24"/>
          <w:highlight w:val="none"/>
        </w:rPr>
        <w:t>推荐原则</w:t>
      </w:r>
      <w:bookmarkEnd w:id="215"/>
    </w:p>
    <w:p>
      <w:pPr>
        <w:spacing w:line="4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ab/>
      </w:r>
      <w:r>
        <w:rPr>
          <w:rFonts w:hint="eastAsia" w:ascii="Times New Roman" w:hAnsi="Times New Roman" w:eastAsia="宋体" w:cs="Times New Roman"/>
          <w:color w:val="auto"/>
          <w:szCs w:val="24"/>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20" w:lineRule="exact"/>
        <w:jc w:val="left"/>
        <w:rPr>
          <w:rFonts w:ascii="宋体" w:hAnsi="Courier New" w:eastAsia="宋体" w:cs="Courier New"/>
          <w:color w:val="auto"/>
          <w:szCs w:val="21"/>
          <w:highlight w:val="none"/>
        </w:rPr>
      </w:pPr>
      <w:r>
        <w:rPr>
          <w:rFonts w:hint="eastAsia" w:ascii="宋体" w:hAnsi="Courier New" w:eastAsia="宋体" w:cs="Courier New"/>
          <w:bCs/>
          <w:color w:val="auto"/>
          <w:sz w:val="32"/>
          <w:szCs w:val="32"/>
          <w:highlight w:val="none"/>
        </w:rPr>
        <w:br w:type="page"/>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216" w:name="_Toc173764942"/>
      <w:r>
        <w:rPr>
          <w:rFonts w:hint="eastAsia" w:ascii="Cambria" w:hAnsi="Cambria" w:eastAsia="方正小标宋_GBK" w:cs="Times New Roman"/>
          <w:b/>
          <w:bCs/>
          <w:color w:val="auto"/>
          <w:kern w:val="0"/>
          <w:sz w:val="44"/>
          <w:szCs w:val="32"/>
          <w:highlight w:val="none"/>
        </w:rPr>
        <w:t>第五章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政府采购合同主要条款</w:t>
      </w:r>
      <w:bookmarkEnd w:id="216"/>
    </w:p>
    <w:p>
      <w:pPr>
        <w:spacing w:line="400" w:lineRule="exact"/>
        <w:jc w:val="left"/>
        <w:rPr>
          <w:rFonts w:ascii="Times New Roman" w:hAnsi="Times New Roman" w:eastAsia="宋体" w:cs="Times New Roman"/>
          <w:color w:val="auto"/>
          <w:szCs w:val="24"/>
          <w:highlight w:val="none"/>
        </w:rPr>
      </w:pPr>
      <w:r>
        <w:rPr>
          <w:rFonts w:hint="eastAsia" w:ascii="宋体" w:hAnsi="Courier New" w:eastAsia="宋体" w:cs="Courier New"/>
          <w:color w:val="auto"/>
          <w:szCs w:val="21"/>
          <w:highlight w:val="none"/>
        </w:rPr>
        <w:br w:type="page"/>
      </w:r>
      <w:bookmarkStart w:id="217" w:name="_Hlk92701478"/>
    </w:p>
    <w:p>
      <w:pPr>
        <w:rPr>
          <w:rFonts w:ascii="Times New Roman" w:hAnsi="Times New Roman" w:eastAsia="宋体" w:cs="Times New Roman"/>
          <w:color w:val="auto"/>
          <w:szCs w:val="24"/>
          <w:highlight w:val="none"/>
        </w:rPr>
      </w:pPr>
    </w:p>
    <w:p>
      <w:pPr>
        <w:pStyle w:val="26"/>
        <w:spacing w:line="420" w:lineRule="exact"/>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rPr>
        <w:t>同使用说明：根据《中华人民共和国政府采购法》、《中华人民共和国民法典》等法律、法规规定，</w:t>
      </w:r>
    </w:p>
    <w:p>
      <w:pPr>
        <w:spacing w:line="36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按照招标文件规定条款和中标供应商投标文件及其承诺，甲乙双方签订本合同。</w:t>
      </w:r>
      <w:r>
        <w:rPr>
          <w:rFonts w:hint="eastAsia" w:ascii="宋体" w:hAnsi="宋体" w:eastAsia="宋体" w:cs="宋体"/>
          <w:color w:val="auto"/>
          <w:kern w:val="0"/>
          <w:sz w:val="21"/>
          <w:szCs w:val="21"/>
        </w:rPr>
        <w:t>如本合同格式不适用，采购人与中标人可协商拟定合同，但不得实质性改变中标人投标文件中的实质内容。</w:t>
      </w:r>
    </w:p>
    <w:p>
      <w:pPr>
        <w:pStyle w:val="26"/>
        <w:spacing w:line="420" w:lineRule="exact"/>
        <w:ind w:firstLine="0" w:firstLineChars="0"/>
        <w:rPr>
          <w:rFonts w:hint="eastAsia" w:ascii="宋体" w:hAnsi="宋体" w:eastAsia="宋体" w:cs="宋体"/>
          <w:color w:val="auto"/>
          <w:sz w:val="21"/>
          <w:szCs w:val="21"/>
        </w:rPr>
      </w:pPr>
    </w:p>
    <w:p>
      <w:pPr>
        <w:snapToGrid w:val="0"/>
        <w:ind w:firstLine="420"/>
        <w:rPr>
          <w:rFonts w:hint="eastAsia" w:ascii="宋体" w:hAnsi="宋体" w:eastAsia="宋体" w:cs="宋体"/>
          <w:color w:val="auto"/>
          <w:sz w:val="21"/>
          <w:szCs w:val="21"/>
        </w:rPr>
      </w:pPr>
      <w:bookmarkStart w:id="218" w:name="_Toc58146566"/>
    </w:p>
    <w:bookmarkEnd w:id="218"/>
    <w:p>
      <w:pPr>
        <w:spacing w:line="360" w:lineRule="auto"/>
        <w:ind w:firstLine="88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钦州市政府采购合同书</w:t>
      </w:r>
    </w:p>
    <w:p>
      <w:pPr>
        <w:pStyle w:val="26"/>
        <w:spacing w:line="360" w:lineRule="auto"/>
        <w:ind w:firstLine="420"/>
        <w:rPr>
          <w:rFonts w:hint="eastAsia" w:ascii="宋体" w:hAnsi="宋体" w:eastAsia="宋体" w:cs="宋体"/>
          <w:color w:val="auto"/>
          <w:sz w:val="21"/>
          <w:szCs w:val="21"/>
        </w:rPr>
      </w:pP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采购单位（甲方）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供 应 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项目名称和编号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签  订  地  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pPr>
        <w:snapToGrid w:val="0"/>
        <w:spacing w:line="360" w:lineRule="exact"/>
        <w:ind w:firstLine="420"/>
        <w:rPr>
          <w:rFonts w:hint="eastAsia" w:ascii="宋体" w:hAnsi="宋体" w:eastAsia="宋体" w:cs="宋体"/>
          <w:color w:val="auto"/>
          <w:sz w:val="21"/>
          <w:szCs w:val="21"/>
        </w:rPr>
      </w:pPr>
    </w:p>
    <w:p>
      <w:pPr>
        <w:snapToGrid w:val="0"/>
        <w:spacing w:line="36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根据《中华人民共和国政府采购法》、《中华人民共和国民法典》等法律、法规规定，按照采购文件规定条款和成交供应商承诺，甲乙双方签订本合同。</w:t>
      </w:r>
    </w:p>
    <w:p>
      <w:pPr>
        <w:pStyle w:val="26"/>
        <w:spacing w:line="360" w:lineRule="auto"/>
        <w:ind w:firstLine="422"/>
        <w:rPr>
          <w:rFonts w:hint="eastAsia" w:ascii="宋体" w:hAnsi="宋体" w:eastAsia="宋体" w:cs="宋体"/>
          <w:b/>
          <w:color w:val="auto"/>
          <w:sz w:val="21"/>
          <w:szCs w:val="21"/>
        </w:rPr>
      </w:pP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  采购内容</w:t>
      </w:r>
    </w:p>
    <w:p>
      <w:pPr>
        <w:pStyle w:val="26"/>
        <w:tabs>
          <w:tab w:val="left" w:pos="522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1.1 服务名称：</w:t>
      </w:r>
      <w:r>
        <w:rPr>
          <w:rFonts w:hint="eastAsia" w:ascii="宋体" w:hAnsi="宋体" w:eastAsia="宋体" w:cs="宋体"/>
          <w:color w:val="auto"/>
          <w:sz w:val="21"/>
          <w:szCs w:val="21"/>
          <w:u w:val="single"/>
        </w:rPr>
        <w:t>详见合同附件中投标报价表</w:t>
      </w:r>
    </w:p>
    <w:p>
      <w:pPr>
        <w:pStyle w:val="26"/>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数量：</w:t>
      </w:r>
      <w:r>
        <w:rPr>
          <w:rFonts w:hint="eastAsia" w:ascii="宋体" w:hAnsi="宋体" w:eastAsia="宋体" w:cs="宋体"/>
          <w:color w:val="auto"/>
          <w:sz w:val="21"/>
          <w:szCs w:val="21"/>
          <w:u w:val="single"/>
        </w:rPr>
        <w:t>详见合同附件中投标报价表</w:t>
      </w:r>
    </w:p>
    <w:p>
      <w:pPr>
        <w:pStyle w:val="26"/>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技术参数：</w:t>
      </w:r>
      <w:r>
        <w:rPr>
          <w:rFonts w:hint="eastAsia" w:ascii="宋体" w:hAnsi="宋体" w:eastAsia="宋体" w:cs="宋体"/>
          <w:color w:val="auto"/>
          <w:sz w:val="21"/>
          <w:szCs w:val="21"/>
          <w:u w:val="single"/>
        </w:rPr>
        <w:t>详见合同附件中投标服务技术资料表</w:t>
      </w:r>
    </w:p>
    <w:p>
      <w:pPr>
        <w:pStyle w:val="26"/>
        <w:tabs>
          <w:tab w:val="left" w:pos="5145"/>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2.  合同金额</w:t>
      </w:r>
    </w:p>
    <w:p>
      <w:pPr>
        <w:pStyle w:val="26"/>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color w:val="auto"/>
          <w:sz w:val="21"/>
          <w:szCs w:val="21"/>
        </w:rPr>
        <w:t>2.1 本合同金额为（大写）人民币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元）。（详见投标报价表）</w:t>
      </w:r>
    </w:p>
    <w:p>
      <w:pPr>
        <w:pStyle w:val="26"/>
        <w:tabs>
          <w:tab w:val="left" w:pos="5940"/>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3.  提交服务成果时间和地点</w:t>
      </w:r>
    </w:p>
    <w:p>
      <w:pPr>
        <w:pStyle w:val="26"/>
        <w:tabs>
          <w:tab w:val="left" w:pos="5250"/>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3.1 提交服务成果时间：</w:t>
      </w:r>
      <w:r>
        <w:rPr>
          <w:rFonts w:hint="eastAsia" w:ascii="宋体" w:hAnsi="宋体" w:eastAsia="宋体" w:cs="宋体"/>
          <w:color w:val="auto"/>
          <w:sz w:val="21"/>
          <w:szCs w:val="21"/>
          <w:u w:val="single"/>
        </w:rPr>
        <w:t xml:space="preserve">                        </w:t>
      </w:r>
    </w:p>
    <w:p>
      <w:pPr>
        <w:pStyle w:val="26"/>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3.2 提交服务成果地点：</w:t>
      </w:r>
      <w:r>
        <w:rPr>
          <w:rFonts w:hint="eastAsia" w:ascii="宋体" w:hAnsi="宋体" w:eastAsia="宋体" w:cs="宋体"/>
          <w:color w:val="auto"/>
          <w:sz w:val="21"/>
          <w:szCs w:val="21"/>
          <w:u w:val="single"/>
        </w:rPr>
        <w:t xml:space="preserve">                        </w:t>
      </w:r>
    </w:p>
    <w:p>
      <w:pPr>
        <w:pStyle w:val="26"/>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 xml:space="preserve">3.3 </w:t>
      </w:r>
      <w:r>
        <w:rPr>
          <w:rFonts w:hint="eastAsia" w:ascii="宋体" w:hAnsi="宋体" w:eastAsia="宋体" w:cs="宋体"/>
          <w:color w:val="auto"/>
          <w:sz w:val="21"/>
          <w:szCs w:val="21"/>
        </w:rPr>
        <w:t>乙方必须按投标文件承诺的服务响应条款向甲方提供服务。</w:t>
      </w:r>
    </w:p>
    <w:p>
      <w:pPr>
        <w:pStyle w:val="26"/>
        <w:spacing w:line="360" w:lineRule="auto"/>
        <w:ind w:left="358" w:hanging="358" w:hangingChars="170"/>
        <w:rPr>
          <w:rFonts w:hint="eastAsia" w:ascii="宋体" w:hAnsi="宋体" w:eastAsia="宋体" w:cs="宋体"/>
          <w:b/>
          <w:color w:val="auto"/>
          <w:sz w:val="21"/>
          <w:szCs w:val="21"/>
        </w:rPr>
      </w:pPr>
      <w:r>
        <w:rPr>
          <w:rFonts w:hint="eastAsia" w:ascii="宋体" w:hAnsi="宋体" w:eastAsia="宋体" w:cs="宋体"/>
          <w:b/>
          <w:bCs/>
          <w:color w:val="auto"/>
          <w:sz w:val="21"/>
          <w:szCs w:val="21"/>
        </w:rPr>
        <w:t>4.  履约保证金</w:t>
      </w:r>
    </w:p>
    <w:p>
      <w:pPr>
        <w:pStyle w:val="26"/>
        <w:tabs>
          <w:tab w:val="left" w:pos="5145"/>
        </w:tabs>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4.1 乙方交纳（大写）人民币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元）作为本合同的履约保证金。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4.2 履约保证金作为违约金的一部分用于补偿甲方因乙方不能完成其合同义务而蒙受的损失。</w:t>
      </w:r>
    </w:p>
    <w:p>
      <w:pPr>
        <w:pStyle w:val="26"/>
        <w:spacing w:line="360" w:lineRule="auto"/>
        <w:ind w:left="360" w:hanging="361" w:hangingChars="171"/>
        <w:rPr>
          <w:rFonts w:hint="eastAsia" w:ascii="宋体" w:hAnsi="宋体" w:eastAsia="宋体" w:cs="宋体"/>
          <w:b/>
          <w:color w:val="auto"/>
          <w:sz w:val="21"/>
          <w:szCs w:val="21"/>
        </w:rPr>
      </w:pPr>
      <w:r>
        <w:rPr>
          <w:rFonts w:hint="eastAsia" w:ascii="宋体" w:hAnsi="宋体" w:eastAsia="宋体" w:cs="宋体"/>
          <w:b/>
          <w:bCs/>
          <w:color w:val="auto"/>
          <w:sz w:val="21"/>
          <w:szCs w:val="21"/>
        </w:rPr>
        <w:t>5.  产权</w:t>
      </w:r>
    </w:p>
    <w:p>
      <w:pPr>
        <w:pStyle w:val="26"/>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5.1 乙方应保证所提供的服务或其任何一部分均不会侵犯任何第三方的专利权、商标权或著作权</w:t>
      </w:r>
      <w:r>
        <w:rPr>
          <w:rFonts w:hint="eastAsia" w:ascii="宋体" w:hAnsi="宋体" w:eastAsia="宋体" w:cs="宋体"/>
          <w:bCs/>
          <w:color w:val="auto"/>
          <w:sz w:val="21"/>
          <w:szCs w:val="21"/>
        </w:rPr>
        <w:t>。</w:t>
      </w:r>
    </w:p>
    <w:p>
      <w:pPr>
        <w:pStyle w:val="26"/>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6"/>
        <w:spacing w:line="360" w:lineRule="auto"/>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6.  技术资料</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 甲方应向乙方提供提交服务成果所必需的有关数据、资料等。</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7.  验收</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7.1 乙方应对提交的服务成果作出全面检查和整理，并列出清单，作为甲方验收和使用的技术条件依据，清单应随提交的服务成果交给甲方。</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7.2 乙方在指定地点提交服务成果后，甲方应在5个工作日内依据招标文件、乙方的投标文件等组织验收，验收完毕后作出书面验收报告。验收时乙方必须在现场。</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7.3 对复杂的服务，甲方可请国家认可的专业机构参与验收，并由其出具验收报告，相关费用由甲方承担。</w:t>
      </w:r>
    </w:p>
    <w:p>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服务费用及支付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本项目合同总金额为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万元，服务期</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日止，费用</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管理、服务人员的工资和社保、服装费、健康体检费。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8小时以外的</w:t>
      </w:r>
      <w:r>
        <w:rPr>
          <w:rFonts w:hint="eastAsia" w:ascii="宋体" w:hAnsi="宋体" w:eastAsia="宋体" w:cs="宋体"/>
          <w:color w:val="auto"/>
          <w:sz w:val="21"/>
          <w:szCs w:val="21"/>
          <w:highlight w:val="none"/>
        </w:rPr>
        <w:t>加班费用。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本项目无预付款，中标人所提交的服务成本经采购人书面验收合格后，按月支付合同款。</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9.  售后服务要求</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9.1 乙方提供服务的质量保证期为：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（自提交服务验收合格之日起计）</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9.2 质量保证金为（大写）人民币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元）。（履约保证金在中标供应商按合同约定所提交的服务验收合格后自行转为质保金。）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9.3 在本合同第9.1项约定的质量保证期内，乙方提供的服务符合合同约定的，待质保期满后由甲方将质量保证金无息退还给乙方。</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9.4 在本合同第9.1项约定的质量保证期内，乙方应对服务出现的问题负责处理解决并承担一切费用。</w:t>
      </w:r>
    </w:p>
    <w:p>
      <w:pPr>
        <w:pStyle w:val="26"/>
        <w:tabs>
          <w:tab w:val="left" w:pos="525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9.5 其他售后服务要求：</w:t>
      </w:r>
      <w:r>
        <w:rPr>
          <w:rFonts w:hint="eastAsia" w:ascii="宋体" w:hAnsi="宋体" w:eastAsia="宋体" w:cs="宋体"/>
          <w:color w:val="auto"/>
          <w:sz w:val="21"/>
          <w:szCs w:val="21"/>
          <w:u w:val="single"/>
        </w:rPr>
        <w:t>按投标文件商务条款偏离表内容执行。</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10.  违约责任</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10.1 甲方无正当理由拒收服务的，甲方向乙方偿付拒收服务费总值的百分之五违约金。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10.2 甲方无故逾期验收或办理合同款支付手续的，甲方应按逾期付款总额每日万分之五向乙方支付违约金。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11.  不可抗力事件处理</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11.1 在合同有效期内，任何一方因不可抗力事件导致不能履行合同，则合同履行期可延长，其延长期与不可抗力影响期相同。</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 不可抗力事件发生后，应立即通知对方，并寄送有关权威机构出具的证明。</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11.3 不可抗力事件延续120天以上，双方应通过友好协商，确定是否继续履行合同。</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12.  诉讼</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12.1 双方在执行合同中所发生的一切争议，应通过协商解决。如协商不成，可向合同签订地法院起诉，合同签订地在此约定为广西钦州市。</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13.  合同生效及其它</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13.1 合同经双方法定代表人或授权委托代理人签字并加盖单位公章后生效。</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13.2 合同执行中涉及采购资金和采购内容修改或补充的，须经钦州市政府采购监督管理部门审批，并签书面补充协议报钦州市政府采购监督管理部门备案，方可作为主合同不可分割的一部分。</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13.3 下述合同附件为本合同不可分割的部分并与本合同具有同等效力：</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（1）中标通知书；</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（2）履约保证金交纳证明；</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（3）招标文件服务需求一览表；</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（4）招标文件的澄清和修改；</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（5）投标函、投标报价表；</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（6）投标服务技术资料表、商务条款偏离表、售后服务承诺书；</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（7）中标供应商澄清函。</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13.4 本合同未尽事宜，遵照《中华人民共和国合同法》有关条文执行。</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13.5 本合同正本一式两份，具有同等法律效力，甲乙双方各执一份；副本一份。</w:t>
      </w:r>
    </w:p>
    <w:p>
      <w:pPr>
        <w:pStyle w:val="26"/>
        <w:spacing w:line="360" w:lineRule="auto"/>
        <w:ind w:firstLine="420"/>
        <w:rPr>
          <w:rFonts w:hint="eastAsia" w:ascii="宋体" w:hAnsi="宋体" w:eastAsia="宋体" w:cs="宋体"/>
          <w:color w:val="auto"/>
          <w:sz w:val="21"/>
          <w:szCs w:val="21"/>
        </w:rPr>
      </w:pP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乙方：</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开户名称：</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银行账号：</w:t>
      </w:r>
      <w:r>
        <w:rPr>
          <w:rFonts w:hint="eastAsia" w:ascii="宋体" w:hAnsi="宋体" w:eastAsia="宋体" w:cs="宋体"/>
          <w:color w:val="auto"/>
          <w:sz w:val="21"/>
          <w:szCs w:val="21"/>
          <w:u w:val="single"/>
        </w:rPr>
        <w:t xml:space="preserve">                                </w:t>
      </w:r>
    </w:p>
    <w:p>
      <w:pPr>
        <w:pStyle w:val="26"/>
        <w:spacing w:line="360" w:lineRule="auto"/>
        <w:ind w:left="178" w:leftChars="85" w:firstLine="420"/>
        <w:rPr>
          <w:rFonts w:hint="eastAsia" w:ascii="宋体" w:hAnsi="宋体" w:eastAsia="宋体" w:cs="宋体"/>
          <w:color w:val="auto"/>
          <w:sz w:val="21"/>
          <w:szCs w:val="21"/>
        </w:rPr>
      </w:pPr>
    </w:p>
    <w:p>
      <w:pPr>
        <w:pStyle w:val="26"/>
        <w:spacing w:line="360" w:lineRule="auto"/>
        <w:ind w:left="178" w:leftChars="85" w:firstLine="420"/>
        <w:rPr>
          <w:rFonts w:hint="eastAsia" w:ascii="宋体" w:hAnsi="宋体" w:eastAsia="宋体" w:cs="宋体"/>
          <w:color w:val="auto"/>
          <w:sz w:val="21"/>
          <w:szCs w:val="21"/>
        </w:rPr>
      </w:pP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合同签订地点： </w:t>
      </w:r>
    </w:p>
    <w:p>
      <w:pPr>
        <w:pStyle w:val="26"/>
        <w:spacing w:line="360" w:lineRule="auto"/>
        <w:ind w:firstLine="420"/>
        <w:rPr>
          <w:rFonts w:hint="eastAsia" w:ascii="宋体" w:hAnsi="宋体" w:eastAsia="宋体" w:cs="宋体"/>
          <w:color w:val="auto"/>
          <w:sz w:val="21"/>
          <w:szCs w:val="21"/>
        </w:rPr>
        <w:sectPr>
          <w:footerReference r:id="rId5" w:type="default"/>
          <w:pgSz w:w="11906" w:h="16838"/>
          <w:pgMar w:top="1246" w:right="1106" w:bottom="1091" w:left="1080" w:header="851" w:footer="992" w:gutter="0"/>
          <w:pgNumType w:fmt="decimal"/>
          <w:cols w:space="720" w:num="1"/>
          <w:docGrid w:type="lines" w:linePitch="312" w:charSpace="0"/>
        </w:sectPr>
      </w:pPr>
      <w:r>
        <w:rPr>
          <w:rFonts w:hint="eastAsia" w:ascii="宋体" w:hAnsi="宋体" w:eastAsia="宋体" w:cs="宋体"/>
          <w:color w:val="auto"/>
          <w:sz w:val="21"/>
          <w:szCs w:val="21"/>
        </w:rPr>
        <w:t>合同签订日期：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p>
    <w:p>
      <w:pPr>
        <w:adjustRightInd w:val="0"/>
        <w:snapToGrid w:val="0"/>
        <w:ind w:left="0" w:lef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办公区物业项目考核附表</w:t>
      </w:r>
    </w:p>
    <w:p>
      <w:pPr>
        <w:adjustRightInd w:val="0"/>
        <w:snapToGrid w:val="0"/>
        <w:ind w:firstLine="422"/>
        <w:rPr>
          <w:rFonts w:hint="eastAsia" w:ascii="宋体" w:hAnsi="宋体" w:eastAsia="宋体" w:cs="宋体"/>
          <w:b/>
          <w:color w:val="auto"/>
          <w:kern w:val="0"/>
          <w:sz w:val="21"/>
          <w:szCs w:val="21"/>
        </w:rPr>
      </w:pPr>
      <w:r>
        <w:rPr>
          <w:rFonts w:hint="eastAsia" w:ascii="宋体" w:hAnsi="宋体" w:eastAsia="宋体" w:cs="宋体"/>
          <w:b/>
          <w:bCs/>
          <w:color w:val="auto"/>
          <w:kern w:val="0"/>
          <w:sz w:val="21"/>
          <w:szCs w:val="21"/>
        </w:rPr>
        <w:t>附表1</w:t>
      </w:r>
    </w:p>
    <w:tbl>
      <w:tblPr>
        <w:tblStyle w:val="48"/>
        <w:tblW w:w="0" w:type="auto"/>
        <w:jc w:val="center"/>
        <w:tblLayout w:type="fixed"/>
        <w:tblCellMar>
          <w:top w:w="0" w:type="dxa"/>
          <w:left w:w="108" w:type="dxa"/>
          <w:bottom w:w="0" w:type="dxa"/>
          <w:right w:w="108" w:type="dxa"/>
        </w:tblCellMar>
      </w:tblPr>
      <w:tblGrid>
        <w:gridCol w:w="793"/>
        <w:gridCol w:w="849"/>
        <w:gridCol w:w="457"/>
        <w:gridCol w:w="457"/>
        <w:gridCol w:w="457"/>
        <w:gridCol w:w="1847"/>
        <w:gridCol w:w="830"/>
        <w:gridCol w:w="830"/>
        <w:gridCol w:w="830"/>
        <w:gridCol w:w="830"/>
        <w:gridCol w:w="830"/>
        <w:gridCol w:w="830"/>
      </w:tblGrid>
      <w:tr>
        <w:tblPrEx>
          <w:tblCellMar>
            <w:top w:w="0" w:type="dxa"/>
            <w:left w:w="108" w:type="dxa"/>
            <w:bottom w:w="0" w:type="dxa"/>
            <w:right w:w="108" w:type="dxa"/>
          </w:tblCellMar>
        </w:tblPrEx>
        <w:trPr>
          <w:trHeight w:val="585" w:hRule="atLeast"/>
          <w:jc w:val="center"/>
        </w:trPr>
        <w:tc>
          <w:tcPr>
            <w:tcW w:w="9840" w:type="dxa"/>
            <w:gridSpan w:val="12"/>
            <w:noWrap w:val="0"/>
            <w:vAlign w:val="center"/>
          </w:tcPr>
          <w:p>
            <w:pPr>
              <w:widowControl/>
              <w:adjustRightInd w:val="0"/>
              <w:snapToGrid w:val="0"/>
              <w:ind w:firstLine="422"/>
              <w:rPr>
                <w:rFonts w:hint="eastAsia" w:ascii="宋体" w:hAnsi="宋体" w:eastAsia="宋体" w:cs="宋体"/>
                <w:b/>
                <w:bCs/>
                <w:color w:val="auto"/>
                <w:kern w:val="0"/>
                <w:sz w:val="21"/>
                <w:szCs w:val="21"/>
              </w:rPr>
            </w:pPr>
          </w:p>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物业项目管理服务工作日巡查登记表</w:t>
            </w:r>
          </w:p>
          <w:p>
            <w:pPr>
              <w:widowControl/>
              <w:adjustRightInd w:val="0"/>
              <w:snapToGrid w:val="0"/>
              <w:ind w:firstLine="422"/>
              <w:jc w:val="center"/>
              <w:rPr>
                <w:rFonts w:hint="eastAsia" w:ascii="宋体" w:hAnsi="宋体" w:eastAsia="宋体" w:cs="宋体"/>
                <w:b/>
                <w:bCs/>
                <w:color w:val="auto"/>
                <w:kern w:val="0"/>
                <w:sz w:val="21"/>
                <w:szCs w:val="21"/>
              </w:rPr>
            </w:pPr>
          </w:p>
        </w:tc>
      </w:tr>
      <w:tr>
        <w:tblPrEx>
          <w:tblCellMar>
            <w:top w:w="0" w:type="dxa"/>
            <w:left w:w="108" w:type="dxa"/>
            <w:bottom w:w="0" w:type="dxa"/>
            <w:right w:w="108" w:type="dxa"/>
          </w:tblCellMar>
        </w:tblPrEx>
        <w:trPr>
          <w:trHeight w:val="389" w:hRule="atLeast"/>
          <w:jc w:val="center"/>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巡查日期</w:t>
            </w: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地                   点</w:t>
            </w:r>
          </w:p>
        </w:tc>
        <w:tc>
          <w:tcPr>
            <w:tcW w:w="1371"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检查情况</w:t>
            </w:r>
          </w:p>
        </w:tc>
        <w:tc>
          <w:tcPr>
            <w:tcW w:w="18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情  况                              </w:t>
            </w:r>
          </w:p>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说  明</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整改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验证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验收            结果</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责任人           签名</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                         查                人</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                      注</w:t>
            </w:r>
          </w:p>
        </w:tc>
      </w:tr>
      <w:tr>
        <w:tblPrEx>
          <w:tblCellMar>
            <w:top w:w="0" w:type="dxa"/>
            <w:left w:w="108" w:type="dxa"/>
            <w:bottom w:w="0" w:type="dxa"/>
            <w:right w:w="108" w:type="dxa"/>
          </w:tblCellMar>
        </w:tblPrEx>
        <w:trPr>
          <w:trHeight w:val="409"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优</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良</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差</w:t>
            </w:r>
          </w:p>
        </w:tc>
        <w:tc>
          <w:tcPr>
            <w:tcW w:w="1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r>
      <w:tr>
        <w:tblPrEx>
          <w:tblCellMar>
            <w:top w:w="0" w:type="dxa"/>
            <w:left w:w="108" w:type="dxa"/>
            <w:bottom w:w="0" w:type="dxa"/>
            <w:right w:w="108" w:type="dxa"/>
          </w:tblCellMar>
        </w:tblPrEx>
        <w:trPr>
          <w:trHeight w:val="5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58"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1459" w:hRule="atLeast"/>
          <w:jc w:val="center"/>
        </w:trPr>
        <w:tc>
          <w:tcPr>
            <w:tcW w:w="9840" w:type="dxa"/>
            <w:gridSpan w:val="12"/>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CellMar>
            <w:top w:w="0" w:type="dxa"/>
            <w:left w:w="108" w:type="dxa"/>
            <w:bottom w:w="0" w:type="dxa"/>
            <w:right w:w="108" w:type="dxa"/>
          </w:tblCellMar>
        </w:tblPrEx>
        <w:trPr>
          <w:trHeight w:val="283" w:hRule="atLeast"/>
          <w:jc w:val="center"/>
        </w:trPr>
        <w:tc>
          <w:tcPr>
            <w:tcW w:w="793" w:type="dxa"/>
            <w:noWrap w:val="0"/>
            <w:vAlign w:val="center"/>
          </w:tcPr>
          <w:p>
            <w:pPr>
              <w:widowControl/>
              <w:adjustRightInd w:val="0"/>
              <w:snapToGrid w:val="0"/>
              <w:ind w:firstLine="420"/>
              <w:rPr>
                <w:rFonts w:hint="eastAsia" w:ascii="宋体" w:hAnsi="宋体" w:eastAsia="宋体" w:cs="宋体"/>
                <w:color w:val="auto"/>
                <w:kern w:val="0"/>
                <w:sz w:val="21"/>
                <w:szCs w:val="21"/>
              </w:rPr>
            </w:pPr>
          </w:p>
        </w:tc>
        <w:tc>
          <w:tcPr>
            <w:tcW w:w="849" w:type="dxa"/>
            <w:noWrap w:val="0"/>
            <w:vAlign w:val="center"/>
          </w:tcPr>
          <w:p>
            <w:pPr>
              <w:widowControl/>
              <w:adjustRightInd w:val="0"/>
              <w:snapToGrid w:val="0"/>
              <w:ind w:firstLine="420"/>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184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94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卫生包括：</w:t>
            </w:r>
            <w:r>
              <w:rPr>
                <w:rFonts w:hint="eastAsia" w:ascii="宋体" w:hAnsi="宋体" w:eastAsia="宋体" w:cs="宋体"/>
                <w:color w:val="auto"/>
                <w:kern w:val="0"/>
                <w:sz w:val="21"/>
                <w:szCs w:val="21"/>
              </w:rPr>
              <w:t>服务人员仪容仪表和礼仪礼态、路面、停车场、排水沟、标志牌、宣传栏、路灯杆、门厅台阶、玻璃门窗、内墙地面、电梯楼梯、扶手护栏、消防器材、照明灯具、信报箱、卫生间、垃圾桶、空置房、楼梯、开关、天台、地毯等</w:t>
            </w:r>
          </w:p>
        </w:tc>
      </w:tr>
      <w:tr>
        <w:tblPrEx>
          <w:tblCellMar>
            <w:top w:w="0" w:type="dxa"/>
            <w:left w:w="108" w:type="dxa"/>
            <w:bottom w:w="0" w:type="dxa"/>
            <w:right w:w="108" w:type="dxa"/>
          </w:tblCellMar>
        </w:tblPrEx>
        <w:trPr>
          <w:trHeight w:val="360"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会务包括：</w:t>
            </w:r>
            <w:r>
              <w:rPr>
                <w:rFonts w:hint="eastAsia" w:ascii="宋体" w:hAnsi="宋体" w:eastAsia="宋体" w:cs="宋体"/>
                <w:color w:val="auto"/>
                <w:sz w:val="21"/>
                <w:szCs w:val="21"/>
              </w:rPr>
              <w:t>会议对接、会场布置、音响操作、会场服务、会场恢复</w:t>
            </w:r>
            <w:r>
              <w:rPr>
                <w:rFonts w:hint="eastAsia" w:ascii="宋体" w:hAnsi="宋体" w:eastAsia="宋体" w:cs="宋体"/>
                <w:color w:val="auto"/>
                <w:kern w:val="0"/>
                <w:sz w:val="21"/>
                <w:szCs w:val="21"/>
              </w:rPr>
              <w:t>等</w:t>
            </w:r>
          </w:p>
        </w:tc>
      </w:tr>
      <w:tr>
        <w:tblPrEx>
          <w:tblCellMar>
            <w:top w:w="0" w:type="dxa"/>
            <w:left w:w="108" w:type="dxa"/>
            <w:bottom w:w="0" w:type="dxa"/>
            <w:right w:w="108" w:type="dxa"/>
          </w:tblCellMar>
        </w:tblPrEx>
        <w:trPr>
          <w:trHeight w:val="37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环境包括：</w:t>
            </w:r>
            <w:r>
              <w:rPr>
                <w:rFonts w:hint="eastAsia" w:ascii="宋体" w:hAnsi="宋体" w:eastAsia="宋体" w:cs="宋体"/>
                <w:color w:val="auto"/>
                <w:kern w:val="0"/>
                <w:sz w:val="21"/>
                <w:szCs w:val="21"/>
              </w:rPr>
              <w:t>车辆停放、建筑垃圾、乱堆乱放、乱搭乱盖、乱贴乱挂等</w:t>
            </w:r>
          </w:p>
          <w:p>
            <w:pPr>
              <w:widowControl/>
              <w:adjustRightInd w:val="0"/>
              <w:snapToGrid w:val="0"/>
              <w:ind w:firstLine="0" w:firstLineChars="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水电管理：</w:t>
            </w:r>
            <w:r>
              <w:rPr>
                <w:rFonts w:hint="eastAsia" w:ascii="宋体" w:hAnsi="宋体" w:eastAsia="宋体" w:cs="宋体"/>
                <w:color w:val="auto"/>
                <w:kern w:val="0"/>
                <w:sz w:val="21"/>
                <w:szCs w:val="21"/>
              </w:rPr>
              <w:t>发放水电缴费单、24小时值班、水电系统运行正常等</w:t>
            </w:r>
          </w:p>
        </w:tc>
      </w:tr>
      <w:tr>
        <w:tblPrEx>
          <w:tblCellMar>
            <w:top w:w="0" w:type="dxa"/>
            <w:left w:w="108" w:type="dxa"/>
            <w:bottom w:w="0" w:type="dxa"/>
            <w:right w:w="108" w:type="dxa"/>
          </w:tblCellMar>
        </w:tblPrEx>
        <w:trPr>
          <w:trHeight w:val="46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此表一式两份，一份物业公司留存，一份管理机构留存</w:t>
            </w:r>
          </w:p>
        </w:tc>
      </w:tr>
    </w:tbl>
    <w:p>
      <w:pPr>
        <w:adjustRightInd w:val="0"/>
        <w:snapToGrid w:val="0"/>
        <w:ind w:firstLine="422"/>
        <w:rPr>
          <w:rFonts w:hint="eastAsia" w:ascii="宋体" w:hAnsi="宋体" w:eastAsia="宋体" w:cs="宋体"/>
          <w:b/>
          <w:bCs/>
          <w:color w:val="auto"/>
          <w:sz w:val="21"/>
          <w:szCs w:val="21"/>
        </w:rPr>
      </w:pPr>
    </w:p>
    <w:p>
      <w:pPr>
        <w:adjustRightInd w:val="0"/>
        <w:snapToGrid w:val="0"/>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附表2</w:t>
      </w: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 xml:space="preserve">              </w:t>
      </w:r>
      <w:r>
        <w:rPr>
          <w:rFonts w:hint="eastAsia" w:ascii="宋体" w:hAnsi="宋体" w:eastAsia="宋体" w:cs="宋体"/>
          <w:b/>
          <w:color w:val="auto"/>
          <w:sz w:val="21"/>
          <w:szCs w:val="21"/>
        </w:rPr>
        <w:t>办公区物业服务项目管理工作周考核评分表</w:t>
      </w:r>
    </w:p>
    <w:p>
      <w:pPr>
        <w:adjustRightInd w:val="0"/>
        <w:snapToGrid w:val="0"/>
        <w:ind w:right="-865" w:rightChars="-412"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年   月   日</w:t>
      </w:r>
    </w:p>
    <w:tbl>
      <w:tblPr>
        <w:tblStyle w:val="48"/>
        <w:tblW w:w="0" w:type="auto"/>
        <w:tblInd w:w="93" w:type="dxa"/>
        <w:tblLayout w:type="fixed"/>
        <w:tblCellMar>
          <w:top w:w="0" w:type="dxa"/>
          <w:left w:w="108" w:type="dxa"/>
          <w:bottom w:w="0" w:type="dxa"/>
          <w:right w:w="108" w:type="dxa"/>
        </w:tblCellMar>
      </w:tblPr>
      <w:tblGrid>
        <w:gridCol w:w="594"/>
        <w:gridCol w:w="594"/>
        <w:gridCol w:w="5670"/>
        <w:gridCol w:w="846"/>
        <w:gridCol w:w="867"/>
        <w:gridCol w:w="1119"/>
      </w:tblGrid>
      <w:tr>
        <w:tblPrEx>
          <w:tblCellMar>
            <w:top w:w="0" w:type="dxa"/>
            <w:left w:w="108" w:type="dxa"/>
            <w:bottom w:w="0" w:type="dxa"/>
            <w:right w:w="108" w:type="dxa"/>
          </w:tblCellMar>
        </w:tblPrEx>
        <w:trPr>
          <w:trHeight w:val="42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项  目</w:t>
            </w:r>
          </w:p>
        </w:tc>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670"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考   评   内   容</w:t>
            </w:r>
          </w:p>
        </w:tc>
        <w:tc>
          <w:tcPr>
            <w:tcW w:w="846"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考核分值（分）</w:t>
            </w:r>
          </w:p>
        </w:tc>
        <w:tc>
          <w:tcPr>
            <w:tcW w:w="867"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考核得分(分）</w:t>
            </w: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r>
      <w:tr>
        <w:tblPrEx>
          <w:tblCellMar>
            <w:top w:w="0" w:type="dxa"/>
            <w:left w:w="108" w:type="dxa"/>
            <w:bottom w:w="0" w:type="dxa"/>
            <w:right w:w="108" w:type="dxa"/>
          </w:tblCellMar>
        </w:tblPrEx>
        <w:trPr>
          <w:trHeight w:val="55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会务服务</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会议对接</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72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会场布置</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3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音响设备操作</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会场服务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会场恢复</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会场卫生</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会场公共物品的维护。</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78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  内  保  洁</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电梯厅、办公楼道及一、二楼大厅每日清扫及拖洗2次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地下停车场每日清扫1次，会议室每日清扫1次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楼梯扶手、电梯厢内及栏杆，每日擦拭1次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共用部分玻璃和楼道办公室门框、木板及楼道内设施设备外表每周擦拭1次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楼道（层）垃圾桶每日清理、擦洗1次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公共卫生间每日清洁2次以上，并配备擦手纸、厕纸、洗手液、檀香、垃圾篓、物件挂钩等物品。</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85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卫生间洗手盆上无杂物、无积水；及时清理地面脚印、水渍；镜子每日擦拭；大小便池内外无淡垢；墙面、水管、隔断、门坎、窗台无灰尘，厕所无异味。</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电梯每日清扫和更换厢垫1次，每三天拖洗1次，每月对电梯门壁打蜡上光1次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     外     保     洁</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院内道路、停车场、绿地及室外公共场所，每日清扫2次，楼顶每周清扫1次。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73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明沟每周清扫1次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果皮箱、垃圾桶每日清理1次，擦试1次，垃圾箱内胆定期冲洗</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及时收集垃圾，每日清理2次，收集点周围地面无散落垃圾、无污迹、无异味</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室外标识、宣传栏、信报箱等共用部位设施设备每周擦拭1次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路灯、楼道灯、高杆路灯2米以下部分每周清洁1次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大门玻璃每日清洁1次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单车棚顶、前后大门、南门屏风定期清扫、擦拭</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及时检查、疏通化粪池、下水道、污水井和雨水井</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有专人负责巡查保洁，做到无明显暴露垃圾，无陈旧堆积物，无卫生死角，绿地保洁良好</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87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水电管理服务</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制定水电安全运行规程及岗位责任制度，并认真履行岗位制度。</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9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对水电线路、管路、设施设备进行定期的巡查、维护、保养、维修等工作，确保设备运行正常，档案资料齐全，记录完整、清晰。</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9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配备专业技术维护、维修人员，发生故障及时排除；发生重大故障应及时向管理办报告并协调相关部门上门抢修。</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提供24小时水电工值班服务。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    共    秩    序    维    护</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严格交接班制度，做好执勤记录，认真履行职责。</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举止文明，姿态端庄，保持良好的精神面貌和形象。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提供24小时安保服务，合理安排白班、晚班和夜班的值班人员。</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对重点区域、重点部位每小时至少巡查1次，有巡查记录。</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上下班高峰时段，确保交通畅通无阻，流动岗要及时处理管理区域内发生的问题。</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正确使用各级消防、物防、技防设备和器材，懂得一般救护知识。</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发生突发事件，及时处理并上报，做好现场保护工作，进行抢救和善后工作。</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1188" w:type="dxa"/>
            <w:gridSpan w:val="2"/>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rPr>
                <w:rFonts w:hint="eastAsia" w:ascii="宋体" w:hAnsi="宋体" w:eastAsia="宋体" w:cs="宋体"/>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bl>
    <w:p>
      <w:pPr>
        <w:adjustRightInd w:val="0"/>
        <w:snapToGrid w:val="0"/>
        <w:ind w:firstLine="422"/>
        <w:rPr>
          <w:rFonts w:hint="eastAsia" w:ascii="宋体" w:hAnsi="宋体" w:eastAsia="宋体" w:cs="宋体"/>
          <w:b/>
          <w:color w:val="auto"/>
          <w:sz w:val="21"/>
          <w:szCs w:val="21"/>
        </w:rPr>
      </w:pP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备注：考评内容共36项，总分值100分。</w:t>
      </w: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考评人员：</w:t>
      </w:r>
    </w:p>
    <w:p>
      <w:pPr>
        <w:adjustRightInd w:val="0"/>
        <w:snapToGrid w:val="0"/>
        <w:ind w:firstLine="422"/>
        <w:rPr>
          <w:rFonts w:hint="eastAsia" w:ascii="宋体" w:hAnsi="宋体" w:eastAsia="宋体" w:cs="宋体"/>
          <w:b/>
          <w:bCs/>
          <w:color w:val="auto"/>
          <w:kern w:val="0"/>
          <w:sz w:val="21"/>
          <w:szCs w:val="21"/>
        </w:rPr>
      </w:pP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br w:type="page"/>
      </w:r>
      <w:r>
        <w:rPr>
          <w:rFonts w:hint="eastAsia" w:ascii="宋体" w:hAnsi="宋体" w:eastAsia="宋体" w:cs="宋体"/>
          <w:b/>
          <w:bCs/>
          <w:color w:val="auto"/>
          <w:kern w:val="0"/>
          <w:sz w:val="21"/>
          <w:szCs w:val="21"/>
        </w:rPr>
        <w:t>附表3</w:t>
      </w: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办公区管理服务工作检查月考评表  </w:t>
      </w:r>
    </w:p>
    <w:p>
      <w:pPr>
        <w:adjustRightInd w:val="0"/>
        <w:snapToGrid w:val="0"/>
        <w:ind w:firstLine="6325" w:firstLineChars="3000"/>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 xml:space="preserve">       年   月   日</w:t>
      </w:r>
    </w:p>
    <w:tbl>
      <w:tblPr>
        <w:tblStyle w:val="48"/>
        <w:tblW w:w="0" w:type="auto"/>
        <w:tblInd w:w="93" w:type="dxa"/>
        <w:tblLayout w:type="fixed"/>
        <w:tblCellMar>
          <w:top w:w="0" w:type="dxa"/>
          <w:left w:w="108" w:type="dxa"/>
          <w:bottom w:w="0" w:type="dxa"/>
          <w:right w:w="108" w:type="dxa"/>
        </w:tblCellMar>
      </w:tblPr>
      <w:tblGrid>
        <w:gridCol w:w="548"/>
        <w:gridCol w:w="460"/>
        <w:gridCol w:w="787"/>
        <w:gridCol w:w="5166"/>
        <w:gridCol w:w="851"/>
        <w:gridCol w:w="850"/>
        <w:gridCol w:w="1074"/>
      </w:tblGrid>
      <w:tr>
        <w:tblPrEx>
          <w:tblCellMar>
            <w:top w:w="0" w:type="dxa"/>
            <w:left w:w="108" w:type="dxa"/>
            <w:bottom w:w="0" w:type="dxa"/>
            <w:right w:w="108" w:type="dxa"/>
          </w:tblCellMar>
        </w:tblPrEx>
        <w:trPr>
          <w:trHeight w:val="585"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  目</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   评   内   容</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考核分值（分）</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考核得分（分）</w:t>
            </w:r>
          </w:p>
        </w:tc>
        <w:tc>
          <w:tcPr>
            <w:tcW w:w="10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  注</w:t>
            </w:r>
          </w:p>
        </w:tc>
      </w:tr>
      <w:tr>
        <w:tblPrEx>
          <w:tblCellMar>
            <w:top w:w="0" w:type="dxa"/>
            <w:left w:w="108" w:type="dxa"/>
            <w:bottom w:w="0" w:type="dxa"/>
            <w:right w:w="108" w:type="dxa"/>
          </w:tblCellMar>
        </w:tblPrEx>
        <w:trPr>
          <w:trHeight w:val="607" w:hRule="atLeast"/>
        </w:trPr>
        <w:tc>
          <w:tcPr>
            <w:tcW w:w="1008" w:type="dxa"/>
            <w:gridSpan w:val="2"/>
            <w:vMerge w:val="restart"/>
            <w:tcBorders>
              <w:top w:val="single" w:color="auto" w:sz="4" w:space="0"/>
              <w:left w:val="single" w:color="auto" w:sz="4" w:space="0"/>
              <w:bottom w:val="single" w:color="000000"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会议服务</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有专业人员实施会议服务工作</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14" w:hRule="atLeast"/>
        </w:trPr>
        <w:tc>
          <w:tcPr>
            <w:tcW w:w="100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适时组织会务人员会议服务知识、礼仪礼节培训90%以上</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99" w:hRule="atLeast"/>
        </w:trPr>
        <w:tc>
          <w:tcPr>
            <w:tcW w:w="100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会议对接、会场布置、音响操作、会场服务、会场恢复清洁卫生</w:t>
            </w:r>
            <w:r>
              <w:rPr>
                <w:rFonts w:hint="eastAsia" w:ascii="宋体" w:hAnsi="宋体" w:eastAsia="宋体" w:cs="宋体"/>
                <w:color w:val="auto"/>
                <w:kern w:val="0"/>
                <w:sz w:val="21"/>
                <w:szCs w:val="21"/>
              </w:rPr>
              <w:t>90%以上</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   洁   服   务</w:t>
            </w:r>
          </w:p>
        </w:tc>
        <w:tc>
          <w:tcPr>
            <w:tcW w:w="460"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 内 保 洁</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电梯厢内（含厢垫）保持干净整洁，电梯门壁每月打蜡上光1次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nil"/>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一楼大厅、办公楼道、地下停车场、会议室保持干净整洁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共用部位玻璃和楼道办公室门框、地板及楼道内设施设备外表保持干净整洁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81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公共卫生间保持清洁、干净、无异味、无积水、及时清理脚印、水渍，洗手盆、便池、镜子保持清洁，墙面、水管、隔断、窗台无灰尘，及时清理纸篓</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7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卫生间内保持配备有擦手纸、厕纸、洗手液、檀香等物品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210" w:firstLineChars="10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楼道垃圾桶外观干净整洁，及时清理桶内垃圾，无满溢污迹、无异味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5166" w:type="dxa"/>
            <w:tcBorders>
              <w:top w:val="nil"/>
              <w:left w:val="nil"/>
              <w:bottom w:val="nil"/>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工作日有专人负责巡查保洁，保持室内干净整洁，发现设施设备损坏及时报告</w:t>
            </w:r>
          </w:p>
        </w:tc>
        <w:tc>
          <w:tcPr>
            <w:tcW w:w="851" w:type="dxa"/>
            <w:tcBorders>
              <w:top w:val="nil"/>
              <w:left w:val="nil"/>
              <w:bottom w:val="nil"/>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nil"/>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    外    保    洁</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保持院内道路、停车场、楼顶、明沟等室外公共场所干净整洁，无纸屑、口香糖、果皮、烟头等明显暴露垃圾、无卫生死角。</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525"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果皮箱、垃圾桶外观保持干净整洁，内胆每周冲洗3次以上，做到无满溢、无异味、无污迹</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及时收集、清运垃圾，每日1-2次，保持收集点周围地面无散落垃圾、无污迹、无异味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01"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生活垃圾收集点周围地面无散落垃圾、无污迹、无异味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室外标识、宣传栏、信报箱等共用部位设施设备每周擦拭1次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77"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路灯、楼道灯高杆路灯2米以下部分每周清洁1次，保持干净整洁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388"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大门玻璃、窗保持光亮、清洁、无污迹、水迹、灰尘及明显手印</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53"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及时消灭“四害”、白蚁等</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93"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视检查情况及时清掏化粪池、下水道、污水井及雨水井等</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15"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有专人负责巡查保洁</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66" w:hRule="atLeast"/>
        </w:trPr>
        <w:tc>
          <w:tcPr>
            <w:tcW w:w="10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护</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共</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秩</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严格交接班制度，做好执勤记录，认真履行职责</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举止文明，姿态端庄，保持良好的精神面貌和形象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做好来访人员的登记核查、大件物品进出审批放行、车辆出入检查工作</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办公区大门、消防，办公区24小时巡逻，有巡查记录</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车辆停放有序，大型活动及重要会议召开期间、上下高峰期等时段设有专人指挥车辆行驶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会正确使用各种消防、物防、技防设备和器材，懂得一般救护知识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确保消防、安防设施、电气设备、监控设备等运行正常，发现问题及时汇报</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发生突发事件，及时处理并上报，做好现场保护工作，进行抢救和善后工作</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32"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无治安案件、火灾事故发生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restart"/>
            <w:tcBorders>
              <w:top w:val="single" w:color="auto" w:sz="4" w:space="0"/>
              <w:left w:val="single" w:color="auto" w:sz="4" w:space="0"/>
              <w:bottom w:val="nil"/>
              <w:right w:val="single" w:color="auto" w:sz="4" w:space="0"/>
            </w:tcBorders>
            <w:noWrap w:val="0"/>
            <w:vAlign w:val="center"/>
          </w:tcPr>
          <w:p>
            <w:pPr>
              <w:widowControl/>
              <w:adjustRightInd w:val="0"/>
              <w:snapToGrid w:val="0"/>
              <w:spacing w:line="320" w:lineRule="exact"/>
              <w:ind w:left="420" w:leftChars="20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        电          管        理        服          务</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制定水电安全运行规程及岗位责任制度，并认真履行岗位制度。 </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对水电线路、管路、设施设备进行定期的巡查、维护、保养、维修等工作，确保设备运行正常，档案资料齐全，记录完整、清晰。</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配备专业技术维护、维修人员，发生故障及时排除；</w:t>
            </w:r>
            <w:r>
              <w:rPr>
                <w:rFonts w:hint="eastAsia" w:ascii="宋体" w:hAnsi="宋体" w:eastAsia="宋体" w:cs="宋体"/>
                <w:color w:val="auto"/>
                <w:sz w:val="21"/>
                <w:szCs w:val="21"/>
              </w:rPr>
              <w:t>发生重大故障应及时向管理办报告并协调相关部门上门抢修。</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w:t>
            </w:r>
          </w:p>
        </w:tc>
        <w:tc>
          <w:tcPr>
            <w:tcW w:w="5166" w:type="dxa"/>
            <w:tcBorders>
              <w:top w:val="nil"/>
              <w:left w:val="nil"/>
              <w:bottom w:val="single" w:color="auto" w:sz="4" w:space="0"/>
              <w:right w:val="single" w:color="auto" w:sz="4" w:space="0"/>
            </w:tcBorders>
            <w:noWrap w:val="0"/>
            <w:vAlign w:val="center"/>
          </w:tcPr>
          <w:p>
            <w:pPr>
              <w:adjustRightInd w:val="0"/>
              <w:snapToGrid w:val="0"/>
              <w:spacing w:line="320" w:lineRule="exact"/>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提供24小时水电工值班服务。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及时完成水电缴费单等资料发放工作。</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综</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务</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员工佩戴标志，行为语言规范，服务主动热情</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每发现一处（次）不符合标准扣0.5分，扣完为止</w:t>
            </w:r>
          </w:p>
        </w:tc>
      </w:tr>
      <w:tr>
        <w:tblPrEx>
          <w:tblCellMar>
            <w:top w:w="0" w:type="dxa"/>
            <w:left w:w="108" w:type="dxa"/>
            <w:bottom w:w="0" w:type="dxa"/>
            <w:right w:w="108" w:type="dxa"/>
          </w:tblCellMar>
        </w:tblPrEx>
        <w:trPr>
          <w:trHeight w:val="59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及时整改管理办日检、周检发现的问题</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重视办公单位或人员反应的问题，加强与管理办沟通</w:t>
            </w:r>
          </w:p>
        </w:tc>
        <w:tc>
          <w:tcPr>
            <w:tcW w:w="851"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无办公单位或人员投诉</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795"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  分</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备注：考评内容共38项，总分值100分。</w:t>
      </w:r>
    </w:p>
    <w:p>
      <w:pPr>
        <w:adjustRightInd w:val="0"/>
        <w:snapToGrid w:val="0"/>
        <w:ind w:firstLine="422"/>
        <w:rPr>
          <w:rFonts w:hint="eastAsia" w:ascii="宋体" w:hAnsi="宋体" w:eastAsia="宋体" w:cs="宋体"/>
          <w:b/>
          <w:bCs/>
          <w:color w:val="auto"/>
          <w:kern w:val="0"/>
          <w:sz w:val="21"/>
          <w:szCs w:val="21"/>
        </w:rPr>
      </w:pP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总体评价：                                           考评人员：</w:t>
      </w: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br w:type="page"/>
      </w:r>
      <w:r>
        <w:rPr>
          <w:rFonts w:hint="eastAsia" w:ascii="宋体" w:hAnsi="宋体" w:eastAsia="宋体" w:cs="宋体"/>
          <w:b/>
          <w:bCs/>
          <w:color w:val="auto"/>
          <w:kern w:val="0"/>
          <w:sz w:val="21"/>
          <w:szCs w:val="21"/>
        </w:rPr>
        <w:t>附表4</w:t>
      </w:r>
    </w:p>
    <w:tbl>
      <w:tblPr>
        <w:tblStyle w:val="48"/>
        <w:tblW w:w="9855" w:type="dxa"/>
        <w:tblInd w:w="0" w:type="dxa"/>
        <w:tblLayout w:type="fixed"/>
        <w:tblCellMar>
          <w:top w:w="0" w:type="dxa"/>
          <w:left w:w="108" w:type="dxa"/>
          <w:bottom w:w="0" w:type="dxa"/>
          <w:right w:w="108" w:type="dxa"/>
        </w:tblCellMar>
      </w:tblPr>
      <w:tblGrid>
        <w:gridCol w:w="465"/>
        <w:gridCol w:w="540"/>
        <w:gridCol w:w="5760"/>
        <w:gridCol w:w="497"/>
        <w:gridCol w:w="1768"/>
        <w:gridCol w:w="825"/>
      </w:tblGrid>
      <w:tr>
        <w:tblPrEx>
          <w:tblCellMar>
            <w:top w:w="0" w:type="dxa"/>
            <w:left w:w="108" w:type="dxa"/>
            <w:bottom w:w="0" w:type="dxa"/>
            <w:right w:w="108" w:type="dxa"/>
          </w:tblCellMar>
        </w:tblPrEx>
        <w:trPr>
          <w:trHeight w:val="489"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2"/>
              <w:jc w:val="center"/>
              <w:textAlignment w:val="center"/>
              <w:rPr>
                <w:rFonts w:hint="eastAsia" w:ascii="宋体" w:hAnsi="宋体" w:eastAsia="宋体" w:cs="宋体"/>
                <w:bCs/>
                <w:color w:val="auto"/>
                <w:sz w:val="21"/>
                <w:szCs w:val="21"/>
              </w:rPr>
            </w:pPr>
            <w:r>
              <w:rPr>
                <w:rFonts w:hint="eastAsia" w:ascii="宋体" w:hAnsi="宋体" w:eastAsia="宋体" w:cs="宋体"/>
                <w:b/>
                <w:color w:val="auto"/>
                <w:kern w:val="0"/>
                <w:sz w:val="21"/>
                <w:szCs w:val="21"/>
              </w:rPr>
              <w:t>办公区物业服务项目管理工作季度考核评分表</w:t>
            </w:r>
          </w:p>
        </w:tc>
      </w:tr>
      <w:tr>
        <w:tblPrEx>
          <w:tblCellMar>
            <w:top w:w="0" w:type="dxa"/>
            <w:left w:w="108" w:type="dxa"/>
            <w:bottom w:w="0" w:type="dxa"/>
            <w:right w:w="108" w:type="dxa"/>
          </w:tblCellMar>
        </w:tblPrEx>
        <w:trPr>
          <w:trHeight w:val="237"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单位：                                                        年     月     日</w:t>
            </w:r>
          </w:p>
        </w:tc>
      </w:tr>
      <w:tr>
        <w:tblPrEx>
          <w:tblCellMar>
            <w:top w:w="0" w:type="dxa"/>
            <w:left w:w="108" w:type="dxa"/>
            <w:bottom w:w="0" w:type="dxa"/>
            <w:right w:w="108" w:type="dxa"/>
          </w:tblCellMar>
        </w:tblPrEx>
        <w:trPr>
          <w:trHeight w:val="1013" w:hRule="atLeast"/>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基本项目</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序号</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考   评   内   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分值                 </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评分标准    </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得分</w:t>
            </w:r>
          </w:p>
        </w:tc>
      </w:tr>
      <w:tr>
        <w:tblPrEx>
          <w:tblCellMar>
            <w:top w:w="0" w:type="dxa"/>
            <w:left w:w="108" w:type="dxa"/>
            <w:bottom w:w="0" w:type="dxa"/>
            <w:right w:w="108" w:type="dxa"/>
          </w:tblCellMar>
        </w:tblPrEx>
        <w:trPr>
          <w:trHeight w:val="681" w:hRule="atLeast"/>
        </w:trPr>
        <w:tc>
          <w:tcPr>
            <w:tcW w:w="465" w:type="dxa"/>
            <w:vMerge w:val="restart"/>
            <w:tcBorders>
              <w:top w:val="single" w:color="000000" w:sz="4" w:space="0"/>
              <w:left w:val="single" w:color="000000" w:sz="4" w:space="0"/>
              <w:bottom w:val="nil"/>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综                        合                   管      理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按照服务合同规定的服务标准，配备物业服务工作人员      （    人）</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rPr>
          <w:trHeight w:val="831"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实行服务工作日检周查、月评月报、季度小结，及时填送报表 </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64"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服务企业员工佩戴标志，仪表整洁，着装统一</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86"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物业服务人员行为语言规范，服务主动热情</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72"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有投诉处理机制，及时处理投诉问题，有记录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69"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物业服务档案资料齐全，管理完善，有台账记录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少一项扣0.2分，扣完为止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05"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卫</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保</w:t>
            </w:r>
          </w:p>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洁</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办公楼道、大厅、地下停车场、会议室等场所是否干净清洁，无遗弃物、无满溢污迹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公共卫生间是否保持干净、清洁、无异味、无积水无灰尘，洗手盆、便池、镜子保持清洁，墙面、水管、窗台等无灰尘</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6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卫生间内是否及时配备擦手纸、厕纸、洗手液、檀香等，纸篓干净并及时清理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2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电梯厢内是否干净整洁，电梯门壁是否每月打蜡上光</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楼道内垃圾桶内外是否干净整洁，及时清理桶内垃圾</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6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共用部分玻璃、楼道办公室门框、楼梯扶手、栏杆、楼道内设施设备外表是否及时擦拭，干净无灰尘</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7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有专人巡查保洁</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061"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院内道路、停车场、楼顶、明沟等室外公共场所是否干净整洁，无果皮、烟头等明显垃圾，无陈旧堆积物，无卫生死角</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02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办公楼大门玻璃、楼道窗户及窗台等是否光亮、清洁，无污迹、灰尘，无明显手印</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4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室外标识、宣传栏、信报箱、路灯、楼道灯、草坪灯等共用部位设施设备是否干净无灰尘，无污迹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1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果皮箱、垃圾桶内胆是否保持干净整洁，及时冲洗，周围地面无散落垃圾，无满溢，无污迹，无异味</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5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车棚顶是否定期清扫，污水井、沟、垃圾房是否定期喷洒药水</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9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是否及时清理化粪池、污水井、雨水井、下水道等</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7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是否及时消灭“四害”、白蚁等</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05"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是否有专人巡查保洁</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9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会</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议</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w:t>
            </w:r>
          </w:p>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务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是否有专业人员进行会务服务工作</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4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是否适时组织会务人员业务知识、礼仪礼节培训</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3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是否定期对会场设施设备维护保养</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3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是否定期对会场固定物质的维护盘点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9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是否对会议环境卫生定期清洁清理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29"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公 共                     秩 序                       维 护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秩序维护人员是否认真履行职责，严格交接制度，有值勤记录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5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秩序维护人员是否举止文明，姿态端庄，保持良好的精神面貌和形象</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8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办公区大门、安防24小时值班，办公区24小时巡逻，有巡查记录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9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车辆是否停放有序，大型活动及重要会议、上下班高峰期是否有专人指挥车辆行驶</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11"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是否有应对突发事件应急预案和人员培训实施计划</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2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秩序维护员是否会使用各种消防、物防、技防设备和器材，懂得一般救护知识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9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是否定期维护消防、安防、电器、监控等设备，保持设备的正常运行</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55"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34</w:t>
            </w:r>
          </w:p>
        </w:tc>
        <w:tc>
          <w:tcPr>
            <w:tcW w:w="576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无治安案件、火灾事故</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发生一起不得分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04" w:hRule="atLeast"/>
        </w:trPr>
        <w:tc>
          <w:tcPr>
            <w:tcW w:w="465"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水电管理服务</w:t>
            </w: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制定水电安全运行规程及岗位责任制度，并认真履行岗位制度。</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5"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对水电线路、管路、设施设备进行定期的巡查、维护、保养、维修等工作，确保设备运行正常，档案资料齐全，记录完整、清晰。</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5"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配备专业技术维护、维修人员，发生故障及时排除；发生重大故障应及时向管理办报告并协调相关部门上门抢修。</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81"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提供24小时水电工值班服务。</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31"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及时完成水电缴费单等资料发放工作。</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服 务              效 果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40</w:t>
            </w:r>
          </w:p>
        </w:tc>
        <w:tc>
          <w:tcPr>
            <w:tcW w:w="576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办公单位干部职工评价</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非常满意得10分，满意得8分，基本满意得5分，不满意不得分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50" w:hRule="atLeast"/>
        </w:trPr>
        <w:tc>
          <w:tcPr>
            <w:tcW w:w="67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合         计</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100</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jc w:val="center"/>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285" w:hRule="atLeast"/>
        </w:trPr>
        <w:tc>
          <w:tcPr>
            <w:tcW w:w="9855" w:type="dxa"/>
            <w:gridSpan w:val="6"/>
            <w:tcBorders>
              <w:top w:val="single" w:color="000000" w:sz="4" w:space="0"/>
              <w:left w:val="nil"/>
              <w:bottom w:val="nil"/>
              <w:right w:val="nil"/>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备注：考评内容共40项，总分值100分。</w:t>
            </w:r>
          </w:p>
        </w:tc>
      </w:tr>
      <w:tr>
        <w:tblPrEx>
          <w:tblCellMar>
            <w:top w:w="0" w:type="dxa"/>
            <w:left w:w="108" w:type="dxa"/>
            <w:bottom w:w="0" w:type="dxa"/>
            <w:right w:w="108" w:type="dxa"/>
          </w:tblCellMar>
        </w:tblPrEx>
        <w:trPr>
          <w:trHeight w:val="285"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考评人员：</w:t>
            </w:r>
          </w:p>
        </w:tc>
      </w:tr>
    </w:tbl>
    <w:p>
      <w:pPr>
        <w:spacing w:line="520" w:lineRule="exact"/>
        <w:ind w:firstLine="315" w:firstLineChars="150"/>
        <w:rPr>
          <w:rFonts w:hint="eastAsia" w:ascii="宋体" w:hAnsi="宋体" w:cs="宋体"/>
          <w:color w:val="auto"/>
          <w:szCs w:val="21"/>
          <w:highlight w:val="none"/>
        </w:rPr>
      </w:pPr>
    </w:p>
    <w:p>
      <w:pPr>
        <w:spacing w:line="520" w:lineRule="exact"/>
        <w:ind w:firstLine="315" w:firstLineChars="150"/>
        <w:rPr>
          <w:rFonts w:hint="eastAsia" w:ascii="宋体" w:hAnsi="宋体" w:cs="宋体"/>
          <w:color w:val="auto"/>
          <w:szCs w:val="21"/>
          <w:highlight w:val="none"/>
        </w:rPr>
      </w:pPr>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bookmarkEnd w:id="217"/>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219" w:name="_Toc352700448"/>
      <w:bookmarkStart w:id="220" w:name="_Toc173764943"/>
      <w:bookmarkStart w:id="221" w:name="_Toc352700352"/>
      <w:r>
        <w:rPr>
          <w:rFonts w:hint="eastAsia" w:ascii="Cambria" w:hAnsi="Cambria" w:eastAsia="方正小标宋_GBK" w:cs="Times New Roman"/>
          <w:b/>
          <w:bCs/>
          <w:color w:val="auto"/>
          <w:kern w:val="0"/>
          <w:sz w:val="44"/>
          <w:szCs w:val="32"/>
          <w:highlight w:val="none"/>
        </w:rPr>
        <w:t>第六章　投标文件格式</w:t>
      </w:r>
      <w:bookmarkEnd w:id="219"/>
      <w:bookmarkEnd w:id="220"/>
      <w:bookmarkEnd w:id="221"/>
    </w:p>
    <w:p>
      <w:pPr>
        <w:spacing w:line="400" w:lineRule="exact"/>
        <w:rPr>
          <w:rFonts w:hint="eastAsia" w:ascii="宋体" w:hAnsi="宋体" w:eastAsia="宋体" w:cs="Courier New"/>
          <w:b/>
          <w:color w:val="auto"/>
          <w:sz w:val="32"/>
          <w:szCs w:val="32"/>
          <w:highlight w:val="none"/>
        </w:rPr>
      </w:pPr>
      <w:r>
        <w:rPr>
          <w:rFonts w:hint="eastAsia" w:ascii="宋体" w:hAnsi="宋体" w:eastAsia="宋体" w:cs="Courier New"/>
          <w:color w:val="auto"/>
          <w:szCs w:val="21"/>
          <w:highlight w:val="none"/>
        </w:rPr>
        <w:br w:type="page"/>
      </w:r>
      <w:r>
        <w:rPr>
          <w:rFonts w:hint="eastAsia" w:ascii="宋体" w:hAnsi="宋体" w:eastAsia="宋体" w:cs="Courier New"/>
          <w:color w:val="auto"/>
          <w:szCs w:val="21"/>
          <w:highlight w:val="none"/>
        </w:rPr>
        <w:t xml:space="preserve"> </w:t>
      </w:r>
      <w:r>
        <w:rPr>
          <w:rFonts w:hint="eastAsia" w:ascii="宋体" w:hAnsi="宋体" w:eastAsia="宋体" w:cs="Courier New"/>
          <w:b/>
          <w:color w:val="auto"/>
          <w:sz w:val="32"/>
          <w:szCs w:val="32"/>
          <w:highlight w:val="none"/>
        </w:rPr>
        <w:t>一、资格文件</w:t>
      </w:r>
    </w:p>
    <w:p>
      <w:pPr>
        <w:tabs>
          <w:tab w:val="left" w:pos="3402"/>
        </w:tabs>
        <w:spacing w:line="320" w:lineRule="exact"/>
        <w:jc w:val="left"/>
        <w:rPr>
          <w:rFonts w:hint="eastAsia" w:ascii="仿宋_GB2312" w:hAnsi="Adobe 仿宋 Std R" w:eastAsia="仿宋_GB2312" w:cs="Times New Roman"/>
          <w:b/>
          <w:color w:val="auto"/>
          <w:spacing w:val="10"/>
          <w:sz w:val="32"/>
          <w:szCs w:val="32"/>
          <w:highlight w:val="none"/>
        </w:rPr>
      </w:pPr>
    </w:p>
    <w:p>
      <w:pPr>
        <w:tabs>
          <w:tab w:val="left" w:pos="3402"/>
        </w:tabs>
        <w:ind w:firstLine="602"/>
        <w:jc w:val="center"/>
        <w:rPr>
          <w:rFonts w:hint="eastAsia" w:ascii="仿宋_GB2312" w:hAnsi="Adobe 仿宋 Std R" w:eastAsia="仿宋_GB2312" w:cs="Times New Roman"/>
          <w:b/>
          <w:color w:val="auto"/>
          <w:spacing w:val="10"/>
          <w:sz w:val="32"/>
          <w:szCs w:val="32"/>
          <w:highlight w:val="none"/>
        </w:rPr>
      </w:pPr>
      <w:r>
        <w:rPr>
          <w:rFonts w:hint="eastAsia" w:ascii="仿宋_GB2312" w:hAnsi="Adobe 仿宋 Std R" w:eastAsia="仿宋_GB2312" w:cs="Times New Roman"/>
          <w:b/>
          <w:color w:val="auto"/>
          <w:spacing w:val="10"/>
          <w:sz w:val="32"/>
          <w:szCs w:val="32"/>
          <w:highlight w:val="none"/>
        </w:rPr>
        <w:t>投标人具备参加政府采购活动条件的承诺书</w:t>
      </w:r>
      <w:r>
        <w:rPr>
          <w:rFonts w:hint="eastAsia" w:ascii="仿宋_GB2312" w:hAnsi="Adobe 仿宋 Std R" w:eastAsia="仿宋_GB2312" w:cs="黑体"/>
          <w:bCs/>
          <w:color w:val="auto"/>
          <w:sz w:val="24"/>
          <w:szCs w:val="24"/>
          <w:highlight w:val="none"/>
        </w:rPr>
        <w:t>(格式)</w:t>
      </w:r>
    </w:p>
    <w:p>
      <w:pPr>
        <w:tabs>
          <w:tab w:val="left" w:pos="3402"/>
        </w:tabs>
        <w:jc w:val="left"/>
        <w:rPr>
          <w:rFonts w:hint="eastAsia" w:ascii="仿宋_GB2312" w:hAnsi="仿宋" w:eastAsia="仿宋_GB2312" w:cs="Times New Roman"/>
          <w:b/>
          <w:color w:val="auto"/>
          <w:spacing w:val="10"/>
          <w:szCs w:val="21"/>
          <w:highlight w:val="none"/>
        </w:rPr>
      </w:pPr>
    </w:p>
    <w:p>
      <w:pPr>
        <w:spacing w:line="520" w:lineRule="exac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钦州市政府采购中心：</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根据《中华人民共和国政府采购法》实施条例第十七条的规定，现郑重承诺：</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u w:val="single"/>
        </w:rPr>
        <w:t>(投标人名称)</w:t>
      </w:r>
      <w:r>
        <w:rPr>
          <w:rFonts w:hint="eastAsia" w:ascii="宋体" w:hAnsi="宋体" w:eastAsia="宋体" w:cs="Times New Roman"/>
          <w:bCs/>
          <w:color w:val="auto"/>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本单位对上述承诺内容事项真实性负责，如有虚假，由我单位承担相关法律责任。</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特此承诺。</w:t>
      </w: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spacing w:line="440" w:lineRule="exact"/>
        <w:ind w:right="1050" w:rightChars="500" w:firstLine="5250" w:firstLineChars="25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szCs w:val="24"/>
          <w:highlight w:val="none"/>
        </w:rPr>
        <w:t>投标人（盖章）：</w:t>
      </w:r>
      <w:r>
        <w:rPr>
          <w:rFonts w:hint="eastAsia" w:ascii="宋体" w:hAnsi="宋体" w:eastAsia="宋体" w:cs="Times New Roman"/>
          <w:bCs/>
          <w:color w:val="auto"/>
          <w:szCs w:val="24"/>
          <w:highlight w:val="none"/>
          <w:u w:val="single"/>
        </w:rPr>
        <w:t xml:space="preserve">            </w:t>
      </w:r>
    </w:p>
    <w:p>
      <w:pPr>
        <w:spacing w:line="440" w:lineRule="exact"/>
        <w:ind w:right="420"/>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tabs>
          <w:tab w:val="left" w:pos="3402"/>
        </w:tabs>
        <w:spacing w:line="400" w:lineRule="exact"/>
        <w:ind w:firstLine="683" w:firstLineChars="200"/>
        <w:jc w:val="center"/>
        <w:rPr>
          <w:rFonts w:hint="eastAsia" w:ascii="仿宋_GB2312" w:hAnsi="仿宋" w:eastAsia="仿宋_GB2312" w:cs="Times New Roman"/>
          <w:b/>
          <w:color w:val="auto"/>
          <w:spacing w:val="10"/>
          <w:sz w:val="28"/>
          <w:szCs w:val="28"/>
          <w:highlight w:val="none"/>
        </w:rPr>
      </w:pPr>
      <w:r>
        <w:rPr>
          <w:rFonts w:hint="eastAsia" w:ascii="仿宋_GB2312" w:hAnsi="仿宋" w:eastAsia="仿宋_GB2312" w:cs="Times New Roman"/>
          <w:b/>
          <w:color w:val="auto"/>
          <w:spacing w:val="10"/>
          <w:sz w:val="32"/>
          <w:szCs w:val="32"/>
          <w:highlight w:val="none"/>
        </w:rPr>
        <w:t>无重大违法记录的书面声明</w:t>
      </w:r>
      <w:r>
        <w:rPr>
          <w:rFonts w:hint="eastAsia" w:ascii="仿宋_GB2312" w:hAnsi="仿宋" w:eastAsia="仿宋_GB2312" w:cs="Times New Roman"/>
          <w:bCs/>
          <w:color w:val="auto"/>
          <w:spacing w:val="10"/>
          <w:sz w:val="24"/>
          <w:szCs w:val="24"/>
          <w:highlight w:val="none"/>
        </w:rPr>
        <w:t>（格式）</w:t>
      </w:r>
    </w:p>
    <w:p>
      <w:pPr>
        <w:tabs>
          <w:tab w:val="left" w:pos="3402"/>
        </w:tabs>
        <w:spacing w:line="400" w:lineRule="exact"/>
        <w:jc w:val="left"/>
        <w:rPr>
          <w:rFonts w:hint="eastAsia" w:ascii="仿宋_GB2312" w:hAnsi="仿宋" w:eastAsia="仿宋_GB2312" w:cs="Times New Roman"/>
          <w:b/>
          <w:color w:val="auto"/>
          <w:spacing w:val="10"/>
          <w:szCs w:val="21"/>
          <w:highlight w:val="none"/>
        </w:rPr>
      </w:pPr>
    </w:p>
    <w:p>
      <w:pPr>
        <w:spacing w:line="44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钦州市政府采购中心：</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根据《中华人民共和国政府采购法实施条例》第十七条第一款第(四）项的规定，</w:t>
      </w: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郑重声明：</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在参加本次政府采购活动前3年内在经营活动中没有重大违法记录（</w:t>
      </w:r>
      <w:r>
        <w:rPr>
          <w:rFonts w:hint="eastAsia" w:ascii="宋体" w:hAnsi="宋体" w:eastAsia="宋体" w:cs="Times New Roman"/>
          <w:bCs/>
          <w:color w:val="auto"/>
          <w:szCs w:val="24"/>
          <w:highlight w:val="none"/>
          <w:u w:val="single"/>
        </w:rPr>
        <w:t>即因违法经营受到刑事处罚或者责令停产停业、吊销许可证或者执照、较大数额罚款等行政处罚的行为</w:t>
      </w:r>
      <w:r>
        <w:rPr>
          <w:rFonts w:hint="eastAsia" w:ascii="宋体" w:hAnsi="宋体" w:eastAsia="宋体" w:cs="Times New Roman"/>
          <w:bCs/>
          <w:color w:val="auto"/>
          <w:szCs w:val="24"/>
          <w:highlight w:val="none"/>
        </w:rPr>
        <w:t>）。</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本单位对上述声明内容事项真实性负责，如有虚假，由我单位承担相关法律责任。</w:t>
      </w:r>
    </w:p>
    <w:p>
      <w:pPr>
        <w:spacing w:line="40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特此声明。</w:t>
      </w: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right="1050" w:rightChars="500" w:firstLine="4819" w:firstLineChars="2295"/>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投标人（盖章）：</w:t>
      </w:r>
      <w:r>
        <w:rPr>
          <w:rFonts w:hint="eastAsia" w:ascii="宋体" w:hAnsi="宋体" w:eastAsia="宋体" w:cs="Times New Roman"/>
          <w:bCs/>
          <w:color w:val="auto"/>
          <w:szCs w:val="24"/>
          <w:highlight w:val="none"/>
          <w:u w:val="single"/>
        </w:rPr>
        <w:t xml:space="preserve">           </w:t>
      </w:r>
    </w:p>
    <w:p>
      <w:pPr>
        <w:spacing w:line="400" w:lineRule="exact"/>
        <w:ind w:right="1050" w:rightChars="500" w:firstLine="420" w:firstLineChars="200"/>
        <w:jc w:val="righ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日期：</w:t>
      </w:r>
      <w:bookmarkStart w:id="222" w:name="_Hlk112336125"/>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bookmarkEnd w:id="222"/>
    </w:p>
    <w:p>
      <w:pPr>
        <w:snapToGrid w:val="0"/>
        <w:spacing w:before="156" w:beforeLines="50" w:after="50" w:line="360" w:lineRule="exact"/>
        <w:jc w:val="left"/>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br w:type="page"/>
      </w:r>
      <w:r>
        <w:rPr>
          <w:rFonts w:hint="eastAsia" w:ascii="宋体" w:hAnsi="宋体" w:eastAsia="宋体" w:cs="Times New Roman"/>
          <w:b/>
          <w:color w:val="auto"/>
          <w:sz w:val="32"/>
          <w:szCs w:val="32"/>
          <w:highlight w:val="none"/>
        </w:rPr>
        <w:t>二、资信技术文件</w:t>
      </w:r>
    </w:p>
    <w:p>
      <w:pPr>
        <w:snapToGrid w:val="0"/>
        <w:spacing w:before="156" w:beforeLines="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投 标 函</w:t>
      </w:r>
      <w:r>
        <w:rPr>
          <w:rFonts w:hint="eastAsia" w:ascii="仿宋_GB2312" w:hAnsi="宋体" w:eastAsia="仿宋_GB2312" w:cs="Times New Roman"/>
          <w:bCs/>
          <w:color w:val="auto"/>
          <w:sz w:val="24"/>
          <w:szCs w:val="24"/>
          <w:highlight w:val="none"/>
        </w:rPr>
        <w:t>（格式）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致：钦州市政府采购中心：</w:t>
      </w:r>
    </w:p>
    <w:p>
      <w:pPr>
        <w:spacing w:line="400" w:lineRule="exact"/>
        <w:rPr>
          <w:rFonts w:hint="eastAsia" w:ascii="宋体" w:hAnsi="宋体" w:eastAsia="宋体" w:cs="Times New Roman"/>
          <w:color w:val="auto"/>
          <w:szCs w:val="21"/>
          <w:highlight w:val="none"/>
        </w:rPr>
      </w:pPr>
    </w:p>
    <w:p>
      <w:pPr>
        <w:spacing w:line="4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根据贵方为</w:t>
      </w:r>
      <w:r>
        <w:rPr>
          <w:rFonts w:hint="eastAsia" w:ascii="宋体" w:hAnsi="宋体" w:eastAsia="宋体" w:cs="Times New Roman"/>
          <w:color w:val="auto"/>
          <w:szCs w:val="21"/>
          <w:highlight w:val="none"/>
          <w:u w:val="single"/>
        </w:rPr>
        <w:t xml:space="preserve">   （项目名称）   </w:t>
      </w:r>
      <w:r>
        <w:rPr>
          <w:rFonts w:hint="eastAsia" w:ascii="宋体" w:hAnsi="宋体" w:eastAsia="宋体" w:cs="Times New Roman"/>
          <w:color w:val="auto"/>
          <w:szCs w:val="21"/>
          <w:highlight w:val="none"/>
        </w:rPr>
        <w:t>招标文件</w:t>
      </w:r>
      <w:r>
        <w:rPr>
          <w:rFonts w:hint="eastAsia" w:ascii="宋体" w:hAnsi="宋体" w:eastAsia="宋体" w:cs="Times New Roman"/>
          <w:color w:val="auto"/>
          <w:szCs w:val="21"/>
          <w:highlight w:val="none"/>
          <w:u w:val="single"/>
        </w:rPr>
        <w:t xml:space="preserve"> （项目编号及分标号） </w:t>
      </w:r>
      <w:r>
        <w:rPr>
          <w:rFonts w:hint="eastAsia" w:ascii="宋体" w:hAnsi="宋体" w:eastAsia="宋体" w:cs="Times New Roman"/>
          <w:color w:val="auto"/>
          <w:szCs w:val="21"/>
          <w:highlight w:val="none"/>
        </w:rPr>
        <w:t>，</w:t>
      </w:r>
      <w:bookmarkStart w:id="223" w:name="_Hlk92702218"/>
      <w:r>
        <w:rPr>
          <w:rFonts w:hint="eastAsia" w:ascii="宋体" w:hAnsi="宋体" w:eastAsia="宋体" w:cs="Times New Roman"/>
          <w:color w:val="auto"/>
          <w:szCs w:val="21"/>
          <w:highlight w:val="none"/>
        </w:rPr>
        <w:t>我方</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经正式授权代表</w:t>
      </w:r>
      <w:r>
        <w:rPr>
          <w:rFonts w:hint="eastAsia" w:ascii="宋体" w:hAnsi="宋体" w:eastAsia="宋体" w:cs="Times New Roman"/>
          <w:color w:val="auto"/>
          <w:szCs w:val="21"/>
          <w:highlight w:val="none"/>
          <w:u w:val="single"/>
        </w:rPr>
        <w:t xml:space="preserve">   （被授权人）   </w:t>
      </w:r>
      <w:r>
        <w:rPr>
          <w:rFonts w:hint="eastAsia" w:ascii="宋体" w:hAnsi="宋体" w:eastAsia="宋体" w:cs="Times New Roman"/>
          <w:color w:val="auto"/>
          <w:szCs w:val="21"/>
          <w:highlight w:val="none"/>
        </w:rPr>
        <w:t>提交</w:t>
      </w:r>
      <w:bookmarkEnd w:id="223"/>
      <w:r>
        <w:rPr>
          <w:rFonts w:hint="eastAsia" w:ascii="宋体" w:hAnsi="宋体" w:eastAsia="宋体" w:cs="Times New Roman"/>
          <w:color w:val="auto"/>
          <w:szCs w:val="21"/>
          <w:highlight w:val="none"/>
        </w:rPr>
        <w:t>投标文件：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据此函，投标人承诺：</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1.我方已详细审阅招标文件（包括澄清或者修改文件），已经了解我方对于招标文件、采购过程、采购结果有依法进行询问、质疑、投诉的权利及相关渠道和要求。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4.我方同意在开标日期起遵循本投标文件，并在投标有效期90天内均具有约束力。</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5.我方承诺具备《中华人民共和国政府采购法》中规定的参加政府采购活动供应商应当具备的条件。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6.我方根据招标文件的规定，承担完成合同的责任和义务。</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7.如果在投标截止时间后的投标有效期内撤回投标或者有其他违约行为，我方的投标保证金可被贵方全部没收。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8.同意向贵方提供贵方可能要求的与本投标有关的人员、数据和资料。</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9.我方完全理解贵方不一定要接受最低报价的投标人为中标人。</w:t>
      </w:r>
    </w:p>
    <w:p>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10.我方向贵方提交的所有投标文件、资料都是准确的和真实的。</w:t>
      </w:r>
    </w:p>
    <w:p>
      <w:pPr>
        <w:spacing w:line="400" w:lineRule="exact"/>
        <w:rPr>
          <w:rFonts w:hint="eastAsia" w:ascii="宋体" w:hAnsi="宋体" w:eastAsia="宋体" w:cs="Times New Roman"/>
          <w:color w:val="auto"/>
          <w:szCs w:val="21"/>
          <w:highlight w:val="none"/>
        </w:rPr>
      </w:pPr>
    </w:p>
    <w:p>
      <w:pPr>
        <w:spacing w:line="400" w:lineRule="exact"/>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与我公司有关的正式通讯方式：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电话、电报、传真或电传：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开户名称：</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开户银行：</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账    号：</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tabs>
          <w:tab w:val="left" w:pos="3870"/>
          <w:tab w:val="left" w:pos="4085"/>
        </w:tabs>
        <w:snapToGrid w:val="0"/>
        <w:spacing w:line="600" w:lineRule="exact"/>
        <w:jc w:val="center"/>
        <w:rPr>
          <w:rFonts w:hint="eastAsia" w:ascii="仿宋_GB2312" w:hAnsi="宋体" w:eastAsia="仿宋_GB2312" w:cs="Times New Roman"/>
          <w:b/>
          <w:color w:val="auto"/>
          <w:sz w:val="28"/>
          <w:szCs w:val="28"/>
          <w:highlight w:val="none"/>
        </w:rPr>
      </w:pPr>
      <w:bookmarkStart w:id="224" w:name="_Hlk92702580"/>
      <w:r>
        <w:rPr>
          <w:rFonts w:hint="eastAsia" w:ascii="仿宋_GB2312" w:hAnsi="宋体" w:eastAsia="仿宋_GB2312" w:cs="Times New Roman"/>
          <w:b/>
          <w:color w:val="auto"/>
          <w:sz w:val="32"/>
          <w:szCs w:val="32"/>
          <w:highlight w:val="none"/>
        </w:rPr>
        <w:t>授权委托书</w:t>
      </w:r>
      <w:r>
        <w:rPr>
          <w:rFonts w:hint="eastAsia" w:ascii="仿宋_GB2312" w:hAnsi="宋体" w:eastAsia="仿宋_GB2312" w:cs="Times New Roman"/>
          <w:bCs/>
          <w:color w:val="auto"/>
          <w:sz w:val="24"/>
          <w:szCs w:val="24"/>
          <w:highlight w:val="none"/>
        </w:rPr>
        <w:t>（格式）</w:t>
      </w:r>
    </w:p>
    <w:p>
      <w:pPr>
        <w:snapToGrid w:val="0"/>
        <w:spacing w:before="156" w:beforeLines="50" w:after="50" w:line="400" w:lineRule="exact"/>
        <w:rPr>
          <w:rFonts w:hint="eastAsia" w:ascii="宋体" w:hAnsi="宋体" w:eastAsia="宋体" w:cs="Times New Roman"/>
          <w:b/>
          <w:bCs/>
          <w:color w:val="auto"/>
          <w:szCs w:val="21"/>
          <w:highlight w:val="none"/>
        </w:rPr>
      </w:pPr>
      <w:r>
        <w:rPr>
          <w:rFonts w:hint="eastAsia" w:ascii="宋体" w:hAnsi="宋体" w:eastAsia="宋体" w:cs="Times New Roman"/>
          <w:bCs/>
          <w:color w:val="auto"/>
          <w:szCs w:val="21"/>
          <w:highlight w:val="none"/>
        </w:rPr>
        <w:t>致：</w:t>
      </w:r>
      <w:r>
        <w:rPr>
          <w:rFonts w:hint="eastAsia" w:ascii="Times New Roman" w:hAnsi="Times New Roman" w:eastAsia="宋体" w:cs="Times New Roman"/>
          <w:color w:val="auto"/>
          <w:szCs w:val="24"/>
          <w:highlight w:val="none"/>
        </w:rPr>
        <w:t>钦州市政府采购中心</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（投标人名称）</w:t>
      </w:r>
      <w:r>
        <w:rPr>
          <w:rFonts w:hint="eastAsia" w:ascii="宋体" w:hAnsi="宋体" w:eastAsia="宋体" w:cs="Times New Roman"/>
          <w:color w:val="auto"/>
          <w:szCs w:val="21"/>
          <w:highlight w:val="none"/>
        </w:rPr>
        <w:t>的法定代表人，现授权委托本单位在职职工</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以我方的名义参加</w:t>
      </w:r>
      <w:r>
        <w:rPr>
          <w:rFonts w:hint="eastAsia" w:ascii="宋体" w:hAnsi="宋体" w:eastAsia="宋体" w:cs="Times New Roman"/>
          <w:color w:val="auto"/>
          <w:szCs w:val="21"/>
          <w:highlight w:val="none"/>
          <w:u w:val="single"/>
        </w:rPr>
        <w:t>（项目名称/项目编号）</w:t>
      </w:r>
      <w:r>
        <w:rPr>
          <w:rFonts w:hint="eastAsia" w:ascii="宋体" w:hAnsi="宋体" w:eastAsia="宋体" w:cs="Times New Roman"/>
          <w:color w:val="auto"/>
          <w:szCs w:val="21"/>
          <w:highlight w:val="none"/>
        </w:rPr>
        <w:t>的投标活动，并代表我方全权办理针对上述项目的投标、开标、评标、签约等具体事务和签署相关文件。</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我方对被授权人的签名事项负全部责任。</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在撤销授权的书面通知以前，本授权书一直有效</w:t>
      </w:r>
      <w:r>
        <w:rPr>
          <w:rFonts w:hint="eastAsia" w:ascii="宋体" w:hAnsi="宋体" w:eastAsia="宋体" w:cs="Times New Roman"/>
          <w:color w:val="auto"/>
          <w:szCs w:val="21"/>
          <w:highlight w:val="none"/>
        </w:rPr>
        <w:t>。被授权人在授权书有效期内签署的所有文件不因授权的撤销而失效。</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被授权人无转委托权，特此委托。</w:t>
      </w:r>
    </w:p>
    <w:p>
      <w:pPr>
        <w:snapToGrid w:val="0"/>
        <w:spacing w:before="156" w:beforeLines="50" w:after="50" w:line="300" w:lineRule="exact"/>
        <w:rPr>
          <w:rFonts w:hint="eastAsia" w:ascii="宋体" w:hAnsi="宋体" w:eastAsia="宋体" w:cs="Times New Roman"/>
          <w:color w:val="auto"/>
          <w:szCs w:val="21"/>
          <w:highlight w:val="none"/>
        </w:rPr>
      </w:pPr>
    </w:p>
    <w:p>
      <w:pPr>
        <w:snapToGrid w:val="0"/>
        <w:spacing w:before="156" w:beforeLines="50" w:after="50" w:line="3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被授权人身份证号码：</w:t>
      </w:r>
      <w:r>
        <w:rPr>
          <w:rFonts w:hint="eastAsia" w:ascii="宋体" w:hAnsi="宋体" w:eastAsia="宋体" w:cs="Times New Roman"/>
          <w:color w:val="auto"/>
          <w:szCs w:val="21"/>
          <w:highlight w:val="none"/>
          <w:u w:val="single"/>
        </w:rPr>
        <w:t xml:space="preserve">                  </w:t>
      </w:r>
    </w:p>
    <w:p>
      <w:pPr>
        <w:snapToGrid w:val="0"/>
        <w:spacing w:before="156" w:beforeLines="50" w:after="50" w:line="30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附：委托代理人身份证</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正反面</w:t>
      </w:r>
      <w:r>
        <w:rPr>
          <w:rFonts w:ascii="Times New Roman" w:hAnsi="宋体" w:eastAsia="宋体" w:cs="Times New Roman"/>
          <w:color w:val="auto"/>
          <w:szCs w:val="24"/>
          <w:highlight w:val="none"/>
        </w:rPr>
        <w:t>)</w:t>
      </w: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napToGrid w:val="0"/>
        <w:spacing w:before="156" w:beforeLines="50" w:after="50" w:line="200" w:lineRule="exact"/>
        <w:ind w:firstLine="4620" w:firstLineChars="2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法定代表人签名：</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24"/>
    <w:p>
      <w:pPr>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napToGrid w:val="0"/>
        <w:spacing w:before="156" w:beforeLines="50" w:after="50" w:line="360" w:lineRule="exact"/>
        <w:jc w:val="center"/>
        <w:rPr>
          <w:rFonts w:ascii="仿宋_GB2312" w:hAnsi="Times New Roman" w:eastAsia="仿宋_GB2312" w:cs="Times New Roman"/>
          <w:b/>
          <w:color w:val="auto"/>
          <w:sz w:val="28"/>
          <w:szCs w:val="28"/>
          <w:highlight w:val="none"/>
        </w:rPr>
      </w:pPr>
      <w:bookmarkStart w:id="225" w:name="_Hlk92702799"/>
      <w:r>
        <w:rPr>
          <w:rFonts w:hint="eastAsia" w:ascii="仿宋_GB2312" w:hAnsi="宋体" w:eastAsia="仿宋_GB2312" w:cs="Times New Roman"/>
          <w:b/>
          <w:color w:val="auto"/>
          <w:sz w:val="32"/>
          <w:szCs w:val="32"/>
          <w:highlight w:val="none"/>
        </w:rPr>
        <w:t>商务响应</w:t>
      </w:r>
      <w:r>
        <w:rPr>
          <w:rFonts w:hint="eastAsia" w:ascii="仿宋_GB2312" w:hAnsi="Times New Roman" w:eastAsia="仿宋_GB2312" w:cs="Times New Roman"/>
          <w:b/>
          <w:color w:val="auto"/>
          <w:sz w:val="32"/>
          <w:szCs w:val="32"/>
          <w:highlight w:val="none"/>
        </w:rPr>
        <w:t>表</w:t>
      </w:r>
      <w:bookmarkStart w:id="226" w:name="_Hlk111728555"/>
      <w:r>
        <w:rPr>
          <w:rFonts w:hint="eastAsia" w:ascii="仿宋_GB2312" w:hAnsi="Times New Roman" w:eastAsia="仿宋_GB2312" w:cs="Times New Roman"/>
          <w:bCs/>
          <w:color w:val="auto"/>
          <w:sz w:val="24"/>
          <w:szCs w:val="24"/>
          <w:highlight w:val="none"/>
        </w:rPr>
        <w:t>（格式）</w:t>
      </w:r>
      <w:bookmarkEnd w:id="226"/>
    </w:p>
    <w:p>
      <w:pPr>
        <w:spacing w:line="400" w:lineRule="exact"/>
        <w:rPr>
          <w:rFonts w:ascii="Times New Roman" w:hAnsi="Times New Roman" w:eastAsia="宋体" w:cs="Times New Roman"/>
          <w:color w:val="auto"/>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bl>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25"/>
    <w:p>
      <w:pPr>
        <w:snapToGrid w:val="0"/>
        <w:spacing w:line="360" w:lineRule="exact"/>
        <w:rPr>
          <w:rFonts w:hint="eastAsia" w:ascii="宋体" w:hAnsi="宋体" w:eastAsia="宋体" w:cs="Times New Roman"/>
          <w:b/>
          <w:color w:val="auto"/>
          <w:szCs w:val="21"/>
          <w:highlight w:val="none"/>
        </w:rPr>
      </w:pPr>
    </w:p>
    <w:p>
      <w:pPr>
        <w:snapToGrid w:val="0"/>
        <w:spacing w:line="700" w:lineRule="exact"/>
        <w:jc w:val="center"/>
        <w:rPr>
          <w:rFonts w:hint="eastAsia" w:ascii="宋体" w:hAnsi="宋体" w:eastAsia="宋体" w:cs="Times New Roman"/>
          <w:b/>
          <w:color w:val="auto"/>
          <w:sz w:val="32"/>
          <w:szCs w:val="32"/>
          <w:highlight w:val="none"/>
        </w:rPr>
      </w:pPr>
      <w:r>
        <w:rPr>
          <w:rFonts w:hint="eastAsia" w:ascii="仿宋_GB2312" w:hAnsi="宋体" w:eastAsia="仿宋_GB2312" w:cs="Times New Roman"/>
          <w:b/>
          <w:color w:val="auto"/>
          <w:sz w:val="32"/>
          <w:szCs w:val="32"/>
          <w:highlight w:val="none"/>
        </w:rPr>
        <w:t>技术响应表</w:t>
      </w:r>
      <w:bookmarkStart w:id="227" w:name="_Hlk111728645"/>
      <w:r>
        <w:rPr>
          <w:rFonts w:hint="eastAsia" w:ascii="仿宋_GB2312" w:hAnsi="Times New Roman" w:eastAsia="仿宋_GB2312" w:cs="Times New Roman"/>
          <w:bCs/>
          <w:color w:val="auto"/>
          <w:sz w:val="24"/>
          <w:szCs w:val="24"/>
          <w:highlight w:val="none"/>
        </w:rPr>
        <w:t>（格式）</w:t>
      </w:r>
      <w:bookmarkEnd w:id="227"/>
    </w:p>
    <w:p>
      <w:pPr>
        <w:snapToGrid w:val="0"/>
        <w:spacing w:line="160" w:lineRule="exact"/>
        <w:jc w:val="center"/>
        <w:rPr>
          <w:rFonts w:hint="eastAsia" w:ascii="宋体" w:hAnsi="宋体" w:eastAsia="宋体" w:cs="Times New Roman"/>
          <w:b/>
          <w:color w:val="auto"/>
          <w:szCs w:val="21"/>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招标文件要求</w:t>
            </w: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3" w:firstLineChars="11"/>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投标文件响应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right="-15" w:rightChars="-7"/>
              <w:jc w:val="center"/>
              <w:rPr>
                <w:rFonts w:ascii="Times New Roman" w:hAnsi="Times New Roman" w:eastAsia="宋体" w:cs="Times New Roman"/>
                <w:color w:val="auto"/>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bl>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注：</w:t>
      </w:r>
    </w:p>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1.应对照采购文件“第二章 项目需求”中的服务要求逐条作出明确响应，并作出偏离说明。</w:t>
      </w:r>
    </w:p>
    <w:p>
      <w:pPr>
        <w:spacing w:line="360" w:lineRule="exact"/>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2.供应商应根据自身的承诺，对照磋商文件要求，在“偏离说明”中注明“正偏离”、“负偏离”或者“无偏离”。既不属于“正偏离”也不属于“负偏离”即为“无偏离”。</w:t>
      </w:r>
    </w:p>
    <w:p>
      <w:pPr>
        <w:spacing w:line="360" w:lineRule="exact"/>
        <w:rPr>
          <w:rFonts w:hint="eastAsia" w:ascii="宋体" w:hAnsi="宋体" w:eastAsia="宋体" w:cs="Times New Roman"/>
          <w:bCs/>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spacing w:line="440" w:lineRule="exact"/>
        <w:ind w:left="-47" w:leftChars="-200" w:hanging="373" w:hangingChars="116"/>
        <w:jc w:val="center"/>
        <w:rPr>
          <w:rFonts w:hint="eastAsia" w:ascii="仿宋_GB2312" w:hAnsi="宋体" w:eastAsia="仿宋_GB2312" w:cs="Times New Roman"/>
          <w:b/>
          <w:color w:val="auto"/>
          <w:sz w:val="32"/>
          <w:szCs w:val="32"/>
          <w:highlight w:val="none"/>
        </w:rPr>
      </w:pPr>
      <w:r>
        <w:rPr>
          <w:rFonts w:hint="eastAsia" w:ascii="仿宋_GB2312" w:hAnsi="宋体" w:eastAsia="仿宋_GB2312" w:cs="Times New Roman"/>
          <w:b/>
          <w:color w:val="auto"/>
          <w:sz w:val="32"/>
          <w:szCs w:val="32"/>
          <w:highlight w:val="none"/>
        </w:rPr>
        <w:t>中小企业声明函</w:t>
      </w:r>
      <w:r>
        <w:rPr>
          <w:rFonts w:hint="eastAsia" w:ascii="仿宋_GB2312" w:hAnsi="Times New Roman" w:eastAsia="仿宋_GB2312" w:cs="Times New Roman"/>
          <w:bCs/>
          <w:color w:val="auto"/>
          <w:sz w:val="24"/>
          <w:szCs w:val="24"/>
          <w:highlight w:val="none"/>
        </w:rPr>
        <w:t>（格式）</w:t>
      </w:r>
    </w:p>
    <w:p>
      <w:pPr>
        <w:spacing w:line="440" w:lineRule="exact"/>
        <w:ind w:left="2" w:hanging="2"/>
        <w:jc w:val="left"/>
        <w:rPr>
          <w:rFonts w:hint="eastAsia" w:ascii="仿宋_GB2312" w:hAnsi="宋体" w:eastAsia="仿宋_GB2312" w:cs="Times New Roman"/>
          <w:b/>
          <w:color w:val="auto"/>
          <w:szCs w:val="21"/>
          <w:highlight w:val="none"/>
        </w:rPr>
      </w:pPr>
    </w:p>
    <w:p>
      <w:pPr>
        <w:spacing w:line="600" w:lineRule="exact"/>
        <w:ind w:firstLine="294" w:firstLineChars="140"/>
        <w:jc w:val="left"/>
        <w:rPr>
          <w:rFonts w:hint="eastAsia" w:ascii="宋体" w:hAnsi="宋体" w:eastAsia="宋体" w:cs="Times New Roman"/>
          <w:bCs/>
          <w:color w:val="auto"/>
          <w:szCs w:val="21"/>
          <w:highlight w:val="none"/>
        </w:rPr>
      </w:pPr>
      <w:bookmarkStart w:id="228" w:name="_Hlk94193902"/>
      <w:r>
        <w:rPr>
          <w:rFonts w:hint="eastAsia" w:ascii="宋体" w:hAnsi="宋体" w:eastAsia="宋体" w:cs="Times New Roman"/>
          <w:bCs/>
          <w:color w:val="auto"/>
          <w:szCs w:val="21"/>
          <w:highlight w:val="none"/>
        </w:rPr>
        <w:t>本公司郑重声明，根据</w:t>
      </w:r>
      <w:bookmarkStart w:id="229" w:name="_Hlk82091685"/>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"http://www.gov.cn/zhengce/zhengceku/2020-12/29/content_5574611.htm"</w:instrText>
      </w:r>
      <w:r>
        <w:rPr>
          <w:rFonts w:ascii="Times New Roman" w:hAnsi="Times New Roman" w:eastAsia="宋体" w:cs="Times New Roman"/>
          <w:color w:val="auto"/>
          <w:szCs w:val="24"/>
          <w:highlight w:val="none"/>
        </w:rPr>
        <w:fldChar w:fldCharType="separate"/>
      </w:r>
      <w:r>
        <w:rPr>
          <w:rFonts w:hint="eastAsia" w:ascii="宋体" w:hAnsi="宋体" w:eastAsia="宋体" w:cs="Times New Roman"/>
          <w:bCs/>
          <w:color w:val="auto"/>
          <w:szCs w:val="21"/>
          <w:highlight w:val="none"/>
          <w:u w:val="single"/>
        </w:rPr>
        <w:t>《政府采购促进中小企业发展管理办法》</w:t>
      </w:r>
      <w:bookmarkStart w:id="230" w:name="_Hlk60836554"/>
      <w:r>
        <w:rPr>
          <w:rFonts w:hint="eastAsia" w:ascii="宋体" w:hAnsi="宋体" w:eastAsia="宋体" w:cs="Times New Roman"/>
          <w:bCs/>
          <w:color w:val="auto"/>
          <w:szCs w:val="21"/>
          <w:highlight w:val="none"/>
          <w:u w:val="single"/>
        </w:rPr>
        <w:t>（财库﹝2020﹞46号）</w:t>
      </w:r>
      <w:bookmarkEnd w:id="229"/>
      <w:bookmarkEnd w:id="230"/>
      <w:r>
        <w:rPr>
          <w:rFonts w:ascii="Times New Roman" w:hAnsi="Times New Roman" w:eastAsia="宋体" w:cs="Times New Roman"/>
          <w:color w:val="auto"/>
          <w:szCs w:val="24"/>
          <w:highlight w:val="none"/>
        </w:rPr>
        <w:fldChar w:fldCharType="end"/>
      </w:r>
      <w:r>
        <w:rPr>
          <w:rFonts w:hint="eastAsia" w:ascii="宋体" w:hAnsi="宋体" w:eastAsia="宋体" w:cs="Times New Roman"/>
          <w:bCs/>
          <w:color w:val="auto"/>
          <w:szCs w:val="21"/>
          <w:highlight w:val="none"/>
        </w:rPr>
        <w:t>的规定，本公司参加</w:t>
      </w:r>
      <w:bookmarkStart w:id="231" w:name="_Hlk82091228"/>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w:t>
      </w:r>
      <w:bookmarkEnd w:id="231"/>
      <w:r>
        <w:rPr>
          <w:rFonts w:hint="eastAsia" w:ascii="宋体" w:hAnsi="宋体" w:eastAsia="宋体" w:cs="Times New Roman"/>
          <w:bCs/>
          <w:color w:val="auto"/>
          <w:szCs w:val="21"/>
          <w:highlight w:val="none"/>
        </w:rPr>
        <w:t>采购活动，服务全部由符合政策要求的中小企业承接。相关企业的具体情况如下：</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32"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32"/>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ascii="Times New Roman" w:hAnsi="宋体" w:eastAsia="宋体" w:cs="Times New Roman"/>
          <w:color w:val="auto"/>
          <w:szCs w:val="21"/>
          <w:highlight w:val="none"/>
          <w:u w:val="single"/>
        </w:rPr>
        <w:t xml:space="preserve">               </w:t>
      </w: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ascii="Times New Roman" w:hAnsi="宋体" w:eastAsia="宋体" w:cs="Times New Roman"/>
          <w:color w:val="auto"/>
          <w:szCs w:val="21"/>
          <w:highlight w:val="none"/>
          <w:u w:val="single"/>
        </w:rPr>
        <w:t xml:space="preserve">                         </w:t>
      </w:r>
    </w:p>
    <w:bookmarkEnd w:id="228"/>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ind w:left="420"/>
        <w:rPr>
          <w:rFonts w:hint="eastAsia" w:ascii="宋体" w:hAnsi="宋体" w:eastAsia="宋体" w:cs="Times New Roman"/>
          <w:color w:val="auto"/>
          <w:sz w:val="18"/>
          <w:szCs w:val="18"/>
          <w:highlight w:val="none"/>
        </w:rPr>
      </w:pPr>
      <w:bookmarkStart w:id="233" w:name="_Hlk82091879"/>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),从)</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),人)</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),员)</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),收)</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),资)</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),产)</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),总)</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),额)</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),填)</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),报)</w:instrText>
      </w:r>
      <w:r>
        <w:rPr>
          <w:rFonts w:hint="eastAsia" w:ascii="宋体" w:hAnsi="宋体" w:eastAsia="宋体" w:cs="Times New Roman"/>
          <w:color w:val="auto"/>
          <w:sz w:val="18"/>
          <w:szCs w:val="18"/>
          <w:highlight w:val="none"/>
        </w:rPr>
        <w:fldChar w:fldCharType="end"/>
      </w:r>
      <w:bookmarkEnd w:id="233"/>
      <w:r>
        <w:rPr>
          <w:rFonts w:hint="eastAsia" w:ascii="宋体" w:hAnsi="宋体" w:eastAsia="宋体" w:cs="Times New Roman"/>
          <w:color w:val="auto"/>
          <w:sz w:val="18"/>
          <w:szCs w:val="18"/>
          <w:highlight w:val="none"/>
        </w:rPr>
        <w:t>上一年度数据，无上一年度数据的新成立企业可不填报。</w:t>
      </w:r>
    </w:p>
    <w:p>
      <w:pPr>
        <w:rPr>
          <w:rFonts w:hint="eastAsia" w:ascii="宋体" w:hAnsi="宋体" w:eastAsia="宋体" w:cs="Times New Roman"/>
          <w:color w:val="auto"/>
          <w:sz w:val="18"/>
          <w:szCs w:val="18"/>
          <w:highlight w:val="none"/>
        </w:rPr>
      </w:pPr>
    </w:p>
    <w:p>
      <w:pPr>
        <w:pStyle w:val="13"/>
        <w:rPr>
          <w:rFonts w:hint="eastAsia"/>
          <w:color w:val="auto"/>
          <w:highlight w:val="none"/>
        </w:rPr>
      </w:pPr>
    </w:p>
    <w:tbl>
      <w:tblPr>
        <w:tblStyle w:val="48"/>
        <w:tblW w:w="9952" w:type="dxa"/>
        <w:tblInd w:w="150" w:type="dxa"/>
        <w:shd w:val="clear" w:color="auto" w:fill="FFFFFF"/>
        <w:tblLayout w:type="autofit"/>
        <w:tblCellMar>
          <w:top w:w="0" w:type="dxa"/>
          <w:left w:w="108" w:type="dxa"/>
          <w:bottom w:w="0" w:type="dxa"/>
          <w:right w:w="108" w:type="dxa"/>
        </w:tblCellMar>
      </w:tblPr>
      <w:tblGrid>
        <w:gridCol w:w="2127"/>
        <w:gridCol w:w="1413"/>
        <w:gridCol w:w="714"/>
        <w:gridCol w:w="1275"/>
        <w:gridCol w:w="1843"/>
        <w:gridCol w:w="1559"/>
        <w:gridCol w:w="1021"/>
      </w:tblGrid>
      <w:tr>
        <w:tblPrEx>
          <w:tblCellMar>
            <w:top w:w="0" w:type="dxa"/>
            <w:left w:w="108" w:type="dxa"/>
            <w:bottom w:w="0" w:type="dxa"/>
            <w:right w:w="108"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eastAsia="宋体" w:cs="Helvetica"/>
                <w:b/>
                <w:bCs/>
                <w:color w:val="auto"/>
                <w:kern w:val="0"/>
                <w:szCs w:val="21"/>
                <w:highlight w:val="none"/>
              </w:rPr>
            </w:pPr>
            <w:bookmarkStart w:id="234" w:name="_Hlk154045354"/>
            <w:r>
              <w:rPr>
                <w:rFonts w:hint="eastAsia" w:ascii="Helvetica" w:hAnsi="Helvetica" w:eastAsia="宋体" w:cs="Helvetica"/>
                <w:b/>
                <w:bCs/>
                <w:color w:val="auto"/>
                <w:kern w:val="0"/>
                <w:szCs w:val="21"/>
                <w:highlight w:val="none"/>
              </w:rPr>
              <w:t>大中小微型企业划分标准</w:t>
            </w:r>
          </w:p>
        </w:tc>
      </w:tr>
      <w:tr>
        <w:tblPrEx>
          <w:shd w:val="clear" w:color="auto" w:fill="FFFFFF"/>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计量</w:t>
            </w:r>
          </w:p>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微型</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工业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交通运输业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仓储业</w:t>
            </w:r>
            <w:r>
              <w:rPr>
                <w:rFonts w:ascii="Helvetica" w:hAnsi="Helvetica" w:eastAsia="宋体" w:cs="Helvetica"/>
                <w:color w:val="auto"/>
                <w:kern w:val="0"/>
                <w:sz w:val="18"/>
                <w:szCs w:val="18"/>
                <w:highlight w:val="none"/>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信息传输业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r>
      <w:tr>
        <w:tblPrEx>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其他未列明行业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bl>
    <w:p>
      <w:pPr>
        <w:widowControl/>
        <w:shd w:val="clear" w:color="auto" w:fill="FFFFFF"/>
        <w:spacing w:line="360" w:lineRule="exact"/>
        <w:jc w:val="left"/>
        <w:rPr>
          <w:rFonts w:ascii="Helvetica" w:hAnsi="Helvetica" w:eastAsia="宋体" w:cs="Helvetica"/>
          <w:color w:val="auto"/>
          <w:kern w:val="0"/>
          <w:szCs w:val="21"/>
          <w:highlight w:val="none"/>
        </w:rPr>
      </w:pPr>
      <w:r>
        <w:rPr>
          <w:rFonts w:hint="eastAsia" w:ascii="Helvetica" w:hAnsi="Helvetica" w:eastAsia="宋体" w:cs="Helvetica"/>
          <w:color w:val="auto"/>
          <w:kern w:val="0"/>
          <w:szCs w:val="21"/>
          <w:highlight w:val="none"/>
        </w:rPr>
        <w:t>说明：</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大型、中型和小型企业须同时满足所列指标的下限，否则下划一档；微型企业只须满足所列指标中的一项即可。</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附表中各行业的范围以《国民经济行业分类》（</w:t>
      </w:r>
      <w:r>
        <w:rPr>
          <w:rFonts w:ascii="Helvetica" w:hAnsi="Helvetica" w:eastAsia="宋体" w:cs="Helvetica"/>
          <w:color w:val="auto"/>
          <w:kern w:val="0"/>
          <w:szCs w:val="21"/>
          <w:highlight w:val="none"/>
        </w:rPr>
        <w:t>GB/T4754-2017</w:t>
      </w:r>
      <w:r>
        <w:rPr>
          <w:rFonts w:hint="eastAsia" w:ascii="Helvetica" w:hAnsi="Helvetica" w:eastAsia="宋体" w:cs="Helvetica"/>
          <w:color w:val="auto"/>
          <w:kern w:val="0"/>
          <w:szCs w:val="21"/>
          <w:highlight w:val="none"/>
        </w:rPr>
        <w:t>）为准。带</w:t>
      </w:r>
      <w:r>
        <w:rPr>
          <w:rFonts w:ascii="Helvetica" w:hAnsi="Helvetica" w:eastAsia="宋体" w:cs="Helvetica"/>
          <w:color w:val="auto"/>
          <w:kern w:val="0"/>
          <w:szCs w:val="21"/>
          <w:highlight w:val="none"/>
        </w:rPr>
        <w:t>*</w:t>
      </w:r>
      <w:r>
        <w:rPr>
          <w:rFonts w:hint="eastAsia" w:ascii="Helvetica" w:hAnsi="Helvetica" w:eastAsia="宋体" w:cs="Helvetica"/>
          <w:color w:val="auto"/>
          <w:kern w:val="0"/>
          <w:szCs w:val="21"/>
          <w:highlight w:val="none"/>
        </w:rPr>
        <w:t>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多式联运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装卸搬运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仓储业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包括通用仓储，低温仓储，危险品仓储，谷物、棉花等农产品仓储，中药材仓储和其他仓储业</w:t>
      </w:r>
      <w:r>
        <w:rPr>
          <w:rFonts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信息传输业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统计制度</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为准。（</w:t>
      </w: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）从业人员，是指期末从业人员数，没有期末从业人员数的，采用全年平均人员数代替。（</w:t>
      </w: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营业收入</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资产总额</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，采用资产总计代替。</w:t>
      </w:r>
    </w:p>
    <w:bookmarkEnd w:id="234"/>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hint="eastAsia" w:ascii="仿宋_GB2312" w:hAnsi="宋体" w:eastAsia="仿宋_GB2312" w:cs="Courier New"/>
          <w:b/>
          <w:color w:val="auto"/>
          <w:kern w:val="0"/>
          <w:sz w:val="32"/>
          <w:szCs w:val="32"/>
          <w:highlight w:val="none"/>
        </w:rPr>
      </w:pPr>
      <w:r>
        <w:rPr>
          <w:rFonts w:hint="eastAsia" w:ascii="仿宋_GB2312" w:hAnsi="宋体" w:eastAsia="仿宋_GB2312" w:cs="Courier New"/>
          <w:b/>
          <w:color w:val="auto"/>
          <w:kern w:val="0"/>
          <w:sz w:val="32"/>
          <w:szCs w:val="32"/>
          <w:highlight w:val="none"/>
        </w:rPr>
        <w:t>残疾人福利性单位声明函</w:t>
      </w:r>
      <w:r>
        <w:rPr>
          <w:rFonts w:hint="eastAsia" w:ascii="仿宋_GB2312" w:hAnsi="Times New Roman" w:eastAsia="仿宋_GB2312" w:cs="Times New Roman"/>
          <w:bCs/>
          <w:color w:val="auto"/>
          <w:sz w:val="24"/>
          <w:szCs w:val="24"/>
          <w:highlight w:val="none"/>
        </w:rPr>
        <w:t>（格式）</w:t>
      </w:r>
    </w:p>
    <w:p>
      <w:pPr>
        <w:spacing w:line="400" w:lineRule="exact"/>
        <w:rPr>
          <w:rFonts w:ascii="Times New Roman" w:hAnsi="Times New Roman" w:eastAsia="宋体" w:cs="Times New Roman"/>
          <w:color w:val="auto"/>
          <w:szCs w:val="24"/>
          <w:highlight w:val="none"/>
        </w:rPr>
      </w:pPr>
    </w:p>
    <w:p>
      <w:pPr>
        <w:spacing w:line="660" w:lineRule="exact"/>
        <w:ind w:firstLine="420" w:firstLineChars="200"/>
        <w:rPr>
          <w:rFonts w:hint="eastAsia" w:ascii="宋体" w:hAnsi="宋体" w:eastAsia="宋体" w:cs="Courier New"/>
          <w:color w:val="auto"/>
          <w:kern w:val="0"/>
          <w:szCs w:val="21"/>
          <w:highlight w:val="none"/>
        </w:rPr>
      </w:pPr>
      <w:bookmarkStart w:id="235" w:name="_Hlk94193952"/>
      <w:r>
        <w:rPr>
          <w:rFonts w:hint="eastAsia" w:ascii="宋体" w:hAnsi="宋体" w:eastAsia="宋体" w:cs="Courier New"/>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pPr>
        <w:spacing w:line="660" w:lineRule="exact"/>
        <w:ind w:firstLine="420" w:firstLineChars="2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本单位对上述声明的真实性负责。如有虚假，将依法承担相应责任。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单位名称（盖章）：</w:t>
      </w:r>
      <w:r>
        <w:rPr>
          <w:rFonts w:hint="eastAsia" w:ascii="宋体" w:hAnsi="宋体" w:eastAsia="宋体" w:cs="Courier New"/>
          <w:color w:val="auto"/>
          <w:szCs w:val="21"/>
          <w:highlight w:val="none"/>
          <w:u w:val="single"/>
        </w:rPr>
        <w:t xml:space="preserve">              </w:t>
      </w:r>
    </w:p>
    <w:p>
      <w:pPr>
        <w:spacing w:line="440" w:lineRule="exact"/>
        <w:ind w:firstLine="5250" w:firstLineChars="2500"/>
        <w:rPr>
          <w:rFonts w:hint="eastAsia" w:ascii="宋体" w:hAnsi="宋体" w:eastAsia="宋体" w:cs="Courier New"/>
          <w:color w:val="auto"/>
          <w:szCs w:val="21"/>
          <w:highlight w:val="none"/>
          <w:u w:val="single"/>
        </w:rPr>
      </w:pPr>
      <w:r>
        <w:rPr>
          <w:rFonts w:hint="eastAsia" w:ascii="宋体" w:hAnsi="宋体" w:eastAsia="宋体" w:cs="Courier New"/>
          <w:color w:val="auto"/>
          <w:kern w:val="0"/>
          <w:szCs w:val="21"/>
          <w:highlight w:val="none"/>
        </w:rPr>
        <w:t>日  期：</w:t>
      </w:r>
      <w:r>
        <w:rPr>
          <w:rFonts w:hint="eastAsia" w:ascii="宋体" w:hAnsi="宋体" w:eastAsia="宋体" w:cs="Courier New"/>
          <w:color w:val="auto"/>
          <w:szCs w:val="21"/>
          <w:highlight w:val="none"/>
          <w:u w:val="single"/>
        </w:rPr>
        <w:t xml:space="preserve">                        </w:t>
      </w:r>
    </w:p>
    <w:bookmarkEnd w:id="235"/>
    <w:p>
      <w:pPr>
        <w:spacing w:line="440" w:lineRule="exact"/>
        <w:ind w:firstLine="4000" w:firstLineChars="1905"/>
        <w:rPr>
          <w:rFonts w:hint="eastAsia" w:ascii="宋体" w:hAnsi="宋体"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260" w:lineRule="exact"/>
        <w:jc w:val="left"/>
        <w:rPr>
          <w:rFonts w:ascii="宋体" w:hAnsi="Courier New" w:eastAsia="宋体" w:cs="Courier New"/>
          <w:color w:val="auto"/>
          <w:sz w:val="18"/>
          <w:szCs w:val="18"/>
          <w:highlight w:val="none"/>
          <w:u w:val="single"/>
        </w:rPr>
      </w:pPr>
      <w:r>
        <w:rPr>
          <w:rFonts w:hint="eastAsia" w:ascii="宋体" w:hAnsi="Courier New" w:eastAsia="宋体" w:cs="Courier New"/>
          <w:color w:val="auto"/>
          <w:sz w:val="18"/>
          <w:szCs w:val="18"/>
          <w:highlight w:val="none"/>
          <w:u w:val="single"/>
        </w:rPr>
        <w:t xml:space="preserve">                        </w:t>
      </w:r>
    </w:p>
    <w:p>
      <w:pPr>
        <w:spacing w:line="260" w:lineRule="exact"/>
        <w:jc w:val="left"/>
        <w:rPr>
          <w:rFonts w:ascii="宋体" w:hAnsi="Courier New" w:eastAsia="宋体" w:cs="Courier New"/>
          <w:color w:val="auto"/>
          <w:sz w:val="18"/>
          <w:szCs w:val="18"/>
          <w:highlight w:val="none"/>
          <w:u w:val="single"/>
        </w:rPr>
      </w:pPr>
      <w:r>
        <w:rPr>
          <w:color w:val="auto"/>
          <w:highlight w:val="none"/>
        </w:rPr>
        <w:fldChar w:fldCharType="begin"/>
      </w:r>
      <w:r>
        <w:rPr>
          <w:color w:val="auto"/>
          <w:highlight w:val="none"/>
        </w:rPr>
        <w:instrText xml:space="preserve"> HYPERLINK "http://www.ccgp.gov.cn/zcfg/mof/201709/t20170904_8787205.htm" </w:instrText>
      </w:r>
      <w:r>
        <w:rPr>
          <w:color w:val="auto"/>
          <w:highlight w:val="none"/>
        </w:rPr>
        <w:fldChar w:fldCharType="separate"/>
      </w:r>
      <w:r>
        <w:rPr>
          <w:rFonts w:hint="eastAsia" w:ascii="宋体" w:hAnsi="Courier New" w:eastAsia="宋体" w:cs="Courier New"/>
          <w:color w:val="auto"/>
          <w:sz w:val="18"/>
          <w:szCs w:val="18"/>
          <w:highlight w:val="none"/>
          <w:u w:val="single"/>
        </w:rPr>
        <w:t>《财政部 民政部 中国残疾人联合会关于促进残疾人就业政府采购政策的通知》（财库〔2017〕141号）</w:t>
      </w:r>
      <w:r>
        <w:rPr>
          <w:rFonts w:hint="eastAsia" w:ascii="宋体" w:hAnsi="Courier New" w:eastAsia="宋体" w:cs="Courier New"/>
          <w:color w:val="auto"/>
          <w:sz w:val="18"/>
          <w:szCs w:val="18"/>
          <w:highlight w:val="none"/>
          <w:u w:val="single"/>
        </w:rPr>
        <w:fldChar w:fldCharType="end"/>
      </w:r>
    </w:p>
    <w:p>
      <w:pPr>
        <w:snapToGrid w:val="0"/>
        <w:spacing w:before="50" w:after="50" w:line="360" w:lineRule="exact"/>
        <w:ind w:right="-817" w:rightChars="-389"/>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bCs/>
          <w:color w:val="auto"/>
          <w:sz w:val="32"/>
          <w:szCs w:val="32"/>
          <w:highlight w:val="none"/>
        </w:rPr>
        <w:t>三、报价文件</w:t>
      </w:r>
    </w:p>
    <w:p>
      <w:pPr>
        <w:spacing w:line="400" w:lineRule="exact"/>
        <w:rPr>
          <w:rFonts w:ascii="Times New Roman" w:hAnsi="Times New Roman" w:eastAsia="宋体" w:cs="Times New Roman"/>
          <w:color w:val="auto"/>
          <w:szCs w:val="24"/>
          <w:highlight w:val="none"/>
        </w:rPr>
      </w:pPr>
    </w:p>
    <w:p>
      <w:pPr>
        <w:snapToGrid w:val="0"/>
        <w:spacing w:before="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32"/>
          <w:szCs w:val="32"/>
          <w:highlight w:val="none"/>
        </w:rPr>
        <w:t>开标一览表</w:t>
      </w:r>
      <w:bookmarkStart w:id="236" w:name="_Hlk111729075"/>
      <w:r>
        <w:rPr>
          <w:rFonts w:hint="eastAsia" w:ascii="仿宋_GB2312" w:hAnsi="Times New Roman" w:eastAsia="仿宋_GB2312" w:cs="Times New Roman"/>
          <w:bCs/>
          <w:color w:val="auto"/>
          <w:sz w:val="24"/>
          <w:szCs w:val="24"/>
          <w:highlight w:val="none"/>
        </w:rPr>
        <w:t>（格式）</w:t>
      </w:r>
      <w:bookmarkEnd w:id="236"/>
    </w:p>
    <w:p>
      <w:pPr>
        <w:snapToGrid w:val="0"/>
        <w:spacing w:before="50" w:after="50" w:line="400" w:lineRule="exact"/>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rPr>
        <w:t xml:space="preserve">                          </w:t>
      </w:r>
    </w:p>
    <w:p>
      <w:pPr>
        <w:snapToGrid w:val="0"/>
        <w:spacing w:before="50" w:after="50"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项目编号：</w:t>
      </w:r>
      <w:r>
        <w:rPr>
          <w:rFonts w:hint="eastAsia" w:ascii="宋体" w:hAnsi="宋体" w:eastAsia="宋体" w:cs="Times New Roman"/>
          <w:color w:val="auto"/>
          <w:szCs w:val="21"/>
          <w:highlight w:val="none"/>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1.所有价格均用人民币表示，单位为元，精确到个数位。</w:t>
      </w:r>
    </w:p>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2.报价一经涂改，应在涂改处加盖公章或者由法定代表人或授权委托人签名或盖章，否则视为无效投标文件。</w:t>
      </w:r>
    </w:p>
    <w:p>
      <w:pPr>
        <w:snapToGrid w:val="0"/>
        <w:spacing w:before="50" w:after="50" w:line="400" w:lineRule="exact"/>
        <w:ind w:firstLine="420" w:firstLineChars="200"/>
        <w:rPr>
          <w:rFonts w:hint="eastAsia" w:ascii="宋体" w:hAnsi="宋体" w:eastAsia="宋体" w:cs="Times New Roman"/>
          <w:color w:val="auto"/>
          <w:szCs w:val="21"/>
          <w:highlight w:val="none"/>
        </w:rPr>
      </w:pPr>
      <w:bookmarkStart w:id="237" w:name="_Hlk90908484"/>
      <w:r>
        <w:rPr>
          <w:rFonts w:hint="eastAsia" w:ascii="宋体" w:hAnsi="宋体" w:eastAsia="宋体" w:cs="Times New Roman"/>
          <w:color w:val="auto"/>
          <w:szCs w:val="21"/>
          <w:highlight w:val="none"/>
        </w:rPr>
        <w:t>3.总报价为采购人指定地点的现场交货价，必须包括货物、货物标准附件、备品备件、专用工具、设备安装辅材、包装、运输、保险、安装、调试、税金、售后服务、技术培训费等所有成本费用。</w:t>
      </w:r>
    </w:p>
    <w:bookmarkEnd w:id="237"/>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left="-2" w:leftChars="-1"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法定代表人或授权代表（签名）：</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ind w:firstLine="0" w:firstLineChars="0"/>
        <w:jc w:val="center"/>
        <w:rPr>
          <w:rFonts w:hint="eastAsia" w:ascii="仿宋_GB2312" w:eastAsia="仿宋_GB2312"/>
          <w:b/>
          <w:bCs/>
          <w:color w:val="auto"/>
          <w:sz w:val="28"/>
          <w:szCs w:val="28"/>
          <w:highlight w:val="none"/>
        </w:rPr>
      </w:pPr>
      <w:r>
        <w:rPr>
          <w:rFonts w:hint="eastAsia" w:ascii="仿宋_GB2312" w:hAnsi="宋体" w:eastAsia="仿宋_GB2312" w:cs="Times New Roman"/>
          <w:b/>
          <w:color w:val="auto"/>
          <w:sz w:val="32"/>
          <w:szCs w:val="32"/>
          <w:highlight w:val="none"/>
        </w:rPr>
        <w:t>报价明细表</w:t>
      </w:r>
      <w:r>
        <w:rPr>
          <w:rFonts w:hint="eastAsia" w:ascii="仿宋_GB2312" w:eastAsia="仿宋_GB2312"/>
          <w:bCs/>
          <w:color w:val="auto"/>
          <w:sz w:val="24"/>
          <w:highlight w:val="none"/>
        </w:rPr>
        <w:t>（格式）</w:t>
      </w:r>
    </w:p>
    <w:p>
      <w:pPr>
        <w:ind w:firstLine="199" w:firstLineChars="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pPr>
        <w:ind w:firstLine="210" w:firstLineChars="1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tbl>
      <w:tblPr>
        <w:tblStyle w:val="4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99"/>
        <w:gridCol w:w="368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9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服务内容</w:t>
            </w:r>
          </w:p>
        </w:tc>
        <w:tc>
          <w:tcPr>
            <w:tcW w:w="3685"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报价</w:t>
            </w:r>
          </w:p>
        </w:tc>
        <w:tc>
          <w:tcPr>
            <w:tcW w:w="1002"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899" w:type="dxa"/>
            <w:noWrap w:val="0"/>
            <w:vAlign w:val="center"/>
          </w:tcPr>
          <w:p>
            <w:pPr>
              <w:widowControl/>
              <w:spacing w:line="240" w:lineRule="auto"/>
              <w:ind w:firstLine="0" w:firstLineChars="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钦州市行政信息中心物业服务</w:t>
            </w:r>
          </w:p>
        </w:tc>
        <w:tc>
          <w:tcPr>
            <w:tcW w:w="3685" w:type="dxa"/>
            <w:noWrap w:val="0"/>
            <w:vAlign w:val="center"/>
          </w:tcPr>
          <w:p>
            <w:pPr>
              <w:widowControl/>
              <w:spacing w:line="500" w:lineRule="exact"/>
              <w:ind w:firstLine="0" w:firstLineChars="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元整</w:t>
            </w:r>
          </w:p>
          <w:p>
            <w:pPr>
              <w:widowControl/>
              <w:spacing w:line="500" w:lineRule="exact"/>
              <w:ind w:firstLine="210" w:firstLineChars="1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小写：</w:t>
            </w:r>
            <w:r>
              <w:rPr>
                <w:rFonts w:hint="eastAsia" w:ascii="宋体" w:hAnsi="宋体" w:eastAsia="宋体" w:cs="宋体"/>
                <w:color w:val="auto"/>
                <w:kern w:val="0"/>
                <w:sz w:val="21"/>
                <w:szCs w:val="21"/>
                <w:highlight w:val="none"/>
                <w:u w:val="single"/>
              </w:rPr>
              <w:t xml:space="preserve">￥                     </w:t>
            </w:r>
          </w:p>
        </w:tc>
        <w:tc>
          <w:tcPr>
            <w:tcW w:w="1002"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p>
        </w:tc>
      </w:tr>
    </w:tbl>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注：1.所有价格均用人民币表示，单位为元，精确到个数位。</w:t>
      </w:r>
    </w:p>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投标报价应包括为完成本项目中所有服务内容所需要的所有费用，包含人工成本、社会保险、医疗保险（含计划生育）、劳动用工、工伤费、配置费用、员工餐费补贴、项目管理费、节假日加班费及职责范围内的临时加班费用、值班费、税金等所有费用的总和。</w:t>
      </w:r>
    </w:p>
    <w:p>
      <w:pPr>
        <w:spacing w:before="50" w:after="50" w:line="36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snapToGrid w:val="0"/>
        <w:spacing w:before="50" w:after="50" w:line="350" w:lineRule="exact"/>
        <w:ind w:left="-2" w:leftChars="-1" w:right="-817" w:rightChars="-389"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投标人（盖章）：</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color w:val="auto"/>
          <w:highlight w:val="none"/>
        </w:rPr>
      </w:pPr>
    </w:p>
    <w:sectPr>
      <w:pgSz w:w="11906" w:h="16838"/>
      <w:pgMar w:top="1440" w:right="1133"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ind w:firstLine="360"/>
                            <w:jc w:val="center"/>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2"/>
                      <w:ind w:firstLine="36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540" w:firstLineChars="300"/>
      <w:jc w:val="both"/>
      <w:rPr>
        <w:rFonts w:hint="eastAsia" w:eastAsia="宋体"/>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36923"/>
    <w:multiLevelType w:val="singleLevel"/>
    <w:tmpl w:val="82636923"/>
    <w:lvl w:ilvl="0" w:tentative="0">
      <w:start w:val="1"/>
      <w:numFmt w:val="decimal"/>
      <w:suff w:val="nothing"/>
      <w:lvlText w:val="（%1）"/>
      <w:lvlJc w:val="left"/>
    </w:lvl>
  </w:abstractNum>
  <w:abstractNum w:abstractNumId="1">
    <w:nsid w:val="E6F0C967"/>
    <w:multiLevelType w:val="singleLevel"/>
    <w:tmpl w:val="E6F0C967"/>
    <w:lvl w:ilvl="0" w:tentative="0">
      <w:start w:val="1"/>
      <w:numFmt w:val="decimal"/>
      <w:suff w:val="nothing"/>
      <w:lvlText w:val="（%1）"/>
      <w:lvlJc w:val="left"/>
    </w:lvl>
  </w:abstractNum>
  <w:abstractNum w:abstractNumId="2">
    <w:nsid w:val="11F8B161"/>
    <w:multiLevelType w:val="singleLevel"/>
    <w:tmpl w:val="11F8B161"/>
    <w:lvl w:ilvl="0" w:tentative="0">
      <w:start w:val="2"/>
      <w:numFmt w:val="decimal"/>
      <w:lvlText w:val="%1."/>
      <w:lvlJc w:val="left"/>
      <w:pPr>
        <w:tabs>
          <w:tab w:val="left" w:pos="312"/>
        </w:tabs>
      </w:pPr>
    </w:lvl>
  </w:abstractNum>
  <w:abstractNum w:abstractNumId="3">
    <w:nsid w:val="74549037"/>
    <w:multiLevelType w:val="singleLevel"/>
    <w:tmpl w:val="74549037"/>
    <w:lvl w:ilvl="0" w:tentative="0">
      <w:start w:val="1"/>
      <w:numFmt w:val="decimal"/>
      <w:suff w:val="nothing"/>
      <w:lvlText w:val="（%1）"/>
      <w:lvlJc w:val="left"/>
    </w:lvl>
  </w:abstractNum>
  <w:abstractNum w:abstractNumId="4">
    <w:nsid w:val="772CAA6A"/>
    <w:multiLevelType w:val="singleLevel"/>
    <w:tmpl w:val="772CAA6A"/>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E0Zjc2ZDA5NmE1NTQ4Yzk4Zjk0N2Y4YTlhMjQifQ=="/>
    <w:docVar w:name="KSO_WPS_MARK_KEY" w:val="159f8505-7ef9-4b37-9335-f4f6ca369815"/>
  </w:docVars>
  <w:rsids>
    <w:rsidRoot w:val="00327D23"/>
    <w:rsid w:val="00042319"/>
    <w:rsid w:val="00043008"/>
    <w:rsid w:val="000A5A01"/>
    <w:rsid w:val="001A1DCB"/>
    <w:rsid w:val="001B230D"/>
    <w:rsid w:val="001F32E9"/>
    <w:rsid w:val="00285425"/>
    <w:rsid w:val="002A3A17"/>
    <w:rsid w:val="002F1A81"/>
    <w:rsid w:val="00327D23"/>
    <w:rsid w:val="003F0CE1"/>
    <w:rsid w:val="00583C78"/>
    <w:rsid w:val="005B08E4"/>
    <w:rsid w:val="005F184D"/>
    <w:rsid w:val="00600D16"/>
    <w:rsid w:val="006358C6"/>
    <w:rsid w:val="00663C0D"/>
    <w:rsid w:val="0066646B"/>
    <w:rsid w:val="006A4E63"/>
    <w:rsid w:val="006C7AA4"/>
    <w:rsid w:val="00730047"/>
    <w:rsid w:val="0076169E"/>
    <w:rsid w:val="00785D99"/>
    <w:rsid w:val="007A4EBA"/>
    <w:rsid w:val="00835CAA"/>
    <w:rsid w:val="00AB1141"/>
    <w:rsid w:val="00B74AD7"/>
    <w:rsid w:val="00BC198A"/>
    <w:rsid w:val="00BD3939"/>
    <w:rsid w:val="00BF3D27"/>
    <w:rsid w:val="00C576B0"/>
    <w:rsid w:val="00DB1056"/>
    <w:rsid w:val="00DC4E29"/>
    <w:rsid w:val="00DE56AD"/>
    <w:rsid w:val="00EB3B48"/>
    <w:rsid w:val="00F83060"/>
    <w:rsid w:val="00FE4A1A"/>
    <w:rsid w:val="02767FA3"/>
    <w:rsid w:val="0306395E"/>
    <w:rsid w:val="034557C5"/>
    <w:rsid w:val="03AA7B3D"/>
    <w:rsid w:val="046312D6"/>
    <w:rsid w:val="052A3580"/>
    <w:rsid w:val="052E05FF"/>
    <w:rsid w:val="088F64F1"/>
    <w:rsid w:val="08A03E0D"/>
    <w:rsid w:val="08C81EB3"/>
    <w:rsid w:val="09AF7DD2"/>
    <w:rsid w:val="0A70523B"/>
    <w:rsid w:val="0B110634"/>
    <w:rsid w:val="0D2158F8"/>
    <w:rsid w:val="0FD331F5"/>
    <w:rsid w:val="10E3306C"/>
    <w:rsid w:val="142F3D71"/>
    <w:rsid w:val="143233C7"/>
    <w:rsid w:val="14775224"/>
    <w:rsid w:val="157335A6"/>
    <w:rsid w:val="16835763"/>
    <w:rsid w:val="177F0596"/>
    <w:rsid w:val="178E3C3D"/>
    <w:rsid w:val="184C22DB"/>
    <w:rsid w:val="19517DCA"/>
    <w:rsid w:val="1B3230A7"/>
    <w:rsid w:val="1C061058"/>
    <w:rsid w:val="1DCB1088"/>
    <w:rsid w:val="1EA012FE"/>
    <w:rsid w:val="1F160AC9"/>
    <w:rsid w:val="1FF66AC3"/>
    <w:rsid w:val="2087430E"/>
    <w:rsid w:val="220E16ED"/>
    <w:rsid w:val="22AF61C7"/>
    <w:rsid w:val="24E042FC"/>
    <w:rsid w:val="25202C3C"/>
    <w:rsid w:val="25423A48"/>
    <w:rsid w:val="259D6643"/>
    <w:rsid w:val="26E6133C"/>
    <w:rsid w:val="28035E97"/>
    <w:rsid w:val="28597DF9"/>
    <w:rsid w:val="2CF44A46"/>
    <w:rsid w:val="2D3A1E47"/>
    <w:rsid w:val="2DE84A70"/>
    <w:rsid w:val="2E0E6146"/>
    <w:rsid w:val="2EAD0881"/>
    <w:rsid w:val="2F571B10"/>
    <w:rsid w:val="31C904E7"/>
    <w:rsid w:val="31F94B51"/>
    <w:rsid w:val="32121456"/>
    <w:rsid w:val="329A5BCC"/>
    <w:rsid w:val="32AC48B9"/>
    <w:rsid w:val="32CC40BA"/>
    <w:rsid w:val="333D7BA8"/>
    <w:rsid w:val="357F7587"/>
    <w:rsid w:val="35CA7933"/>
    <w:rsid w:val="35CE0847"/>
    <w:rsid w:val="369239C5"/>
    <w:rsid w:val="3730529D"/>
    <w:rsid w:val="37FE3B6D"/>
    <w:rsid w:val="3A8305DA"/>
    <w:rsid w:val="3B195636"/>
    <w:rsid w:val="3BA31357"/>
    <w:rsid w:val="3BDB64B6"/>
    <w:rsid w:val="3C02547C"/>
    <w:rsid w:val="3C194E4C"/>
    <w:rsid w:val="3CC13764"/>
    <w:rsid w:val="3DC62D32"/>
    <w:rsid w:val="3DE81F96"/>
    <w:rsid w:val="3EBF66A6"/>
    <w:rsid w:val="3F66433D"/>
    <w:rsid w:val="423F33A8"/>
    <w:rsid w:val="43A02C12"/>
    <w:rsid w:val="440819E6"/>
    <w:rsid w:val="441B65CB"/>
    <w:rsid w:val="479E6A0A"/>
    <w:rsid w:val="48C56192"/>
    <w:rsid w:val="4958510A"/>
    <w:rsid w:val="4A314D53"/>
    <w:rsid w:val="4AF0688F"/>
    <w:rsid w:val="4E091525"/>
    <w:rsid w:val="4E30443F"/>
    <w:rsid w:val="4E931F51"/>
    <w:rsid w:val="4F425216"/>
    <w:rsid w:val="4FE61C32"/>
    <w:rsid w:val="4FEC1AD6"/>
    <w:rsid w:val="501E7035"/>
    <w:rsid w:val="50D24DF9"/>
    <w:rsid w:val="511D74F8"/>
    <w:rsid w:val="511E40A3"/>
    <w:rsid w:val="521E0493"/>
    <w:rsid w:val="5293023E"/>
    <w:rsid w:val="52AB1812"/>
    <w:rsid w:val="53CE4770"/>
    <w:rsid w:val="546D0E3F"/>
    <w:rsid w:val="54A003F8"/>
    <w:rsid w:val="55DB1F32"/>
    <w:rsid w:val="56293EE0"/>
    <w:rsid w:val="56B26E83"/>
    <w:rsid w:val="57C77AC1"/>
    <w:rsid w:val="58A40196"/>
    <w:rsid w:val="594025E3"/>
    <w:rsid w:val="59B40514"/>
    <w:rsid w:val="5E92595C"/>
    <w:rsid w:val="5F63775C"/>
    <w:rsid w:val="60325531"/>
    <w:rsid w:val="60792583"/>
    <w:rsid w:val="60A531A2"/>
    <w:rsid w:val="61396DD0"/>
    <w:rsid w:val="62AD05DD"/>
    <w:rsid w:val="62CE7985"/>
    <w:rsid w:val="66073FA6"/>
    <w:rsid w:val="68101630"/>
    <w:rsid w:val="691C4F7F"/>
    <w:rsid w:val="69DF1158"/>
    <w:rsid w:val="6A2720C1"/>
    <w:rsid w:val="6B2A44E1"/>
    <w:rsid w:val="6C2E088C"/>
    <w:rsid w:val="6E633704"/>
    <w:rsid w:val="6F7F1EFD"/>
    <w:rsid w:val="6FB4645D"/>
    <w:rsid w:val="6FF238A3"/>
    <w:rsid w:val="71776B44"/>
    <w:rsid w:val="72426149"/>
    <w:rsid w:val="72BB1F0C"/>
    <w:rsid w:val="72DC6E9B"/>
    <w:rsid w:val="75143621"/>
    <w:rsid w:val="759F50DE"/>
    <w:rsid w:val="75C352DD"/>
    <w:rsid w:val="768B1F49"/>
    <w:rsid w:val="78054B5D"/>
    <w:rsid w:val="79B87874"/>
    <w:rsid w:val="7A0A69A5"/>
    <w:rsid w:val="7BEF06D9"/>
    <w:rsid w:val="7D04737A"/>
    <w:rsid w:val="7DF35615"/>
    <w:rsid w:val="7EFF4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qFormat="1" w:uiPriority="0" w:name="endnote reference"/>
    <w:lsdException w:qFormat="1" w:uiPriority="99" w:name="endnote text"/>
    <w:lsdException w:qFormat="1" w:uiPriority="0"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9"/>
    <w:pPr>
      <w:keepNext/>
      <w:keepLines/>
      <w:spacing w:before="340" w:after="330" w:line="576" w:lineRule="auto"/>
      <w:ind w:firstLine="200" w:firstLineChars="200"/>
      <w:jc w:val="center"/>
      <w:outlineLvl w:val="0"/>
    </w:pPr>
    <w:rPr>
      <w:rFonts w:ascii="Times New Roman" w:hAnsi="Times New Roman" w:eastAsia="仿宋_GB2312" w:cs="Times New Roman"/>
      <w:b/>
      <w:bCs/>
      <w:kern w:val="44"/>
      <w:sz w:val="44"/>
      <w:szCs w:val="44"/>
    </w:rPr>
  </w:style>
  <w:style w:type="paragraph" w:styleId="2">
    <w:name w:val="heading 2"/>
    <w:basedOn w:val="1"/>
    <w:next w:val="1"/>
    <w:link w:val="63"/>
    <w:semiHidden/>
    <w:unhideWhenUsed/>
    <w:qFormat/>
    <w:uiPriority w:val="0"/>
    <w:pPr>
      <w:keepNext/>
      <w:keepLines/>
      <w:spacing w:before="260" w:after="260" w:line="415" w:lineRule="auto"/>
      <w:ind w:firstLine="200" w:firstLineChars="200"/>
      <w:outlineLvl w:val="1"/>
    </w:pPr>
    <w:rPr>
      <w:rFonts w:ascii="Arial" w:hAnsi="Arial" w:eastAsia="黑体" w:cs="Times New Roman"/>
      <w:b/>
      <w:bCs/>
      <w:sz w:val="32"/>
      <w:szCs w:val="32"/>
    </w:rPr>
  </w:style>
  <w:style w:type="paragraph" w:styleId="4">
    <w:name w:val="heading 3"/>
    <w:basedOn w:val="1"/>
    <w:next w:val="1"/>
    <w:link w:val="64"/>
    <w:semiHidden/>
    <w:unhideWhenUsed/>
    <w:qFormat/>
    <w:uiPriority w:val="0"/>
    <w:pPr>
      <w:keepNext/>
      <w:keepLines/>
      <w:spacing w:before="260" w:after="260" w:line="415" w:lineRule="auto"/>
      <w:ind w:firstLine="200" w:firstLineChars="200"/>
      <w:outlineLvl w:val="2"/>
    </w:pPr>
    <w:rPr>
      <w:rFonts w:ascii="宋体" w:hAnsi="Courier New" w:eastAsia="宋体" w:cs="宋体"/>
      <w:b/>
      <w:bCs/>
      <w:sz w:val="32"/>
      <w:szCs w:val="32"/>
    </w:rPr>
  </w:style>
  <w:style w:type="paragraph" w:styleId="5">
    <w:name w:val="heading 4"/>
    <w:basedOn w:val="1"/>
    <w:next w:val="1"/>
    <w:link w:val="65"/>
    <w:semiHidden/>
    <w:unhideWhenUsed/>
    <w:qFormat/>
    <w:uiPriority w:val="0"/>
    <w:pPr>
      <w:keepNext/>
      <w:keepLines/>
      <w:spacing w:before="280" w:after="290" w:line="374" w:lineRule="auto"/>
      <w:ind w:firstLine="200" w:firstLineChars="200"/>
      <w:outlineLvl w:val="3"/>
    </w:pPr>
    <w:rPr>
      <w:rFonts w:ascii="Arial" w:hAnsi="Arial" w:eastAsia="黑体" w:cs="Times New Roman"/>
      <w:b/>
      <w:bCs/>
      <w:sz w:val="28"/>
      <w:szCs w:val="28"/>
    </w:rPr>
  </w:style>
  <w:style w:type="paragraph" w:styleId="6">
    <w:name w:val="heading 5"/>
    <w:basedOn w:val="1"/>
    <w:next w:val="7"/>
    <w:link w:val="66"/>
    <w:semiHidden/>
    <w:unhideWhenUsed/>
    <w:qFormat/>
    <w:uiPriority w:val="0"/>
    <w:pPr>
      <w:keepNext/>
      <w:keepLines/>
      <w:spacing w:before="280" w:after="290" w:line="374" w:lineRule="auto"/>
      <w:ind w:firstLine="200" w:firstLineChars="200"/>
      <w:outlineLvl w:val="4"/>
    </w:pPr>
    <w:rPr>
      <w:rFonts w:ascii="Times New Roman" w:hAnsi="Times New Roman" w:eastAsia="宋体" w:cs="Times New Roman"/>
      <w:b/>
      <w:sz w:val="28"/>
      <w:szCs w:val="24"/>
    </w:rPr>
  </w:style>
  <w:style w:type="paragraph" w:styleId="8">
    <w:name w:val="heading 6"/>
    <w:basedOn w:val="1"/>
    <w:next w:val="7"/>
    <w:link w:val="67"/>
    <w:semiHidden/>
    <w:unhideWhenUsed/>
    <w:qFormat/>
    <w:uiPriority w:val="0"/>
    <w:pPr>
      <w:keepNext/>
      <w:keepLines/>
      <w:spacing w:before="240" w:after="64" w:line="319" w:lineRule="auto"/>
      <w:ind w:firstLine="200" w:firstLineChars="200"/>
      <w:outlineLvl w:val="5"/>
    </w:pPr>
    <w:rPr>
      <w:rFonts w:ascii="Arial" w:hAnsi="Arial" w:eastAsia="黑体" w:cs="Times New Roman"/>
      <w:b/>
      <w:sz w:val="24"/>
      <w:szCs w:val="24"/>
    </w:rPr>
  </w:style>
  <w:style w:type="paragraph" w:styleId="9">
    <w:name w:val="heading 7"/>
    <w:basedOn w:val="1"/>
    <w:next w:val="7"/>
    <w:link w:val="68"/>
    <w:semiHidden/>
    <w:unhideWhenUsed/>
    <w:qFormat/>
    <w:uiPriority w:val="99"/>
    <w:pPr>
      <w:keepNext/>
      <w:keepLines/>
      <w:spacing w:before="240" w:after="64" w:line="319" w:lineRule="auto"/>
      <w:ind w:firstLine="200" w:firstLineChars="200"/>
      <w:outlineLvl w:val="6"/>
    </w:pPr>
    <w:rPr>
      <w:rFonts w:ascii="Times New Roman" w:hAnsi="Times New Roman" w:eastAsia="宋体" w:cs="Times New Roman"/>
      <w:b/>
      <w:sz w:val="24"/>
      <w:szCs w:val="24"/>
    </w:rPr>
  </w:style>
  <w:style w:type="paragraph" w:styleId="10">
    <w:name w:val="heading 8"/>
    <w:basedOn w:val="1"/>
    <w:next w:val="7"/>
    <w:link w:val="69"/>
    <w:semiHidden/>
    <w:unhideWhenUsed/>
    <w:qFormat/>
    <w:uiPriority w:val="99"/>
    <w:pPr>
      <w:keepNext/>
      <w:keepLines/>
      <w:spacing w:before="240" w:after="64" w:line="319" w:lineRule="auto"/>
      <w:ind w:firstLine="200" w:firstLineChars="200"/>
      <w:outlineLvl w:val="7"/>
    </w:pPr>
    <w:rPr>
      <w:rFonts w:ascii="Arial" w:hAnsi="Arial" w:eastAsia="黑体" w:cs="Times New Roman"/>
      <w:sz w:val="24"/>
      <w:szCs w:val="24"/>
    </w:rPr>
  </w:style>
  <w:style w:type="paragraph" w:styleId="11">
    <w:name w:val="heading 9"/>
    <w:basedOn w:val="1"/>
    <w:next w:val="7"/>
    <w:link w:val="70"/>
    <w:semiHidden/>
    <w:unhideWhenUsed/>
    <w:qFormat/>
    <w:uiPriority w:val="99"/>
    <w:pPr>
      <w:keepNext/>
      <w:keepLines/>
      <w:spacing w:before="240" w:after="64" w:line="319" w:lineRule="auto"/>
      <w:ind w:firstLine="200" w:firstLineChars="200"/>
      <w:outlineLvl w:val="8"/>
    </w:pPr>
    <w:rPr>
      <w:rFonts w:ascii="Arial" w:hAnsi="Arial" w:eastAsia="黑体" w:cs="Times New Roman"/>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5"/>
    <w:semiHidden/>
    <w:unhideWhenUsed/>
    <w:qFormat/>
    <w:uiPriority w:val="99"/>
    <w:pPr>
      <w:spacing w:line="400" w:lineRule="exact"/>
      <w:ind w:firstLine="420" w:firstLineChars="200"/>
    </w:pPr>
    <w:rPr>
      <w:rFonts w:ascii="Times New Roman" w:hAnsi="Times New Roman" w:eastAsia="宋体" w:cs="Times New Roman"/>
      <w:szCs w:val="20"/>
    </w:rPr>
  </w:style>
  <w:style w:type="paragraph" w:styleId="12">
    <w:name w:val="toc 7"/>
    <w:basedOn w:val="1"/>
    <w:next w:val="1"/>
    <w:semiHidden/>
    <w:unhideWhenUsed/>
    <w:qFormat/>
    <w:uiPriority w:val="99"/>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9"/>
    <w:semiHidden/>
    <w:unhideWhenUsed/>
    <w:qFormat/>
    <w:uiPriority w:val="0"/>
    <w:pPr>
      <w:ind w:left="420" w:leftChars="200"/>
    </w:pPr>
    <w:rPr>
      <w:szCs w:val="24"/>
    </w:rPr>
  </w:style>
  <w:style w:type="paragraph" w:styleId="14">
    <w:name w:val="List Number"/>
    <w:basedOn w:val="1"/>
    <w:semiHidden/>
    <w:unhideWhenUsed/>
    <w:qFormat/>
    <w:uiPriority w:val="99"/>
    <w:pPr>
      <w:widowControl/>
      <w:tabs>
        <w:tab w:val="left" w:pos="454"/>
        <w:tab w:val="left" w:pos="720"/>
        <w:tab w:val="left" w:pos="840"/>
      </w:tabs>
      <w:spacing w:afterLines="50" w:line="400" w:lineRule="exact"/>
      <w:ind w:left="454" w:hanging="284" w:firstLineChars="200"/>
      <w:jc w:val="left"/>
    </w:pPr>
    <w:rPr>
      <w:rFonts w:ascii="Times New Roman" w:hAnsi="Times New Roman" w:eastAsia="宋体" w:cs="Times New Roman"/>
      <w:kern w:val="0"/>
      <w:sz w:val="24"/>
      <w:szCs w:val="20"/>
    </w:rPr>
  </w:style>
  <w:style w:type="paragraph" w:styleId="15">
    <w:name w:val="caption"/>
    <w:basedOn w:val="1"/>
    <w:next w:val="1"/>
    <w:semiHidden/>
    <w:unhideWhenUsed/>
    <w:qFormat/>
    <w:uiPriority w:val="99"/>
    <w:pPr>
      <w:spacing w:before="152" w:after="160" w:line="400" w:lineRule="exact"/>
      <w:ind w:firstLine="200" w:firstLineChars="200"/>
    </w:pPr>
    <w:rPr>
      <w:rFonts w:ascii="Arial" w:hAnsi="Arial" w:eastAsia="黑体" w:cs="Arial"/>
      <w:sz w:val="20"/>
      <w:szCs w:val="20"/>
    </w:rPr>
  </w:style>
  <w:style w:type="paragraph" w:styleId="16">
    <w:name w:val="Document Map"/>
    <w:basedOn w:val="1"/>
    <w:link w:val="90"/>
    <w:semiHidden/>
    <w:unhideWhenUsed/>
    <w:qFormat/>
    <w:uiPriority w:val="99"/>
    <w:pPr>
      <w:shd w:val="clear" w:color="auto" w:fill="000080"/>
      <w:spacing w:line="400" w:lineRule="exact"/>
      <w:ind w:firstLine="200" w:firstLineChars="200"/>
    </w:pPr>
    <w:rPr>
      <w:rFonts w:ascii="Times New Roman" w:hAnsi="Times New Roman" w:eastAsia="宋体" w:cs="Times New Roman"/>
      <w:szCs w:val="24"/>
    </w:rPr>
  </w:style>
  <w:style w:type="paragraph" w:styleId="17">
    <w:name w:val="annotation text"/>
    <w:basedOn w:val="1"/>
    <w:link w:val="77"/>
    <w:semiHidden/>
    <w:unhideWhenUsed/>
    <w:qFormat/>
    <w:uiPriority w:val="99"/>
    <w:pPr>
      <w:spacing w:line="400" w:lineRule="exact"/>
      <w:ind w:firstLine="200" w:firstLineChars="200"/>
      <w:jc w:val="left"/>
    </w:pPr>
    <w:rPr>
      <w:rFonts w:ascii="Times New Roman" w:hAnsi="Times New Roman" w:eastAsia="宋体" w:cs="Times New Roman"/>
      <w:szCs w:val="24"/>
    </w:rPr>
  </w:style>
  <w:style w:type="paragraph" w:styleId="18">
    <w:name w:val="Body Text 3"/>
    <w:basedOn w:val="1"/>
    <w:link w:val="87"/>
    <w:semiHidden/>
    <w:unhideWhenUsed/>
    <w:qFormat/>
    <w:uiPriority w:val="99"/>
    <w:pPr>
      <w:spacing w:line="500" w:lineRule="exact"/>
      <w:ind w:firstLine="200" w:firstLineChars="200"/>
    </w:pPr>
    <w:rPr>
      <w:rFonts w:ascii="Times New Roman" w:hAnsi="Times New Roman" w:eastAsia="宋体" w:cs="Times New Roman"/>
      <w:b/>
      <w:bCs/>
      <w:sz w:val="24"/>
      <w:szCs w:val="24"/>
    </w:rPr>
  </w:style>
  <w:style w:type="paragraph" w:styleId="19">
    <w:name w:val="Body Text"/>
    <w:basedOn w:val="1"/>
    <w:next w:val="20"/>
    <w:link w:val="82"/>
    <w:semiHidden/>
    <w:unhideWhenUsed/>
    <w:qFormat/>
    <w:uiPriority w:val="99"/>
    <w:pPr>
      <w:spacing w:line="380" w:lineRule="exact"/>
      <w:ind w:firstLine="200" w:firstLineChars="200"/>
    </w:pPr>
    <w:rPr>
      <w:rFonts w:ascii="Times New Roman" w:hAnsi="Times New Roman" w:eastAsia="宋体" w:cs="Times New Roman"/>
      <w:sz w:val="24"/>
      <w:szCs w:val="24"/>
    </w:rPr>
  </w:style>
  <w:style w:type="paragraph" w:styleId="20">
    <w:name w:val="toc 2"/>
    <w:basedOn w:val="1"/>
    <w:next w:val="1"/>
    <w:qFormat/>
    <w:uiPriority w:val="0"/>
    <w:pPr>
      <w:ind w:left="200" w:leftChars="200"/>
    </w:pPr>
  </w:style>
  <w:style w:type="paragraph" w:styleId="21">
    <w:name w:val="Body Text Indent"/>
    <w:basedOn w:val="1"/>
    <w:link w:val="83"/>
    <w:semiHidden/>
    <w:unhideWhenUsed/>
    <w:qFormat/>
    <w:uiPriority w:val="99"/>
    <w:pPr>
      <w:spacing w:line="400" w:lineRule="exact"/>
      <w:ind w:firstLine="830" w:firstLineChars="352"/>
    </w:pPr>
    <w:rPr>
      <w:rFonts w:ascii="仿宋_GB2312" w:hAnsi="Times New Roman" w:eastAsia="仿宋_GB2312" w:cs="Times New Roman"/>
      <w:sz w:val="32"/>
      <w:szCs w:val="20"/>
    </w:rPr>
  </w:style>
  <w:style w:type="paragraph" w:styleId="22">
    <w:name w:val="List Number 3"/>
    <w:basedOn w:val="1"/>
    <w:semiHidden/>
    <w:unhideWhenUsed/>
    <w:qFormat/>
    <w:uiPriority w:val="99"/>
    <w:pPr>
      <w:tabs>
        <w:tab w:val="left" w:pos="360"/>
      </w:tabs>
      <w:spacing w:line="400" w:lineRule="exact"/>
      <w:ind w:left="360" w:hanging="360" w:firstLineChars="200"/>
    </w:pPr>
    <w:rPr>
      <w:rFonts w:ascii="Times New Roman" w:hAnsi="Times New Roman" w:eastAsia="宋体" w:cs="Times New Roman"/>
      <w:szCs w:val="24"/>
    </w:rPr>
  </w:style>
  <w:style w:type="paragraph" w:styleId="23">
    <w:name w:val="List 2"/>
    <w:basedOn w:val="1"/>
    <w:semiHidden/>
    <w:unhideWhenUsed/>
    <w:qFormat/>
    <w:uiPriority w:val="99"/>
    <w:pPr>
      <w:spacing w:line="400" w:lineRule="exact"/>
      <w:ind w:left="100" w:leftChars="200" w:hanging="200" w:hangingChars="200"/>
    </w:pPr>
    <w:rPr>
      <w:rFonts w:ascii="Times New Roman" w:hAnsi="Times New Roman" w:eastAsia="宋体" w:cs="Times New Roman"/>
      <w:sz w:val="28"/>
      <w:szCs w:val="24"/>
    </w:rPr>
  </w:style>
  <w:style w:type="paragraph" w:styleId="24">
    <w:name w:val="toc 5"/>
    <w:basedOn w:val="1"/>
    <w:next w:val="1"/>
    <w:semiHidden/>
    <w:unhideWhenUsed/>
    <w:qFormat/>
    <w:uiPriority w:val="99"/>
    <w:pPr>
      <w:spacing w:line="360" w:lineRule="auto"/>
      <w:ind w:left="960" w:firstLine="200" w:firstLineChars="200"/>
      <w:jc w:val="left"/>
    </w:pPr>
    <w:rPr>
      <w:rFonts w:ascii="Calibri" w:hAnsi="Calibri" w:eastAsia="宋体" w:cs="Times New Roman"/>
      <w:sz w:val="20"/>
      <w:szCs w:val="20"/>
    </w:rPr>
  </w:style>
  <w:style w:type="paragraph" w:styleId="25">
    <w:name w:val="toc 3"/>
    <w:basedOn w:val="1"/>
    <w:next w:val="1"/>
    <w:semiHidden/>
    <w:unhideWhenUsed/>
    <w:qFormat/>
    <w:uiPriority w:val="99"/>
    <w:pPr>
      <w:spacing w:line="400" w:lineRule="exact"/>
      <w:ind w:left="840" w:leftChars="400" w:firstLine="200" w:firstLineChars="200"/>
    </w:pPr>
    <w:rPr>
      <w:rFonts w:ascii="Times New Roman" w:hAnsi="Times New Roman" w:eastAsia="宋体" w:cs="Times New Roman"/>
      <w:szCs w:val="24"/>
    </w:rPr>
  </w:style>
  <w:style w:type="paragraph" w:styleId="26">
    <w:name w:val="Plain Text"/>
    <w:basedOn w:val="1"/>
    <w:next w:val="1"/>
    <w:link w:val="91"/>
    <w:semiHidden/>
    <w:unhideWhenUsed/>
    <w:qFormat/>
    <w:uiPriority w:val="0"/>
    <w:pPr>
      <w:spacing w:line="400" w:lineRule="exact"/>
      <w:ind w:firstLine="200" w:firstLineChars="200"/>
    </w:pPr>
    <w:rPr>
      <w:rFonts w:ascii="宋体" w:hAnsi="Courier New" w:eastAsia="宋体" w:cs="Courier New"/>
      <w:szCs w:val="21"/>
    </w:rPr>
  </w:style>
  <w:style w:type="paragraph" w:styleId="27">
    <w:name w:val="toc 8"/>
    <w:basedOn w:val="1"/>
    <w:next w:val="1"/>
    <w:semiHidden/>
    <w:unhideWhenUsed/>
    <w:qFormat/>
    <w:uiPriority w:val="99"/>
    <w:pPr>
      <w:spacing w:line="360" w:lineRule="auto"/>
      <w:ind w:left="1680" w:firstLine="200" w:firstLineChars="200"/>
      <w:jc w:val="left"/>
    </w:pPr>
    <w:rPr>
      <w:rFonts w:ascii="Calibri" w:hAnsi="Calibri" w:eastAsia="宋体" w:cs="Times New Roman"/>
      <w:sz w:val="20"/>
      <w:szCs w:val="20"/>
    </w:rPr>
  </w:style>
  <w:style w:type="paragraph" w:styleId="28">
    <w:name w:val="Date"/>
    <w:basedOn w:val="1"/>
    <w:next w:val="1"/>
    <w:link w:val="85"/>
    <w:semiHidden/>
    <w:unhideWhenUsed/>
    <w:qFormat/>
    <w:uiPriority w:val="99"/>
    <w:pPr>
      <w:spacing w:line="400" w:lineRule="exact"/>
      <w:ind w:left="100" w:leftChars="2500" w:firstLine="200" w:firstLineChars="200"/>
    </w:pPr>
    <w:rPr>
      <w:rFonts w:ascii="宋体" w:hAnsi="Courier New" w:eastAsia="宋体" w:cs="Courier New"/>
      <w:szCs w:val="21"/>
    </w:rPr>
  </w:style>
  <w:style w:type="paragraph" w:styleId="29">
    <w:name w:val="Body Text Indent 2"/>
    <w:basedOn w:val="1"/>
    <w:link w:val="88"/>
    <w:semiHidden/>
    <w:unhideWhenUsed/>
    <w:qFormat/>
    <w:uiPriority w:val="99"/>
    <w:pPr>
      <w:spacing w:line="400" w:lineRule="exact"/>
      <w:ind w:firstLine="630" w:firstLineChars="200"/>
    </w:pPr>
    <w:rPr>
      <w:rFonts w:ascii="Times New Roman" w:hAnsi="Times New Roman" w:eastAsia="宋体" w:cs="Times New Roman"/>
      <w:sz w:val="32"/>
      <w:szCs w:val="20"/>
    </w:rPr>
  </w:style>
  <w:style w:type="paragraph" w:styleId="30">
    <w:name w:val="endnote text"/>
    <w:basedOn w:val="1"/>
    <w:link w:val="78"/>
    <w:semiHidden/>
    <w:unhideWhenUsed/>
    <w:qFormat/>
    <w:uiPriority w:val="99"/>
    <w:pPr>
      <w:snapToGrid w:val="0"/>
      <w:spacing w:line="480" w:lineRule="exact"/>
      <w:ind w:firstLine="200" w:firstLineChars="200"/>
      <w:jc w:val="left"/>
    </w:pPr>
    <w:rPr>
      <w:rFonts w:ascii="微软雅黑" w:hAnsi="微软雅黑" w:eastAsia="微软雅黑" w:cs="Times New Roman"/>
      <w:kern w:val="0"/>
      <w:sz w:val="20"/>
      <w:szCs w:val="20"/>
    </w:rPr>
  </w:style>
  <w:style w:type="paragraph" w:styleId="31">
    <w:name w:val="Balloon Text"/>
    <w:basedOn w:val="1"/>
    <w:link w:val="94"/>
    <w:semiHidden/>
    <w:unhideWhenUsed/>
    <w:qFormat/>
    <w:uiPriority w:val="99"/>
    <w:pPr>
      <w:spacing w:line="400" w:lineRule="exact"/>
      <w:ind w:firstLine="200" w:firstLineChars="200"/>
    </w:pPr>
    <w:rPr>
      <w:rFonts w:ascii="Times New Roman" w:hAnsi="Times New Roman" w:eastAsia="宋体" w:cs="Times New Roman"/>
      <w:sz w:val="18"/>
      <w:szCs w:val="18"/>
    </w:rPr>
  </w:style>
  <w:style w:type="paragraph" w:styleId="32">
    <w:name w:val="footer"/>
    <w:basedOn w:val="1"/>
    <w:link w:val="61"/>
    <w:unhideWhenUsed/>
    <w:qFormat/>
    <w:uiPriority w:val="99"/>
    <w:pPr>
      <w:tabs>
        <w:tab w:val="center" w:pos="4153"/>
        <w:tab w:val="right" w:pos="8306"/>
      </w:tabs>
      <w:snapToGrid w:val="0"/>
      <w:jc w:val="left"/>
    </w:pPr>
    <w:rPr>
      <w:sz w:val="18"/>
      <w:szCs w:val="18"/>
    </w:rPr>
  </w:style>
  <w:style w:type="paragraph" w:styleId="33">
    <w:name w:val="header"/>
    <w:basedOn w:val="1"/>
    <w:link w:val="60"/>
    <w:unhideWhenUsed/>
    <w:qFormat/>
    <w:uiPriority w:val="99"/>
    <w:pPr>
      <w:tabs>
        <w:tab w:val="center" w:pos="4153"/>
        <w:tab w:val="right" w:pos="8306"/>
      </w:tabs>
      <w:snapToGrid w:val="0"/>
      <w:jc w:val="center"/>
    </w:pPr>
    <w:rPr>
      <w:sz w:val="18"/>
      <w:szCs w:val="18"/>
    </w:rPr>
  </w:style>
  <w:style w:type="paragraph" w:styleId="34">
    <w:name w:val="toc 1"/>
    <w:basedOn w:val="1"/>
    <w:next w:val="1"/>
    <w:link w:val="73"/>
    <w:unhideWhenUsed/>
    <w:qFormat/>
    <w:uiPriority w:val="39"/>
    <w:rPr>
      <w:szCs w:val="24"/>
    </w:rPr>
  </w:style>
  <w:style w:type="paragraph" w:styleId="35">
    <w:name w:val="toc 4"/>
    <w:basedOn w:val="1"/>
    <w:next w:val="1"/>
    <w:semiHidden/>
    <w:unhideWhenUsed/>
    <w:qFormat/>
    <w:uiPriority w:val="99"/>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4"/>
    <w:qFormat/>
    <w:uiPriority w:val="99"/>
    <w:pPr>
      <w:widowControl/>
      <w:spacing w:after="200" w:line="276" w:lineRule="auto"/>
      <w:ind w:firstLine="200" w:firstLineChars="200"/>
      <w:jc w:val="left"/>
    </w:pPr>
    <w:rPr>
      <w:rFonts w:ascii="Cambria" w:hAnsi="Cambria" w:eastAsia="宋体" w:cs="Times New Roman"/>
      <w:i/>
      <w:iCs/>
      <w:color w:val="4F81BD"/>
      <w:spacing w:val="15"/>
      <w:kern w:val="0"/>
      <w:sz w:val="20"/>
      <w:szCs w:val="20"/>
    </w:rPr>
  </w:style>
  <w:style w:type="paragraph" w:styleId="37">
    <w:name w:val="List"/>
    <w:basedOn w:val="1"/>
    <w:semiHidden/>
    <w:unhideWhenUsed/>
    <w:qFormat/>
    <w:uiPriority w:val="99"/>
    <w:pPr>
      <w:spacing w:line="400" w:lineRule="exact"/>
      <w:ind w:left="200" w:hanging="200" w:hangingChars="200"/>
    </w:pPr>
    <w:rPr>
      <w:rFonts w:ascii="Times New Roman" w:hAnsi="Times New Roman" w:eastAsia="宋体" w:cs="Times New Roman"/>
      <w:sz w:val="28"/>
      <w:szCs w:val="24"/>
    </w:rPr>
  </w:style>
  <w:style w:type="paragraph" w:styleId="38">
    <w:name w:val="footnote text"/>
    <w:basedOn w:val="1"/>
    <w:link w:val="76"/>
    <w:semiHidden/>
    <w:unhideWhenUsed/>
    <w:qFormat/>
    <w:uiPriority w:val="99"/>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semiHidden/>
    <w:unhideWhenUsed/>
    <w:qFormat/>
    <w:uiPriority w:val="99"/>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9"/>
    <w:semiHidden/>
    <w:unhideWhenUsed/>
    <w:qFormat/>
    <w:uiPriority w:val="99"/>
    <w:pPr>
      <w:spacing w:after="120" w:line="400" w:lineRule="exact"/>
      <w:ind w:left="420" w:leftChars="200" w:firstLine="200" w:firstLineChars="200"/>
    </w:pPr>
    <w:rPr>
      <w:rFonts w:ascii="Times New Roman" w:hAnsi="Times New Roman" w:eastAsia="宋体" w:cs="Times New Roman"/>
      <w:sz w:val="16"/>
      <w:szCs w:val="16"/>
    </w:rPr>
  </w:style>
  <w:style w:type="paragraph" w:styleId="41">
    <w:name w:val="toc 9"/>
    <w:basedOn w:val="1"/>
    <w:next w:val="1"/>
    <w:semiHidden/>
    <w:unhideWhenUsed/>
    <w:qFormat/>
    <w:uiPriority w:val="99"/>
    <w:pPr>
      <w:tabs>
        <w:tab w:val="right" w:leader="dot" w:pos="9185"/>
      </w:tabs>
      <w:spacing w:line="420" w:lineRule="exact"/>
      <w:ind w:firstLine="422" w:firstLineChars="200"/>
      <w:jc w:val="left"/>
      <w:outlineLvl w:val="0"/>
    </w:pPr>
    <w:rPr>
      <w:rFonts w:ascii="Times New Roman" w:hAnsi="Times New Roman" w:eastAsia="宋体" w:cs="Times New Roman"/>
      <w:b/>
      <w:szCs w:val="24"/>
    </w:rPr>
  </w:style>
  <w:style w:type="paragraph" w:styleId="42">
    <w:name w:val="Body Text 2"/>
    <w:basedOn w:val="1"/>
    <w:link w:val="86"/>
    <w:semiHidden/>
    <w:unhideWhenUsed/>
    <w:qFormat/>
    <w:uiPriority w:val="99"/>
    <w:pPr>
      <w:spacing w:after="120" w:line="480" w:lineRule="auto"/>
      <w:ind w:firstLine="200" w:firstLineChars="200"/>
    </w:pPr>
    <w:rPr>
      <w:rFonts w:ascii="Times New Roman" w:hAnsi="Times New Roman" w:eastAsia="宋体" w:cs="Times New Roman"/>
      <w:szCs w:val="24"/>
    </w:rPr>
  </w:style>
  <w:style w:type="paragraph" w:styleId="43">
    <w:name w:val="HTML Preformatted"/>
    <w:basedOn w:val="1"/>
    <w:link w:val="71"/>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firstLineChars="200"/>
      <w:jc w:val="left"/>
    </w:pPr>
    <w:rPr>
      <w:rFonts w:ascii="Arial" w:hAnsi="Arial" w:eastAsia="宋体" w:cs="Arial"/>
      <w:kern w:val="0"/>
      <w:sz w:val="20"/>
      <w:szCs w:val="20"/>
    </w:rPr>
  </w:style>
  <w:style w:type="paragraph" w:styleId="44">
    <w:name w:val="Normal (Web)"/>
    <w:basedOn w:val="1"/>
    <w:semiHidden/>
    <w:unhideWhenUsed/>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paragraph" w:styleId="45">
    <w:name w:val="index 1"/>
    <w:basedOn w:val="1"/>
    <w:next w:val="1"/>
    <w:semiHidden/>
    <w:unhideWhenUsed/>
    <w:qFormat/>
    <w:uiPriority w:val="99"/>
    <w:pPr>
      <w:spacing w:line="400" w:lineRule="exact"/>
      <w:ind w:firstLine="200" w:firstLineChars="200"/>
    </w:pPr>
    <w:rPr>
      <w:rFonts w:ascii="Times New Roman" w:hAnsi="Times New Roman" w:eastAsia="宋体" w:cs="Times New Roman"/>
      <w:szCs w:val="24"/>
    </w:rPr>
  </w:style>
  <w:style w:type="paragraph" w:styleId="46">
    <w:name w:val="Title"/>
    <w:basedOn w:val="1"/>
    <w:next w:val="1"/>
    <w:link w:val="81"/>
    <w:qFormat/>
    <w:uiPriority w:val="99"/>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7"/>
    <w:next w:val="17"/>
    <w:link w:val="93"/>
    <w:semiHidden/>
    <w:unhideWhenUsed/>
    <w:qFormat/>
    <w:uiPriority w:val="99"/>
    <w:rPr>
      <w:b/>
      <w:bCs/>
    </w:rPr>
  </w:style>
  <w:style w:type="table" w:styleId="49">
    <w:name w:val="Table Grid"/>
    <w:basedOn w:val="4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Table Theme"/>
    <w:basedOn w:val="48"/>
    <w:semiHidden/>
    <w:unhideWhenUsed/>
    <w:qFormat/>
    <w:uiPriority w:val="0"/>
    <w:pPr>
      <w:widowControl w:val="0"/>
      <w:spacing w:line="40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semiHidden/>
    <w:unhideWhenUsed/>
    <w:qFormat/>
    <w:uiPriority w:val="0"/>
    <w:rPr>
      <w:vertAlign w:val="superscript"/>
    </w:rPr>
  </w:style>
  <w:style w:type="character" w:styleId="54">
    <w:name w:val="FollowedHyperlink"/>
    <w:semiHidden/>
    <w:unhideWhenUsed/>
    <w:qFormat/>
    <w:uiPriority w:val="0"/>
    <w:rPr>
      <w:color w:val="800080"/>
      <w:u w:val="single"/>
    </w:rPr>
  </w:style>
  <w:style w:type="character" w:styleId="55">
    <w:name w:val="Emphasis"/>
    <w:qFormat/>
    <w:uiPriority w:val="0"/>
    <w:rPr>
      <w:color w:val="CC0033"/>
    </w:rPr>
  </w:style>
  <w:style w:type="character" w:styleId="56">
    <w:name w:val="Hyperlink"/>
    <w:unhideWhenUsed/>
    <w:qFormat/>
    <w:uiPriority w:val="99"/>
    <w:rPr>
      <w:color w:val="0000FF"/>
      <w:u w:val="single"/>
    </w:rPr>
  </w:style>
  <w:style w:type="character" w:styleId="57">
    <w:name w:val="annotation reference"/>
    <w:semiHidden/>
    <w:unhideWhenUsed/>
    <w:qFormat/>
    <w:uiPriority w:val="99"/>
    <w:rPr>
      <w:sz w:val="21"/>
      <w:szCs w:val="21"/>
    </w:rPr>
  </w:style>
  <w:style w:type="character" w:styleId="58">
    <w:name w:val="footnote reference"/>
    <w:semiHidden/>
    <w:unhideWhenUsed/>
    <w:qFormat/>
    <w:uiPriority w:val="0"/>
    <w:rPr>
      <w:vertAlign w:val="superscript"/>
    </w:rPr>
  </w:style>
  <w:style w:type="paragraph" w:customStyle="1" w:styleId="59">
    <w:name w:val="正文-公1"/>
    <w:basedOn w:val="1"/>
    <w:qFormat/>
    <w:uiPriority w:val="0"/>
    <w:pPr>
      <w:ind w:firstLine="200" w:firstLineChars="200"/>
      <w:jc w:val="left"/>
    </w:pPr>
    <w:rPr>
      <w:rFonts w:eastAsia="仿宋_GB2312"/>
    </w:rPr>
  </w:style>
  <w:style w:type="character" w:customStyle="1" w:styleId="60">
    <w:name w:val="页眉 字符"/>
    <w:basedOn w:val="51"/>
    <w:link w:val="33"/>
    <w:qFormat/>
    <w:uiPriority w:val="99"/>
    <w:rPr>
      <w:sz w:val="18"/>
      <w:szCs w:val="18"/>
    </w:rPr>
  </w:style>
  <w:style w:type="character" w:customStyle="1" w:styleId="61">
    <w:name w:val="页脚 字符"/>
    <w:basedOn w:val="51"/>
    <w:link w:val="32"/>
    <w:qFormat/>
    <w:uiPriority w:val="99"/>
    <w:rPr>
      <w:sz w:val="18"/>
      <w:szCs w:val="18"/>
    </w:rPr>
  </w:style>
  <w:style w:type="character" w:customStyle="1" w:styleId="62">
    <w:name w:val="标题 1 字符"/>
    <w:basedOn w:val="51"/>
    <w:link w:val="3"/>
    <w:qFormat/>
    <w:uiPriority w:val="9"/>
    <w:rPr>
      <w:rFonts w:ascii="Times New Roman" w:hAnsi="Times New Roman" w:eastAsia="仿宋_GB2312" w:cs="Times New Roman"/>
      <w:b/>
      <w:bCs/>
      <w:kern w:val="44"/>
      <w:sz w:val="44"/>
      <w:szCs w:val="44"/>
    </w:rPr>
  </w:style>
  <w:style w:type="character" w:customStyle="1" w:styleId="63">
    <w:name w:val="标题 2 字符"/>
    <w:basedOn w:val="51"/>
    <w:link w:val="2"/>
    <w:semiHidden/>
    <w:qFormat/>
    <w:uiPriority w:val="0"/>
    <w:rPr>
      <w:rFonts w:ascii="Arial" w:hAnsi="Arial" w:eastAsia="黑体" w:cs="Times New Roman"/>
      <w:b/>
      <w:bCs/>
      <w:sz w:val="32"/>
      <w:szCs w:val="32"/>
    </w:rPr>
  </w:style>
  <w:style w:type="character" w:customStyle="1" w:styleId="64">
    <w:name w:val="标题 3 字符"/>
    <w:basedOn w:val="51"/>
    <w:link w:val="4"/>
    <w:semiHidden/>
    <w:qFormat/>
    <w:uiPriority w:val="0"/>
    <w:rPr>
      <w:rFonts w:ascii="宋体" w:hAnsi="Courier New" w:eastAsia="宋体" w:cs="宋体"/>
      <w:b/>
      <w:bCs/>
      <w:sz w:val="32"/>
      <w:szCs w:val="32"/>
    </w:rPr>
  </w:style>
  <w:style w:type="character" w:customStyle="1" w:styleId="65">
    <w:name w:val="标题 4 字符"/>
    <w:basedOn w:val="51"/>
    <w:link w:val="5"/>
    <w:semiHidden/>
    <w:qFormat/>
    <w:uiPriority w:val="0"/>
    <w:rPr>
      <w:rFonts w:ascii="Arial" w:hAnsi="Arial" w:eastAsia="黑体" w:cs="Times New Roman"/>
      <w:b/>
      <w:bCs/>
      <w:sz w:val="28"/>
      <w:szCs w:val="28"/>
    </w:rPr>
  </w:style>
  <w:style w:type="character" w:customStyle="1" w:styleId="66">
    <w:name w:val="标题 5 字符"/>
    <w:basedOn w:val="51"/>
    <w:link w:val="6"/>
    <w:semiHidden/>
    <w:qFormat/>
    <w:uiPriority w:val="0"/>
    <w:rPr>
      <w:rFonts w:ascii="Times New Roman" w:hAnsi="Times New Roman" w:eastAsia="宋体" w:cs="Times New Roman"/>
      <w:b/>
      <w:sz w:val="28"/>
      <w:szCs w:val="24"/>
    </w:rPr>
  </w:style>
  <w:style w:type="character" w:customStyle="1" w:styleId="67">
    <w:name w:val="标题 6 字符"/>
    <w:basedOn w:val="51"/>
    <w:link w:val="8"/>
    <w:semiHidden/>
    <w:qFormat/>
    <w:uiPriority w:val="0"/>
    <w:rPr>
      <w:rFonts w:ascii="Arial" w:hAnsi="Arial" w:eastAsia="黑体" w:cs="Times New Roman"/>
      <w:b/>
      <w:sz w:val="24"/>
      <w:szCs w:val="24"/>
    </w:rPr>
  </w:style>
  <w:style w:type="character" w:customStyle="1" w:styleId="68">
    <w:name w:val="标题 7 字符"/>
    <w:basedOn w:val="51"/>
    <w:link w:val="9"/>
    <w:semiHidden/>
    <w:qFormat/>
    <w:uiPriority w:val="99"/>
    <w:rPr>
      <w:rFonts w:ascii="Times New Roman" w:hAnsi="Times New Roman" w:eastAsia="宋体" w:cs="Times New Roman"/>
      <w:b/>
      <w:sz w:val="24"/>
      <w:szCs w:val="24"/>
    </w:rPr>
  </w:style>
  <w:style w:type="character" w:customStyle="1" w:styleId="69">
    <w:name w:val="标题 8 字符"/>
    <w:basedOn w:val="51"/>
    <w:link w:val="10"/>
    <w:semiHidden/>
    <w:qFormat/>
    <w:uiPriority w:val="99"/>
    <w:rPr>
      <w:rFonts w:ascii="Arial" w:hAnsi="Arial" w:eastAsia="黑体" w:cs="Times New Roman"/>
      <w:sz w:val="24"/>
      <w:szCs w:val="24"/>
    </w:rPr>
  </w:style>
  <w:style w:type="character" w:customStyle="1" w:styleId="70">
    <w:name w:val="标题 9 字符"/>
    <w:basedOn w:val="51"/>
    <w:link w:val="11"/>
    <w:semiHidden/>
    <w:qFormat/>
    <w:uiPriority w:val="99"/>
    <w:rPr>
      <w:rFonts w:ascii="Arial" w:hAnsi="Arial" w:eastAsia="黑体" w:cs="Times New Roman"/>
      <w:szCs w:val="24"/>
    </w:rPr>
  </w:style>
  <w:style w:type="character" w:customStyle="1" w:styleId="71">
    <w:name w:val="HTML 预设格式 字符"/>
    <w:basedOn w:val="51"/>
    <w:link w:val="43"/>
    <w:semiHidden/>
    <w:qFormat/>
    <w:uiPriority w:val="0"/>
    <w:rPr>
      <w:rFonts w:ascii="Arial" w:hAnsi="Arial" w:eastAsia="宋体" w:cs="Arial"/>
      <w:kern w:val="0"/>
      <w:sz w:val="20"/>
      <w:szCs w:val="20"/>
    </w:rPr>
  </w:style>
  <w:style w:type="paragraph" w:customStyle="1" w:styleId="72">
    <w:name w:val="msonormal"/>
    <w:basedOn w:val="1"/>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character" w:customStyle="1" w:styleId="73">
    <w:name w:val="TOC 1 字符"/>
    <w:link w:val="34"/>
    <w:semiHidden/>
    <w:qFormat/>
    <w:locked/>
    <w:uiPriority w:val="0"/>
    <w:rPr>
      <w:szCs w:val="24"/>
    </w:rPr>
  </w:style>
  <w:style w:type="paragraph" w:customStyle="1" w:styleId="74">
    <w:name w:val="TOC 11"/>
    <w:basedOn w:val="1"/>
    <w:next w:val="1"/>
    <w:semiHidden/>
    <w:unhideWhenUsed/>
    <w:qFormat/>
    <w:uiPriority w:val="0"/>
    <w:pPr>
      <w:spacing w:line="400" w:lineRule="exact"/>
      <w:ind w:firstLine="200" w:firstLineChars="200"/>
    </w:pPr>
    <w:rPr>
      <w:szCs w:val="24"/>
    </w:rPr>
  </w:style>
  <w:style w:type="character" w:customStyle="1" w:styleId="75">
    <w:name w:val="正文缩进 字符"/>
    <w:link w:val="7"/>
    <w:semiHidden/>
    <w:qFormat/>
    <w:locked/>
    <w:uiPriority w:val="99"/>
    <w:rPr>
      <w:rFonts w:ascii="Times New Roman" w:hAnsi="Times New Roman" w:eastAsia="宋体" w:cs="Times New Roman"/>
      <w:szCs w:val="20"/>
    </w:rPr>
  </w:style>
  <w:style w:type="character" w:customStyle="1" w:styleId="76">
    <w:name w:val="脚注文本 字符"/>
    <w:basedOn w:val="51"/>
    <w:link w:val="38"/>
    <w:semiHidden/>
    <w:qFormat/>
    <w:uiPriority w:val="99"/>
    <w:rPr>
      <w:rFonts w:ascii="Arial" w:hAnsi="Arial" w:eastAsia="宋体" w:cs="Arial"/>
      <w:kern w:val="0"/>
      <w:sz w:val="18"/>
      <w:szCs w:val="18"/>
    </w:rPr>
  </w:style>
  <w:style w:type="character" w:customStyle="1" w:styleId="77">
    <w:name w:val="批注文字 字符"/>
    <w:basedOn w:val="51"/>
    <w:link w:val="17"/>
    <w:semiHidden/>
    <w:qFormat/>
    <w:uiPriority w:val="99"/>
    <w:rPr>
      <w:rFonts w:ascii="Times New Roman" w:hAnsi="Times New Roman" w:eastAsia="宋体" w:cs="Times New Roman"/>
      <w:szCs w:val="24"/>
    </w:rPr>
  </w:style>
  <w:style w:type="character" w:customStyle="1" w:styleId="78">
    <w:name w:val="尾注文本 字符"/>
    <w:basedOn w:val="51"/>
    <w:link w:val="30"/>
    <w:semiHidden/>
    <w:qFormat/>
    <w:uiPriority w:val="99"/>
    <w:rPr>
      <w:rFonts w:ascii="微软雅黑" w:hAnsi="微软雅黑" w:eastAsia="微软雅黑" w:cs="Times New Roman"/>
      <w:kern w:val="0"/>
      <w:sz w:val="20"/>
      <w:szCs w:val="20"/>
    </w:rPr>
  </w:style>
  <w:style w:type="character" w:customStyle="1" w:styleId="79">
    <w:name w:val="引文目录 字符"/>
    <w:link w:val="13"/>
    <w:semiHidden/>
    <w:qFormat/>
    <w:locked/>
    <w:uiPriority w:val="0"/>
    <w:rPr>
      <w:szCs w:val="24"/>
    </w:rPr>
  </w:style>
  <w:style w:type="paragraph" w:customStyle="1" w:styleId="80">
    <w:name w:val="引文目录1"/>
    <w:basedOn w:val="1"/>
    <w:next w:val="1"/>
    <w:semiHidden/>
    <w:unhideWhenUsed/>
    <w:qFormat/>
    <w:uiPriority w:val="0"/>
    <w:pPr>
      <w:spacing w:line="400" w:lineRule="exact"/>
      <w:ind w:left="420" w:leftChars="200" w:firstLine="200" w:firstLineChars="200"/>
    </w:pPr>
    <w:rPr>
      <w:szCs w:val="24"/>
    </w:rPr>
  </w:style>
  <w:style w:type="character" w:customStyle="1" w:styleId="81">
    <w:name w:val="标题 字符"/>
    <w:basedOn w:val="51"/>
    <w:link w:val="46"/>
    <w:qFormat/>
    <w:uiPriority w:val="99"/>
    <w:rPr>
      <w:rFonts w:ascii="Cambria" w:hAnsi="Cambria" w:eastAsia="方正小标宋_GBK" w:cs="Times New Roman"/>
      <w:b/>
      <w:bCs/>
      <w:kern w:val="0"/>
      <w:sz w:val="44"/>
      <w:szCs w:val="32"/>
    </w:rPr>
  </w:style>
  <w:style w:type="character" w:customStyle="1" w:styleId="82">
    <w:name w:val="正文文本 字符"/>
    <w:basedOn w:val="51"/>
    <w:link w:val="19"/>
    <w:semiHidden/>
    <w:qFormat/>
    <w:uiPriority w:val="99"/>
    <w:rPr>
      <w:rFonts w:ascii="Times New Roman" w:hAnsi="Times New Roman" w:eastAsia="宋体" w:cs="Times New Roman"/>
      <w:sz w:val="24"/>
      <w:szCs w:val="24"/>
    </w:rPr>
  </w:style>
  <w:style w:type="character" w:customStyle="1" w:styleId="83">
    <w:name w:val="正文文本缩进 字符"/>
    <w:basedOn w:val="51"/>
    <w:link w:val="21"/>
    <w:semiHidden/>
    <w:qFormat/>
    <w:uiPriority w:val="99"/>
    <w:rPr>
      <w:rFonts w:ascii="仿宋_GB2312" w:hAnsi="Times New Roman" w:eastAsia="仿宋_GB2312" w:cs="Times New Roman"/>
      <w:sz w:val="32"/>
      <w:szCs w:val="20"/>
    </w:rPr>
  </w:style>
  <w:style w:type="character" w:customStyle="1" w:styleId="84">
    <w:name w:val="副标题 字符"/>
    <w:basedOn w:val="51"/>
    <w:link w:val="36"/>
    <w:qFormat/>
    <w:uiPriority w:val="99"/>
    <w:rPr>
      <w:rFonts w:ascii="Cambria" w:hAnsi="Cambria" w:eastAsia="宋体" w:cs="Times New Roman"/>
      <w:i/>
      <w:iCs/>
      <w:color w:val="4F81BD"/>
      <w:spacing w:val="15"/>
      <w:kern w:val="0"/>
      <w:sz w:val="20"/>
      <w:szCs w:val="20"/>
    </w:rPr>
  </w:style>
  <w:style w:type="character" w:customStyle="1" w:styleId="85">
    <w:name w:val="日期 字符"/>
    <w:basedOn w:val="51"/>
    <w:link w:val="28"/>
    <w:semiHidden/>
    <w:qFormat/>
    <w:uiPriority w:val="99"/>
    <w:rPr>
      <w:rFonts w:ascii="宋体" w:hAnsi="Courier New" w:eastAsia="宋体" w:cs="Courier New"/>
      <w:szCs w:val="21"/>
    </w:rPr>
  </w:style>
  <w:style w:type="character" w:customStyle="1" w:styleId="86">
    <w:name w:val="正文文本 2 字符"/>
    <w:basedOn w:val="51"/>
    <w:link w:val="42"/>
    <w:semiHidden/>
    <w:qFormat/>
    <w:uiPriority w:val="99"/>
    <w:rPr>
      <w:rFonts w:ascii="Times New Roman" w:hAnsi="Times New Roman" w:eastAsia="宋体" w:cs="Times New Roman"/>
      <w:szCs w:val="24"/>
    </w:rPr>
  </w:style>
  <w:style w:type="character" w:customStyle="1" w:styleId="87">
    <w:name w:val="正文文本 3 字符"/>
    <w:basedOn w:val="51"/>
    <w:link w:val="18"/>
    <w:semiHidden/>
    <w:qFormat/>
    <w:uiPriority w:val="99"/>
    <w:rPr>
      <w:rFonts w:ascii="Times New Roman" w:hAnsi="Times New Roman" w:eastAsia="宋体" w:cs="Times New Roman"/>
      <w:b/>
      <w:bCs/>
      <w:sz w:val="24"/>
      <w:szCs w:val="24"/>
    </w:rPr>
  </w:style>
  <w:style w:type="character" w:customStyle="1" w:styleId="88">
    <w:name w:val="正文文本缩进 2 字符"/>
    <w:basedOn w:val="51"/>
    <w:link w:val="29"/>
    <w:semiHidden/>
    <w:qFormat/>
    <w:uiPriority w:val="99"/>
    <w:rPr>
      <w:rFonts w:ascii="Times New Roman" w:hAnsi="Times New Roman" w:eastAsia="宋体" w:cs="Times New Roman"/>
      <w:sz w:val="32"/>
      <w:szCs w:val="20"/>
    </w:rPr>
  </w:style>
  <w:style w:type="character" w:customStyle="1" w:styleId="89">
    <w:name w:val="正文文本缩进 3 字符"/>
    <w:basedOn w:val="51"/>
    <w:link w:val="40"/>
    <w:semiHidden/>
    <w:qFormat/>
    <w:uiPriority w:val="99"/>
    <w:rPr>
      <w:rFonts w:ascii="Times New Roman" w:hAnsi="Times New Roman" w:eastAsia="宋体" w:cs="Times New Roman"/>
      <w:sz w:val="16"/>
      <w:szCs w:val="16"/>
    </w:rPr>
  </w:style>
  <w:style w:type="character" w:customStyle="1" w:styleId="90">
    <w:name w:val="文档结构图 字符"/>
    <w:basedOn w:val="51"/>
    <w:link w:val="16"/>
    <w:semiHidden/>
    <w:qFormat/>
    <w:uiPriority w:val="99"/>
    <w:rPr>
      <w:rFonts w:ascii="Times New Roman" w:hAnsi="Times New Roman" w:eastAsia="宋体" w:cs="Times New Roman"/>
      <w:szCs w:val="24"/>
      <w:shd w:val="clear" w:color="auto" w:fill="000080"/>
    </w:rPr>
  </w:style>
  <w:style w:type="character" w:customStyle="1" w:styleId="91">
    <w:name w:val="纯文本 字符1"/>
    <w:link w:val="26"/>
    <w:semiHidden/>
    <w:qFormat/>
    <w:locked/>
    <w:uiPriority w:val="0"/>
    <w:rPr>
      <w:rFonts w:ascii="宋体" w:hAnsi="Courier New" w:eastAsia="宋体" w:cs="Courier New"/>
      <w:szCs w:val="21"/>
    </w:rPr>
  </w:style>
  <w:style w:type="character" w:customStyle="1" w:styleId="92">
    <w:name w:val="纯文本 字符"/>
    <w:basedOn w:val="51"/>
    <w:semiHidden/>
    <w:qFormat/>
    <w:uiPriority w:val="0"/>
    <w:rPr>
      <w:rFonts w:hAnsi="Courier New" w:cs="Courier New" w:asciiTheme="minorEastAsia"/>
    </w:rPr>
  </w:style>
  <w:style w:type="character" w:customStyle="1" w:styleId="93">
    <w:name w:val="批注主题 字符"/>
    <w:basedOn w:val="77"/>
    <w:link w:val="47"/>
    <w:semiHidden/>
    <w:qFormat/>
    <w:uiPriority w:val="99"/>
    <w:rPr>
      <w:rFonts w:ascii="Times New Roman" w:hAnsi="Times New Roman" w:eastAsia="宋体" w:cs="Times New Roman"/>
      <w:b/>
      <w:bCs/>
      <w:szCs w:val="24"/>
    </w:rPr>
  </w:style>
  <w:style w:type="character" w:customStyle="1" w:styleId="94">
    <w:name w:val="批注框文本 字符"/>
    <w:basedOn w:val="51"/>
    <w:link w:val="31"/>
    <w:semiHidden/>
    <w:qFormat/>
    <w:uiPriority w:val="99"/>
    <w:rPr>
      <w:rFonts w:ascii="Times New Roman" w:hAnsi="Times New Roman" w:eastAsia="宋体" w:cs="Times New Roman"/>
      <w:sz w:val="18"/>
      <w:szCs w:val="18"/>
    </w:rPr>
  </w:style>
  <w:style w:type="character" w:customStyle="1" w:styleId="95">
    <w:name w:val="列表段落 字符"/>
    <w:link w:val="96"/>
    <w:qFormat/>
    <w:locked/>
    <w:uiPriority w:val="0"/>
    <w:rPr>
      <w:szCs w:val="24"/>
    </w:rPr>
  </w:style>
  <w:style w:type="paragraph" w:styleId="96">
    <w:name w:val="List Paragraph"/>
    <w:basedOn w:val="1"/>
    <w:link w:val="95"/>
    <w:qFormat/>
    <w:uiPriority w:val="0"/>
    <w:pPr>
      <w:ind w:firstLine="420" w:firstLineChars="200"/>
    </w:pPr>
    <w:rPr>
      <w:szCs w:val="24"/>
    </w:rPr>
  </w:style>
  <w:style w:type="paragraph" w:customStyle="1" w:styleId="97">
    <w:name w:val="列表段落1"/>
    <w:basedOn w:val="1"/>
    <w:next w:val="96"/>
    <w:qFormat/>
    <w:uiPriority w:val="0"/>
    <w:pPr>
      <w:spacing w:line="400" w:lineRule="exact"/>
      <w:ind w:firstLine="420" w:firstLineChars="200"/>
    </w:pPr>
    <w:rPr>
      <w:szCs w:val="24"/>
    </w:rPr>
  </w:style>
  <w:style w:type="character" w:customStyle="1" w:styleId="98">
    <w:name w:val="GTA标题5 Char"/>
    <w:link w:val="99"/>
    <w:qFormat/>
    <w:locked/>
    <w:uiPriority w:val="0"/>
    <w:rPr>
      <w:rFonts w:ascii="Arial" w:hAnsi="Arial" w:eastAsia="楷体_GB2312" w:cs="Arial"/>
      <w:b/>
      <w:bCs/>
      <w:szCs w:val="21"/>
    </w:rPr>
  </w:style>
  <w:style w:type="paragraph" w:customStyle="1" w:styleId="99">
    <w:name w:val="GTA标题5"/>
    <w:basedOn w:val="6"/>
    <w:link w:val="98"/>
    <w:qFormat/>
    <w:uiPriority w:val="0"/>
    <w:pPr>
      <w:tabs>
        <w:tab w:val="left" w:pos="360"/>
      </w:tabs>
      <w:spacing w:before="0" w:beforeLines="75" w:after="0" w:afterLines="50" w:line="360" w:lineRule="auto"/>
      <w:ind w:left="360" w:hanging="360"/>
    </w:pPr>
    <w:rPr>
      <w:rFonts w:ascii="Arial" w:hAnsi="Arial" w:eastAsia="楷体_GB2312" w:cs="Arial"/>
      <w:bCs/>
      <w:sz w:val="21"/>
      <w:szCs w:val="21"/>
    </w:rPr>
  </w:style>
  <w:style w:type="character" w:customStyle="1" w:styleId="100">
    <w:name w:val="GTA标题2 Char Char"/>
    <w:link w:val="101"/>
    <w:qFormat/>
    <w:locked/>
    <w:uiPriority w:val="0"/>
    <w:rPr>
      <w:rFonts w:ascii="Arial" w:hAnsi="Arial" w:eastAsia="黑体" w:cs="Arial"/>
      <w:b/>
      <w:bCs/>
      <w:color w:val="000000"/>
      <w:sz w:val="30"/>
      <w:szCs w:val="30"/>
    </w:rPr>
  </w:style>
  <w:style w:type="paragraph" w:customStyle="1" w:styleId="101">
    <w:name w:val="GTA标题2"/>
    <w:basedOn w:val="2"/>
    <w:link w:val="100"/>
    <w:qFormat/>
    <w:uiPriority w:val="0"/>
    <w:pPr>
      <w:tabs>
        <w:tab w:val="left" w:pos="840"/>
      </w:tabs>
      <w:adjustRightInd w:val="0"/>
      <w:snapToGrid w:val="0"/>
      <w:spacing w:before="0" w:beforeLines="175" w:after="0" w:afterLines="150" w:line="420" w:lineRule="auto"/>
      <w:ind w:left="840"/>
    </w:pPr>
    <w:rPr>
      <w:rFonts w:cs="Arial"/>
      <w:color w:val="000000"/>
      <w:sz w:val="30"/>
      <w:szCs w:val="30"/>
    </w:rPr>
  </w:style>
  <w:style w:type="character" w:customStyle="1" w:styleId="102">
    <w:name w:val="GTA正文-1 Char"/>
    <w:link w:val="103"/>
    <w:qFormat/>
    <w:locked/>
    <w:uiPriority w:val="0"/>
    <w:rPr>
      <w:rFonts w:ascii="Arial" w:hAnsi="Arial" w:cs="Arial"/>
    </w:rPr>
  </w:style>
  <w:style w:type="paragraph" w:customStyle="1" w:styleId="103">
    <w:name w:val="GTA正文-1"/>
    <w:basedOn w:val="1"/>
    <w:link w:val="102"/>
    <w:qFormat/>
    <w:uiPriority w:val="0"/>
    <w:pPr>
      <w:spacing w:beforeLines="50" w:afterLines="50" w:line="480" w:lineRule="exact"/>
      <w:ind w:firstLine="200" w:firstLineChars="200"/>
    </w:pPr>
    <w:rPr>
      <w:rFonts w:ascii="Arial" w:hAnsi="Arial" w:cs="Arial"/>
    </w:rPr>
  </w:style>
  <w:style w:type="character" w:customStyle="1" w:styleId="104">
    <w:name w:val="GTA标题1 Char"/>
    <w:link w:val="105"/>
    <w:qFormat/>
    <w:locked/>
    <w:uiPriority w:val="0"/>
    <w:rPr>
      <w:rFonts w:ascii="Arial" w:hAnsi="Arial" w:eastAsia="黑体" w:cs="Arial"/>
      <w:bCs/>
      <w:kern w:val="44"/>
      <w:sz w:val="44"/>
      <w:szCs w:val="44"/>
    </w:rPr>
  </w:style>
  <w:style w:type="paragraph" w:customStyle="1" w:styleId="105">
    <w:name w:val="GTA标题1"/>
    <w:basedOn w:val="3"/>
    <w:link w:val="104"/>
    <w:qFormat/>
    <w:uiPriority w:val="0"/>
    <w:pPr>
      <w:tabs>
        <w:tab w:val="left" w:pos="360"/>
      </w:tabs>
      <w:spacing w:before="0" w:beforeLines="200" w:after="0" w:afterLines="150" w:line="480" w:lineRule="auto"/>
      <w:ind w:left="360" w:hanging="360"/>
      <w:jc w:val="both"/>
    </w:pPr>
    <w:rPr>
      <w:rFonts w:ascii="Arial" w:hAnsi="Arial" w:eastAsia="黑体" w:cs="Arial"/>
      <w:b w:val="0"/>
    </w:rPr>
  </w:style>
  <w:style w:type="character" w:customStyle="1" w:styleId="106">
    <w:name w:val="GTA标题3 Char Char"/>
    <w:link w:val="107"/>
    <w:qFormat/>
    <w:locked/>
    <w:uiPriority w:val="0"/>
    <w:rPr>
      <w:rFonts w:ascii="Arial" w:hAnsi="Arial" w:eastAsia="黑体" w:cs="Arial"/>
      <w:b/>
      <w:bCs/>
      <w:color w:val="000000"/>
      <w:lang w:val="zh-CN"/>
    </w:rPr>
  </w:style>
  <w:style w:type="paragraph" w:customStyle="1" w:styleId="107">
    <w:name w:val="GTA标题3"/>
    <w:basedOn w:val="4"/>
    <w:link w:val="106"/>
    <w:qFormat/>
    <w:uiPriority w:val="0"/>
    <w:pPr>
      <w:tabs>
        <w:tab w:val="left" w:pos="1260"/>
      </w:tabs>
      <w:adjustRightInd w:val="0"/>
      <w:snapToGrid w:val="0"/>
      <w:spacing w:before="0" w:beforeLines="150" w:after="0" w:afterLines="125" w:line="360" w:lineRule="auto"/>
      <w:ind w:left="1260" w:hanging="420"/>
    </w:pPr>
    <w:rPr>
      <w:rFonts w:ascii="Arial" w:hAnsi="Arial" w:eastAsia="黑体" w:cs="Arial"/>
      <w:color w:val="000000"/>
      <w:sz w:val="21"/>
      <w:szCs w:val="22"/>
      <w:lang w:val="zh-CN"/>
    </w:rPr>
  </w:style>
  <w:style w:type="character" w:customStyle="1" w:styleId="108">
    <w:name w:val="图注1 Char"/>
    <w:link w:val="109"/>
    <w:qFormat/>
    <w:locked/>
    <w:uiPriority w:val="0"/>
    <w:rPr>
      <w:rFonts w:ascii="Cambria" w:hAnsi="Cambria"/>
    </w:rPr>
  </w:style>
  <w:style w:type="paragraph" w:customStyle="1" w:styleId="109">
    <w:name w:val="图注1"/>
    <w:basedOn w:val="1"/>
    <w:link w:val="108"/>
    <w:qFormat/>
    <w:uiPriority w:val="0"/>
    <w:pPr>
      <w:tabs>
        <w:tab w:val="left" w:pos="1140"/>
      </w:tabs>
      <w:spacing w:afterLines="20" w:line="300" w:lineRule="auto"/>
      <w:ind w:left="1140" w:hanging="360" w:firstLineChars="200"/>
      <w:jc w:val="center"/>
    </w:pPr>
    <w:rPr>
      <w:rFonts w:ascii="Cambria" w:hAnsi="Cambria"/>
    </w:rPr>
  </w:style>
  <w:style w:type="character" w:customStyle="1" w:styleId="110">
    <w:name w:val="GTA标题4 Char Char"/>
    <w:link w:val="111"/>
    <w:qFormat/>
    <w:locked/>
    <w:uiPriority w:val="0"/>
    <w:rPr>
      <w:rFonts w:ascii="Arial" w:hAnsi="Arial" w:eastAsia="仿宋_GB2312" w:cs="Arial"/>
      <w:b/>
      <w:bCs/>
      <w:color w:val="0070C0"/>
    </w:rPr>
  </w:style>
  <w:style w:type="paragraph" w:customStyle="1" w:styleId="111">
    <w:name w:val="GTA标题4"/>
    <w:basedOn w:val="5"/>
    <w:link w:val="110"/>
    <w:qFormat/>
    <w:uiPriority w:val="0"/>
    <w:pPr>
      <w:tabs>
        <w:tab w:val="left" w:pos="1680"/>
      </w:tabs>
      <w:adjustRightInd w:val="0"/>
      <w:snapToGrid w:val="0"/>
      <w:spacing w:before="0" w:beforeLines="100" w:after="0" w:afterLines="75" w:line="360" w:lineRule="auto"/>
      <w:ind w:left="1680"/>
    </w:pPr>
    <w:rPr>
      <w:rFonts w:eastAsia="仿宋_GB2312" w:cs="Arial"/>
      <w:color w:val="0070C0"/>
      <w:sz w:val="21"/>
      <w:szCs w:val="22"/>
    </w:rPr>
  </w:style>
  <w:style w:type="character" w:customStyle="1" w:styleId="112">
    <w:name w:val="无间隔字符"/>
    <w:link w:val="113"/>
    <w:qFormat/>
    <w:locked/>
    <w:uiPriority w:val="99"/>
    <w:rPr>
      <w:rFonts w:ascii="Cambria" w:hAnsi="Cambria"/>
    </w:rPr>
  </w:style>
  <w:style w:type="paragraph" w:customStyle="1" w:styleId="113">
    <w:name w:val="无间隔1"/>
    <w:link w:val="112"/>
    <w:qFormat/>
    <w:uiPriority w:val="99"/>
    <w:pPr>
      <w:widowControl w:val="0"/>
      <w:spacing w:line="400" w:lineRule="exact"/>
      <w:ind w:firstLine="200" w:firstLineChars="200"/>
      <w:jc w:val="both"/>
    </w:pPr>
    <w:rPr>
      <w:rFonts w:ascii="Cambria" w:hAnsi="Cambria" w:eastAsiaTheme="minorEastAsia" w:cstheme="minorBidi"/>
      <w:kern w:val="2"/>
      <w:sz w:val="21"/>
      <w:szCs w:val="22"/>
      <w:lang w:val="en-US" w:eastAsia="zh-CN" w:bidi="ar-SA"/>
    </w:rPr>
  </w:style>
  <w:style w:type="character" w:customStyle="1" w:styleId="114">
    <w:name w:val="GTA正文-2 Char"/>
    <w:link w:val="115"/>
    <w:qFormat/>
    <w:locked/>
    <w:uiPriority w:val="0"/>
    <w:rPr>
      <w:rFonts w:ascii="Arial" w:hAnsi="Arial" w:eastAsia="华文细黑" w:cs="Arial"/>
    </w:rPr>
  </w:style>
  <w:style w:type="paragraph" w:customStyle="1" w:styleId="115">
    <w:name w:val="GTA正文-2"/>
    <w:basedOn w:val="103"/>
    <w:link w:val="114"/>
    <w:qFormat/>
    <w:uiPriority w:val="0"/>
    <w:pPr>
      <w:snapToGrid w:val="0"/>
      <w:spacing w:line="360" w:lineRule="auto"/>
      <w:ind w:firstLine="480"/>
    </w:pPr>
    <w:rPr>
      <w:rFonts w:eastAsia="华文细黑"/>
    </w:rPr>
  </w:style>
  <w:style w:type="character" w:customStyle="1" w:styleId="116">
    <w:name w:val="03 Char"/>
    <w:link w:val="117"/>
    <w:qFormat/>
    <w:locked/>
    <w:uiPriority w:val="0"/>
    <w:rPr>
      <w:rFonts w:ascii="仿宋_GB2312" w:eastAsia="仿宋_GB2312"/>
      <w:b/>
      <w:sz w:val="28"/>
    </w:rPr>
  </w:style>
  <w:style w:type="paragraph" w:customStyle="1" w:styleId="117">
    <w:name w:val="03"/>
    <w:basedOn w:val="1"/>
    <w:link w:val="116"/>
    <w:qFormat/>
    <w:uiPriority w:val="0"/>
    <w:pPr>
      <w:adjustRightInd w:val="0"/>
      <w:snapToGrid w:val="0"/>
      <w:spacing w:line="440" w:lineRule="exact"/>
      <w:ind w:firstLine="424" w:firstLineChars="151"/>
    </w:pPr>
    <w:rPr>
      <w:rFonts w:ascii="仿宋_GB2312" w:eastAsia="仿宋_GB2312"/>
      <w:b/>
      <w:sz w:val="28"/>
    </w:rPr>
  </w:style>
  <w:style w:type="character" w:customStyle="1" w:styleId="118">
    <w:name w:val="1ji Char"/>
    <w:link w:val="119"/>
    <w:qFormat/>
    <w:locked/>
    <w:uiPriority w:val="0"/>
    <w:rPr>
      <w:rFonts w:ascii="宋体" w:hAnsi="宋体" w:eastAsia="仿宋_GB2312"/>
      <w:b/>
      <w:bCs/>
      <w:kern w:val="44"/>
      <w:sz w:val="36"/>
      <w:szCs w:val="44"/>
    </w:rPr>
  </w:style>
  <w:style w:type="paragraph" w:customStyle="1" w:styleId="119">
    <w:name w:val="1ji"/>
    <w:basedOn w:val="3"/>
    <w:link w:val="118"/>
    <w:qFormat/>
    <w:uiPriority w:val="0"/>
    <w:pPr>
      <w:keepLines w:val="0"/>
      <w:widowControl/>
      <w:spacing w:before="0" w:after="0" w:line="240" w:lineRule="auto"/>
    </w:pPr>
    <w:rPr>
      <w:rFonts w:ascii="宋体" w:hAnsi="宋体" w:cstheme="minorBidi"/>
      <w:sz w:val="36"/>
    </w:rPr>
  </w:style>
  <w:style w:type="character" w:customStyle="1" w:styleId="120">
    <w:name w:val="浅色网格 - 强调文字颜色 3 Char"/>
    <w:link w:val="121"/>
    <w:qFormat/>
    <w:locked/>
    <w:uiPriority w:val="0"/>
    <w:rPr>
      <w:rFonts w:ascii="Calibri" w:hAnsi="Calibri" w:cs="Calibri"/>
    </w:rPr>
  </w:style>
  <w:style w:type="paragraph" w:customStyle="1" w:styleId="121">
    <w:name w:val="浅色网格 - 强调文字颜色 31"/>
    <w:basedOn w:val="1"/>
    <w:link w:val="120"/>
    <w:qFormat/>
    <w:uiPriority w:val="0"/>
    <w:pPr>
      <w:spacing w:line="400" w:lineRule="exact"/>
      <w:ind w:firstLine="420" w:firstLineChars="200"/>
    </w:pPr>
    <w:rPr>
      <w:rFonts w:ascii="Calibri" w:hAnsi="Calibri" w:cs="Calibri"/>
    </w:rPr>
  </w:style>
  <w:style w:type="character" w:customStyle="1" w:styleId="122">
    <w:name w:val="List Paragraph Char"/>
    <w:link w:val="123"/>
    <w:qFormat/>
    <w:locked/>
    <w:uiPriority w:val="0"/>
    <w:rPr>
      <w:rFonts w:ascii="Calibri" w:hAnsi="Calibri" w:cs="Calibri"/>
    </w:rPr>
  </w:style>
  <w:style w:type="paragraph" w:customStyle="1" w:styleId="123">
    <w:name w:val="列出段落1"/>
    <w:basedOn w:val="1"/>
    <w:link w:val="122"/>
    <w:qFormat/>
    <w:uiPriority w:val="0"/>
    <w:pPr>
      <w:spacing w:line="400" w:lineRule="exact"/>
      <w:ind w:firstLine="420" w:firstLineChars="200"/>
    </w:pPr>
    <w:rPr>
      <w:rFonts w:ascii="Calibri" w:hAnsi="Calibri" w:cs="Calibri"/>
    </w:rPr>
  </w:style>
  <w:style w:type="character" w:customStyle="1" w:styleId="124">
    <w:name w:val="明显引用字符"/>
    <w:link w:val="125"/>
    <w:qFormat/>
    <w:locked/>
    <w:uiPriority w:val="0"/>
    <w:rPr>
      <w:rFonts w:ascii="Arial" w:hAnsi="Arial" w:cs="Arial"/>
      <w:b/>
      <w:bCs/>
      <w:i/>
      <w:iCs/>
      <w:color w:val="4F81BD"/>
    </w:rPr>
  </w:style>
  <w:style w:type="paragraph" w:customStyle="1" w:styleId="125">
    <w:name w:val="明显引用1"/>
    <w:basedOn w:val="1"/>
    <w:next w:val="1"/>
    <w:link w:val="124"/>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rPr>
  </w:style>
  <w:style w:type="character" w:customStyle="1" w:styleId="126">
    <w:name w:val="OK Char1"/>
    <w:link w:val="127"/>
    <w:qFormat/>
    <w:locked/>
    <w:uiPriority w:val="0"/>
    <w:rPr>
      <w:rFonts w:ascii="宋体" w:hAnsi="宋体" w:eastAsia="宋体"/>
      <w:bCs/>
    </w:rPr>
  </w:style>
  <w:style w:type="paragraph" w:customStyle="1" w:styleId="127">
    <w:name w:val="OK"/>
    <w:basedOn w:val="1"/>
    <w:link w:val="126"/>
    <w:qFormat/>
    <w:uiPriority w:val="0"/>
    <w:pPr>
      <w:spacing w:line="400" w:lineRule="exact"/>
      <w:ind w:firstLine="200" w:firstLineChars="200"/>
      <w:jc w:val="left"/>
    </w:pPr>
    <w:rPr>
      <w:rFonts w:ascii="宋体" w:hAnsi="宋体" w:eastAsia="宋体"/>
      <w:bCs/>
    </w:rPr>
  </w:style>
  <w:style w:type="paragraph" w:customStyle="1" w:styleId="128">
    <w:name w:val="xl145"/>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9">
    <w:name w:val="xl92"/>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30">
    <w:name w:val="5 Char Char Char 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1">
    <w:name w:val="xl64"/>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32">
    <w:name w:val="p0"/>
    <w:basedOn w:val="1"/>
    <w:qFormat/>
    <w:uiPriority w:val="99"/>
    <w:pPr>
      <w:widowControl/>
      <w:spacing w:line="400" w:lineRule="exact"/>
      <w:ind w:firstLine="200" w:firstLineChars="200"/>
      <w:jc w:val="left"/>
    </w:pPr>
    <w:rPr>
      <w:rFonts w:ascii="Times New Roman" w:hAnsi="Times New Roman" w:eastAsia="宋体" w:cs="Times New Roman"/>
      <w:kern w:val="0"/>
      <w:sz w:val="20"/>
      <w:szCs w:val="20"/>
    </w:rPr>
  </w:style>
  <w:style w:type="paragraph" w:customStyle="1" w:styleId="133">
    <w:name w:val="样式 标题 2 + 宋体"/>
    <w:basedOn w:val="2"/>
    <w:qFormat/>
    <w:uiPriority w:val="99"/>
    <w:pPr>
      <w:jc w:val="center"/>
    </w:pPr>
    <w:rPr>
      <w:rFonts w:ascii="宋体" w:hAnsi="宋体" w:eastAsia="宋体"/>
      <w:kern w:val="0"/>
    </w:rPr>
  </w:style>
  <w:style w:type="paragraph" w:customStyle="1" w:styleId="134">
    <w:name w:val="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5">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136">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37">
    <w:name w:val="Char Char1 Char Char Char Char"/>
    <w:basedOn w:val="16"/>
    <w:qFormat/>
    <w:uiPriority w:val="99"/>
    <w:rPr>
      <w:rFonts w:ascii="Tahoma" w:hAnsi="Tahoma"/>
      <w:sz w:val="24"/>
    </w:rPr>
  </w:style>
  <w:style w:type="paragraph" w:customStyle="1" w:styleId="138">
    <w:name w:val="xl116"/>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39">
    <w:name w:val="文档正文"/>
    <w:basedOn w:val="1"/>
    <w:qFormat/>
    <w:uiPriority w:val="99"/>
    <w:pPr>
      <w:autoSpaceDE w:val="0"/>
      <w:autoSpaceDN w:val="0"/>
      <w:adjustRightInd w:val="0"/>
      <w:spacing w:line="240" w:lineRule="atLeast"/>
      <w:ind w:firstLine="567" w:firstLineChars="200"/>
    </w:pPr>
    <w:rPr>
      <w:rFonts w:ascii="Arial Narrow" w:hAnsi="Arial Narrow" w:eastAsia="宋体" w:cs="Arial"/>
      <w:sz w:val="24"/>
      <w:szCs w:val="24"/>
      <w:lang w:val="zh-CN"/>
    </w:rPr>
  </w:style>
  <w:style w:type="paragraph" w:customStyle="1" w:styleId="140">
    <w:name w:val="表格文字"/>
    <w:basedOn w:val="1"/>
    <w:qFormat/>
    <w:uiPriority w:val="99"/>
    <w:pPr>
      <w:spacing w:before="25" w:after="25" w:line="400" w:lineRule="exact"/>
      <w:ind w:firstLine="200" w:firstLineChars="200"/>
      <w:jc w:val="left"/>
    </w:pPr>
    <w:rPr>
      <w:rFonts w:ascii="Times New Roman" w:hAnsi="Times New Roman" w:eastAsia="宋体" w:cs="Times New Roman"/>
      <w:bCs/>
      <w:spacing w:val="10"/>
      <w:kern w:val="0"/>
      <w:sz w:val="24"/>
      <w:szCs w:val="20"/>
    </w:rPr>
  </w:style>
  <w:style w:type="paragraph" w:customStyle="1" w:styleId="141">
    <w:name w:val="xl94"/>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42">
    <w:name w:val="msonormalcxspmiddle"/>
    <w:basedOn w:val="1"/>
    <w:qFormat/>
    <w:uiPriority w:val="99"/>
    <w:pPr>
      <w:widowControl/>
      <w:spacing w:line="315" w:lineRule="atLeast"/>
      <w:ind w:firstLine="200" w:firstLineChars="200"/>
      <w:jc w:val="left"/>
    </w:pPr>
    <w:rPr>
      <w:rFonts w:ascii="inherit" w:hAnsi="inherit" w:eastAsia="微软雅黑" w:cs="宋体"/>
      <w:color w:val="323232"/>
      <w:kern w:val="0"/>
      <w:sz w:val="18"/>
      <w:szCs w:val="18"/>
    </w:rPr>
  </w:style>
  <w:style w:type="paragraph" w:customStyle="1" w:styleId="143">
    <w:name w:val="pic-info"/>
    <w:basedOn w:val="1"/>
    <w:qFormat/>
    <w:uiPriority w:val="99"/>
    <w:pPr>
      <w:widowControl/>
      <w:spacing w:before="100" w:beforeAutospacing="1" w:after="100" w:afterAutospacing="1" w:line="480" w:lineRule="exact"/>
      <w:ind w:firstLine="200" w:firstLineChars="200"/>
      <w:jc w:val="left"/>
    </w:pPr>
    <w:rPr>
      <w:rFonts w:ascii="宋体" w:hAnsi="宋体" w:eastAsia="微软雅黑" w:cs="宋体"/>
      <w:kern w:val="0"/>
      <w:sz w:val="24"/>
      <w:szCs w:val="24"/>
    </w:rPr>
  </w:style>
  <w:style w:type="paragraph" w:customStyle="1" w:styleId="144">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4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2"/>
    </w:rPr>
  </w:style>
  <w:style w:type="paragraph" w:customStyle="1" w:styleId="14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Times New Roman" w:hAnsi="Times New Roman" w:eastAsia="宋体" w:cs="Times New Roman"/>
      <w:kern w:val="0"/>
      <w:szCs w:val="21"/>
    </w:rPr>
  </w:style>
  <w:style w:type="paragraph" w:customStyle="1" w:styleId="147">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4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49">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0">
    <w:name w:val="Char Char Char Char Char Char Char Char Char Char"/>
    <w:basedOn w:val="1"/>
    <w:qFormat/>
    <w:uiPriority w:val="99"/>
    <w:pPr>
      <w:tabs>
        <w:tab w:val="left" w:pos="360"/>
      </w:tabs>
      <w:spacing w:line="400" w:lineRule="exact"/>
      <w:ind w:left="360" w:hanging="360" w:hangingChars="200"/>
    </w:pPr>
    <w:rPr>
      <w:rFonts w:ascii="Times New Roman" w:hAnsi="Times New Roman" w:eastAsia="宋体" w:cs="Times New Roman"/>
      <w:szCs w:val="20"/>
    </w:rPr>
  </w:style>
  <w:style w:type="paragraph" w:customStyle="1" w:styleId="151">
    <w:name w:val="表内文字"/>
    <w:basedOn w:val="1"/>
    <w:qFormat/>
    <w:uiPriority w:val="99"/>
    <w:pPr>
      <w:snapToGrid w:val="0"/>
      <w:spacing w:before="50" w:after="50" w:line="400" w:lineRule="exact"/>
      <w:ind w:firstLine="200" w:firstLineChars="200"/>
      <w:jc w:val="center"/>
    </w:pPr>
    <w:rPr>
      <w:rFonts w:ascii="仿宋_GB2312" w:hAnsi="宋体" w:eastAsia="仿宋_GB2312" w:cs="Times New Roman"/>
      <w:b/>
      <w:color w:val="000000"/>
      <w:sz w:val="32"/>
      <w:szCs w:val="32"/>
    </w:rPr>
  </w:style>
  <w:style w:type="paragraph" w:customStyle="1" w:styleId="15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153">
    <w:name w:val="Default"/>
    <w:qFormat/>
    <w:uiPriority w:val="99"/>
    <w:pPr>
      <w:widowControl w:val="0"/>
      <w:autoSpaceDE w:val="0"/>
      <w:autoSpaceDN w:val="0"/>
      <w:adjustRightInd w:val="0"/>
      <w:spacing w:line="400" w:lineRule="exact"/>
      <w:ind w:firstLine="200" w:firstLineChars="200"/>
      <w:jc w:val="both"/>
    </w:pPr>
    <w:rPr>
      <w:rFonts w:ascii="宋体" w:hAnsi="Calibri" w:eastAsia="宋体" w:cs="宋体"/>
      <w:color w:val="000000"/>
      <w:kern w:val="0"/>
      <w:sz w:val="24"/>
      <w:szCs w:val="24"/>
      <w:lang w:val="en-US" w:eastAsia="zh-CN" w:bidi="ar-SA"/>
    </w:rPr>
  </w:style>
  <w:style w:type="paragraph" w:customStyle="1" w:styleId="154">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color w:val="000000"/>
      <w:kern w:val="0"/>
      <w:szCs w:val="21"/>
    </w:rPr>
  </w:style>
  <w:style w:type="paragraph" w:customStyle="1" w:styleId="155">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6">
    <w:name w:val="Char Char Char1 Char"/>
    <w:basedOn w:val="1"/>
    <w:qFormat/>
    <w:uiPriority w:val="99"/>
    <w:pPr>
      <w:spacing w:line="400" w:lineRule="exact"/>
      <w:ind w:firstLine="200" w:firstLineChars="200"/>
    </w:pPr>
    <w:rPr>
      <w:rFonts w:ascii="Calibri" w:hAnsi="Calibri" w:eastAsia="宋体" w:cs="Times New Roman"/>
    </w:rPr>
  </w:style>
  <w:style w:type="paragraph" w:customStyle="1" w:styleId="15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9">
    <w:name w:val="Char"/>
    <w:basedOn w:val="16"/>
    <w:qFormat/>
    <w:uiPriority w:val="99"/>
    <w:pPr>
      <w:widowControl/>
      <w:ind w:firstLine="454"/>
      <w:jc w:val="left"/>
    </w:pPr>
    <w:rPr>
      <w:rFonts w:ascii="Tahoma" w:hAnsi="Tahoma" w:cs="宋体"/>
      <w:kern w:val="0"/>
      <w:sz w:val="24"/>
      <w:szCs w:val="20"/>
    </w:rPr>
  </w:style>
  <w:style w:type="paragraph" w:customStyle="1" w:styleId="160">
    <w:name w:val="xl75"/>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1">
    <w:name w:val="_Style 2"/>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2">
    <w:name w:val="xl11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3">
    <w:name w:val="xl8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64">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5">
    <w:name w:val="Char Char Char"/>
    <w:basedOn w:val="1"/>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66">
    <w:name w:val="List Paragraph1"/>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7">
    <w:name w:val="xl95"/>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8">
    <w:name w:val="xl65"/>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69">
    <w:name w:val="默认段落字体 Para Char Char Char Char Char Char Char Char Char1 Char Char Char Char"/>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0">
    <w:name w:val="投标文件1"/>
    <w:basedOn w:val="3"/>
    <w:qFormat/>
    <w:uiPriority w:val="99"/>
    <w:pPr>
      <w:jc w:val="both"/>
    </w:pPr>
    <w:rPr>
      <w:rFonts w:eastAsia="方正小标宋简体"/>
      <w:b w:val="0"/>
      <w:sz w:val="32"/>
      <w:szCs w:val="21"/>
    </w:rPr>
  </w:style>
  <w:style w:type="paragraph" w:customStyle="1" w:styleId="171">
    <w:name w:val="Char4"/>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2">
    <w:name w:val="xl90"/>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3">
    <w:name w:val="样式2"/>
    <w:basedOn w:val="5"/>
    <w:qFormat/>
    <w:uiPriority w:val="99"/>
    <w:rPr>
      <w:rFonts w:ascii="仿宋_GB2312" w:hAnsi="宋体" w:eastAsia="仿宋_GB2312" w:cs="宋体"/>
      <w:kern w:val="0"/>
      <w:sz w:val="24"/>
    </w:rPr>
  </w:style>
  <w:style w:type="paragraph" w:customStyle="1" w:styleId="174">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75">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76">
    <w:name w:val="xl97"/>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7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78">
    <w:name w:val="正文段"/>
    <w:basedOn w:val="1"/>
    <w:qFormat/>
    <w:uiPriority w:val="99"/>
    <w:pPr>
      <w:widowControl/>
      <w:snapToGrid w:val="0"/>
      <w:spacing w:afterLines="50" w:line="400" w:lineRule="exact"/>
      <w:ind w:firstLine="200" w:firstLineChars="200"/>
    </w:pPr>
    <w:rPr>
      <w:rFonts w:ascii="Times New Roman" w:hAnsi="Times New Roman" w:eastAsia="宋体" w:cs="Times New Roman"/>
      <w:kern w:val="0"/>
      <w:sz w:val="24"/>
      <w:szCs w:val="20"/>
    </w:rPr>
  </w:style>
  <w:style w:type="paragraph" w:customStyle="1" w:styleId="179">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180">
    <w:name w:val="xl93"/>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81">
    <w:name w:val="pa-5"/>
    <w:basedOn w:val="1"/>
    <w:qFormat/>
    <w:uiPriority w:val="99"/>
    <w:pPr>
      <w:widowControl/>
      <w:spacing w:before="150" w:after="150" w:line="400" w:lineRule="exact"/>
      <w:ind w:firstLine="200" w:firstLineChars="200"/>
      <w:jc w:val="left"/>
    </w:pPr>
    <w:rPr>
      <w:rFonts w:ascii="宋体" w:hAnsi="宋体" w:eastAsia="宋体" w:cs="宋体"/>
      <w:kern w:val="0"/>
      <w:sz w:val="24"/>
      <w:szCs w:val="24"/>
    </w:rPr>
  </w:style>
  <w:style w:type="paragraph" w:customStyle="1" w:styleId="18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183">
    <w:name w:val="font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84">
    <w:name w:val="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5">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86">
    <w:name w:val="unnamed1"/>
    <w:basedOn w:val="1"/>
    <w:qFormat/>
    <w:uiPriority w:val="99"/>
    <w:pPr>
      <w:widowControl/>
      <w:spacing w:before="100" w:beforeAutospacing="1" w:after="100" w:afterAutospacing="1" w:line="288" w:lineRule="auto"/>
      <w:ind w:firstLine="200" w:firstLineChars="200"/>
      <w:jc w:val="left"/>
    </w:pPr>
    <w:rPr>
      <w:rFonts w:ascii="宋体" w:hAnsi="宋体" w:eastAsia="宋体" w:cs="Times New Roman"/>
      <w:kern w:val="0"/>
      <w:szCs w:val="21"/>
    </w:rPr>
  </w:style>
  <w:style w:type="paragraph" w:customStyle="1" w:styleId="187">
    <w:name w:val="font10"/>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88">
    <w:name w:val="样式 标题 1 + 小二"/>
    <w:basedOn w:val="3"/>
    <w:qFormat/>
    <w:uiPriority w:val="99"/>
  </w:style>
  <w:style w:type="paragraph" w:customStyle="1" w:styleId="189">
    <w:name w:val="普通(网站)1"/>
    <w:basedOn w:val="1"/>
    <w:qFormat/>
    <w:uiPriority w:val="99"/>
    <w:pPr>
      <w:widowControl/>
      <w:snapToGrid w:val="0"/>
      <w:spacing w:before="100" w:beforeAutospacing="1" w:after="100" w:afterAutospacing="1" w:line="300" w:lineRule="auto"/>
      <w:ind w:firstLine="200" w:firstLineChars="200"/>
      <w:jc w:val="left"/>
    </w:pPr>
    <w:rPr>
      <w:rFonts w:ascii="宋体" w:hAnsi="宋体" w:eastAsia="微软雅黑" w:cs="Times New Roman"/>
      <w:sz w:val="24"/>
    </w:rPr>
  </w:style>
  <w:style w:type="paragraph" w:customStyle="1" w:styleId="190">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91">
    <w:name w:val="投标文件"/>
    <w:basedOn w:val="45"/>
    <w:qFormat/>
    <w:uiPriority w:val="99"/>
  </w:style>
  <w:style w:type="paragraph" w:customStyle="1" w:styleId="19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93">
    <w:name w:val="1"/>
    <w:basedOn w:val="1"/>
    <w:next w:val="26"/>
    <w:qFormat/>
    <w:uiPriority w:val="99"/>
    <w:pPr>
      <w:spacing w:line="400" w:lineRule="exact"/>
      <w:ind w:firstLine="200" w:firstLineChars="200"/>
    </w:pPr>
    <w:rPr>
      <w:rFonts w:ascii="宋体" w:hAnsi="Courier New" w:eastAsia="宋体" w:cs="Times New Roman"/>
      <w:szCs w:val="20"/>
    </w:rPr>
  </w:style>
  <w:style w:type="paragraph" w:customStyle="1" w:styleId="194">
    <w:name w:val="xl110"/>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95">
    <w:name w:val="样式 标题 3 + 四号"/>
    <w:basedOn w:val="4"/>
    <w:qFormat/>
    <w:uiPriority w:val="99"/>
    <w:pPr>
      <w:jc w:val="center"/>
    </w:pPr>
    <w:rPr>
      <w:rFonts w:ascii="Times New Roman" w:hAnsi="Times New Roman" w:cs="Times New Roman"/>
      <w:kern w:val="0"/>
      <w:sz w:val="28"/>
    </w:rPr>
  </w:style>
  <w:style w:type="paragraph" w:customStyle="1" w:styleId="196">
    <w:name w:val="gta-1"/>
    <w:basedOn w:val="1"/>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customStyle="1" w:styleId="19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4"/>
      <w:szCs w:val="24"/>
    </w:rPr>
  </w:style>
  <w:style w:type="paragraph" w:customStyle="1" w:styleId="198">
    <w:name w:val="默认段落字体 Para Char Char Char Char Char Char Char Char Char Char Char Char Char Char Char Char Char Char Char"/>
    <w:basedOn w:val="1"/>
    <w:qFormat/>
    <w:uiPriority w:val="99"/>
    <w:pPr>
      <w:spacing w:line="400" w:lineRule="exact"/>
      <w:ind w:firstLine="200" w:firstLineChars="200"/>
    </w:pPr>
    <w:rPr>
      <w:rFonts w:ascii="Calibri" w:hAnsi="Calibri" w:eastAsia="宋体" w:cs="Times New Roman"/>
    </w:rPr>
  </w:style>
  <w:style w:type="paragraph" w:customStyle="1" w:styleId="199">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0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2"/>
    </w:rPr>
  </w:style>
  <w:style w:type="paragraph" w:customStyle="1" w:styleId="201">
    <w:name w:val="font8"/>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color w:val="000000"/>
      <w:kern w:val="0"/>
      <w:sz w:val="22"/>
    </w:rPr>
  </w:style>
  <w:style w:type="paragraph" w:customStyle="1" w:styleId="202">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03">
    <w:name w:val="font5"/>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18"/>
      <w:szCs w:val="18"/>
    </w:rPr>
  </w:style>
  <w:style w:type="paragraph" w:customStyle="1" w:styleId="204">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5">
    <w:name w:val="font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0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7">
    <w:name w:val="font7"/>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9">
    <w:name w:val="xl6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0">
    <w:name w:val="xl6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1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2">
    <w:name w:val="Char Char Char Char Char Char Char Char"/>
    <w:basedOn w:val="1"/>
    <w:qFormat/>
    <w:uiPriority w:val="99"/>
    <w:pPr>
      <w:widowControl/>
      <w:spacing w:line="240" w:lineRule="exact"/>
      <w:ind w:firstLine="200" w:firstLineChars="200"/>
      <w:jc w:val="left"/>
    </w:pPr>
    <w:rPr>
      <w:rFonts w:ascii="Verdana" w:hAnsi="Verdana" w:eastAsia="宋体" w:cs="Times New Roman"/>
      <w:kern w:val="0"/>
      <w:sz w:val="20"/>
      <w:szCs w:val="20"/>
      <w:lang w:eastAsia="en-US"/>
    </w:rPr>
  </w:style>
  <w:style w:type="paragraph" w:customStyle="1" w:styleId="21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4">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5">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Times New Roman" w:hAnsi="Times New Roman" w:eastAsia="宋体" w:cs="Times New Roman"/>
      <w:kern w:val="0"/>
      <w:szCs w:val="21"/>
    </w:rPr>
  </w:style>
  <w:style w:type="paragraph" w:customStyle="1" w:styleId="217">
    <w:name w:val="xl13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8">
    <w:name w:val="xl122"/>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9">
    <w:name w:val="xl7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20">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21">
    <w:name w:val="xl12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22">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23">
    <w:name w:val="xl74"/>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6">
    <w:name w:val="浅色网格 - 强调文字颜色 32"/>
    <w:basedOn w:val="1"/>
    <w:qFormat/>
    <w:uiPriority w:val="99"/>
    <w:pPr>
      <w:spacing w:line="400" w:lineRule="exact"/>
      <w:ind w:firstLine="420" w:firstLineChars="200"/>
    </w:pPr>
    <w:rPr>
      <w:rFonts w:ascii="Calibri" w:hAnsi="Calibri" w:eastAsia="宋体" w:cs="Times New Roman"/>
    </w:rPr>
  </w:style>
  <w:style w:type="paragraph" w:customStyle="1" w:styleId="227">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2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229">
    <w:name w:val="xl13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0">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231">
    <w:name w:val="xl85"/>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2">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33">
    <w:name w:val="xl86"/>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4">
    <w:name w:val="正文 New New New New"/>
    <w:qFormat/>
    <w:uiPriority w:val="99"/>
    <w:pPr>
      <w:widowControl w:val="0"/>
      <w:spacing w:line="400" w:lineRule="exact"/>
      <w:ind w:firstLine="200" w:firstLineChars="200"/>
      <w:jc w:val="both"/>
    </w:pPr>
    <w:rPr>
      <w:rFonts w:ascii="Times New Roman" w:hAnsi="Times New Roman" w:eastAsia="宋体" w:cs="Times New Roman"/>
      <w:kern w:val="0"/>
      <w:sz w:val="20"/>
      <w:szCs w:val="24"/>
      <w:lang w:val="en-US" w:eastAsia="zh-CN" w:bidi="ar-SA"/>
    </w:rPr>
  </w:style>
  <w:style w:type="paragraph" w:customStyle="1" w:styleId="23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36">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37">
    <w:name w:val="xl87"/>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238">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39">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240">
    <w:name w:val="xl88"/>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1">
    <w:name w:val="xl91"/>
    <w:basedOn w:val="1"/>
    <w:qFormat/>
    <w:uiPriority w:val="99"/>
    <w:pPr>
      <w:widowControl/>
      <w:pBdr>
        <w:top w:val="single" w:color="auto" w:sz="8" w:space="0"/>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2">
    <w:name w:val="xl119"/>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3">
    <w:name w:val="xl96"/>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44">
    <w:name w:val="xl137"/>
    <w:basedOn w:val="1"/>
    <w:qFormat/>
    <w:uiPriority w:val="99"/>
    <w:pPr>
      <w:widowControl/>
      <w:pBdr>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45">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6">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7">
    <w:name w:val="列表段落2"/>
    <w:basedOn w:val="1"/>
    <w:qFormat/>
    <w:uiPriority w:val="99"/>
    <w:pPr>
      <w:spacing w:line="400" w:lineRule="exact"/>
      <w:ind w:firstLine="420" w:firstLineChars="200"/>
    </w:pPr>
    <w:rPr>
      <w:rFonts w:ascii="Calibri" w:hAnsi="Calibri" w:eastAsia="宋体" w:cs="Times New Roman"/>
    </w:rPr>
  </w:style>
  <w:style w:type="paragraph" w:customStyle="1" w:styleId="248">
    <w:name w:val="xl104"/>
    <w:basedOn w:val="1"/>
    <w:qFormat/>
    <w:uiPriority w:val="99"/>
    <w:pPr>
      <w:widowControl/>
      <w:pBdr>
        <w:bottom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4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0">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18"/>
      <w:szCs w:val="18"/>
    </w:rPr>
  </w:style>
  <w:style w:type="paragraph" w:customStyle="1" w:styleId="251">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52">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53">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4">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55">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6">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7">
    <w:name w:val="p18"/>
    <w:basedOn w:val="1"/>
    <w:qFormat/>
    <w:uiPriority w:val="99"/>
    <w:pPr>
      <w:widowControl/>
    </w:pPr>
    <w:rPr>
      <w:rFonts w:ascii="宋体" w:hAnsi="宋体" w:eastAsia="宋体" w:cs="宋体"/>
      <w:kern w:val="0"/>
      <w:szCs w:val="21"/>
    </w:rPr>
  </w:style>
  <w:style w:type="paragraph" w:customStyle="1" w:styleId="258">
    <w:name w:val="custom_unionsty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59">
    <w:name w:val="目录标题 字符"/>
    <w:link w:val="260"/>
    <w:qFormat/>
    <w:locked/>
    <w:uiPriority w:val="0"/>
    <w:rPr>
      <w:rFonts w:ascii="方正小标宋_GBK" w:eastAsia="方正小标宋_GBK"/>
      <w:b/>
      <w:sz w:val="24"/>
      <w:szCs w:val="24"/>
    </w:rPr>
  </w:style>
  <w:style w:type="paragraph" w:customStyle="1" w:styleId="260">
    <w:name w:val="目录标题"/>
    <w:link w:val="259"/>
    <w:qFormat/>
    <w:uiPriority w:val="0"/>
    <w:pPr>
      <w:tabs>
        <w:tab w:val="right" w:leader="dot" w:pos="9683"/>
      </w:tabs>
      <w:spacing w:line="360" w:lineRule="auto"/>
    </w:pPr>
    <w:rPr>
      <w:rFonts w:ascii="方正小标宋_GBK" w:eastAsia="方正小标宋_GBK" w:hAnsiTheme="minorHAnsi" w:cstheme="minorBidi"/>
      <w:b/>
      <w:kern w:val="2"/>
      <w:sz w:val="24"/>
      <w:szCs w:val="24"/>
      <w:lang w:val="en-US" w:eastAsia="zh-CN" w:bidi="ar-SA"/>
    </w:rPr>
  </w:style>
  <w:style w:type="paragraph" w:customStyle="1" w:styleId="261">
    <w:name w:val="_Style 8"/>
    <w:basedOn w:val="16"/>
    <w:qFormat/>
    <w:uiPriority w:val="99"/>
    <w:pPr>
      <w:widowControl/>
      <w:spacing w:line="240" w:lineRule="auto"/>
      <w:ind w:firstLine="454" w:firstLineChars="0"/>
      <w:jc w:val="left"/>
    </w:pPr>
  </w:style>
  <w:style w:type="character" w:customStyle="1" w:styleId="262">
    <w:name w:val="Heading 1 Char"/>
    <w:qFormat/>
    <w:locked/>
    <w:uiPriority w:val="0"/>
    <w:rPr>
      <w:rFonts w:hint="default" w:ascii="Arial" w:hAnsi="Arial" w:eastAsia="宋体" w:cs="Arial"/>
      <w:b/>
      <w:bCs/>
      <w:kern w:val="44"/>
      <w:sz w:val="28"/>
      <w:szCs w:val="44"/>
      <w:lang w:val="zh-CN" w:eastAsia="zh-CN" w:bidi="ar-SA"/>
    </w:rPr>
  </w:style>
  <w:style w:type="character" w:customStyle="1" w:styleId="263">
    <w:name w:val="headline-content"/>
    <w:qFormat/>
    <w:uiPriority w:val="0"/>
  </w:style>
  <w:style w:type="character" w:customStyle="1" w:styleId="264">
    <w:name w:val="Char Char20"/>
    <w:qFormat/>
    <w:locked/>
    <w:uiPriority w:val="0"/>
    <w:rPr>
      <w:rFonts w:hint="eastAsia" w:ascii="微软雅黑" w:hAnsi="微软雅黑" w:eastAsia="微软雅黑"/>
      <w:b/>
      <w:bCs/>
      <w:szCs w:val="32"/>
      <w:lang w:bidi="ar-SA"/>
    </w:rPr>
  </w:style>
  <w:style w:type="character" w:customStyle="1" w:styleId="265">
    <w:name w:val="Char Char13"/>
    <w:qFormat/>
    <w:locked/>
    <w:uiPriority w:val="0"/>
    <w:rPr>
      <w:rFonts w:hint="eastAsia" w:ascii="微软雅黑" w:hAnsi="微软雅黑" w:eastAsia="微软雅黑"/>
      <w:b/>
      <w:bCs/>
      <w:lang w:bidi="ar-SA"/>
    </w:rPr>
  </w:style>
  <w:style w:type="character" w:customStyle="1" w:styleId="266">
    <w:name w:val="ca-102"/>
    <w:qFormat/>
    <w:uiPriority w:val="0"/>
  </w:style>
  <w:style w:type="character" w:customStyle="1" w:styleId="267">
    <w:name w:val="style31"/>
    <w:qFormat/>
    <w:uiPriority w:val="0"/>
    <w:rPr>
      <w:b/>
      <w:bCs/>
      <w:color w:val="FFFFFF"/>
    </w:rPr>
  </w:style>
  <w:style w:type="character" w:customStyle="1" w:styleId="268">
    <w:name w:val="列出段落字符"/>
    <w:qFormat/>
    <w:locked/>
    <w:uiPriority w:val="0"/>
    <w:rPr>
      <w:rFonts w:hint="default" w:ascii="Calibri" w:hAnsi="Calibri" w:eastAsia="宋体" w:cs="黑体"/>
      <w:kern w:val="2"/>
      <w:sz w:val="24"/>
      <w:szCs w:val="24"/>
      <w:lang w:val="en-US" w:eastAsia="zh-CN" w:bidi="ar-SA"/>
    </w:rPr>
  </w:style>
  <w:style w:type="character" w:customStyle="1" w:styleId="269">
    <w:name w:val="font21"/>
    <w:qFormat/>
    <w:uiPriority w:val="0"/>
    <w:rPr>
      <w:rFonts w:hint="eastAsia" w:ascii="宋体" w:hAnsi="宋体" w:eastAsia="宋体" w:cs="宋体"/>
      <w:color w:val="000000"/>
      <w:sz w:val="20"/>
      <w:szCs w:val="20"/>
      <w:u w:val="none"/>
    </w:rPr>
  </w:style>
  <w:style w:type="character" w:customStyle="1" w:styleId="270">
    <w:name w:val="Char Char21"/>
    <w:qFormat/>
    <w:locked/>
    <w:uiPriority w:val="0"/>
    <w:rPr>
      <w:rFonts w:hint="default" w:ascii="Arial" w:hAnsi="Arial" w:eastAsia="微软雅黑" w:cs="Arial"/>
      <w:b/>
      <w:sz w:val="28"/>
      <w:szCs w:val="28"/>
      <w:lang w:bidi="ar-SA"/>
    </w:rPr>
  </w:style>
  <w:style w:type="character" w:customStyle="1" w:styleId="271">
    <w:name w:val="Char Char6"/>
    <w:qFormat/>
    <w:locked/>
    <w:uiPriority w:val="0"/>
    <w:rPr>
      <w:sz w:val="18"/>
      <w:szCs w:val="18"/>
      <w:lang w:bidi="ar-SA"/>
    </w:rPr>
  </w:style>
  <w:style w:type="character" w:customStyle="1" w:styleId="272">
    <w:name w:val="普通文字 Char Char3"/>
    <w:qFormat/>
    <w:locked/>
    <w:uiPriority w:val="0"/>
    <w:rPr>
      <w:rFonts w:hint="eastAsia" w:ascii="宋体" w:hAnsi="Courier New" w:eastAsia="宋体" w:cs="Courier New"/>
      <w:kern w:val="2"/>
      <w:sz w:val="21"/>
      <w:szCs w:val="21"/>
      <w:lang w:val="en-US" w:eastAsia="zh-CN" w:bidi="ar-SA"/>
    </w:rPr>
  </w:style>
  <w:style w:type="character" w:customStyle="1" w:styleId="273">
    <w:name w:val="ca-1"/>
    <w:qFormat/>
    <w:uiPriority w:val="0"/>
  </w:style>
  <w:style w:type="character" w:customStyle="1" w:styleId="274">
    <w:name w:val="Char Char1"/>
    <w:qFormat/>
    <w:uiPriority w:val="0"/>
    <w:rPr>
      <w:rFonts w:hint="eastAsia" w:ascii="宋体" w:hAnsi="宋体" w:eastAsia="宋体"/>
      <w:kern w:val="2"/>
      <w:sz w:val="18"/>
      <w:szCs w:val="18"/>
      <w:lang w:val="en-US" w:eastAsia="zh-CN" w:bidi="ar-SA"/>
    </w:rPr>
  </w:style>
  <w:style w:type="character" w:customStyle="1" w:styleId="275">
    <w:name w:val="font41"/>
    <w:qFormat/>
    <w:uiPriority w:val="0"/>
    <w:rPr>
      <w:rFonts w:hint="default" w:ascii="Bosch Office Sans" w:hAnsi="Bosch Office Sans" w:cs="Bosch Office Sans"/>
      <w:color w:val="000000"/>
      <w:sz w:val="20"/>
      <w:szCs w:val="20"/>
      <w:u w:val="none"/>
    </w:rPr>
  </w:style>
  <w:style w:type="character" w:customStyle="1" w:styleId="276">
    <w:name w:val="highlight1"/>
    <w:qFormat/>
    <w:uiPriority w:val="0"/>
    <w:rPr>
      <w:color w:val="DB4F33"/>
    </w:rPr>
  </w:style>
  <w:style w:type="character" w:customStyle="1" w:styleId="277">
    <w:name w:val="char"/>
    <w:qFormat/>
    <w:uiPriority w:val="0"/>
  </w:style>
  <w:style w:type="character" w:customStyle="1" w:styleId="278">
    <w:name w:val="ca-2"/>
    <w:qFormat/>
    <w:uiPriority w:val="0"/>
  </w:style>
  <w:style w:type="character" w:customStyle="1" w:styleId="279">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280">
    <w:name w:val="GTA标题3 Char"/>
    <w:qFormat/>
    <w:uiPriority w:val="0"/>
    <w:rPr>
      <w:rFonts w:hint="default" w:ascii="Arial" w:hAnsi="Arial" w:eastAsia="黑体" w:cs="Arial"/>
      <w:bCs/>
      <w:kern w:val="2"/>
      <w:sz w:val="24"/>
      <w:szCs w:val="24"/>
    </w:rPr>
  </w:style>
  <w:style w:type="character" w:customStyle="1" w:styleId="281">
    <w:name w:val="txet31"/>
    <w:qFormat/>
    <w:uiPriority w:val="0"/>
    <w:rPr>
      <w:rFonts w:hint="default" w:ascii="Times New Roman" w:hAnsi="Times New Roman" w:cs="Times New Roman"/>
      <w:color w:val="333333"/>
      <w:sz w:val="18"/>
      <w:szCs w:val="18"/>
      <w:u w:val="none"/>
    </w:rPr>
  </w:style>
  <w:style w:type="character" w:customStyle="1" w:styleId="282">
    <w:name w:val="GTA标题2 Char"/>
    <w:qFormat/>
    <w:uiPriority w:val="0"/>
    <w:rPr>
      <w:rFonts w:hint="default" w:ascii="Arial" w:hAnsi="Arial" w:eastAsia="黑体" w:cs="Arial"/>
      <w:bCs/>
      <w:kern w:val="2"/>
      <w:sz w:val="30"/>
      <w:szCs w:val="30"/>
    </w:rPr>
  </w:style>
  <w:style w:type="character" w:customStyle="1" w:styleId="283">
    <w:name w:val="Char Char22"/>
    <w:qFormat/>
    <w:locked/>
    <w:uiPriority w:val="0"/>
    <w:rPr>
      <w:rFonts w:hint="eastAsia" w:ascii="微软雅黑" w:hAnsi="微软雅黑" w:eastAsia="微软雅黑"/>
      <w:b/>
      <w:bCs/>
      <w:kern w:val="44"/>
      <w:sz w:val="36"/>
      <w:szCs w:val="36"/>
      <w:lang w:bidi="ar-SA"/>
    </w:rPr>
  </w:style>
  <w:style w:type="character" w:customStyle="1" w:styleId="284">
    <w:name w:val="Header Char"/>
    <w:qFormat/>
    <w:locked/>
    <w:uiPriority w:val="0"/>
    <w:rPr>
      <w:rFonts w:hint="default" w:ascii="Cambria" w:hAnsi="Cambria" w:eastAsia="宋体"/>
      <w:kern w:val="2"/>
      <w:sz w:val="18"/>
      <w:szCs w:val="18"/>
      <w:lang w:val="en-US" w:eastAsia="zh-CN" w:bidi="ar-SA"/>
    </w:rPr>
  </w:style>
  <w:style w:type="character" w:customStyle="1" w:styleId="285">
    <w:name w:val="con"/>
    <w:qFormat/>
    <w:uiPriority w:val="0"/>
  </w:style>
  <w:style w:type="character" w:customStyle="1" w:styleId="286">
    <w:name w:val="apple-style-span"/>
    <w:qFormat/>
    <w:uiPriority w:val="0"/>
  </w:style>
  <w:style w:type="character" w:customStyle="1" w:styleId="287">
    <w:name w:val="GTA正文-2 Char Char"/>
    <w:qFormat/>
    <w:locked/>
    <w:uiPriority w:val="0"/>
    <w:rPr>
      <w:rFonts w:hint="default" w:ascii="Arial" w:hAnsi="Arial" w:eastAsia="微软雅黑" w:cs="Arial"/>
      <w:sz w:val="24"/>
    </w:rPr>
  </w:style>
  <w:style w:type="character" w:customStyle="1" w:styleId="288">
    <w:name w:val="Heading 3 Char"/>
    <w:qFormat/>
    <w:locked/>
    <w:uiPriority w:val="0"/>
    <w:rPr>
      <w:rFonts w:hint="default" w:ascii="Cambria" w:hAnsi="Cambria" w:eastAsia="宋体"/>
      <w:b/>
      <w:bCs/>
      <w:kern w:val="2"/>
      <w:sz w:val="24"/>
      <w:szCs w:val="32"/>
      <w:lang w:val="en-US" w:eastAsia="zh-CN" w:bidi="ar-SA"/>
    </w:rPr>
  </w:style>
  <w:style w:type="character" w:customStyle="1" w:styleId="289">
    <w:name w:val="书籍标题1"/>
    <w:qFormat/>
    <w:uiPriority w:val="0"/>
    <w:rPr>
      <w:b/>
      <w:bCs/>
      <w:smallCaps/>
      <w:spacing w:val="5"/>
    </w:rPr>
  </w:style>
  <w:style w:type="character" w:customStyle="1" w:styleId="290">
    <w:name w:val="apple-converted-space"/>
    <w:qFormat/>
    <w:uiPriority w:val="0"/>
  </w:style>
  <w:style w:type="character" w:customStyle="1" w:styleId="291">
    <w:name w:val="批注文字 Char1"/>
    <w:qFormat/>
    <w:uiPriority w:val="0"/>
    <w:rPr>
      <w:kern w:val="2"/>
      <w:sz w:val="21"/>
      <w:szCs w:val="24"/>
    </w:rPr>
  </w:style>
  <w:style w:type="character" w:customStyle="1" w:styleId="292">
    <w:name w:val="font51"/>
    <w:qFormat/>
    <w:uiPriority w:val="0"/>
    <w:rPr>
      <w:rFonts w:hint="default" w:ascii="Bosch Office Sans" w:hAnsi="Bosch Office Sans" w:cs="Bosch Office Sans"/>
      <w:color w:val="000000"/>
      <w:sz w:val="20"/>
      <w:szCs w:val="20"/>
      <w:u w:val="none"/>
    </w:rPr>
  </w:style>
  <w:style w:type="character" w:customStyle="1" w:styleId="293">
    <w:name w:val="明显引用字符1"/>
    <w:qFormat/>
    <w:uiPriority w:val="0"/>
    <w:rPr>
      <w:rFonts w:hint="default" w:ascii="Times New Roman" w:hAnsi="Times New Roman" w:eastAsia="微软雅黑" w:cs="Times New Roman"/>
      <w:i/>
      <w:iCs/>
      <w:color w:val="5B9BD5"/>
    </w:rPr>
  </w:style>
  <w:style w:type="character" w:customStyle="1" w:styleId="294">
    <w:name w:val="GTA标题4 Char"/>
    <w:qFormat/>
    <w:uiPriority w:val="0"/>
    <w:rPr>
      <w:rFonts w:hint="default" w:ascii="Arial" w:hAnsi="Arial" w:eastAsia="仿宋_GB2312" w:cs="Arial"/>
      <w:b/>
      <w:bCs/>
      <w:kern w:val="2"/>
      <w:sz w:val="24"/>
      <w:szCs w:val="24"/>
    </w:rPr>
  </w:style>
  <w:style w:type="character" w:customStyle="1" w:styleId="295">
    <w:name w:val="font31"/>
    <w:qFormat/>
    <w:uiPriority w:val="0"/>
    <w:rPr>
      <w:rFonts w:hint="eastAsia" w:ascii="宋体" w:hAnsi="宋体" w:eastAsia="宋体" w:cs="宋体"/>
      <w:color w:val="000000"/>
      <w:sz w:val="20"/>
      <w:szCs w:val="20"/>
      <w:u w:val="none"/>
    </w:rPr>
  </w:style>
  <w:style w:type="character" w:customStyle="1" w:styleId="296">
    <w:name w:val="普通文字 Char Char1"/>
    <w:qFormat/>
    <w:locked/>
    <w:uiPriority w:val="0"/>
    <w:rPr>
      <w:rFonts w:hint="eastAsia" w:ascii="宋体" w:hAnsi="Courier New" w:eastAsia="宋体" w:cs="Courier New"/>
      <w:kern w:val="2"/>
      <w:sz w:val="21"/>
      <w:szCs w:val="21"/>
      <w:lang w:val="en-US" w:eastAsia="zh-CN" w:bidi="ar-SA"/>
    </w:rPr>
  </w:style>
  <w:style w:type="character" w:customStyle="1" w:styleId="297">
    <w:name w:val="Char Char8"/>
    <w:qFormat/>
    <w:locked/>
    <w:uiPriority w:val="0"/>
    <w:rPr>
      <w:rFonts w:hint="eastAsia" w:ascii="宋体" w:hAnsi="宋体" w:eastAsia="宋体"/>
      <w:kern w:val="2"/>
      <w:sz w:val="21"/>
      <w:szCs w:val="24"/>
      <w:lang w:val="en-US" w:eastAsia="zh-CN" w:bidi="ar-SA"/>
    </w:rPr>
  </w:style>
  <w:style w:type="character" w:customStyle="1" w:styleId="298">
    <w:name w:val="Char Char3"/>
    <w:qFormat/>
    <w:locked/>
    <w:uiPriority w:val="0"/>
    <w:rPr>
      <w:sz w:val="18"/>
      <w:szCs w:val="18"/>
      <w:lang w:bidi="ar-SA"/>
    </w:rPr>
  </w:style>
  <w:style w:type="character" w:customStyle="1" w:styleId="299">
    <w:name w:val="ca-92"/>
    <w:qFormat/>
    <w:uiPriority w:val="0"/>
  </w:style>
  <w:style w:type="character" w:customStyle="1" w:styleId="300">
    <w:name w:val="Footer Char"/>
    <w:qFormat/>
    <w:locked/>
    <w:uiPriority w:val="0"/>
    <w:rPr>
      <w:rFonts w:hint="default" w:ascii="Cambria" w:hAnsi="Cambria" w:eastAsia="宋体"/>
      <w:kern w:val="2"/>
      <w:sz w:val="18"/>
      <w:szCs w:val="18"/>
      <w:lang w:val="en-US" w:eastAsia="zh-CN" w:bidi="ar-SA"/>
    </w:rPr>
  </w:style>
  <w:style w:type="character" w:customStyle="1" w:styleId="301">
    <w:name w:val="Char Char4"/>
    <w:qFormat/>
    <w:uiPriority w:val="0"/>
    <w:rPr>
      <w:rFonts w:hint="eastAsia" w:ascii="宋体" w:hAnsi="宋体" w:eastAsia="宋体"/>
      <w:kern w:val="2"/>
      <w:sz w:val="21"/>
      <w:szCs w:val="24"/>
      <w:lang w:val="en-US" w:eastAsia="zh-CN" w:bidi="ar-SA"/>
    </w:rPr>
  </w:style>
  <w:style w:type="character" w:customStyle="1" w:styleId="302">
    <w:name w:val="ca-72"/>
    <w:qFormat/>
    <w:uiPriority w:val="0"/>
  </w:style>
  <w:style w:type="character" w:customStyle="1" w:styleId="303">
    <w:name w:val="特点1"/>
    <w:qFormat/>
    <w:uiPriority w:val="0"/>
  </w:style>
  <w:style w:type="character" w:customStyle="1" w:styleId="304">
    <w:name w:val="GTA正文-1 Char Char"/>
    <w:qFormat/>
    <w:locked/>
    <w:uiPriority w:val="0"/>
    <w:rPr>
      <w:rFonts w:hint="default" w:ascii="Arial" w:hAnsi="Arial" w:eastAsia="微软雅黑" w:cs="Arial"/>
      <w:sz w:val="24"/>
    </w:rPr>
  </w:style>
  <w:style w:type="character" w:customStyle="1" w:styleId="305">
    <w:name w:val="明显强调1"/>
    <w:qFormat/>
    <w:uiPriority w:val="0"/>
    <w:rPr>
      <w:b/>
      <w:bCs/>
      <w:i/>
      <w:iCs/>
      <w:color w:val="4F81BD"/>
    </w:rPr>
  </w:style>
  <w:style w:type="character" w:customStyle="1" w:styleId="306">
    <w:name w:val="Char Char5"/>
    <w:qFormat/>
    <w:locked/>
    <w:uiPriority w:val="0"/>
    <w:rPr>
      <w:rFonts w:hint="eastAsia" w:ascii="宋体" w:hAnsi="宋体" w:eastAsia="宋体"/>
      <w:sz w:val="18"/>
      <w:szCs w:val="18"/>
      <w:lang w:bidi="ar-SA"/>
    </w:rPr>
  </w:style>
  <w:style w:type="character" w:customStyle="1" w:styleId="307">
    <w:name w:val="Char Char19"/>
    <w:qFormat/>
    <w:locked/>
    <w:uiPriority w:val="0"/>
    <w:rPr>
      <w:rFonts w:hint="default" w:ascii="Arial" w:hAnsi="Arial" w:eastAsia="微软雅黑" w:cs="Arial"/>
      <w:b/>
      <w:bCs/>
      <w:color w:val="0070C0"/>
      <w:szCs w:val="28"/>
      <w:lang w:bidi="ar-SA"/>
    </w:rPr>
  </w:style>
  <w:style w:type="character" w:customStyle="1" w:styleId="308">
    <w:name w:val="Char Char2"/>
    <w:qFormat/>
    <w:locked/>
    <w:uiPriority w:val="0"/>
    <w:rPr>
      <w:rFonts w:hint="default" w:ascii="Calibri" w:hAnsi="Calibri" w:eastAsia="宋体" w:cs="黑体"/>
      <w:kern w:val="2"/>
      <w:sz w:val="24"/>
      <w:szCs w:val="24"/>
      <w:lang w:val="en-US" w:eastAsia="zh-CN" w:bidi="ar-SA"/>
    </w:rPr>
  </w:style>
  <w:style w:type="character" w:customStyle="1" w:styleId="309">
    <w:name w:val="Heading 2 Char"/>
    <w:qFormat/>
    <w:locked/>
    <w:uiPriority w:val="0"/>
    <w:rPr>
      <w:rFonts w:hint="default" w:ascii="Calibri" w:hAnsi="Calibri" w:eastAsia="宋体" w:cs="Calibri"/>
      <w:b/>
      <w:bCs/>
      <w:kern w:val="2"/>
      <w:sz w:val="24"/>
      <w:szCs w:val="32"/>
      <w:lang w:val="en-US" w:eastAsia="zh-CN" w:bidi="ar-SA"/>
    </w:rPr>
  </w:style>
  <w:style w:type="character" w:customStyle="1" w:styleId="310">
    <w:name w:val="st1"/>
    <w:qFormat/>
    <w:uiPriority w:val="0"/>
  </w:style>
  <w:style w:type="character" w:customStyle="1" w:styleId="311">
    <w:name w:val="font11"/>
    <w:qFormat/>
    <w:uiPriority w:val="0"/>
    <w:rPr>
      <w:rFonts w:hint="eastAsia" w:ascii="宋体" w:hAnsi="宋体" w:eastAsia="宋体" w:cs="宋体"/>
      <w:color w:val="000000"/>
      <w:sz w:val="20"/>
      <w:szCs w:val="20"/>
      <w:u w:val="none"/>
    </w:rPr>
  </w:style>
  <w:style w:type="character" w:customStyle="1" w:styleId="312">
    <w:name w:val="纯文本 Char"/>
    <w:qFormat/>
    <w:uiPriority w:val="0"/>
    <w:rPr>
      <w:rFonts w:hint="eastAsia" w:ascii="宋体" w:hAnsi="Courier New" w:eastAsia="宋体"/>
    </w:rPr>
  </w:style>
  <w:style w:type="character" w:customStyle="1" w:styleId="313">
    <w:name w:val="纯文本 Char2"/>
    <w:qFormat/>
    <w:uiPriority w:val="0"/>
    <w:rPr>
      <w:rFonts w:hint="eastAsia" w:ascii="宋体" w:hAnsi="Courier New" w:eastAsia="宋体" w:cs="Courier New"/>
      <w:kern w:val="2"/>
      <w:sz w:val="21"/>
      <w:szCs w:val="21"/>
      <w:lang w:val="en-US" w:eastAsia="zh-CN" w:bidi="ar-SA"/>
    </w:rPr>
  </w:style>
  <w:style w:type="character" w:customStyle="1" w:styleId="314">
    <w:name w:val="列出段落 Char"/>
    <w:qFormat/>
    <w:locked/>
    <w:uiPriority w:val="0"/>
    <w:rPr>
      <w:kern w:val="2"/>
      <w:sz w:val="21"/>
      <w:szCs w:val="22"/>
    </w:rPr>
  </w:style>
  <w:style w:type="character" w:customStyle="1" w:styleId="315">
    <w:name w:val="纯文本 Char3"/>
    <w:qFormat/>
    <w:uiPriority w:val="0"/>
    <w:rPr>
      <w:rFonts w:hint="eastAsia" w:ascii="宋体" w:hAnsi="Courier New" w:eastAsia="宋体" w:cs="Courier New"/>
      <w:kern w:val="2"/>
      <w:sz w:val="21"/>
      <w:szCs w:val="21"/>
      <w:lang w:val="en-US" w:eastAsia="zh-CN" w:bidi="ar-SA"/>
    </w:rPr>
  </w:style>
  <w:style w:type="table" w:customStyle="1" w:styleId="316">
    <w:name w:val="网格型2"/>
    <w:basedOn w:val="4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34972</Words>
  <Characters>37636</Characters>
  <Lines>263</Lines>
  <Paragraphs>74</Paragraphs>
  <TotalTime>1</TotalTime>
  <ScaleCrop>false</ScaleCrop>
  <LinksUpToDate>false</LinksUpToDate>
  <CharactersWithSpaces>39599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2024-07-25T03:57:00Z</dcterms:created>
  <dc:creator>Qian Huang</dc:creator>
  <cp:lastModifiedBy>Lenovo</cp:lastModifiedBy>
  <cp:lastPrinted>2026-04-10T06:46:19Z</cp:lastPrinted>
  <dcterms:modified xsi:type="dcterms:W3CDTF">2026-04-10T07:19:47Z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B3DA75F809324798ABA28E0174C627E7</vt:lpwstr>
  </property>
  <property fmtid="{D5CDD505-2E9C-101B-9397-08002B2CF9AE}" pid="4" name="KSOTemplateDocerSaveRecord">
    <vt:lpwstr>eyJoZGlkIjoiNzgxZmYwYjY4MGJjMDZkNjFmZDFlYjcxZDE2MDAxYTMiLCJ1c2VySWQiOiI0NDU4MTgyNDcifQ==</vt:lpwstr>
  </property>
</Properties>
</file>