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1FB39">
      <w:pPr>
        <w:spacing w:before="240" w:beforeLines="100" w:after="120" w:afterLines="50" w:line="600" w:lineRule="exact"/>
        <w:jc w:val="center"/>
        <w:rPr>
          <w:rFonts w:ascii="微软雅黑" w:hAnsi="宋体" w:eastAsia="微软雅黑"/>
          <w:color w:val="auto"/>
          <w:sz w:val="52"/>
          <w:szCs w:val="52"/>
        </w:rPr>
      </w:pPr>
    </w:p>
    <w:p w14:paraId="403FA647">
      <w:pPr>
        <w:spacing w:line="360" w:lineRule="auto"/>
        <w:jc w:val="center"/>
        <w:rPr>
          <w:rFonts w:hint="eastAsia" w:ascii="微软雅黑" w:hAnsi="微软雅黑" w:eastAsia="微软雅黑" w:cs="微软雅黑"/>
          <w:b/>
          <w:bCs/>
          <w:color w:val="auto"/>
          <w:sz w:val="52"/>
          <w:szCs w:val="52"/>
          <w:lang w:eastAsia="zh-CN"/>
        </w:rPr>
      </w:pPr>
      <w:r>
        <w:rPr>
          <w:rFonts w:hint="eastAsia" w:ascii="宋体" w:hAnsi="宋体" w:eastAsia="宋体" w:cs="宋体"/>
          <w:b/>
          <w:bCs/>
          <w:color w:val="auto"/>
          <w:sz w:val="52"/>
          <w:szCs w:val="52"/>
          <w:lang w:eastAsia="zh-CN"/>
        </w:rPr>
        <w:t>广西亿正工程咨询有限公司</w:t>
      </w:r>
    </w:p>
    <w:p w14:paraId="64DAD333">
      <w:pPr>
        <w:spacing w:before="120" w:beforeLines="50" w:line="360" w:lineRule="auto"/>
        <w:jc w:val="center"/>
        <w:rPr>
          <w:rFonts w:ascii="宋体" w:hAnsi="宋体"/>
          <w:color w:val="auto"/>
          <w:sz w:val="52"/>
          <w:szCs w:val="52"/>
        </w:rPr>
      </w:pPr>
    </w:p>
    <w:p w14:paraId="39E52A76">
      <w:pPr>
        <w:spacing w:line="360" w:lineRule="auto"/>
        <w:jc w:val="center"/>
        <w:rPr>
          <w:rFonts w:ascii="微软雅黑" w:hAnsi="微软雅黑" w:eastAsia="微软雅黑" w:cs="微软雅黑"/>
          <w:b/>
          <w:color w:val="auto"/>
          <w:sz w:val="44"/>
          <w:szCs w:val="44"/>
        </w:rPr>
      </w:pPr>
      <w:bookmarkStart w:id="145" w:name="_GoBack"/>
      <w:bookmarkEnd w:id="145"/>
    </w:p>
    <w:p w14:paraId="279AD007">
      <w:pPr>
        <w:spacing w:line="360" w:lineRule="auto"/>
        <w:jc w:val="center"/>
        <w:rPr>
          <w:rFonts w:ascii="微软雅黑" w:hAnsi="微软雅黑" w:eastAsia="微软雅黑" w:cs="微软雅黑"/>
          <w:b/>
          <w:color w:val="auto"/>
          <w:sz w:val="44"/>
          <w:szCs w:val="44"/>
        </w:rPr>
      </w:pPr>
    </w:p>
    <w:p w14:paraId="792B6A3E">
      <w:pPr>
        <w:snapToGrid w:val="0"/>
        <w:spacing w:before="120" w:beforeLines="50" w:line="360" w:lineRule="auto"/>
        <w:jc w:val="center"/>
        <w:rPr>
          <w:rFonts w:ascii="华文新魏" w:hAnsi="宋体" w:eastAsia="华文新魏"/>
          <w:color w:val="auto"/>
          <w:sz w:val="72"/>
          <w:szCs w:val="72"/>
        </w:rPr>
      </w:pPr>
      <w:r>
        <w:rPr>
          <w:rFonts w:hint="eastAsia" w:ascii="华文新魏" w:hAnsi="宋体" w:eastAsia="华文新魏"/>
          <w:color w:val="auto"/>
          <w:sz w:val="120"/>
          <w:szCs w:val="120"/>
        </w:rPr>
        <w:t>招 标 文 件</w:t>
      </w:r>
    </w:p>
    <w:p w14:paraId="1197B43A">
      <w:pPr>
        <w:snapToGrid w:val="0"/>
        <w:spacing w:before="120" w:beforeLines="50" w:line="360" w:lineRule="auto"/>
        <w:jc w:val="center"/>
        <w:rPr>
          <w:rFonts w:ascii="仿宋_GB2312" w:hAnsi="宋体" w:eastAsia="仿宋_GB2312"/>
          <w:b/>
          <w:color w:val="auto"/>
          <w:sz w:val="48"/>
          <w:szCs w:val="48"/>
        </w:rPr>
      </w:pPr>
      <w:r>
        <w:rPr>
          <w:rFonts w:hint="eastAsia" w:ascii="仿宋_GB2312" w:hAnsi="宋体" w:eastAsia="仿宋_GB2312"/>
          <w:b/>
          <w:color w:val="auto"/>
          <w:sz w:val="48"/>
          <w:szCs w:val="48"/>
        </w:rPr>
        <w:t>（全流程电子化采购）</w:t>
      </w:r>
    </w:p>
    <w:p w14:paraId="03E9D789">
      <w:pPr>
        <w:snapToGrid w:val="0"/>
        <w:spacing w:line="360" w:lineRule="auto"/>
        <w:rPr>
          <w:rFonts w:ascii="仿宋_GB2312" w:hAnsi="宋体" w:eastAsia="仿宋_GB2312"/>
          <w:color w:val="auto"/>
          <w:sz w:val="30"/>
          <w:szCs w:val="72"/>
        </w:rPr>
      </w:pPr>
    </w:p>
    <w:p w14:paraId="3CFE5AAB">
      <w:pPr>
        <w:pStyle w:val="22"/>
        <w:snapToGrid w:val="0"/>
        <w:spacing w:line="360" w:lineRule="auto"/>
        <w:ind w:firstLine="1193" w:firstLineChars="396"/>
        <w:rPr>
          <w:rFonts w:hint="eastAsia" w:ascii="仿宋_GB2312" w:hAnsi="宋体" w:eastAsia="仿宋_GB2312"/>
          <w:b/>
          <w:bCs/>
          <w:color w:val="auto"/>
          <w:sz w:val="30"/>
          <w:szCs w:val="30"/>
          <w:lang w:eastAsia="zh-CN"/>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w:t>
      </w:r>
      <w:r>
        <w:rPr>
          <w:rFonts w:hint="eastAsia" w:ascii="仿宋_GB2312" w:hAnsi="宋体" w:eastAsia="仿宋_GB2312"/>
          <w:b/>
          <w:bCs/>
          <w:color w:val="auto"/>
          <w:sz w:val="30"/>
          <w:szCs w:val="30"/>
          <w:lang w:eastAsia="zh-CN"/>
        </w:rPr>
        <w:t>山围镇、民安镇、清水口镇、新丰镇等4个镇级污水处理设施（含泵站、污水管网）运营维护</w:t>
      </w:r>
    </w:p>
    <w:p w14:paraId="04E918EF">
      <w:pPr>
        <w:snapToGrid w:val="0"/>
        <w:spacing w:line="360" w:lineRule="auto"/>
        <w:ind w:firstLine="1145" w:firstLineChars="400"/>
        <w:rPr>
          <w:rFonts w:hint="eastAsia" w:ascii="仿宋_GB2312" w:hAnsi="宋体" w:eastAsia="仿宋_GB2312"/>
          <w:color w:val="auto"/>
          <w:sz w:val="30"/>
          <w:szCs w:val="72"/>
          <w:lang w:eastAsia="zh-CN"/>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w:t>
      </w:r>
      <w:r>
        <w:rPr>
          <w:rFonts w:hint="eastAsia" w:ascii="仿宋_GB2312" w:hAnsi="宋体" w:eastAsia="仿宋_GB2312" w:cs="Courier New"/>
          <w:b/>
          <w:bCs/>
          <w:color w:val="auto"/>
          <w:w w:val="95"/>
          <w:sz w:val="30"/>
          <w:szCs w:val="30"/>
          <w:lang w:eastAsia="zh-CN"/>
        </w:rPr>
        <w:t>YLZC2026-G3-810037-GXYZ</w:t>
      </w:r>
    </w:p>
    <w:p w14:paraId="7D6E2EE2">
      <w:pPr>
        <w:pStyle w:val="22"/>
        <w:snapToGrid w:val="0"/>
        <w:spacing w:line="360" w:lineRule="auto"/>
        <w:ind w:firstLine="1125" w:firstLineChars="393"/>
        <w:rPr>
          <w:rFonts w:hint="eastAsia" w:ascii="仿宋_GB2312" w:hAnsi="宋体" w:eastAsia="仿宋_GB2312"/>
          <w:b/>
          <w:bCs/>
          <w:color w:val="auto"/>
          <w:w w:val="95"/>
          <w:sz w:val="30"/>
          <w:szCs w:val="30"/>
          <w:lang w:eastAsia="zh-CN"/>
        </w:rPr>
      </w:pPr>
      <w:r>
        <w:rPr>
          <w:rFonts w:hint="eastAsia" w:ascii="仿宋_GB2312" w:hAnsi="宋体" w:eastAsia="仿宋_GB2312"/>
          <w:b/>
          <w:bCs/>
          <w:color w:val="auto"/>
          <w:w w:val="95"/>
          <w:sz w:val="30"/>
          <w:szCs w:val="30"/>
        </w:rPr>
        <w:t>采 购 人：</w:t>
      </w:r>
      <w:r>
        <w:rPr>
          <w:rFonts w:hint="eastAsia" w:ascii="仿宋_GB2312" w:hAnsi="宋体" w:eastAsia="仿宋_GB2312"/>
          <w:b/>
          <w:bCs/>
          <w:color w:val="auto"/>
          <w:w w:val="95"/>
          <w:sz w:val="30"/>
          <w:szCs w:val="30"/>
          <w:lang w:eastAsia="zh-CN"/>
        </w:rPr>
        <w:t>北流市城市管理监督局</w:t>
      </w:r>
    </w:p>
    <w:p w14:paraId="07099ECC">
      <w:pPr>
        <w:pStyle w:val="22"/>
        <w:snapToGrid w:val="0"/>
        <w:spacing w:line="360" w:lineRule="auto"/>
        <w:ind w:firstLine="1125" w:firstLineChars="393"/>
        <w:rPr>
          <w:rFonts w:hint="eastAsia" w:ascii="仿宋_GB2312" w:hAnsi="宋体" w:eastAsia="仿宋_GB2312"/>
          <w:b/>
          <w:bCs/>
          <w:color w:val="auto"/>
          <w:w w:val="95"/>
          <w:sz w:val="30"/>
          <w:szCs w:val="30"/>
          <w:lang w:eastAsia="zh-CN"/>
        </w:rPr>
      </w:pPr>
      <w:r>
        <w:rPr>
          <w:rFonts w:hint="eastAsia" w:ascii="仿宋_GB2312" w:hAnsi="宋体" w:eastAsia="仿宋_GB2312"/>
          <w:b/>
          <w:bCs/>
          <w:color w:val="auto"/>
          <w:w w:val="95"/>
          <w:sz w:val="30"/>
          <w:szCs w:val="30"/>
        </w:rPr>
        <w:t>采购代理机构：</w:t>
      </w:r>
      <w:r>
        <w:rPr>
          <w:rFonts w:hint="eastAsia" w:ascii="仿宋_GB2312" w:hAnsi="宋体" w:eastAsia="仿宋_GB2312"/>
          <w:b/>
          <w:bCs/>
          <w:color w:val="auto"/>
          <w:w w:val="95"/>
          <w:sz w:val="30"/>
          <w:szCs w:val="30"/>
          <w:lang w:eastAsia="zh-CN"/>
        </w:rPr>
        <w:t>广西亿正工程咨询有限公司</w:t>
      </w:r>
    </w:p>
    <w:p w14:paraId="171DB3FB">
      <w:pPr>
        <w:pStyle w:val="22"/>
        <w:snapToGrid w:val="0"/>
        <w:spacing w:line="360" w:lineRule="auto"/>
        <w:ind w:firstLine="1125" w:firstLineChars="393"/>
        <w:rPr>
          <w:rFonts w:ascii="仿宋_GB2312" w:hAnsi="宋体" w:eastAsia="仿宋_GB2312"/>
          <w:b/>
          <w:bCs/>
          <w:color w:val="auto"/>
          <w:w w:val="95"/>
          <w:sz w:val="30"/>
          <w:szCs w:val="30"/>
        </w:rPr>
      </w:pPr>
    </w:p>
    <w:p w14:paraId="698E5CAD">
      <w:pPr>
        <w:pStyle w:val="22"/>
        <w:snapToGrid w:val="0"/>
        <w:spacing w:line="360" w:lineRule="auto"/>
        <w:ind w:firstLine="1125" w:firstLineChars="393"/>
        <w:rPr>
          <w:rFonts w:ascii="仿宋_GB2312" w:hAnsi="宋体" w:eastAsia="仿宋_GB2312"/>
          <w:b/>
          <w:bCs/>
          <w:color w:val="auto"/>
          <w:w w:val="95"/>
          <w:sz w:val="30"/>
          <w:szCs w:val="30"/>
        </w:rPr>
      </w:pPr>
    </w:p>
    <w:p w14:paraId="15865768">
      <w:pPr>
        <w:pStyle w:val="22"/>
        <w:snapToGrid w:val="0"/>
        <w:spacing w:line="360" w:lineRule="auto"/>
        <w:ind w:firstLine="841" w:firstLineChars="294"/>
        <w:rPr>
          <w:rFonts w:ascii="仿宋_GB2312" w:eastAsia="仿宋_GB2312"/>
          <w:color w:val="auto"/>
          <w:szCs w:val="20"/>
        </w:rPr>
      </w:pPr>
      <w:r>
        <w:rPr>
          <w:rFonts w:hint="eastAsia" w:ascii="仿宋_GB2312" w:hAnsi="宋体" w:eastAsia="仿宋_GB2312"/>
          <w:b/>
          <w:bCs/>
          <w:color w:val="auto"/>
          <w:w w:val="95"/>
          <w:sz w:val="30"/>
          <w:szCs w:val="30"/>
        </w:rPr>
        <w:t xml:space="preserve">               2026年3月</w:t>
      </w:r>
    </w:p>
    <w:p w14:paraId="5DD3DC3D">
      <w:pPr>
        <w:pStyle w:val="22"/>
        <w:spacing w:before="120" w:after="120" w:line="360" w:lineRule="auto"/>
        <w:jc w:val="center"/>
        <w:rPr>
          <w:rFonts w:ascii="仿宋_GB2312" w:hAnsi="宋体" w:eastAsia="仿宋_GB2312"/>
          <w:color w:val="auto"/>
        </w:rPr>
      </w:pPr>
    </w:p>
    <w:p w14:paraId="23B4F77D">
      <w:pPr>
        <w:pStyle w:val="22"/>
        <w:spacing w:before="120" w:after="120" w:line="360" w:lineRule="auto"/>
        <w:jc w:val="center"/>
        <w:rPr>
          <w:rFonts w:ascii="仿宋_GB2312" w:hAnsi="宋体" w:eastAsia="仿宋_GB2312"/>
          <w:color w:val="auto"/>
        </w:rPr>
      </w:pPr>
      <w:r>
        <w:rPr>
          <w:rFonts w:ascii="仿宋_GB2312" w:hAnsi="宋体" w:eastAsia="仿宋_GB2312"/>
          <w:color w:val="auto"/>
        </w:rPr>
        <w:br w:type="page"/>
      </w:r>
    </w:p>
    <w:p w14:paraId="70873C64">
      <w:pPr>
        <w:spacing w:line="360" w:lineRule="auto"/>
        <w:jc w:val="center"/>
        <w:rPr>
          <w:rFonts w:ascii="宋体" w:hAnsi="宋体"/>
          <w:b/>
          <w:color w:val="auto"/>
          <w:sz w:val="44"/>
          <w:szCs w:val="44"/>
        </w:rPr>
      </w:pPr>
      <w:r>
        <w:rPr>
          <w:rFonts w:hint="eastAsia" w:ascii="宋体" w:hAnsi="宋体"/>
          <w:b/>
          <w:color w:val="auto"/>
          <w:sz w:val="44"/>
          <w:szCs w:val="44"/>
        </w:rPr>
        <w:t>目  录</w:t>
      </w:r>
    </w:p>
    <w:p w14:paraId="0F24BB32">
      <w:pPr>
        <w:spacing w:line="400" w:lineRule="exact"/>
        <w:jc w:val="center"/>
        <w:rPr>
          <w:rFonts w:ascii="宋体" w:hAnsi="宋体"/>
          <w:b/>
          <w:color w:val="auto"/>
          <w:sz w:val="44"/>
          <w:szCs w:val="44"/>
        </w:rPr>
      </w:pPr>
    </w:p>
    <w:p w14:paraId="0F2E322D">
      <w:pPr>
        <w:pStyle w:val="30"/>
        <w:tabs>
          <w:tab w:val="right" w:leader="dot" w:pos="8730"/>
          <w:tab w:val="clear" w:pos="8398"/>
        </w:tabs>
        <w:rPr>
          <w:color w:val="auto"/>
        </w:rPr>
      </w:pPr>
      <w:r>
        <w:rPr>
          <w:rFonts w:ascii="仿宋_GB2312" w:eastAsia="仿宋_GB2312"/>
          <w:b w:val="0"/>
          <w:color w:val="auto"/>
        </w:rPr>
        <w:fldChar w:fldCharType="begin"/>
      </w:r>
      <w:r>
        <w:rPr>
          <w:rFonts w:ascii="仿宋_GB2312" w:eastAsia="仿宋_GB2312"/>
          <w:b w:val="0"/>
          <w:color w:val="auto"/>
        </w:rPr>
        <w:instrText xml:space="preserve"> </w:instrText>
      </w:r>
      <w:r>
        <w:rPr>
          <w:rFonts w:hint="eastAsia" w:ascii="仿宋_GB2312" w:eastAsia="仿宋_GB2312"/>
          <w:b w:val="0"/>
          <w:color w:val="auto"/>
        </w:rPr>
        <w:instrText xml:space="preserve">TOC \o "1-2" \h \z \u</w:instrText>
      </w:r>
      <w:r>
        <w:rPr>
          <w:rFonts w:ascii="仿宋_GB2312" w:eastAsia="仿宋_GB2312"/>
          <w:b w:val="0"/>
          <w:color w:val="auto"/>
        </w:rPr>
        <w:instrText xml:space="preserve"> </w:instrText>
      </w:r>
      <w:r>
        <w:rPr>
          <w:rFonts w:ascii="仿宋_GB2312" w:eastAsia="仿宋_GB2312"/>
          <w:b w:val="0"/>
          <w:color w:val="auto"/>
        </w:rPr>
        <w:fldChar w:fldCharType="separate"/>
      </w:r>
      <w:r>
        <w:rPr>
          <w:color w:val="auto"/>
        </w:rPr>
        <w:fldChar w:fldCharType="begin"/>
      </w:r>
      <w:r>
        <w:rPr>
          <w:color w:val="auto"/>
        </w:rPr>
        <w:instrText xml:space="preserve"> HYPERLINK \l "_Toc26956" </w:instrText>
      </w:r>
      <w:r>
        <w:rPr>
          <w:color w:val="auto"/>
        </w:rPr>
        <w:fldChar w:fldCharType="separate"/>
      </w:r>
      <w:r>
        <w:rPr>
          <w:rFonts w:hint="eastAsia"/>
          <w:color w:val="auto"/>
        </w:rPr>
        <w:t>第一章 招标公告</w:t>
      </w:r>
      <w:r>
        <w:rPr>
          <w:color w:val="auto"/>
        </w:rPr>
        <w:tab/>
      </w:r>
      <w:r>
        <w:rPr>
          <w:color w:val="auto"/>
        </w:rPr>
        <w:fldChar w:fldCharType="begin"/>
      </w:r>
      <w:r>
        <w:rPr>
          <w:color w:val="auto"/>
        </w:rPr>
        <w:instrText xml:space="preserve"> PAGEREF _Toc26956 \h </w:instrText>
      </w:r>
      <w:r>
        <w:rPr>
          <w:color w:val="auto"/>
        </w:rPr>
        <w:fldChar w:fldCharType="separate"/>
      </w:r>
      <w:r>
        <w:rPr>
          <w:color w:val="auto"/>
        </w:rPr>
        <w:t>1</w:t>
      </w:r>
      <w:r>
        <w:rPr>
          <w:color w:val="auto"/>
        </w:rPr>
        <w:fldChar w:fldCharType="end"/>
      </w:r>
      <w:r>
        <w:rPr>
          <w:color w:val="auto"/>
        </w:rPr>
        <w:fldChar w:fldCharType="end"/>
      </w:r>
    </w:p>
    <w:p w14:paraId="7A47A6FC">
      <w:pPr>
        <w:pStyle w:val="30"/>
        <w:tabs>
          <w:tab w:val="right" w:leader="dot" w:pos="8730"/>
          <w:tab w:val="clear" w:pos="8398"/>
        </w:tabs>
        <w:ind w:firstLine="241"/>
        <w:rPr>
          <w:color w:val="auto"/>
        </w:rPr>
      </w:pPr>
      <w:r>
        <w:rPr>
          <w:color w:val="auto"/>
        </w:rPr>
        <w:fldChar w:fldCharType="begin"/>
      </w:r>
      <w:r>
        <w:rPr>
          <w:color w:val="auto"/>
        </w:rPr>
        <w:instrText xml:space="preserve"> HYPERLINK \l "_Toc27979" </w:instrText>
      </w:r>
      <w:r>
        <w:rPr>
          <w:color w:val="auto"/>
        </w:rPr>
        <w:fldChar w:fldCharType="separate"/>
      </w:r>
      <w:r>
        <w:rPr>
          <w:rFonts w:hint="eastAsia"/>
          <w:color w:val="auto"/>
        </w:rPr>
        <w:t>第二章  采购需求</w:t>
      </w:r>
      <w:r>
        <w:rPr>
          <w:color w:val="auto"/>
        </w:rPr>
        <w:tab/>
      </w:r>
      <w:r>
        <w:rPr>
          <w:color w:val="auto"/>
        </w:rPr>
        <w:fldChar w:fldCharType="begin"/>
      </w:r>
      <w:r>
        <w:rPr>
          <w:color w:val="auto"/>
        </w:rPr>
        <w:instrText xml:space="preserve"> PAGEREF _Toc27979 \h </w:instrText>
      </w:r>
      <w:r>
        <w:rPr>
          <w:color w:val="auto"/>
        </w:rPr>
        <w:fldChar w:fldCharType="separate"/>
      </w:r>
      <w:r>
        <w:rPr>
          <w:color w:val="auto"/>
        </w:rPr>
        <w:t>5</w:t>
      </w:r>
      <w:r>
        <w:rPr>
          <w:color w:val="auto"/>
        </w:rPr>
        <w:fldChar w:fldCharType="end"/>
      </w:r>
      <w:r>
        <w:rPr>
          <w:color w:val="auto"/>
        </w:rPr>
        <w:fldChar w:fldCharType="end"/>
      </w:r>
    </w:p>
    <w:p w14:paraId="29DE0C0E">
      <w:pPr>
        <w:pStyle w:val="30"/>
        <w:tabs>
          <w:tab w:val="right" w:leader="dot" w:pos="8730"/>
          <w:tab w:val="clear" w:pos="8398"/>
        </w:tabs>
        <w:ind w:firstLine="241"/>
        <w:rPr>
          <w:color w:val="auto"/>
        </w:rPr>
      </w:pPr>
      <w:r>
        <w:rPr>
          <w:color w:val="auto"/>
        </w:rPr>
        <w:fldChar w:fldCharType="begin"/>
      </w:r>
      <w:r>
        <w:rPr>
          <w:color w:val="auto"/>
        </w:rPr>
        <w:instrText xml:space="preserve"> HYPERLINK \l "_Toc25688" </w:instrText>
      </w:r>
      <w:r>
        <w:rPr>
          <w:color w:val="auto"/>
        </w:rPr>
        <w:fldChar w:fldCharType="separate"/>
      </w:r>
      <w:r>
        <w:rPr>
          <w:rFonts w:hint="eastAsia"/>
          <w:color w:val="auto"/>
        </w:rPr>
        <w:t>第三章  投标人须知</w:t>
      </w:r>
      <w:r>
        <w:rPr>
          <w:color w:val="auto"/>
        </w:rPr>
        <w:tab/>
      </w:r>
      <w:r>
        <w:rPr>
          <w:color w:val="auto"/>
        </w:rPr>
        <w:fldChar w:fldCharType="begin"/>
      </w:r>
      <w:r>
        <w:rPr>
          <w:color w:val="auto"/>
        </w:rPr>
        <w:instrText xml:space="preserve"> PAGEREF _Toc25688 \h </w:instrText>
      </w:r>
      <w:r>
        <w:rPr>
          <w:color w:val="auto"/>
        </w:rPr>
        <w:fldChar w:fldCharType="separate"/>
      </w:r>
      <w:r>
        <w:rPr>
          <w:color w:val="auto"/>
        </w:rPr>
        <w:t>15</w:t>
      </w:r>
      <w:r>
        <w:rPr>
          <w:color w:val="auto"/>
        </w:rPr>
        <w:fldChar w:fldCharType="end"/>
      </w:r>
      <w:r>
        <w:rPr>
          <w:color w:val="auto"/>
        </w:rPr>
        <w:fldChar w:fldCharType="end"/>
      </w:r>
    </w:p>
    <w:p w14:paraId="46814E53">
      <w:pPr>
        <w:pStyle w:val="30"/>
        <w:tabs>
          <w:tab w:val="right" w:leader="dot" w:pos="8730"/>
          <w:tab w:val="clear" w:pos="8398"/>
        </w:tabs>
        <w:ind w:firstLine="241"/>
        <w:rPr>
          <w:color w:val="auto"/>
        </w:rPr>
      </w:pPr>
      <w:r>
        <w:rPr>
          <w:color w:val="auto"/>
        </w:rPr>
        <w:fldChar w:fldCharType="begin"/>
      </w:r>
      <w:r>
        <w:rPr>
          <w:color w:val="auto"/>
        </w:rPr>
        <w:instrText xml:space="preserve"> HYPERLINK \l "_Toc15687" </w:instrText>
      </w:r>
      <w:r>
        <w:rPr>
          <w:color w:val="auto"/>
        </w:rPr>
        <w:fldChar w:fldCharType="separate"/>
      </w:r>
      <w:r>
        <w:rPr>
          <w:rFonts w:hint="eastAsia"/>
          <w:color w:val="auto"/>
        </w:rPr>
        <w:t>第四章  评标方法及评标标准</w:t>
      </w:r>
      <w:r>
        <w:rPr>
          <w:color w:val="auto"/>
        </w:rPr>
        <w:tab/>
      </w:r>
      <w:r>
        <w:rPr>
          <w:color w:val="auto"/>
        </w:rPr>
        <w:fldChar w:fldCharType="begin"/>
      </w:r>
      <w:r>
        <w:rPr>
          <w:color w:val="auto"/>
        </w:rPr>
        <w:instrText xml:space="preserve"> PAGEREF _Toc15687 \h </w:instrText>
      </w:r>
      <w:r>
        <w:rPr>
          <w:color w:val="auto"/>
        </w:rPr>
        <w:fldChar w:fldCharType="separate"/>
      </w:r>
      <w:r>
        <w:rPr>
          <w:color w:val="auto"/>
        </w:rPr>
        <w:t>38</w:t>
      </w:r>
      <w:r>
        <w:rPr>
          <w:color w:val="auto"/>
        </w:rPr>
        <w:fldChar w:fldCharType="end"/>
      </w:r>
      <w:r>
        <w:rPr>
          <w:color w:val="auto"/>
        </w:rPr>
        <w:fldChar w:fldCharType="end"/>
      </w:r>
    </w:p>
    <w:p w14:paraId="69A6ACCD">
      <w:pPr>
        <w:pStyle w:val="30"/>
        <w:tabs>
          <w:tab w:val="right" w:leader="dot" w:pos="8730"/>
          <w:tab w:val="clear" w:pos="8398"/>
        </w:tabs>
        <w:ind w:firstLine="241"/>
        <w:rPr>
          <w:color w:val="auto"/>
        </w:rPr>
      </w:pPr>
      <w:r>
        <w:rPr>
          <w:color w:val="auto"/>
        </w:rPr>
        <w:fldChar w:fldCharType="begin"/>
      </w:r>
      <w:r>
        <w:rPr>
          <w:color w:val="auto"/>
        </w:rPr>
        <w:instrText xml:space="preserve"> HYPERLINK \l "_Toc25250" </w:instrText>
      </w:r>
      <w:r>
        <w:rPr>
          <w:color w:val="auto"/>
        </w:rPr>
        <w:fldChar w:fldCharType="separate"/>
      </w:r>
      <w:r>
        <w:rPr>
          <w:rFonts w:hint="eastAsia"/>
          <w:color w:val="auto"/>
        </w:rPr>
        <w:t>第五章  拟签订的合同文本</w:t>
      </w:r>
      <w:r>
        <w:rPr>
          <w:color w:val="auto"/>
        </w:rPr>
        <w:tab/>
      </w:r>
      <w:r>
        <w:rPr>
          <w:color w:val="auto"/>
        </w:rPr>
        <w:fldChar w:fldCharType="begin"/>
      </w:r>
      <w:r>
        <w:rPr>
          <w:color w:val="auto"/>
        </w:rPr>
        <w:instrText xml:space="preserve"> PAGEREF _Toc25250 \h </w:instrText>
      </w:r>
      <w:r>
        <w:rPr>
          <w:color w:val="auto"/>
        </w:rPr>
        <w:fldChar w:fldCharType="separate"/>
      </w:r>
      <w:r>
        <w:rPr>
          <w:color w:val="auto"/>
        </w:rPr>
        <w:t>48</w:t>
      </w:r>
      <w:r>
        <w:rPr>
          <w:color w:val="auto"/>
        </w:rPr>
        <w:fldChar w:fldCharType="end"/>
      </w:r>
      <w:r>
        <w:rPr>
          <w:color w:val="auto"/>
        </w:rPr>
        <w:fldChar w:fldCharType="end"/>
      </w:r>
    </w:p>
    <w:p w14:paraId="3A402ED5">
      <w:pPr>
        <w:pStyle w:val="30"/>
        <w:tabs>
          <w:tab w:val="right" w:leader="dot" w:pos="8730"/>
          <w:tab w:val="clear" w:pos="8398"/>
        </w:tabs>
        <w:ind w:firstLine="241"/>
        <w:rPr>
          <w:color w:val="auto"/>
        </w:rPr>
      </w:pPr>
      <w:r>
        <w:rPr>
          <w:color w:val="auto"/>
        </w:rPr>
        <w:fldChar w:fldCharType="begin"/>
      </w:r>
      <w:r>
        <w:rPr>
          <w:color w:val="auto"/>
        </w:rPr>
        <w:instrText xml:space="preserve"> HYPERLINK \l "_Toc25289" </w:instrText>
      </w:r>
      <w:r>
        <w:rPr>
          <w:color w:val="auto"/>
        </w:rPr>
        <w:fldChar w:fldCharType="separate"/>
      </w:r>
      <w:r>
        <w:rPr>
          <w:rFonts w:hint="eastAsia"/>
          <w:color w:val="auto"/>
        </w:rPr>
        <w:t>第六章　投标文件格式</w:t>
      </w:r>
      <w:r>
        <w:rPr>
          <w:color w:val="auto"/>
        </w:rPr>
        <w:tab/>
      </w:r>
      <w:r>
        <w:rPr>
          <w:color w:val="auto"/>
        </w:rPr>
        <w:fldChar w:fldCharType="begin"/>
      </w:r>
      <w:r>
        <w:rPr>
          <w:color w:val="auto"/>
        </w:rPr>
        <w:instrText xml:space="preserve"> PAGEREF _Toc25289 \h </w:instrText>
      </w:r>
      <w:r>
        <w:rPr>
          <w:color w:val="auto"/>
        </w:rPr>
        <w:fldChar w:fldCharType="separate"/>
      </w:r>
      <w:r>
        <w:rPr>
          <w:color w:val="auto"/>
        </w:rPr>
        <w:t>58</w:t>
      </w:r>
      <w:r>
        <w:rPr>
          <w:color w:val="auto"/>
        </w:rPr>
        <w:fldChar w:fldCharType="end"/>
      </w:r>
      <w:r>
        <w:rPr>
          <w:color w:val="auto"/>
        </w:rPr>
        <w:fldChar w:fldCharType="end"/>
      </w:r>
    </w:p>
    <w:p w14:paraId="4B516C9B">
      <w:pPr>
        <w:tabs>
          <w:tab w:val="right" w:leader="dot" w:pos="8789"/>
        </w:tabs>
        <w:snapToGrid w:val="0"/>
        <w:spacing w:line="500" w:lineRule="atLeast"/>
        <w:rPr>
          <w:rFonts w:ascii="仿宋_GB2312" w:hAnsi="宋体" w:eastAsia="仿宋_GB2312"/>
          <w:color w:val="auto"/>
          <w:sz w:val="24"/>
        </w:rPr>
      </w:pPr>
      <w:r>
        <w:rPr>
          <w:rFonts w:ascii="仿宋_GB2312" w:hAnsi="宋体" w:eastAsia="仿宋_GB2312"/>
          <w:color w:val="auto"/>
        </w:rPr>
        <w:fldChar w:fldCharType="end"/>
      </w:r>
    </w:p>
    <w:p w14:paraId="0DC05E3D">
      <w:pPr>
        <w:spacing w:before="120" w:beforeLines="50" w:line="480" w:lineRule="exact"/>
        <w:rPr>
          <w:rFonts w:ascii="仿宋_GB2312" w:hAnsi="宋体" w:eastAsia="仿宋_GB2312"/>
          <w:color w:val="auto"/>
          <w:sz w:val="30"/>
        </w:rPr>
      </w:pPr>
    </w:p>
    <w:p w14:paraId="27EBFB2A">
      <w:pPr>
        <w:rPr>
          <w:color w:val="auto"/>
        </w:rPr>
      </w:pPr>
    </w:p>
    <w:p w14:paraId="230F4C28">
      <w:pPr>
        <w:spacing w:before="120" w:beforeLines="50" w:line="480" w:lineRule="exact"/>
        <w:rPr>
          <w:rFonts w:ascii="仿宋_GB2312" w:hAnsi="宋体" w:eastAsia="仿宋_GB2312"/>
          <w:color w:val="auto"/>
          <w:sz w:val="30"/>
        </w:rPr>
      </w:pPr>
    </w:p>
    <w:p w14:paraId="1CE96277">
      <w:pPr>
        <w:spacing w:before="120" w:beforeLines="50" w:line="480" w:lineRule="exact"/>
        <w:rPr>
          <w:rFonts w:ascii="仿宋_GB2312" w:hAnsi="宋体" w:eastAsia="仿宋_GB2312"/>
          <w:color w:val="auto"/>
          <w:sz w:val="30"/>
        </w:rPr>
      </w:pPr>
    </w:p>
    <w:p w14:paraId="40733118">
      <w:pPr>
        <w:pStyle w:val="14"/>
        <w:rPr>
          <w:rFonts w:ascii="宋体" w:hAnsi="宋体" w:cs="宋体"/>
          <w:b/>
          <w:bCs/>
          <w:color w:val="auto"/>
        </w:rPr>
      </w:pPr>
      <w:bookmarkStart w:id="0" w:name="_Toc254970630"/>
      <w:bookmarkStart w:id="1" w:name="_Toc254970489"/>
    </w:p>
    <w:p w14:paraId="1E2F3299">
      <w:pPr>
        <w:pStyle w:val="2"/>
        <w:keepNext w:val="0"/>
        <w:keepLines w:val="0"/>
        <w:tabs>
          <w:tab w:val="left" w:pos="0"/>
          <w:tab w:val="left" w:pos="3165"/>
          <w:tab w:val="center" w:pos="4153"/>
        </w:tabs>
        <w:autoSpaceDE w:val="0"/>
        <w:autoSpaceDN w:val="0"/>
        <w:adjustRightInd w:val="0"/>
        <w:spacing w:before="0" w:after="0" w:line="360" w:lineRule="auto"/>
        <w:jc w:val="center"/>
        <w:rPr>
          <w:color w:val="auto"/>
        </w:rPr>
        <w:sectPr>
          <w:headerReference r:id="rId3" w:type="first"/>
          <w:footerReference r:id="rId5" w:type="first"/>
          <w:footerReference r:id="rId4" w:type="default"/>
          <w:pgSz w:w="11910" w:h="16840"/>
          <w:pgMar w:top="1520" w:right="1500" w:bottom="280" w:left="1680" w:header="720" w:footer="720" w:gutter="0"/>
          <w:pgNumType w:start="0"/>
          <w:cols w:space="720" w:num="1"/>
          <w:titlePg/>
          <w:docGrid w:linePitch="286" w:charSpace="0"/>
        </w:sectPr>
      </w:pPr>
      <w:bookmarkStart w:id="2" w:name="_Toc26956"/>
    </w:p>
    <w:p w14:paraId="13B4D8FF">
      <w:pPr>
        <w:pStyle w:val="2"/>
        <w:keepNext w:val="0"/>
        <w:keepLines w:val="0"/>
        <w:tabs>
          <w:tab w:val="left" w:pos="0"/>
          <w:tab w:val="left" w:pos="3165"/>
          <w:tab w:val="center" w:pos="4153"/>
        </w:tabs>
        <w:autoSpaceDE w:val="0"/>
        <w:autoSpaceDN w:val="0"/>
        <w:adjustRightInd w:val="0"/>
        <w:spacing w:before="0" w:after="0" w:line="360" w:lineRule="auto"/>
        <w:jc w:val="center"/>
        <w:rPr>
          <w:color w:val="auto"/>
        </w:rPr>
      </w:pPr>
      <w:r>
        <w:rPr>
          <w:rFonts w:hint="eastAsia"/>
          <w:color w:val="auto"/>
        </w:rPr>
        <w:t>第一章</w:t>
      </w:r>
      <w:bookmarkEnd w:id="0"/>
      <w:bookmarkEnd w:id="1"/>
      <w:bookmarkStart w:id="3" w:name="_Toc35393789"/>
      <w:bookmarkStart w:id="4" w:name="_Toc28359001"/>
      <w:r>
        <w:rPr>
          <w:rFonts w:hint="eastAsia"/>
          <w:color w:val="auto"/>
        </w:rPr>
        <w:t xml:space="preserve"> 招标公告</w:t>
      </w:r>
      <w:bookmarkEnd w:id="2"/>
      <w:bookmarkEnd w:id="3"/>
      <w:bookmarkEnd w:id="4"/>
    </w:p>
    <w:p w14:paraId="1BF57812">
      <w:pPr>
        <w:spacing w:line="360" w:lineRule="auto"/>
        <w:rPr>
          <w:rFonts w:ascii="宋体" w:hAnsi="宋体"/>
          <w:color w:val="auto"/>
          <w:szCs w:val="21"/>
        </w:rPr>
      </w:pPr>
    </w:p>
    <w:p w14:paraId="330BFE5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6E28309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lang w:eastAsia="zh-CN"/>
        </w:rPr>
        <w:t>山围镇、民安镇、清水口镇、新丰镇等4个镇级污水处理设施（含泵站、污水管网）运营维护</w:t>
      </w:r>
      <w:r>
        <w:rPr>
          <w:rFonts w:hint="eastAsia" w:ascii="宋体" w:hAnsi="宋体"/>
          <w:color w:val="auto"/>
          <w:szCs w:val="21"/>
        </w:rPr>
        <w:t>项目的潜在投标人应在</w:t>
      </w:r>
      <w:r>
        <w:rPr>
          <w:rFonts w:ascii="宋体" w:hAnsi="宋体"/>
          <w:color w:val="auto"/>
          <w:szCs w:val="21"/>
        </w:rPr>
        <w:t>广西政府采购云平台</w:t>
      </w:r>
      <w:r>
        <w:rPr>
          <w:rFonts w:hint="eastAsia" w:ascii="宋体" w:hAnsi="宋体"/>
          <w:color w:val="auto"/>
          <w:szCs w:val="21"/>
        </w:rPr>
        <w:t>（</w:t>
      </w:r>
      <w:r>
        <w:rPr>
          <w:rFonts w:ascii="宋体" w:hAnsi="宋体"/>
          <w:bCs/>
          <w:color w:val="auto"/>
          <w:szCs w:val="21"/>
        </w:rPr>
        <w:t>https://www.gcy.zfcg.gxzf.gov.cn/</w:t>
      </w:r>
      <w:r>
        <w:rPr>
          <w:rFonts w:hint="eastAsia" w:ascii="宋体" w:hAnsi="宋体"/>
          <w:color w:val="auto"/>
          <w:szCs w:val="21"/>
        </w:rPr>
        <w:t>）获取（下载）招标文件，并于</w:t>
      </w:r>
      <w:r>
        <w:rPr>
          <w:rFonts w:hint="eastAsia" w:ascii="宋体" w:hAnsi="宋体"/>
          <w:color w:val="auto"/>
          <w:szCs w:val="21"/>
          <w:u w:val="single"/>
        </w:rPr>
        <w:t>2026</w:t>
      </w:r>
      <w:r>
        <w:rPr>
          <w:rFonts w:hint="eastAsia" w:ascii="宋体" w:hAnsi="宋体"/>
          <w:bCs/>
          <w:color w:val="auto"/>
          <w:szCs w:val="21"/>
          <w:u w:val="single"/>
        </w:rPr>
        <w:t>年  月   日   时    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color w:val="auto"/>
          <w:szCs w:val="21"/>
        </w:rPr>
        <w:t>。</w:t>
      </w:r>
    </w:p>
    <w:p w14:paraId="16DD9994">
      <w:pPr>
        <w:spacing w:line="360" w:lineRule="auto"/>
        <w:rPr>
          <w:rFonts w:ascii="宋体" w:hAnsi="宋体"/>
          <w:color w:val="auto"/>
          <w:szCs w:val="21"/>
        </w:rPr>
      </w:pPr>
    </w:p>
    <w:p w14:paraId="4E599290">
      <w:pPr>
        <w:spacing w:line="360" w:lineRule="auto"/>
        <w:rPr>
          <w:rFonts w:ascii="黑体" w:hAnsi="黑体" w:eastAsia="黑体"/>
          <w:b/>
          <w:bCs/>
          <w:color w:val="auto"/>
          <w:sz w:val="24"/>
        </w:rPr>
      </w:pPr>
      <w:bookmarkStart w:id="5" w:name="_Toc28359079"/>
      <w:bookmarkStart w:id="6" w:name="_Toc35393621"/>
      <w:bookmarkStart w:id="7" w:name="_Toc35393790"/>
      <w:bookmarkStart w:id="8" w:name="_Toc28359002"/>
      <w:bookmarkStart w:id="9" w:name="_Hlk24379207"/>
      <w:r>
        <w:rPr>
          <w:rFonts w:hint="eastAsia" w:ascii="黑体" w:hAnsi="黑体" w:eastAsia="黑体"/>
          <w:b/>
          <w:bCs/>
          <w:color w:val="auto"/>
          <w:sz w:val="24"/>
        </w:rPr>
        <w:t>一、项目基本情况</w:t>
      </w:r>
      <w:bookmarkEnd w:id="5"/>
      <w:bookmarkEnd w:id="6"/>
      <w:bookmarkEnd w:id="7"/>
      <w:bookmarkEnd w:id="8"/>
    </w:p>
    <w:bookmarkEnd w:id="9"/>
    <w:p w14:paraId="5D58894F">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YLZC2026-G3-810037-GXYZ</w:t>
      </w:r>
    </w:p>
    <w:p w14:paraId="2898843A">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山围镇、民安镇、清水口镇、新丰镇等4个镇级污水处理设施（含泵站、污水管网）运营维护</w:t>
      </w:r>
    </w:p>
    <w:p w14:paraId="7E156774">
      <w:pPr>
        <w:spacing w:line="360" w:lineRule="auto"/>
        <w:ind w:firstLine="420" w:firstLineChars="200"/>
        <w:rPr>
          <w:rFonts w:ascii="宋体" w:hAnsi="宋体"/>
          <w:color w:val="auto"/>
          <w:szCs w:val="21"/>
          <w:u w:val="single"/>
        </w:rPr>
      </w:pPr>
      <w:r>
        <w:rPr>
          <w:rFonts w:hint="eastAsia"/>
          <w:color w:val="auto"/>
        </w:rPr>
        <w:t>预算总金额</w:t>
      </w:r>
      <w:r>
        <w:rPr>
          <w:rFonts w:hint="eastAsia" w:ascii="宋体" w:hAnsi="宋体"/>
          <w:color w:val="auto"/>
          <w:szCs w:val="21"/>
        </w:rPr>
        <w:t>：</w:t>
      </w:r>
      <w:r>
        <w:rPr>
          <w:rFonts w:hint="eastAsia" w:ascii="宋体" w:hAnsi="宋体"/>
          <w:color w:val="auto"/>
          <w:szCs w:val="21"/>
          <w:lang w:eastAsia="zh-CN"/>
        </w:rPr>
        <w:t>5462595.00</w:t>
      </w:r>
      <w:r>
        <w:rPr>
          <w:rFonts w:hint="eastAsia" w:ascii="宋体" w:hAnsi="宋体"/>
          <w:color w:val="auto"/>
          <w:szCs w:val="21"/>
        </w:rPr>
        <w:t>元</w:t>
      </w:r>
    </w:p>
    <w:p w14:paraId="162ECACC">
      <w:pPr>
        <w:spacing w:line="360" w:lineRule="auto"/>
        <w:ind w:firstLine="420" w:firstLineChars="200"/>
        <w:rPr>
          <w:rFonts w:ascii="宋体" w:hAnsi="宋体"/>
          <w:color w:val="auto"/>
          <w:szCs w:val="21"/>
        </w:rPr>
      </w:pPr>
      <w:r>
        <w:rPr>
          <w:rFonts w:hint="eastAsia" w:ascii="宋体" w:hAnsi="宋体"/>
          <w:color w:val="auto"/>
          <w:szCs w:val="21"/>
        </w:rPr>
        <w:t>最高限价：</w:t>
      </w:r>
      <w:r>
        <w:rPr>
          <w:rFonts w:hint="eastAsia" w:ascii="宋体" w:hAnsi="宋体"/>
          <w:color w:val="auto"/>
          <w:szCs w:val="21"/>
          <w:lang w:eastAsia="zh-CN"/>
        </w:rPr>
        <w:t>5462595.00</w:t>
      </w:r>
      <w:r>
        <w:rPr>
          <w:rFonts w:hint="eastAsia" w:ascii="宋体" w:hAnsi="宋体"/>
          <w:color w:val="auto"/>
          <w:szCs w:val="21"/>
        </w:rPr>
        <w:t>元</w:t>
      </w:r>
    </w:p>
    <w:p w14:paraId="1C26BF1D">
      <w:pPr>
        <w:spacing w:line="360" w:lineRule="auto"/>
        <w:ind w:firstLine="420" w:firstLineChars="200"/>
        <w:rPr>
          <w:rFonts w:ascii="宋体" w:hAnsi="宋体"/>
          <w:color w:val="auto"/>
          <w:szCs w:val="21"/>
        </w:rPr>
      </w:pPr>
      <w:r>
        <w:rPr>
          <w:rFonts w:hint="eastAsia" w:ascii="宋体" w:hAnsi="宋体"/>
          <w:color w:val="auto"/>
          <w:szCs w:val="21"/>
        </w:rPr>
        <w:t>采购需求：</w:t>
      </w:r>
      <w:r>
        <w:rPr>
          <w:rFonts w:ascii="宋体" w:hAnsi="宋体"/>
          <w:color w:val="auto"/>
          <w:szCs w:val="21"/>
        </w:rPr>
        <w:t xml:space="preserve"> </w:t>
      </w:r>
    </w:p>
    <w:tbl>
      <w:tblPr>
        <w:tblStyle w:val="43"/>
        <w:tblW w:w="93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
        <w:gridCol w:w="2095"/>
        <w:gridCol w:w="883"/>
        <w:gridCol w:w="4817"/>
        <w:gridCol w:w="1083"/>
      </w:tblGrid>
      <w:tr w14:paraId="6C460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57E8E8F">
            <w:pPr>
              <w:snapToGrid w:val="0"/>
              <w:spacing w:line="360" w:lineRule="auto"/>
              <w:jc w:val="center"/>
              <w:rPr>
                <w:rFonts w:ascii="宋体" w:hAnsi="宋体"/>
                <w:color w:val="auto"/>
                <w:szCs w:val="21"/>
              </w:rPr>
            </w:pPr>
            <w:r>
              <w:rPr>
                <w:rFonts w:hint="eastAsia" w:ascii="宋体" w:hAnsi="宋体"/>
                <w:color w:val="auto"/>
                <w:szCs w:val="21"/>
              </w:rPr>
              <w:t>序号</w:t>
            </w:r>
          </w:p>
        </w:tc>
        <w:tc>
          <w:tcPr>
            <w:tcW w:w="2095" w:type="dxa"/>
            <w:tcBorders>
              <w:top w:val="single" w:color="auto" w:sz="4" w:space="0"/>
              <w:left w:val="single" w:color="auto" w:sz="4" w:space="0"/>
              <w:bottom w:val="single" w:color="auto" w:sz="4" w:space="0"/>
              <w:right w:val="single" w:color="auto" w:sz="4" w:space="0"/>
            </w:tcBorders>
            <w:vAlign w:val="center"/>
          </w:tcPr>
          <w:p w14:paraId="332FC151">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883" w:type="dxa"/>
            <w:tcBorders>
              <w:top w:val="single" w:color="auto" w:sz="4" w:space="0"/>
              <w:left w:val="single" w:color="auto" w:sz="4" w:space="0"/>
              <w:bottom w:val="single" w:color="auto" w:sz="4" w:space="0"/>
              <w:right w:val="single" w:color="auto" w:sz="4" w:space="0"/>
            </w:tcBorders>
            <w:vAlign w:val="center"/>
          </w:tcPr>
          <w:p w14:paraId="4A181133">
            <w:pPr>
              <w:snapToGrid w:val="0"/>
              <w:spacing w:line="360" w:lineRule="auto"/>
              <w:jc w:val="center"/>
              <w:rPr>
                <w:rFonts w:ascii="宋体" w:hAnsi="宋体"/>
                <w:color w:val="auto"/>
                <w:szCs w:val="21"/>
              </w:rPr>
            </w:pPr>
            <w:r>
              <w:rPr>
                <w:rFonts w:hint="eastAsia" w:ascii="宋体" w:hAnsi="宋体"/>
                <w:color w:val="auto"/>
                <w:szCs w:val="21"/>
              </w:rPr>
              <w:t>数量及</w:t>
            </w:r>
          </w:p>
          <w:p w14:paraId="1858A407">
            <w:pPr>
              <w:snapToGrid w:val="0"/>
              <w:spacing w:line="360" w:lineRule="auto"/>
              <w:jc w:val="center"/>
              <w:rPr>
                <w:rFonts w:ascii="宋体" w:hAnsi="宋体"/>
                <w:color w:val="auto"/>
                <w:szCs w:val="21"/>
              </w:rPr>
            </w:pPr>
            <w:r>
              <w:rPr>
                <w:rFonts w:hint="eastAsia" w:ascii="宋体" w:hAnsi="宋体"/>
                <w:color w:val="auto"/>
                <w:szCs w:val="21"/>
              </w:rPr>
              <w:t>单位</w:t>
            </w:r>
          </w:p>
        </w:tc>
        <w:tc>
          <w:tcPr>
            <w:tcW w:w="4817" w:type="dxa"/>
            <w:tcBorders>
              <w:top w:val="single" w:color="auto" w:sz="4" w:space="0"/>
              <w:left w:val="single" w:color="auto" w:sz="4" w:space="0"/>
              <w:bottom w:val="single" w:color="auto" w:sz="4" w:space="0"/>
              <w:right w:val="single" w:color="auto" w:sz="4" w:space="0"/>
            </w:tcBorders>
            <w:vAlign w:val="center"/>
          </w:tcPr>
          <w:p w14:paraId="1B99537F">
            <w:pPr>
              <w:snapToGrid w:val="0"/>
              <w:spacing w:line="360" w:lineRule="auto"/>
              <w:jc w:val="center"/>
              <w:rPr>
                <w:rFonts w:ascii="宋体" w:hAnsi="宋体"/>
                <w:color w:val="auto"/>
                <w:szCs w:val="21"/>
              </w:rPr>
            </w:pPr>
            <w:r>
              <w:rPr>
                <w:rFonts w:hint="eastAsia" w:ascii="宋体" w:hAnsi="宋体"/>
                <w:color w:val="auto"/>
                <w:szCs w:val="21"/>
              </w:rPr>
              <w:t>简要技术需求或者服务要求</w:t>
            </w:r>
          </w:p>
        </w:tc>
        <w:tc>
          <w:tcPr>
            <w:tcW w:w="1083" w:type="dxa"/>
            <w:tcBorders>
              <w:top w:val="single" w:color="auto" w:sz="4" w:space="0"/>
              <w:left w:val="single" w:color="auto" w:sz="4" w:space="0"/>
              <w:bottom w:val="single" w:color="auto" w:sz="4" w:space="0"/>
              <w:right w:val="single" w:color="auto" w:sz="4" w:space="0"/>
            </w:tcBorders>
            <w:vAlign w:val="center"/>
          </w:tcPr>
          <w:p w14:paraId="6F21149E">
            <w:pPr>
              <w:snapToGrid w:val="0"/>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备注</w:t>
            </w:r>
          </w:p>
        </w:tc>
      </w:tr>
      <w:tr w14:paraId="71D17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90D5090">
            <w:pPr>
              <w:snapToGrid w:val="0"/>
              <w:spacing w:line="360" w:lineRule="auto"/>
              <w:jc w:val="center"/>
              <w:rPr>
                <w:rFonts w:ascii="宋体" w:hAnsi="宋体"/>
                <w:color w:val="auto"/>
                <w:szCs w:val="21"/>
              </w:rPr>
            </w:pPr>
            <w:r>
              <w:rPr>
                <w:rFonts w:hint="eastAsia" w:ascii="宋体" w:hAnsi="宋体"/>
                <w:color w:val="auto"/>
                <w:szCs w:val="21"/>
              </w:rPr>
              <w:t>1</w:t>
            </w:r>
          </w:p>
        </w:tc>
        <w:tc>
          <w:tcPr>
            <w:tcW w:w="2095" w:type="dxa"/>
            <w:tcBorders>
              <w:top w:val="single" w:color="auto" w:sz="4" w:space="0"/>
              <w:left w:val="single" w:color="auto" w:sz="4" w:space="0"/>
              <w:bottom w:val="single" w:color="auto" w:sz="4" w:space="0"/>
              <w:right w:val="single" w:color="auto" w:sz="4" w:space="0"/>
            </w:tcBorders>
            <w:vAlign w:val="center"/>
          </w:tcPr>
          <w:p w14:paraId="0ED89648">
            <w:pPr>
              <w:snapToGrid w:val="0"/>
              <w:spacing w:line="360" w:lineRule="auto"/>
              <w:jc w:val="center"/>
              <w:rPr>
                <w:rFonts w:ascii="宋体" w:hAnsi="宋体"/>
                <w:color w:val="auto"/>
                <w:szCs w:val="21"/>
              </w:rPr>
            </w:pPr>
            <w:r>
              <w:rPr>
                <w:rFonts w:hint="eastAsia" w:ascii="宋体" w:hAnsi="宋体"/>
                <w:color w:val="auto"/>
                <w:szCs w:val="21"/>
                <w:lang w:eastAsia="zh-CN"/>
              </w:rPr>
              <w:t>山围镇、民安镇、清水口镇、新丰镇等4个镇级污水处理设施（含泵站、污水管网）运营维护</w:t>
            </w:r>
          </w:p>
        </w:tc>
        <w:tc>
          <w:tcPr>
            <w:tcW w:w="883" w:type="dxa"/>
            <w:tcBorders>
              <w:top w:val="single" w:color="auto" w:sz="4" w:space="0"/>
              <w:left w:val="single" w:color="auto" w:sz="4" w:space="0"/>
              <w:bottom w:val="single" w:color="auto" w:sz="4" w:space="0"/>
              <w:right w:val="single" w:color="auto" w:sz="4" w:space="0"/>
            </w:tcBorders>
            <w:vAlign w:val="center"/>
          </w:tcPr>
          <w:p w14:paraId="260A0646">
            <w:pPr>
              <w:snapToGrid w:val="0"/>
              <w:spacing w:line="360" w:lineRule="auto"/>
              <w:jc w:val="center"/>
              <w:rPr>
                <w:rFonts w:hint="default" w:ascii="宋体" w:hAnsi="宋体" w:eastAsia="宋体"/>
                <w:color w:val="auto"/>
                <w:szCs w:val="21"/>
                <w:lang w:val="en-US" w:eastAsia="zh-CN"/>
              </w:rPr>
            </w:pPr>
            <w:r>
              <w:rPr>
                <w:rFonts w:hint="eastAsia" w:ascii="宋体" w:hAnsi="宋体" w:cs="宋体"/>
                <w:color w:val="auto"/>
                <w:szCs w:val="21"/>
                <w:lang w:val="en-US" w:eastAsia="zh-CN"/>
              </w:rPr>
              <w:t>1项</w:t>
            </w:r>
          </w:p>
        </w:tc>
        <w:tc>
          <w:tcPr>
            <w:tcW w:w="4817" w:type="dxa"/>
            <w:tcBorders>
              <w:top w:val="single" w:color="auto" w:sz="4" w:space="0"/>
              <w:left w:val="single" w:color="auto" w:sz="4" w:space="0"/>
              <w:bottom w:val="single" w:color="auto" w:sz="4" w:space="0"/>
              <w:right w:val="single" w:color="auto" w:sz="4" w:space="0"/>
            </w:tcBorders>
            <w:vAlign w:val="center"/>
          </w:tcPr>
          <w:p w14:paraId="095D50D3">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山围镇、民安镇、清水口镇、新丰镇 4 个镇级污水处理设施运营维护，含污水厂、管网及泵站。服务内容包括</w:t>
            </w:r>
            <w:r>
              <w:rPr>
                <w:rFonts w:hint="eastAsia" w:ascii="宋体" w:hAnsi="宋体" w:cs="宋体"/>
                <w:color w:val="auto"/>
                <w:kern w:val="0"/>
                <w:sz w:val="21"/>
                <w:szCs w:val="21"/>
                <w:lang w:val="en-US" w:eastAsia="zh-CN" w:bidi="ar"/>
              </w:rPr>
              <w:t>但不限于</w:t>
            </w:r>
            <w:r>
              <w:rPr>
                <w:rFonts w:hint="eastAsia" w:ascii="宋体" w:hAnsi="宋体" w:eastAsia="宋体" w:cs="宋体"/>
                <w:color w:val="auto"/>
                <w:kern w:val="0"/>
                <w:sz w:val="21"/>
                <w:szCs w:val="21"/>
                <w:lang w:val="en-US" w:eastAsia="zh-CN" w:bidi="ar"/>
              </w:rPr>
              <w:t>：4 座污水厂工艺、设备、安全、卫生</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人工湿</w:t>
            </w:r>
            <w:r>
              <w:rPr>
                <w:rFonts w:hint="eastAsia" w:ascii="宋体" w:hAnsi="宋体" w:cs="宋体"/>
                <w:color w:val="auto"/>
                <w:kern w:val="0"/>
                <w:sz w:val="21"/>
                <w:szCs w:val="21"/>
                <w:lang w:val="en-US" w:eastAsia="zh-CN" w:bidi="ar"/>
              </w:rPr>
              <w:t>地</w:t>
            </w:r>
            <w:r>
              <w:rPr>
                <w:rFonts w:hint="eastAsia" w:ascii="宋体" w:hAnsi="宋体" w:cs="宋体"/>
                <w:color w:val="auto"/>
                <w:kern w:val="0"/>
                <w:sz w:val="21"/>
                <w:szCs w:val="21"/>
                <w:lang w:val="en-US" w:eastAsia="zh-CN" w:bidi="ar"/>
              </w:rPr>
              <w:t>以及</w:t>
            </w:r>
            <w:r>
              <w:rPr>
                <w:rFonts w:hint="eastAsia" w:ascii="宋体" w:hAnsi="宋体" w:cs="宋体"/>
                <w:color w:val="auto"/>
                <w:kern w:val="0"/>
                <w:sz w:val="21"/>
                <w:szCs w:val="21"/>
                <w:lang w:val="en-US" w:eastAsia="zh-CN" w:bidi="ar"/>
              </w:rPr>
              <w:t>管网、</w:t>
            </w:r>
            <w:r>
              <w:rPr>
                <w:rFonts w:hint="eastAsia" w:ascii="宋体" w:hAnsi="宋体"/>
                <w:color w:val="auto"/>
                <w:szCs w:val="21"/>
                <w:lang w:eastAsia="zh-CN"/>
              </w:rPr>
              <w:t>泵站、</w:t>
            </w:r>
            <w:r>
              <w:rPr>
                <w:rFonts w:hint="eastAsia" w:ascii="宋体" w:hAnsi="宋体"/>
                <w:color w:val="auto"/>
                <w:szCs w:val="21"/>
                <w:lang w:val="en-US" w:eastAsia="zh-CN"/>
              </w:rPr>
              <w:t>智慧管理平台等的日常运营维护</w:t>
            </w:r>
            <w:r>
              <w:rPr>
                <w:rFonts w:hint="eastAsia" w:ascii="宋体" w:hAnsi="宋体" w:eastAsia="宋体" w:cs="宋体"/>
                <w:color w:val="auto"/>
                <w:kern w:val="0"/>
                <w:sz w:val="21"/>
                <w:szCs w:val="21"/>
                <w:lang w:val="en-US" w:eastAsia="zh-CN" w:bidi="ar"/>
              </w:rPr>
              <w:t>，承担水电</w:t>
            </w:r>
            <w:r>
              <w:rPr>
                <w:rFonts w:hint="eastAsia" w:ascii="宋体" w:hAnsi="宋体" w:cs="宋体"/>
                <w:color w:val="auto"/>
                <w:kern w:val="0"/>
                <w:sz w:val="21"/>
                <w:szCs w:val="21"/>
                <w:lang w:val="en-US" w:eastAsia="zh-CN" w:bidi="ar"/>
              </w:rPr>
              <w:t>费</w:t>
            </w:r>
            <w:r>
              <w:rPr>
                <w:rFonts w:hint="eastAsia" w:ascii="宋体" w:hAnsi="宋体" w:eastAsia="宋体" w:cs="宋体"/>
                <w:color w:val="auto"/>
                <w:kern w:val="0"/>
                <w:sz w:val="21"/>
                <w:szCs w:val="21"/>
                <w:lang w:val="en-US" w:eastAsia="zh-CN" w:bidi="ar"/>
              </w:rPr>
              <w:t>、药剂</w:t>
            </w:r>
            <w:r>
              <w:rPr>
                <w:rFonts w:hint="eastAsia" w:ascii="宋体" w:hAnsi="宋体" w:cs="宋体"/>
                <w:color w:val="auto"/>
                <w:kern w:val="0"/>
                <w:sz w:val="21"/>
                <w:szCs w:val="21"/>
                <w:lang w:val="en-US" w:eastAsia="zh-CN" w:bidi="ar"/>
              </w:rPr>
              <w:t>费</w:t>
            </w:r>
            <w:r>
              <w:rPr>
                <w:rFonts w:hint="eastAsia" w:ascii="宋体" w:hAnsi="宋体" w:eastAsia="宋体" w:cs="宋体"/>
                <w:color w:val="auto"/>
                <w:kern w:val="0"/>
                <w:sz w:val="21"/>
                <w:szCs w:val="21"/>
                <w:lang w:val="en-US" w:eastAsia="zh-CN" w:bidi="ar"/>
              </w:rPr>
              <w:t>、污泥处置</w:t>
            </w:r>
            <w:r>
              <w:rPr>
                <w:rFonts w:hint="eastAsia" w:ascii="宋体" w:hAnsi="宋体" w:cs="宋体"/>
                <w:color w:val="auto"/>
                <w:kern w:val="0"/>
                <w:sz w:val="21"/>
                <w:szCs w:val="21"/>
                <w:lang w:val="en-US" w:eastAsia="zh-CN" w:bidi="ar"/>
              </w:rPr>
              <w:t>费、数据网络费</w:t>
            </w:r>
            <w:r>
              <w:rPr>
                <w:rFonts w:hint="eastAsia" w:ascii="宋体" w:hAnsi="宋体" w:eastAsia="宋体" w:cs="宋体"/>
                <w:color w:val="auto"/>
                <w:kern w:val="0"/>
                <w:sz w:val="21"/>
                <w:szCs w:val="21"/>
                <w:lang w:val="en-US" w:eastAsia="zh-CN" w:bidi="ar"/>
              </w:rPr>
              <w:t>等相关费用；新建智慧运维管理云平台。</w:t>
            </w:r>
          </w:p>
          <w:p w14:paraId="637C2C99">
            <w:pPr>
              <w:adjustRightInd w:val="0"/>
              <w:snapToGrid w:val="0"/>
              <w:rPr>
                <w:rFonts w:ascii="宋体" w:hAnsi="宋体"/>
                <w:color w:val="auto"/>
                <w:szCs w:val="21"/>
              </w:rPr>
            </w:pPr>
            <w:r>
              <w:rPr>
                <w:rFonts w:hint="eastAsia" w:ascii="宋体" w:hAnsi="宋体"/>
                <w:color w:val="auto"/>
                <w:szCs w:val="21"/>
              </w:rPr>
              <w:t>......具体详见第二章 采购需求</w:t>
            </w:r>
          </w:p>
        </w:tc>
        <w:tc>
          <w:tcPr>
            <w:tcW w:w="1083" w:type="dxa"/>
            <w:tcBorders>
              <w:top w:val="single" w:color="auto" w:sz="4" w:space="0"/>
              <w:left w:val="single" w:color="auto" w:sz="4" w:space="0"/>
              <w:bottom w:val="single" w:color="auto" w:sz="4" w:space="0"/>
              <w:right w:val="single" w:color="auto" w:sz="4" w:space="0"/>
            </w:tcBorders>
            <w:vAlign w:val="center"/>
          </w:tcPr>
          <w:p w14:paraId="4A625B6B">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预算金额 </w:t>
            </w:r>
          </w:p>
          <w:p w14:paraId="684F7122">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1820</w:t>
            </w:r>
            <w:r>
              <w:rPr>
                <w:rFonts w:hint="eastAsia" w:ascii="宋体" w:hAnsi="宋体" w:cs="宋体"/>
                <w:color w:val="auto"/>
                <w:kern w:val="0"/>
                <w:sz w:val="20"/>
                <w:szCs w:val="20"/>
                <w:lang w:val="en-US" w:eastAsia="zh-CN" w:bidi="ar"/>
              </w:rPr>
              <w:t>86</w:t>
            </w:r>
            <w:r>
              <w:rPr>
                <w:rFonts w:hint="eastAsia" w:ascii="宋体" w:hAnsi="宋体" w:eastAsia="宋体" w:cs="宋体"/>
                <w:color w:val="auto"/>
                <w:kern w:val="0"/>
                <w:sz w:val="20"/>
                <w:szCs w:val="20"/>
                <w:lang w:val="en-US" w:eastAsia="zh-CN" w:bidi="ar"/>
              </w:rPr>
              <w:t xml:space="preserve">5. </w:t>
            </w:r>
          </w:p>
          <w:p w14:paraId="58D1343F">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0</w:t>
            </w:r>
            <w:r>
              <w:rPr>
                <w:rFonts w:hint="eastAsia" w:ascii="宋体" w:hAnsi="宋体" w:cs="宋体"/>
                <w:color w:val="auto"/>
                <w:kern w:val="0"/>
                <w:sz w:val="20"/>
                <w:szCs w:val="20"/>
                <w:lang w:val="en-US" w:eastAsia="zh-CN" w:bidi="ar"/>
              </w:rPr>
              <w:t>0</w:t>
            </w:r>
            <w:r>
              <w:rPr>
                <w:rFonts w:hint="eastAsia" w:ascii="宋体" w:hAnsi="宋体" w:eastAsia="宋体" w:cs="宋体"/>
                <w:color w:val="auto"/>
                <w:kern w:val="0"/>
                <w:sz w:val="20"/>
                <w:szCs w:val="20"/>
                <w:lang w:val="en-US" w:eastAsia="zh-CN" w:bidi="ar"/>
              </w:rPr>
              <w:t>元/年</w:t>
            </w:r>
            <w:r>
              <w:rPr>
                <w:rFonts w:hint="eastAsia" w:ascii="宋体" w:hAnsi="宋体" w:eastAsia="宋体" w:cs="宋体"/>
                <w:color w:val="auto"/>
                <w:kern w:val="0"/>
                <w:sz w:val="20"/>
                <w:szCs w:val="20"/>
                <w:lang w:val="en-US" w:eastAsia="zh-CN" w:bidi="ar"/>
              </w:rPr>
              <w:t xml:space="preserve">， </w:t>
            </w:r>
          </w:p>
          <w:p w14:paraId="32BB6E47">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服务期限 </w:t>
            </w:r>
          </w:p>
          <w:p w14:paraId="072BC6E7">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3 年。</w:t>
            </w:r>
          </w:p>
          <w:p w14:paraId="22521A4B">
            <w:pPr>
              <w:adjustRightInd w:val="0"/>
              <w:snapToGrid w:val="0"/>
              <w:rPr>
                <w:rFonts w:hint="eastAsia" w:ascii="宋体" w:hAnsi="宋体"/>
                <w:color w:val="auto"/>
                <w:szCs w:val="21"/>
              </w:rPr>
            </w:pPr>
          </w:p>
        </w:tc>
      </w:tr>
    </w:tbl>
    <w:p w14:paraId="65448506">
      <w:pPr>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合同履行期限：</w:t>
      </w:r>
      <w:r>
        <w:rPr>
          <w:rFonts w:hint="eastAsia" w:ascii="宋体" w:hAnsi="宋体"/>
          <w:color w:val="auto"/>
          <w:szCs w:val="21"/>
          <w:lang w:eastAsia="zh-CN"/>
        </w:rPr>
        <w:t>本项目合同期限为3年，具体起止日期以合同明确约定为准。</w:t>
      </w:r>
    </w:p>
    <w:p w14:paraId="10B01CB6">
      <w:pPr>
        <w:spacing w:line="360" w:lineRule="auto"/>
        <w:ind w:firstLine="420" w:firstLineChars="200"/>
        <w:rPr>
          <w:rFonts w:ascii="宋体" w:hAnsi="宋体"/>
          <w:color w:val="auto"/>
          <w:szCs w:val="21"/>
        </w:rPr>
      </w:pPr>
      <w:r>
        <w:rPr>
          <w:rFonts w:hint="eastAsia" w:ascii="宋体" w:hAnsi="宋体"/>
          <w:color w:val="auto"/>
          <w:szCs w:val="21"/>
        </w:rPr>
        <w:t>本项目不接受联合体投标。</w:t>
      </w:r>
    </w:p>
    <w:p w14:paraId="4F4A2A50">
      <w:pPr>
        <w:spacing w:line="360" w:lineRule="auto"/>
        <w:rPr>
          <w:rFonts w:ascii="黑体" w:hAnsi="黑体" w:eastAsia="黑体"/>
          <w:b/>
          <w:bCs/>
          <w:color w:val="auto"/>
          <w:sz w:val="24"/>
        </w:rPr>
      </w:pPr>
      <w:bookmarkStart w:id="10" w:name="_Toc35393791"/>
      <w:bookmarkStart w:id="11" w:name="_Toc28359080"/>
      <w:bookmarkStart w:id="12" w:name="_Toc35393622"/>
      <w:bookmarkStart w:id="13" w:name="_Toc28359003"/>
      <w:r>
        <w:rPr>
          <w:rFonts w:hint="eastAsia" w:ascii="黑体" w:hAnsi="黑体" w:eastAsia="黑体"/>
          <w:b/>
          <w:bCs/>
          <w:color w:val="auto"/>
          <w:sz w:val="24"/>
        </w:rPr>
        <w:t>二、申请人的资格要求：</w:t>
      </w:r>
      <w:bookmarkEnd w:id="10"/>
      <w:bookmarkEnd w:id="11"/>
      <w:bookmarkEnd w:id="12"/>
      <w:bookmarkEnd w:id="13"/>
    </w:p>
    <w:p w14:paraId="6B4621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bookmarkStart w:id="14" w:name="_Hlk51746371"/>
      <w:bookmarkStart w:id="15" w:name="_Toc28359081"/>
      <w:bookmarkStart w:id="16" w:name="_Toc35393623"/>
      <w:bookmarkStart w:id="17" w:name="_Toc28359004"/>
      <w:bookmarkStart w:id="18" w:name="_Toc35393792"/>
      <w:r>
        <w:rPr>
          <w:rFonts w:hint="eastAsia" w:ascii="宋体" w:hAnsi="宋体"/>
          <w:color w:val="auto"/>
          <w:szCs w:val="21"/>
        </w:rPr>
        <w:t>1.满足《中华人民共和国政府采购法》第二十二条规定；</w:t>
      </w:r>
    </w:p>
    <w:p w14:paraId="1E4E761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rPr>
      </w:pPr>
      <w:r>
        <w:rPr>
          <w:rFonts w:ascii="宋体" w:hAnsi="宋体"/>
          <w:color w:val="auto"/>
          <w:szCs w:val="21"/>
        </w:rPr>
        <w:t>2</w:t>
      </w:r>
      <w:r>
        <w:rPr>
          <w:rFonts w:hint="eastAsia" w:ascii="宋体" w:hAnsi="宋体"/>
          <w:color w:val="auto"/>
          <w:szCs w:val="21"/>
        </w:rPr>
        <w:t>.落实政府采购政策需满足的资格要求：</w:t>
      </w:r>
      <w:r>
        <w:rPr>
          <w:rFonts w:hint="eastAsia" w:ascii="宋体" w:hAnsi="宋体" w:eastAsia="宋体" w:cs="宋体"/>
          <w:color w:val="auto"/>
          <w:kern w:val="0"/>
          <w:sz w:val="20"/>
          <w:szCs w:val="20"/>
          <w:lang w:val="en-US" w:eastAsia="zh-CN" w:bidi="ar"/>
        </w:rPr>
        <w:t>本项目属于100%专门面向中小微企业采购的项目，供应商应为中小微企业、监狱企业、残疾人福利性单位；</w:t>
      </w:r>
    </w:p>
    <w:p w14:paraId="2F19B9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szCs w:val="21"/>
        </w:rPr>
        <w:t>3.本项目的特定资格要求：</w:t>
      </w:r>
      <w:r>
        <w:rPr>
          <w:rFonts w:hint="eastAsia" w:ascii="宋体" w:hAnsi="宋体"/>
          <w:color w:val="auto"/>
          <w:szCs w:val="21"/>
          <w:lang w:val="en-US" w:eastAsia="zh-CN"/>
        </w:rPr>
        <w:t>无</w:t>
      </w:r>
    </w:p>
    <w:bookmarkEnd w:id="14"/>
    <w:p w14:paraId="08F5E7B7">
      <w:pPr>
        <w:spacing w:line="360" w:lineRule="auto"/>
        <w:rPr>
          <w:rFonts w:ascii="黑体" w:hAnsi="黑体" w:eastAsia="黑体"/>
          <w:b/>
          <w:bCs/>
          <w:color w:val="auto"/>
          <w:sz w:val="24"/>
        </w:rPr>
      </w:pPr>
      <w:r>
        <w:rPr>
          <w:rFonts w:hint="eastAsia" w:ascii="黑体" w:hAnsi="黑体" w:eastAsia="黑体"/>
          <w:b/>
          <w:bCs/>
          <w:color w:val="auto"/>
          <w:sz w:val="24"/>
        </w:rPr>
        <w:t>三、获取招标文件</w:t>
      </w:r>
      <w:bookmarkEnd w:id="15"/>
      <w:bookmarkEnd w:id="16"/>
      <w:bookmarkEnd w:id="17"/>
      <w:bookmarkEnd w:id="18"/>
    </w:p>
    <w:p w14:paraId="5CC7093B">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w:t>
      </w:r>
      <w:r>
        <w:rPr>
          <w:rFonts w:hint="eastAsia" w:ascii="宋体" w:hAnsi="宋体" w:cs="宋体"/>
          <w:bCs/>
          <w:color w:val="auto"/>
          <w:kern w:val="0"/>
          <w:szCs w:val="21"/>
          <w:u w:val="single"/>
        </w:rPr>
        <w:t>2026年  月  日</w:t>
      </w:r>
      <w:r>
        <w:rPr>
          <w:rFonts w:hint="eastAsia" w:ascii="宋体" w:hAnsi="宋体" w:cs="宋体"/>
          <w:bCs/>
          <w:color w:val="auto"/>
          <w:kern w:val="0"/>
          <w:szCs w:val="21"/>
        </w:rPr>
        <w:t>至</w:t>
      </w:r>
      <w:r>
        <w:rPr>
          <w:rFonts w:hint="eastAsia" w:ascii="宋体" w:hAnsi="宋体" w:cs="宋体"/>
          <w:bCs/>
          <w:color w:val="auto"/>
          <w:kern w:val="0"/>
          <w:szCs w:val="21"/>
          <w:u w:val="single"/>
        </w:rPr>
        <w:t>2026年  月  日</w:t>
      </w:r>
      <w:r>
        <w:rPr>
          <w:rFonts w:hint="eastAsia" w:ascii="宋体" w:hAnsi="宋体" w:cs="宋体"/>
          <w:bCs/>
          <w:color w:val="auto"/>
          <w:kern w:val="0"/>
          <w:szCs w:val="21"/>
        </w:rPr>
        <w:t>，每天上午00:00至12:00，下午12:00至23:59（北京时间，法定节假日除外）</w:t>
      </w:r>
    </w:p>
    <w:p w14:paraId="5ABA0DA6">
      <w:pPr>
        <w:spacing w:line="360" w:lineRule="auto"/>
        <w:ind w:firstLine="540"/>
        <w:rPr>
          <w:rFonts w:ascii="宋体" w:hAnsi="宋体"/>
          <w:color w:val="auto"/>
          <w:szCs w:val="21"/>
        </w:rPr>
      </w:pPr>
      <w:r>
        <w:rPr>
          <w:rFonts w:hint="eastAsia" w:ascii="宋体" w:hAnsi="宋体" w:cs="宋体"/>
          <w:bCs/>
          <w:color w:val="auto"/>
          <w:kern w:val="0"/>
          <w:szCs w:val="21"/>
        </w:rPr>
        <w:t>地点：</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2EAA84C1">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方式：网上下载。本项目不提供纸质文件，潜在供应商需在</w:t>
      </w:r>
      <w:r>
        <w:rPr>
          <w:rFonts w:ascii="宋体" w:hAnsi="宋体"/>
          <w:color w:val="auto"/>
          <w:szCs w:val="21"/>
        </w:rPr>
        <w:t>广西政府采购云平台</w:t>
      </w:r>
      <w:r>
        <w:rPr>
          <w:rFonts w:hint="eastAsia" w:ascii="宋体" w:hAnsi="宋体"/>
          <w:color w:val="auto"/>
          <w:szCs w:val="21"/>
        </w:rPr>
        <w:t>（</w:t>
      </w:r>
      <w:r>
        <w:rPr>
          <w:rFonts w:ascii="宋体" w:hAnsi="宋体"/>
          <w:bCs/>
          <w:color w:val="auto"/>
          <w:szCs w:val="21"/>
        </w:rPr>
        <w:t>https://www.gcy.zfcg.gxzf.gov.cn/</w:t>
      </w:r>
      <w:r>
        <w:rPr>
          <w:rFonts w:hint="eastAsia" w:ascii="宋体" w:hAnsi="宋体"/>
          <w:color w:val="auto"/>
          <w:szCs w:val="21"/>
        </w:rPr>
        <w:t>）</w:t>
      </w:r>
      <w:r>
        <w:rPr>
          <w:rFonts w:hint="eastAsia" w:ascii="宋体" w:hAnsi="宋体" w:cs="宋体"/>
          <w:bCs/>
          <w:color w:val="auto"/>
          <w:kern w:val="0"/>
          <w:szCs w:val="21"/>
        </w:rPr>
        <w:t>-进入“项目采购”应用，在获取采购文件菜单中选择项目，获取招标文件。</w:t>
      </w:r>
      <w:r>
        <w:rPr>
          <w:rFonts w:hint="eastAsia" w:ascii="宋体" w:hAnsi="宋体"/>
          <w:color w:val="auto"/>
          <w:szCs w:val="21"/>
        </w:rPr>
        <w:t>电子投标文件制作需要基于</w:t>
      </w:r>
      <w:r>
        <w:rPr>
          <w:rFonts w:ascii="宋体" w:hAnsi="宋体"/>
          <w:color w:val="auto"/>
          <w:szCs w:val="21"/>
        </w:rPr>
        <w:t>广西政府采购云平台</w:t>
      </w:r>
      <w:r>
        <w:rPr>
          <w:rFonts w:hint="eastAsia" w:ascii="宋体" w:hAnsi="宋体"/>
          <w:color w:val="auto"/>
          <w:szCs w:val="21"/>
        </w:rPr>
        <w:t>获取的招标文件编制，</w:t>
      </w:r>
      <w:r>
        <w:rPr>
          <w:rFonts w:hint="eastAsia" w:ascii="宋体" w:hAnsi="宋体" w:cs="宋体"/>
          <w:bCs/>
          <w:color w:val="auto"/>
          <w:kern w:val="0"/>
          <w:szCs w:val="21"/>
        </w:rPr>
        <w:t>通过其他方式获取招标文件的，将有可能导致供应商无法在</w:t>
      </w:r>
      <w:r>
        <w:rPr>
          <w:rFonts w:ascii="宋体" w:hAnsi="宋体"/>
          <w:color w:val="auto"/>
          <w:szCs w:val="21"/>
        </w:rPr>
        <w:t>广西政府采购云平台</w:t>
      </w:r>
      <w:r>
        <w:rPr>
          <w:rFonts w:hint="eastAsia" w:ascii="宋体" w:hAnsi="宋体" w:cs="宋体"/>
          <w:bCs/>
          <w:color w:val="auto"/>
          <w:kern w:val="0"/>
          <w:szCs w:val="21"/>
        </w:rPr>
        <w:t>编制及上传投标文件。</w:t>
      </w:r>
    </w:p>
    <w:p w14:paraId="5EB3A5B8">
      <w:pPr>
        <w:spacing w:line="360" w:lineRule="auto"/>
        <w:ind w:firstLine="540"/>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bCs/>
          <w:color w:val="auto"/>
          <w:kern w:val="0"/>
          <w:szCs w:val="21"/>
        </w:rPr>
        <w:t>售价：</w:t>
      </w:r>
      <w:r>
        <w:rPr>
          <w:rFonts w:hint="eastAsia" w:ascii="宋体" w:hAnsi="宋体" w:cs="宋体"/>
          <w:i/>
          <w:color w:val="auto"/>
          <w:szCs w:val="21"/>
          <w:u w:val="single"/>
        </w:rPr>
        <w:t>0</w:t>
      </w:r>
      <w:r>
        <w:rPr>
          <w:rFonts w:hint="eastAsia" w:ascii="宋体" w:hAnsi="宋体" w:cs="宋体"/>
          <w:color w:val="auto"/>
          <w:szCs w:val="21"/>
        </w:rPr>
        <w:t>元</w:t>
      </w:r>
    </w:p>
    <w:p w14:paraId="2CE97A3B">
      <w:pPr>
        <w:spacing w:line="360" w:lineRule="auto"/>
        <w:rPr>
          <w:rFonts w:ascii="黑体" w:hAnsi="黑体" w:eastAsia="黑体"/>
          <w:b/>
          <w:bCs/>
          <w:color w:val="auto"/>
          <w:sz w:val="24"/>
        </w:rPr>
      </w:pPr>
      <w:bookmarkStart w:id="19" w:name="_Toc28359005"/>
      <w:bookmarkStart w:id="20" w:name="_Toc28359082"/>
      <w:bookmarkStart w:id="21" w:name="_Toc35393793"/>
      <w:bookmarkStart w:id="22" w:name="_Toc35393624"/>
      <w:r>
        <w:rPr>
          <w:rFonts w:hint="eastAsia" w:ascii="黑体" w:hAnsi="黑体" w:eastAsia="黑体"/>
          <w:b/>
          <w:bCs/>
          <w:color w:val="auto"/>
          <w:sz w:val="24"/>
        </w:rPr>
        <w:t>四、提交投标文件</w:t>
      </w:r>
      <w:bookmarkEnd w:id="19"/>
      <w:bookmarkEnd w:id="20"/>
      <w:r>
        <w:rPr>
          <w:rFonts w:hint="eastAsia" w:ascii="黑体" w:hAnsi="黑体" w:eastAsia="黑体"/>
          <w:b/>
          <w:bCs/>
          <w:color w:val="auto"/>
          <w:sz w:val="24"/>
        </w:rPr>
        <w:t>截止时间、开标时间和地点</w:t>
      </w:r>
      <w:bookmarkEnd w:id="21"/>
      <w:bookmarkEnd w:id="22"/>
    </w:p>
    <w:p w14:paraId="140302FA">
      <w:pPr>
        <w:spacing w:line="360" w:lineRule="auto"/>
        <w:ind w:firstLine="420" w:firstLineChars="200"/>
        <w:rPr>
          <w:rFonts w:ascii="宋体" w:hAnsi="宋体" w:cs="宋体"/>
          <w:color w:val="auto"/>
          <w:szCs w:val="21"/>
          <w:u w:val="single"/>
        </w:rPr>
      </w:pPr>
      <w:bookmarkStart w:id="23" w:name="_Toc35393625"/>
      <w:bookmarkStart w:id="24" w:name="_Toc28359084"/>
      <w:bookmarkStart w:id="25" w:name="_Toc35393794"/>
      <w:bookmarkStart w:id="26" w:name="_Toc28359007"/>
      <w:r>
        <w:rPr>
          <w:rFonts w:hint="eastAsia" w:ascii="宋体" w:hAnsi="宋体" w:cs="宋体"/>
          <w:color w:val="auto"/>
          <w:szCs w:val="21"/>
          <w:u w:val="single"/>
        </w:rPr>
        <w:t>2026年  月  日9时30分（北京时间）</w:t>
      </w:r>
    </w:p>
    <w:p w14:paraId="5295E69E">
      <w:pPr>
        <w:spacing w:line="360" w:lineRule="auto"/>
        <w:ind w:firstLine="420" w:firstLineChars="200"/>
        <w:rPr>
          <w:rFonts w:ascii="宋体" w:hAnsi="宋体"/>
          <w:color w:val="auto"/>
          <w:szCs w:val="21"/>
        </w:rPr>
      </w:pPr>
      <w:r>
        <w:rPr>
          <w:rFonts w:hint="eastAsia" w:ascii="宋体" w:hAnsi="宋体"/>
          <w:color w:val="auto"/>
          <w:szCs w:val="21"/>
        </w:rPr>
        <w:t>地点：</w:t>
      </w:r>
    </w:p>
    <w:p w14:paraId="5BBD2545">
      <w:pPr>
        <w:spacing w:line="360" w:lineRule="auto"/>
        <w:ind w:firstLine="420" w:firstLineChars="200"/>
        <w:rPr>
          <w:rFonts w:ascii="宋体" w:hAnsi="宋体"/>
          <w:color w:val="auto"/>
          <w:szCs w:val="21"/>
        </w:rPr>
      </w:pPr>
      <w:r>
        <w:rPr>
          <w:rFonts w:hint="eastAsia" w:ascii="宋体" w:hAnsi="宋体"/>
          <w:color w:val="auto"/>
          <w:szCs w:val="21"/>
        </w:rPr>
        <w:t>投标地点：</w:t>
      </w:r>
      <w:r>
        <w:rPr>
          <w:rFonts w:ascii="宋体" w:hAnsi="宋体"/>
          <w:color w:val="auto"/>
          <w:szCs w:val="21"/>
        </w:rPr>
        <w:t>广西政府采购云平台</w:t>
      </w:r>
      <w:r>
        <w:rPr>
          <w:rFonts w:hint="eastAsia" w:ascii="宋体" w:hAnsi="宋体"/>
          <w:color w:val="auto"/>
          <w:szCs w:val="21"/>
        </w:rPr>
        <w:t>（</w:t>
      </w:r>
      <w:r>
        <w:rPr>
          <w:rFonts w:ascii="宋体" w:hAnsi="宋体"/>
          <w:bCs/>
          <w:color w:val="auto"/>
          <w:szCs w:val="21"/>
        </w:rPr>
        <w:t>https://www.gcy.zfcg.gxzf.gov.cn/</w:t>
      </w:r>
      <w:r>
        <w:rPr>
          <w:rFonts w:hint="eastAsia" w:ascii="宋体" w:hAnsi="宋体"/>
          <w:color w:val="auto"/>
          <w:szCs w:val="21"/>
        </w:rPr>
        <w:t>）</w:t>
      </w:r>
    </w:p>
    <w:p w14:paraId="024BBB29">
      <w:pPr>
        <w:spacing w:line="360" w:lineRule="auto"/>
        <w:ind w:firstLine="420" w:firstLineChars="200"/>
        <w:rPr>
          <w:rFonts w:ascii="宋体" w:hAnsi="宋体"/>
          <w:color w:val="auto"/>
          <w:szCs w:val="21"/>
        </w:rPr>
      </w:pPr>
      <w:r>
        <w:rPr>
          <w:rFonts w:hint="eastAsia" w:ascii="宋体" w:hAnsi="宋体"/>
          <w:color w:val="auto"/>
          <w:szCs w:val="21"/>
        </w:rPr>
        <w:t>开标地点：</w:t>
      </w:r>
      <w:r>
        <w:rPr>
          <w:rFonts w:ascii="宋体" w:hAnsi="宋体"/>
          <w:color w:val="auto"/>
          <w:szCs w:val="21"/>
        </w:rPr>
        <w:t>广西政府采购云平台</w:t>
      </w:r>
      <w:r>
        <w:rPr>
          <w:rFonts w:hint="eastAsia" w:ascii="宋体" w:hAnsi="宋体"/>
          <w:color w:val="auto"/>
          <w:szCs w:val="21"/>
        </w:rPr>
        <w:t>电子开标大厅</w:t>
      </w:r>
    </w:p>
    <w:p w14:paraId="2E57C75F">
      <w:pPr>
        <w:spacing w:line="360" w:lineRule="auto"/>
        <w:rPr>
          <w:rFonts w:ascii="黑体" w:hAnsi="黑体" w:eastAsia="黑体"/>
          <w:b/>
          <w:bCs/>
          <w:color w:val="auto"/>
          <w:sz w:val="24"/>
        </w:rPr>
      </w:pPr>
      <w:r>
        <w:rPr>
          <w:rFonts w:hint="eastAsia" w:ascii="黑体" w:hAnsi="黑体" w:eastAsia="黑体"/>
          <w:b/>
          <w:bCs/>
          <w:color w:val="auto"/>
          <w:sz w:val="24"/>
        </w:rPr>
        <w:t>五、公告期限</w:t>
      </w:r>
      <w:bookmarkEnd w:id="23"/>
      <w:bookmarkEnd w:id="24"/>
      <w:bookmarkEnd w:id="25"/>
      <w:bookmarkEnd w:id="26"/>
    </w:p>
    <w:p w14:paraId="7888592F">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21D25078">
      <w:pPr>
        <w:spacing w:line="360" w:lineRule="auto"/>
        <w:rPr>
          <w:rFonts w:ascii="黑体" w:hAnsi="黑体" w:eastAsia="黑体"/>
          <w:b/>
          <w:bCs/>
          <w:color w:val="auto"/>
          <w:sz w:val="24"/>
        </w:rPr>
      </w:pPr>
      <w:bookmarkStart w:id="27" w:name="_Toc35393795"/>
      <w:bookmarkStart w:id="28" w:name="_Toc35393626"/>
      <w:r>
        <w:rPr>
          <w:rFonts w:hint="eastAsia" w:ascii="黑体" w:hAnsi="黑体" w:eastAsia="黑体"/>
          <w:b/>
          <w:bCs/>
          <w:color w:val="auto"/>
          <w:sz w:val="24"/>
        </w:rPr>
        <w:t>六、其他补充事宜</w:t>
      </w:r>
      <w:bookmarkEnd w:id="27"/>
      <w:bookmarkEnd w:id="28"/>
    </w:p>
    <w:p w14:paraId="1C65D0C1">
      <w:pPr>
        <w:widowControl/>
        <w:spacing w:line="360" w:lineRule="auto"/>
        <w:ind w:firstLine="420" w:firstLineChars="200"/>
        <w:jc w:val="left"/>
        <w:rPr>
          <w:rFonts w:ascii="宋体" w:hAnsi="宋体" w:cs="宋体"/>
          <w:color w:val="auto"/>
          <w:kern w:val="0"/>
          <w:szCs w:val="21"/>
        </w:rPr>
      </w:pPr>
      <w:bookmarkStart w:id="29" w:name="_Toc28359008"/>
      <w:bookmarkStart w:id="30" w:name="_Toc35393796"/>
      <w:bookmarkStart w:id="31" w:name="_Toc28359085"/>
      <w:bookmarkStart w:id="32" w:name="_Toc35393627"/>
      <w:r>
        <w:rPr>
          <w:rFonts w:hint="eastAsia" w:ascii="宋体" w:hAnsi="宋体" w:cs="宋体"/>
          <w:color w:val="auto"/>
          <w:kern w:val="0"/>
          <w:szCs w:val="21"/>
        </w:rPr>
        <w:t>1.网上查询地址</w:t>
      </w:r>
    </w:p>
    <w:p w14:paraId="6A8FEC62">
      <w:pPr>
        <w:widowControl/>
        <w:spacing w:line="360" w:lineRule="auto"/>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rPr>
        <w:t>http://www.ccgp.gov.cn（中国政府采购网）、http://zfcg.gxzf.gov.cn（广西壮族自治区政府采购网）、</w:t>
      </w:r>
      <w:r>
        <w:rPr>
          <w:rFonts w:hint="eastAsia" w:ascii="宋体" w:hAnsi="宋体" w:cs="宋体"/>
          <w:color w:val="auto"/>
          <w:kern w:val="0"/>
          <w:szCs w:val="21"/>
          <w:lang w:val="en-US" w:eastAsia="zh-CN"/>
        </w:rPr>
        <w:t>http://ggzy.yulin.gov.cn</w:t>
      </w:r>
      <w:r>
        <w:rPr>
          <w:rFonts w:hint="eastAsia" w:ascii="宋体" w:hAnsi="宋体" w:cs="宋体"/>
          <w:color w:val="auto"/>
          <w:kern w:val="0"/>
          <w:szCs w:val="21"/>
        </w:rPr>
        <w:t>（</w:t>
      </w:r>
      <w:r>
        <w:rPr>
          <w:rFonts w:hint="eastAsia" w:ascii="宋体" w:hAnsi="宋体" w:cs="宋体"/>
          <w:color w:val="auto"/>
          <w:kern w:val="0"/>
          <w:szCs w:val="21"/>
          <w:lang w:val="en-US" w:eastAsia="zh-CN"/>
        </w:rPr>
        <w:t>全国公共资源交易平台（广西.玉林）</w:t>
      </w:r>
      <w:r>
        <w:rPr>
          <w:rFonts w:hint="eastAsia" w:ascii="宋体" w:hAnsi="宋体" w:cs="宋体"/>
          <w:color w:val="auto"/>
          <w:kern w:val="0"/>
          <w:szCs w:val="21"/>
        </w:rPr>
        <w:t>）</w:t>
      </w:r>
    </w:p>
    <w:p w14:paraId="511F7A34">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2.本项目需要落实的政府采购政策</w:t>
      </w:r>
    </w:p>
    <w:p w14:paraId="3F9FF6CE">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（1）政府采购促进中小企业发展。</w:t>
      </w:r>
    </w:p>
    <w:p w14:paraId="76CC1579">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0E60BE98">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307C759B">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（4）政府采购促进残疾人就业政策。</w:t>
      </w:r>
    </w:p>
    <w:p w14:paraId="31B8917A">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（5）政府采购支持监狱企业发展。</w:t>
      </w:r>
    </w:p>
    <w:p w14:paraId="10B1CAD1">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3.投标人</w:t>
      </w:r>
      <w:r>
        <w:rPr>
          <w:rFonts w:hint="eastAsia" w:ascii="宋体" w:hAnsi="宋体"/>
          <w:color w:val="auto"/>
          <w:szCs w:val="21"/>
        </w:rPr>
        <w:t>投标注意事项</w:t>
      </w:r>
    </w:p>
    <w:p w14:paraId="0FBE7112">
      <w:pPr>
        <w:widowControl/>
        <w:spacing w:line="360" w:lineRule="auto"/>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投标人在</w:t>
      </w:r>
      <w:r>
        <w:rPr>
          <w:rFonts w:hint="eastAsia" w:ascii="宋体" w:hAnsi="宋体"/>
          <w:b/>
          <w:bCs/>
          <w:color w:val="auto"/>
          <w:szCs w:val="21"/>
        </w:rPr>
        <w:t>广西政府采购云平台</w:t>
      </w:r>
      <w:r>
        <w:rPr>
          <w:rFonts w:hint="eastAsia" w:ascii="宋体" w:hAnsi="宋体"/>
          <w:b/>
          <w:color w:val="auto"/>
          <w:szCs w:val="21"/>
        </w:rPr>
        <w:t>提交电子投标文件时，请填写参加远程开标活动经办人联系方式。</w:t>
      </w:r>
      <w:r>
        <w:rPr>
          <w:rFonts w:hint="eastAsia" w:ascii="宋体" w:hAnsi="宋体"/>
          <w:color w:val="auto"/>
          <w:szCs w:val="21"/>
        </w:rPr>
        <w:t>投标人登录广西政府采购云平台，依次进入“服务中心-项目采购-操作流程-电子招投标-</w:t>
      </w:r>
      <w:r>
        <w:rPr>
          <w:color w:val="auto"/>
        </w:rPr>
        <w:t>政府采购项目电子交易管理操作指南-供应商</w:t>
      </w:r>
      <w:r>
        <w:rPr>
          <w:rFonts w:hint="eastAsia" w:ascii="宋体" w:hAnsi="宋体"/>
          <w:color w:val="auto"/>
          <w:szCs w:val="21"/>
        </w:rPr>
        <w:t>”查看电子投标具体操作流程。</w:t>
      </w:r>
    </w:p>
    <w:p w14:paraId="18047B69">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如在操作过程中遇到问题或者需要技术支持，请致电客服热线：95763</w:t>
      </w:r>
      <w:r>
        <w:rPr>
          <w:rFonts w:hint="eastAsia" w:ascii="宋体" w:hAnsi="宋体"/>
          <w:color w:val="auto"/>
          <w:szCs w:val="21"/>
        </w:rPr>
        <w:t>）。</w:t>
      </w:r>
    </w:p>
    <w:p w14:paraId="7EFF23A3">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电子开标大厅现场按规定时间对加密的投标文件进行解密，否则后果自负。</w:t>
      </w:r>
    </w:p>
    <w:p w14:paraId="1D0722C5">
      <w:pPr>
        <w:spacing w:line="360" w:lineRule="auto"/>
        <w:ind w:firstLine="424" w:firstLineChars="202"/>
        <w:rPr>
          <w:rFonts w:hint="eastAsia" w:ascii="宋体" w:hAnsi="宋体"/>
          <w:bCs/>
          <w:color w:val="auto"/>
          <w:szCs w:val="21"/>
        </w:rPr>
      </w:pPr>
      <w:r>
        <w:rPr>
          <w:rFonts w:hint="eastAsia" w:ascii="宋体" w:hAnsi="宋体"/>
          <w:color w:val="auto"/>
          <w:szCs w:val="21"/>
        </w:rPr>
        <w:t>注：1）为确保网上操作合法、有效和安全，请投标人确保在电子投标过程中能够对相关数据电文进行加密和使用电子签章，妥善保管C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数字证书并使用有效的CA数字证书参与整个招标活动。2）</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rPr>
        <w:t>广西政府采购云平台</w:t>
      </w:r>
      <w:r>
        <w:rPr>
          <w:rFonts w:hint="eastAsia" w:ascii="宋体" w:hAnsi="宋体"/>
          <w:bCs/>
          <w:color w:val="auto"/>
          <w:szCs w:val="21"/>
        </w:rPr>
        <w:t>将予以拒收。</w:t>
      </w:r>
    </w:p>
    <w:p w14:paraId="0DE5C9D6">
      <w:pPr>
        <w:pStyle w:val="16"/>
        <w:ind w:firstLine="420" w:firstLineChars="200"/>
        <w:rPr>
          <w:rFonts w:hint="eastAsia" w:ascii="宋体" w:hAnsi="宋体" w:eastAsia="宋体" w:cs="Times New Roman"/>
          <w:bCs/>
          <w:color w:val="auto"/>
          <w:kern w:val="2"/>
          <w:sz w:val="21"/>
          <w:szCs w:val="21"/>
          <w:lang w:val="en-US" w:eastAsia="zh-CN" w:bidi="ar-SA"/>
        </w:rPr>
      </w:pPr>
      <w:r>
        <w:rPr>
          <w:rFonts w:hint="eastAsia" w:ascii="宋体" w:hAnsi="宋体" w:eastAsia="宋体" w:cs="Times New Roman"/>
          <w:bCs/>
          <w:color w:val="auto"/>
          <w:kern w:val="2"/>
          <w:sz w:val="21"/>
          <w:szCs w:val="21"/>
          <w:lang w:val="en-US" w:eastAsia="zh-CN" w:bidi="ar-SA"/>
        </w:rPr>
        <w:t xml:space="preserve"> 3.评审方式：本项目为远程异地全流程电子评标。</w:t>
      </w:r>
    </w:p>
    <w:p w14:paraId="35CDB177">
      <w:pPr>
        <w:spacing w:line="360" w:lineRule="auto"/>
        <w:rPr>
          <w:rFonts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29"/>
      <w:bookmarkEnd w:id="30"/>
      <w:bookmarkEnd w:id="31"/>
      <w:bookmarkEnd w:id="32"/>
    </w:p>
    <w:p w14:paraId="2F1DEA2A">
      <w:pPr>
        <w:spacing w:line="360" w:lineRule="auto"/>
        <w:ind w:firstLine="424" w:firstLineChars="202"/>
        <w:jc w:val="left"/>
        <w:rPr>
          <w:rFonts w:ascii="宋体" w:hAnsi="宋体"/>
          <w:color w:val="auto"/>
          <w:szCs w:val="21"/>
        </w:rPr>
      </w:pPr>
      <w:r>
        <w:rPr>
          <w:rFonts w:hint="eastAsia" w:ascii="宋体" w:hAnsi="宋体" w:cs="宋体"/>
          <w:color w:val="auto"/>
          <w:szCs w:val="21"/>
        </w:rPr>
        <w:t>1.采购人信息</w:t>
      </w:r>
    </w:p>
    <w:p w14:paraId="29AD0F1F">
      <w:pPr>
        <w:spacing w:line="360" w:lineRule="auto"/>
        <w:ind w:firstLine="424" w:firstLineChars="202"/>
        <w:jc w:val="left"/>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color w:val="auto"/>
          <w:szCs w:val="21"/>
          <w:u w:val="single"/>
          <w:lang w:eastAsia="zh-CN"/>
        </w:rPr>
        <w:t>北流市城市管理监督局</w:t>
      </w:r>
    </w:p>
    <w:p w14:paraId="6F29E523">
      <w:pPr>
        <w:spacing w:line="360" w:lineRule="auto"/>
        <w:ind w:firstLine="424" w:firstLineChars="202"/>
        <w:jc w:val="left"/>
        <w:rPr>
          <w:rFonts w:hint="eastAsia" w:ascii="宋体" w:hAnsi="宋体" w:eastAsia="宋体"/>
          <w:color w:val="auto"/>
          <w:szCs w:val="21"/>
          <w:lang w:eastAsia="zh-CN"/>
        </w:rPr>
      </w:pPr>
      <w:r>
        <w:rPr>
          <w:rFonts w:hint="eastAsia" w:ascii="宋体" w:hAnsi="宋体"/>
          <w:color w:val="auto"/>
          <w:szCs w:val="21"/>
        </w:rPr>
        <w:t>地址：</w:t>
      </w:r>
      <w:r>
        <w:rPr>
          <w:rFonts w:hint="eastAsia" w:ascii="宋体" w:hAnsi="宋体"/>
          <w:color w:val="auto"/>
          <w:szCs w:val="21"/>
          <w:u w:val="single"/>
          <w:lang w:eastAsia="zh-CN"/>
        </w:rPr>
        <w:t>北流市城南一路七里36号</w:t>
      </w:r>
    </w:p>
    <w:p w14:paraId="3548577E">
      <w:pPr>
        <w:spacing w:line="360" w:lineRule="auto"/>
        <w:ind w:firstLine="424" w:firstLineChars="202"/>
        <w:jc w:val="left"/>
        <w:rPr>
          <w:rFonts w:hint="eastAsia" w:ascii="宋体" w:hAnsi="宋体" w:eastAsia="宋体"/>
          <w:color w:val="auto"/>
          <w:szCs w:val="21"/>
          <w:u w:val="single"/>
          <w:lang w:eastAsia="zh-CN"/>
        </w:rPr>
      </w:pPr>
      <w:r>
        <w:rPr>
          <w:rFonts w:hint="eastAsia" w:ascii="宋体" w:hAnsi="宋体"/>
          <w:color w:val="auto"/>
          <w:szCs w:val="21"/>
        </w:rPr>
        <w:t>联系方式：</w:t>
      </w:r>
      <w:bookmarkStart w:id="33" w:name="_Toc28359086"/>
      <w:bookmarkStart w:id="34" w:name="_Toc28359009"/>
      <w:r>
        <w:rPr>
          <w:rFonts w:hint="eastAsia" w:ascii="宋体" w:hAnsi="宋体"/>
          <w:color w:val="auto"/>
          <w:szCs w:val="21"/>
          <w:u w:val="single"/>
          <w:lang w:eastAsia="zh-CN"/>
        </w:rPr>
        <w:t>李江生；0775-6223661</w:t>
      </w:r>
    </w:p>
    <w:p w14:paraId="33514647">
      <w:pPr>
        <w:spacing w:line="360" w:lineRule="auto"/>
        <w:ind w:firstLine="424" w:firstLineChars="202"/>
        <w:jc w:val="left"/>
        <w:rPr>
          <w:rFonts w:ascii="宋体" w:hAnsi="宋体"/>
          <w:color w:val="auto"/>
          <w:szCs w:val="21"/>
        </w:rPr>
      </w:pPr>
      <w:r>
        <w:rPr>
          <w:rFonts w:hint="eastAsia" w:ascii="宋体" w:hAnsi="宋体" w:cs="宋体"/>
          <w:color w:val="auto"/>
          <w:szCs w:val="21"/>
        </w:rPr>
        <w:t>2.采购代理机构信息</w:t>
      </w:r>
      <w:bookmarkEnd w:id="33"/>
      <w:bookmarkEnd w:id="34"/>
    </w:p>
    <w:p w14:paraId="5001F2E6">
      <w:pPr>
        <w:spacing w:line="360" w:lineRule="auto"/>
        <w:ind w:firstLine="424" w:firstLineChars="202"/>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cs="宋体"/>
          <w:color w:val="auto"/>
          <w:szCs w:val="21"/>
          <w:u w:val="single"/>
          <w:lang w:eastAsia="zh-CN"/>
        </w:rPr>
        <w:t>广西亿正工程咨询有限公司</w:t>
      </w:r>
    </w:p>
    <w:p w14:paraId="75D04AFA">
      <w:pPr>
        <w:spacing w:line="360" w:lineRule="auto"/>
        <w:ind w:firstLine="424" w:firstLineChars="202"/>
        <w:rPr>
          <w:rFonts w:hint="eastAsia" w:ascii="宋体" w:hAnsi="宋体" w:eastAsia="宋体"/>
          <w:color w:val="auto"/>
          <w:szCs w:val="21"/>
          <w:lang w:eastAsia="zh-CN"/>
        </w:rPr>
      </w:pPr>
      <w:r>
        <w:rPr>
          <w:rFonts w:hint="eastAsia" w:ascii="宋体" w:hAnsi="宋体"/>
          <w:color w:val="auto"/>
          <w:szCs w:val="21"/>
        </w:rPr>
        <w:t>地　址：</w:t>
      </w:r>
      <w:r>
        <w:rPr>
          <w:rFonts w:hint="eastAsia" w:ascii="宋体" w:hAnsi="宋体" w:cs="宋体"/>
          <w:color w:val="auto"/>
          <w:szCs w:val="21"/>
          <w:u w:val="single"/>
          <w:lang w:eastAsia="zh-CN"/>
        </w:rPr>
        <w:t>北流市永顺路六区124号</w:t>
      </w:r>
    </w:p>
    <w:p w14:paraId="52D94876">
      <w:pPr>
        <w:spacing w:line="360" w:lineRule="auto"/>
        <w:ind w:firstLine="424" w:firstLineChars="202"/>
        <w:rPr>
          <w:rFonts w:hint="eastAsia" w:ascii="宋体" w:hAnsi="宋体" w:eastAsia="宋体"/>
          <w:color w:val="auto"/>
          <w:szCs w:val="21"/>
          <w:lang w:eastAsia="zh-CN"/>
        </w:rPr>
      </w:pPr>
      <w:r>
        <w:rPr>
          <w:rFonts w:hint="eastAsia" w:ascii="宋体" w:hAnsi="宋体"/>
          <w:color w:val="auto"/>
          <w:szCs w:val="21"/>
        </w:rPr>
        <w:t>联系方式：</w:t>
      </w:r>
      <w:bookmarkStart w:id="35" w:name="_Toc28359087"/>
      <w:bookmarkStart w:id="36" w:name="_Toc28359010"/>
      <w:r>
        <w:rPr>
          <w:rFonts w:hint="eastAsia" w:ascii="宋体" w:hAnsi="宋体" w:cs="宋体"/>
          <w:color w:val="auto"/>
          <w:szCs w:val="21"/>
          <w:u w:val="single"/>
          <w:lang w:eastAsia="zh-CN"/>
        </w:rPr>
        <w:t>0775-6251836</w:t>
      </w:r>
    </w:p>
    <w:p w14:paraId="74BDC994">
      <w:pPr>
        <w:spacing w:line="360" w:lineRule="auto"/>
        <w:ind w:firstLine="424" w:firstLineChars="202"/>
        <w:rPr>
          <w:rFonts w:ascii="宋体" w:hAnsi="宋体"/>
          <w:color w:val="auto"/>
          <w:szCs w:val="21"/>
          <w:u w:val="single"/>
        </w:rPr>
      </w:pPr>
      <w:r>
        <w:rPr>
          <w:rFonts w:hint="eastAsia" w:ascii="宋体" w:hAnsi="宋体" w:cs="宋体"/>
          <w:color w:val="auto"/>
          <w:szCs w:val="21"/>
        </w:rPr>
        <w:t>3.项目</w:t>
      </w:r>
      <w:r>
        <w:rPr>
          <w:rFonts w:ascii="宋体" w:hAnsi="宋体" w:cs="宋体"/>
          <w:color w:val="auto"/>
          <w:szCs w:val="21"/>
        </w:rPr>
        <w:t>联系方式</w:t>
      </w:r>
      <w:bookmarkEnd w:id="35"/>
      <w:bookmarkEnd w:id="36"/>
    </w:p>
    <w:p w14:paraId="2FEB367E">
      <w:pPr>
        <w:pStyle w:val="22"/>
        <w:spacing w:line="360" w:lineRule="auto"/>
        <w:ind w:firstLine="424" w:firstLineChars="202"/>
        <w:rPr>
          <w:rFonts w:hint="eastAsia" w:hAnsi="宋体" w:eastAsia="宋体"/>
          <w:color w:val="auto"/>
          <w:sz w:val="21"/>
          <w:lang w:eastAsia="zh-CN"/>
        </w:rPr>
      </w:pPr>
      <w:r>
        <w:rPr>
          <w:rFonts w:hint="eastAsia" w:hAnsi="宋体"/>
          <w:color w:val="auto"/>
          <w:sz w:val="21"/>
        </w:rPr>
        <w:t xml:space="preserve">项目联系人： </w:t>
      </w:r>
      <w:r>
        <w:rPr>
          <w:rFonts w:hint="eastAsia" w:hAnsi="宋体"/>
          <w:color w:val="auto"/>
          <w:sz w:val="21"/>
          <w:u w:val="single"/>
          <w:lang w:eastAsia="zh-CN"/>
        </w:rPr>
        <w:t>陈雨仙</w:t>
      </w:r>
    </w:p>
    <w:p w14:paraId="6D963FD6">
      <w:pPr>
        <w:spacing w:line="360" w:lineRule="auto"/>
        <w:ind w:firstLine="424" w:firstLineChars="202"/>
        <w:rPr>
          <w:rFonts w:hint="eastAsia" w:ascii="宋体" w:hAnsi="宋体" w:eastAsia="宋体"/>
          <w:color w:val="auto"/>
          <w:szCs w:val="21"/>
          <w:u w:val="single"/>
          <w:lang w:eastAsia="zh-CN"/>
        </w:rPr>
      </w:pPr>
      <w:r>
        <w:rPr>
          <w:rFonts w:hint="eastAsia" w:ascii="宋体" w:hAnsi="宋体"/>
          <w:color w:val="auto"/>
          <w:szCs w:val="21"/>
        </w:rPr>
        <w:t>电　话：</w:t>
      </w:r>
      <w:r>
        <w:rPr>
          <w:rFonts w:hint="eastAsia" w:ascii="宋体" w:hAnsi="宋体" w:cs="宋体"/>
          <w:color w:val="auto"/>
          <w:szCs w:val="21"/>
          <w:u w:val="single"/>
          <w:lang w:eastAsia="zh-CN"/>
        </w:rPr>
        <w:t>0775-6251836</w:t>
      </w:r>
    </w:p>
    <w:p w14:paraId="381BDA32">
      <w:pPr>
        <w:spacing w:line="360" w:lineRule="auto"/>
        <w:rPr>
          <w:rFonts w:ascii="宋体" w:hAnsi="宋体"/>
          <w:color w:val="auto"/>
          <w:szCs w:val="21"/>
        </w:rPr>
      </w:pPr>
    </w:p>
    <w:p w14:paraId="1F8E87E8">
      <w:pPr>
        <w:pStyle w:val="2"/>
        <w:keepNext w:val="0"/>
        <w:keepLines w:val="0"/>
        <w:tabs>
          <w:tab w:val="left" w:pos="0"/>
          <w:tab w:val="left" w:pos="3165"/>
          <w:tab w:val="center" w:pos="4153"/>
        </w:tabs>
        <w:autoSpaceDE w:val="0"/>
        <w:autoSpaceDN w:val="0"/>
        <w:adjustRightInd w:val="0"/>
        <w:spacing w:before="0" w:after="0" w:line="360" w:lineRule="auto"/>
        <w:jc w:val="center"/>
        <w:rPr>
          <w:color w:val="auto"/>
        </w:rPr>
      </w:pPr>
      <w:r>
        <w:rPr>
          <w:rFonts w:ascii="仿宋_GB2312" w:hAnsi="宋体" w:eastAsia="仿宋_GB2312"/>
          <w:color w:val="auto"/>
          <w:sz w:val="24"/>
          <w:szCs w:val="20"/>
        </w:rPr>
        <w:br w:type="page"/>
      </w:r>
      <w:bookmarkStart w:id="37" w:name="_Toc27979"/>
      <w:r>
        <w:rPr>
          <w:rFonts w:hint="eastAsia"/>
          <w:color w:val="auto"/>
        </w:rPr>
        <w:t>第二章  采购需求</w:t>
      </w:r>
      <w:bookmarkEnd w:id="37"/>
    </w:p>
    <w:p w14:paraId="3A009DA8">
      <w:pPr>
        <w:spacing w:line="360" w:lineRule="auto"/>
        <w:jc w:val="left"/>
        <w:rPr>
          <w:rFonts w:ascii="宋体" w:hAnsi="宋体" w:cs="宋体"/>
          <w:color w:val="auto"/>
          <w:szCs w:val="21"/>
        </w:rPr>
      </w:pPr>
      <w:bookmarkStart w:id="38" w:name="_Toc254970631"/>
      <w:bookmarkStart w:id="39" w:name="_Toc254970490"/>
    </w:p>
    <w:p w14:paraId="44AD0FB8">
      <w:pPr>
        <w:spacing w:line="360" w:lineRule="auto"/>
        <w:jc w:val="left"/>
        <w:rPr>
          <w:rFonts w:ascii="宋体" w:hAnsi="宋体" w:cs="宋体"/>
          <w:color w:val="auto"/>
          <w:szCs w:val="21"/>
        </w:rPr>
      </w:pPr>
      <w:r>
        <w:rPr>
          <w:rFonts w:hint="eastAsia" w:ascii="宋体" w:hAnsi="宋体" w:cs="宋体"/>
          <w:color w:val="auto"/>
          <w:szCs w:val="21"/>
        </w:rPr>
        <w:t>说明：</w:t>
      </w:r>
    </w:p>
    <w:p w14:paraId="3E40EFF1">
      <w:pPr>
        <w:spacing w:line="360" w:lineRule="auto"/>
        <w:ind w:firstLine="420" w:firstLineChars="200"/>
        <w:jc w:val="left"/>
        <w:rPr>
          <w:color w:val="auto"/>
        </w:rPr>
      </w:pPr>
      <w:r>
        <w:rPr>
          <w:rFonts w:hint="eastAsia"/>
          <w:color w:val="auto"/>
        </w:rPr>
        <w:t>1. 为落实政府采购政策需满足的要求</w:t>
      </w:r>
    </w:p>
    <w:p w14:paraId="5C41D22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6429228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91F4E05">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6100E4A4">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3.采购需求中出现的品牌、型号或者生产厂家仅起参考作用，不属于指定品牌、型号或者生产厂家的情形。投标人可参照或者选用其他相当的品牌、型号或者生产厂家替代。</w:t>
      </w:r>
    </w:p>
    <w:p w14:paraId="7A5044B6">
      <w:pPr>
        <w:spacing w:line="360" w:lineRule="auto"/>
        <w:ind w:firstLine="424" w:firstLineChars="202"/>
        <w:jc w:val="left"/>
        <w:rPr>
          <w:rStyle w:val="52"/>
          <w:color w:val="auto"/>
        </w:rPr>
      </w:pPr>
      <w:r>
        <w:rPr>
          <w:rFonts w:hint="eastAsia" w:ascii="宋体" w:hAnsi="宋体" w:cs="宋体"/>
          <w:color w:val="auto"/>
          <w:szCs w:val="21"/>
        </w:rPr>
        <w:t>4. 投标人应根据自身实际情况如实响应招标文件</w:t>
      </w:r>
      <w:r>
        <w:rPr>
          <w:rFonts w:hint="eastAsia" w:ascii="宋体" w:hAnsi="宋体"/>
          <w:color w:val="auto"/>
          <w:szCs w:val="21"/>
        </w:rPr>
        <w:t>，</w:t>
      </w:r>
      <w:r>
        <w:rPr>
          <w:rFonts w:hint="eastAsia" w:ascii="宋体" w:hAnsi="宋体"/>
          <w:color w:val="auto"/>
          <w:sz w:val="22"/>
          <w:szCs w:val="22"/>
        </w:rPr>
        <w:t>对招标文件提出的要求和条件作出明确响应，</w:t>
      </w:r>
      <w:r>
        <w:rPr>
          <w:rFonts w:hint="eastAsia" w:ascii="宋体" w:hAnsi="宋体"/>
          <w:b/>
          <w:bCs/>
          <w:color w:val="auto"/>
          <w:szCs w:val="21"/>
        </w:rPr>
        <w:t>否则将作无效响应处理</w:t>
      </w:r>
      <w:r>
        <w:rPr>
          <w:rFonts w:hint="eastAsia" w:ascii="宋体" w:hAnsi="宋体"/>
          <w:color w:val="auto"/>
          <w:szCs w:val="21"/>
        </w:rPr>
        <w:t>。</w:t>
      </w:r>
      <w:r>
        <w:rPr>
          <w:rFonts w:hint="eastAsia"/>
          <w:color w:val="auto"/>
        </w:rPr>
        <w:t>对于重要技术条款或技术参数应当在投标文件中提供技术支持资料，技术支持资料以招标文件中规定的形式为准，</w:t>
      </w:r>
      <w:r>
        <w:rPr>
          <w:rFonts w:hint="eastAsia"/>
          <w:b/>
          <w:bCs/>
          <w:color w:val="auto"/>
        </w:rPr>
        <w:t>否则将视为无效技术支持资料</w:t>
      </w:r>
      <w:r>
        <w:rPr>
          <w:rFonts w:hint="eastAsia"/>
          <w:color w:val="auto"/>
        </w:rPr>
        <w:t>。</w:t>
      </w:r>
    </w:p>
    <w:p w14:paraId="7468F1DA">
      <w:pPr>
        <w:spacing w:line="360" w:lineRule="auto"/>
        <w:ind w:firstLine="308" w:firstLineChars="147"/>
        <w:jc w:val="left"/>
        <w:rPr>
          <w:color w:val="auto"/>
        </w:rPr>
      </w:pPr>
      <w:r>
        <w:rPr>
          <w:rFonts w:hint="eastAsia" w:ascii="宋体" w:hAnsi="宋体" w:cs="宋体"/>
          <w:color w:val="auto"/>
          <w:szCs w:val="21"/>
        </w:rPr>
        <w:t>5</w:t>
      </w:r>
      <w:r>
        <w:rPr>
          <w:rFonts w:ascii="宋体" w:hAnsi="宋体" w:cs="宋体"/>
          <w:color w:val="auto"/>
          <w:szCs w:val="21"/>
        </w:rPr>
        <w:t>.</w:t>
      </w:r>
      <w:r>
        <w:rPr>
          <w:rFonts w:hint="eastAsia"/>
          <w:color w:val="auto"/>
        </w:rPr>
        <w:t>投标人</w:t>
      </w:r>
      <w:r>
        <w:rPr>
          <w:color w:val="auto"/>
        </w:rPr>
        <w:t>必须自行为其</w:t>
      </w:r>
      <w:r>
        <w:rPr>
          <w:rFonts w:hint="eastAsia"/>
          <w:color w:val="auto"/>
        </w:rPr>
        <w:t>投标</w:t>
      </w:r>
      <w:r>
        <w:rPr>
          <w:color w:val="auto"/>
        </w:rPr>
        <w:t>产品侵犯</w:t>
      </w:r>
      <w:r>
        <w:rPr>
          <w:rFonts w:hint="eastAsia"/>
          <w:color w:val="auto"/>
        </w:rPr>
        <w:t>他人的知识产权或者专利成果的行为</w:t>
      </w:r>
      <w:r>
        <w:rPr>
          <w:color w:val="auto"/>
        </w:rPr>
        <w:t>承担相应法律责任</w:t>
      </w:r>
      <w:r>
        <w:rPr>
          <w:rFonts w:hint="eastAsia"/>
          <w:color w:val="auto"/>
        </w:rPr>
        <w:t>。</w:t>
      </w:r>
    </w:p>
    <w:p w14:paraId="79131C39">
      <w:pPr>
        <w:spacing w:line="360" w:lineRule="auto"/>
        <w:ind w:firstLine="310" w:firstLineChars="147"/>
        <w:jc w:val="left"/>
        <w:rPr>
          <w:rFonts w:ascii="宋体" w:hAnsi="宋体" w:cs="宋体"/>
          <w:b/>
          <w:bCs/>
          <w:color w:val="auto"/>
          <w:szCs w:val="21"/>
        </w:rPr>
      </w:pPr>
      <w:r>
        <w:rPr>
          <w:rFonts w:hint="eastAsia" w:ascii="宋体" w:hAnsi="宋体" w:cs="宋体"/>
          <w:b/>
          <w:bCs/>
          <w:color w:val="auto"/>
          <w:szCs w:val="21"/>
        </w:rPr>
        <w:t>6.标记“■”号为重要要求，未标注符号为普通技术参数，标记“■”号和未标注符号的技术参数为非实质性参数，不满足仅作扣分处理。非实质性技术参数允许发生负偏离或不响应2项。发生负偏离或不响应达3项（含）以上的，投标无效。</w:t>
      </w:r>
    </w:p>
    <w:p w14:paraId="6D2EA36D">
      <w:pPr>
        <w:spacing w:line="360" w:lineRule="auto"/>
        <w:ind w:firstLine="308" w:firstLineChars="147"/>
        <w:jc w:val="left"/>
        <w:rPr>
          <w:color w:val="auto"/>
        </w:rPr>
      </w:pPr>
      <w:r>
        <w:rPr>
          <w:rFonts w:hint="eastAsia" w:ascii="宋体" w:hAnsi="宋体" w:cs="宋体"/>
          <w:color w:val="auto"/>
          <w:szCs w:val="21"/>
        </w:rPr>
        <w:t>7.实质性参数、重要参数如注明需提供证明材料的：供应商应提供盖章扫描件等证明材料，</w:t>
      </w:r>
      <w:r>
        <w:rPr>
          <w:rFonts w:hint="eastAsia" w:ascii="宋体" w:hAnsi="宋体" w:cs="宋体"/>
          <w:b/>
          <w:bCs/>
          <w:color w:val="auto"/>
          <w:szCs w:val="21"/>
        </w:rPr>
        <w:t>否则评标委员会将可能不予认可，并按照负偏离认定</w:t>
      </w:r>
      <w:r>
        <w:rPr>
          <w:rFonts w:hint="eastAsia" w:ascii="宋体" w:hAnsi="宋体" w:cs="宋体"/>
          <w:color w:val="auto"/>
          <w:szCs w:val="21"/>
        </w:rPr>
        <w:t>。</w:t>
      </w:r>
    </w:p>
    <w:tbl>
      <w:tblPr>
        <w:tblStyle w:val="43"/>
        <w:tblW w:w="102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193"/>
        <w:gridCol w:w="886"/>
        <w:gridCol w:w="987"/>
        <w:gridCol w:w="6539"/>
      </w:tblGrid>
      <w:tr w14:paraId="06467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31407C04">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序号</w:t>
            </w:r>
          </w:p>
        </w:tc>
        <w:tc>
          <w:tcPr>
            <w:tcW w:w="1193" w:type="dxa"/>
            <w:vAlign w:val="center"/>
          </w:tcPr>
          <w:p w14:paraId="11E28331">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标的的名称</w:t>
            </w:r>
          </w:p>
        </w:tc>
        <w:tc>
          <w:tcPr>
            <w:tcW w:w="886" w:type="dxa"/>
            <w:vAlign w:val="center"/>
          </w:tcPr>
          <w:p w14:paraId="39CFAB32">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数量及</w:t>
            </w:r>
          </w:p>
          <w:p w14:paraId="6EE76013">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单位</w:t>
            </w:r>
          </w:p>
        </w:tc>
        <w:tc>
          <w:tcPr>
            <w:tcW w:w="987" w:type="dxa"/>
            <w:vAlign w:val="center"/>
          </w:tcPr>
          <w:p w14:paraId="3D5D9A9C">
            <w:pPr>
              <w:tabs>
                <w:tab w:val="left" w:pos="180"/>
                <w:tab w:val="left" w:pos="1620"/>
              </w:tabs>
              <w:spacing w:line="360" w:lineRule="auto"/>
              <w:jc w:val="center"/>
              <w:rPr>
                <w:rFonts w:ascii="宋体" w:hAnsi="宋体" w:cs="宋体"/>
                <w:color w:val="auto"/>
                <w:szCs w:val="21"/>
              </w:rPr>
            </w:pPr>
            <w:r>
              <w:rPr>
                <w:rFonts w:hint="eastAsia" w:ascii="宋体" w:hAnsi="宋体" w:cs="Arial"/>
                <w:color w:val="auto"/>
                <w:szCs w:val="21"/>
              </w:rPr>
              <w:t>所属行业</w:t>
            </w:r>
          </w:p>
        </w:tc>
        <w:tc>
          <w:tcPr>
            <w:tcW w:w="6539" w:type="dxa"/>
            <w:vAlign w:val="center"/>
          </w:tcPr>
          <w:p w14:paraId="4B01271E">
            <w:pPr>
              <w:tabs>
                <w:tab w:val="left" w:pos="180"/>
                <w:tab w:val="left" w:pos="1620"/>
              </w:tabs>
              <w:spacing w:line="360" w:lineRule="auto"/>
              <w:jc w:val="center"/>
              <w:rPr>
                <w:rFonts w:ascii="宋体" w:hAnsi="宋体" w:cs="宋体"/>
                <w:color w:val="auto"/>
                <w:szCs w:val="21"/>
              </w:rPr>
            </w:pPr>
            <w:r>
              <w:rPr>
                <w:rFonts w:hint="eastAsia" w:ascii="宋体" w:hAnsi="宋体"/>
                <w:color w:val="auto"/>
                <w:szCs w:val="21"/>
                <w:lang w:val="en-US" w:eastAsia="zh-CN"/>
              </w:rPr>
              <w:t>服务参数</w:t>
            </w:r>
            <w:r>
              <w:rPr>
                <w:rFonts w:hint="eastAsia" w:ascii="宋体" w:hAnsi="宋体"/>
                <w:color w:val="auto"/>
                <w:szCs w:val="21"/>
              </w:rPr>
              <w:t>要求</w:t>
            </w:r>
          </w:p>
        </w:tc>
      </w:tr>
      <w:tr w14:paraId="151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8" w:type="dxa"/>
            <w:vAlign w:val="center"/>
          </w:tcPr>
          <w:p w14:paraId="588C6E9A">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w:t>
            </w:r>
          </w:p>
        </w:tc>
        <w:tc>
          <w:tcPr>
            <w:tcW w:w="1193" w:type="dxa"/>
            <w:vAlign w:val="center"/>
          </w:tcPr>
          <w:p w14:paraId="1E7BE390">
            <w:pPr>
              <w:tabs>
                <w:tab w:val="left" w:pos="180"/>
                <w:tab w:val="left" w:pos="1620"/>
              </w:tabs>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山围镇、民安镇、清水口镇、新丰镇等4个镇级污水处理设施（含泵站、污水管网）运营维护</w:t>
            </w:r>
          </w:p>
        </w:tc>
        <w:tc>
          <w:tcPr>
            <w:tcW w:w="886" w:type="dxa"/>
            <w:vAlign w:val="center"/>
          </w:tcPr>
          <w:p w14:paraId="11D5C815">
            <w:pPr>
              <w:tabs>
                <w:tab w:val="left" w:pos="180"/>
                <w:tab w:val="left" w:pos="1620"/>
              </w:tabs>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1项</w:t>
            </w:r>
          </w:p>
        </w:tc>
        <w:tc>
          <w:tcPr>
            <w:tcW w:w="987" w:type="dxa"/>
            <w:vAlign w:val="center"/>
          </w:tcPr>
          <w:p w14:paraId="51698D04">
            <w:pPr>
              <w:pStyle w:val="14"/>
              <w:spacing w:line="360" w:lineRule="auto"/>
              <w:jc w:val="center"/>
              <w:rPr>
                <w:rFonts w:hint="default" w:ascii="宋体" w:hAnsi="宋体" w:eastAsia="宋体" w:cs="Arial"/>
                <w:color w:val="auto"/>
                <w:szCs w:val="21"/>
                <w:lang w:val="en-US" w:eastAsia="zh-CN"/>
              </w:rPr>
            </w:pPr>
            <w:r>
              <w:rPr>
                <w:rFonts w:hint="eastAsia" w:ascii="宋体" w:hAnsi="宋体" w:cs="Arial"/>
                <w:color w:val="auto"/>
                <w:szCs w:val="21"/>
                <w:lang w:val="en-US" w:eastAsia="zh-CN"/>
              </w:rPr>
              <w:t>其他未列明行业</w:t>
            </w:r>
          </w:p>
        </w:tc>
        <w:tc>
          <w:tcPr>
            <w:tcW w:w="6539" w:type="dxa"/>
            <w:vAlign w:val="center"/>
          </w:tcPr>
          <w:p w14:paraId="3E748D5C">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val="en-US" w:eastAsia="zh-CN"/>
              </w:rPr>
            </w:pPr>
            <w:r>
              <w:rPr>
                <w:rFonts w:hint="eastAsia" w:ascii="宋体" w:hAnsi="宋体" w:eastAsia="宋体" w:cs="宋体"/>
                <w:b/>
                <w:bCs/>
                <w:color w:val="auto"/>
                <w:spacing w:val="0"/>
                <w:w w:val="100"/>
                <w:lang w:val="en-US" w:eastAsia="zh-CN"/>
              </w:rPr>
              <w:t>一、项目概况</w:t>
            </w:r>
          </w:p>
          <w:p w14:paraId="65078D14">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b/>
                <w:bCs/>
                <w:color w:val="auto"/>
                <w:spacing w:val="0"/>
                <w:w w:val="100"/>
                <w:lang w:val="en-US" w:eastAsia="zh-CN"/>
              </w:rPr>
            </w:pPr>
            <w:r>
              <w:rPr>
                <w:rFonts w:hint="eastAsia" w:ascii="宋体" w:hAnsi="宋体" w:eastAsia="宋体" w:cs="宋体"/>
                <w:color w:val="auto"/>
                <w:spacing w:val="0"/>
                <w:w w:val="100"/>
                <w:lang w:val="en-US" w:eastAsia="zh-CN"/>
              </w:rPr>
              <w:t>山围镇、民安镇、清水口镇、新丰镇</w:t>
            </w:r>
            <w:r>
              <w:rPr>
                <w:rFonts w:hint="eastAsia" w:ascii="宋体" w:hAnsi="宋体" w:eastAsia="宋体" w:cs="宋体"/>
                <w:color w:val="auto"/>
                <w:spacing w:val="0"/>
                <w:w w:val="100"/>
                <w:lang w:eastAsia="zh-CN"/>
              </w:rPr>
              <w:t>污水处理厂及配套管网工程项目</w:t>
            </w:r>
            <w:r>
              <w:rPr>
                <w:rFonts w:hint="eastAsia" w:ascii="宋体" w:hAnsi="宋体" w:eastAsia="宋体" w:cs="宋体"/>
                <w:color w:val="auto"/>
                <w:spacing w:val="0"/>
                <w:w w:val="100"/>
              </w:rPr>
              <w:t>，合计生活污水处理规模为</w:t>
            </w:r>
            <w:r>
              <w:rPr>
                <w:rFonts w:hint="eastAsia" w:ascii="宋体" w:hAnsi="宋体" w:eastAsia="宋体" w:cs="宋体"/>
                <w:color w:val="auto"/>
                <w:spacing w:val="0"/>
                <w:w w:val="100"/>
                <w:sz w:val="31"/>
                <w:lang w:val="en-US" w:eastAsia="zh-CN"/>
              </w:rPr>
              <w:t xml:space="preserve">2300 </w:t>
            </w:r>
            <w:r>
              <w:rPr>
                <w:rFonts w:hint="eastAsia" w:ascii="宋体" w:hAnsi="宋体" w:eastAsia="宋体" w:cs="宋体"/>
                <w:color w:val="auto"/>
                <w:spacing w:val="0"/>
                <w:w w:val="100"/>
                <w:lang w:val="en-US" w:eastAsia="zh-CN"/>
              </w:rPr>
              <w:t>m³</w:t>
            </w:r>
            <w:r>
              <w:rPr>
                <w:rFonts w:hint="eastAsia" w:ascii="宋体" w:hAnsi="宋体" w:eastAsia="宋体" w:cs="宋体"/>
                <w:color w:val="auto"/>
                <w:spacing w:val="0"/>
                <w:w w:val="100"/>
              </w:rPr>
              <w:t>／日，配套管网总长约为</w:t>
            </w:r>
            <w:r>
              <w:rPr>
                <w:rFonts w:hint="eastAsia" w:ascii="宋体" w:hAnsi="宋体" w:eastAsia="宋体" w:cs="宋体"/>
                <w:color w:val="auto"/>
                <w:spacing w:val="0"/>
                <w:w w:val="100"/>
                <w:lang w:val="en-US" w:eastAsia="zh-CN"/>
              </w:rPr>
              <w:t xml:space="preserve">11.7 </w:t>
            </w:r>
            <w:r>
              <w:rPr>
                <w:rFonts w:hint="eastAsia" w:ascii="宋体" w:hAnsi="宋体" w:eastAsia="宋体" w:cs="宋体"/>
                <w:color w:val="auto"/>
                <w:spacing w:val="0"/>
                <w:w w:val="100"/>
                <w:sz w:val="31"/>
                <w:lang w:eastAsia="zh-CN"/>
              </w:rPr>
              <w:t>公里</w:t>
            </w:r>
            <w:r>
              <w:rPr>
                <w:rFonts w:hint="eastAsia" w:ascii="宋体" w:hAnsi="宋体" w:eastAsia="宋体" w:cs="宋体"/>
                <w:color w:val="auto"/>
                <w:spacing w:val="0"/>
                <w:w w:val="100"/>
              </w:rPr>
              <w:t>，配套的一体化污水提升泵站共</w:t>
            </w:r>
            <w:r>
              <w:rPr>
                <w:rFonts w:hint="eastAsia" w:ascii="宋体" w:hAnsi="宋体" w:eastAsia="宋体" w:cs="宋体"/>
                <w:color w:val="auto"/>
                <w:spacing w:val="0"/>
                <w:w w:val="100"/>
                <w:lang w:val="en-US" w:eastAsia="zh-CN"/>
              </w:rPr>
              <w:t>6</w:t>
            </w:r>
            <w:r>
              <w:rPr>
                <w:rFonts w:hint="eastAsia" w:ascii="宋体" w:hAnsi="宋体" w:eastAsia="宋体" w:cs="宋体"/>
                <w:color w:val="auto"/>
                <w:spacing w:val="0"/>
                <w:w w:val="100"/>
              </w:rPr>
              <w:t>座</w:t>
            </w:r>
            <w:r>
              <w:rPr>
                <w:rFonts w:hint="eastAsia" w:ascii="宋体" w:hAnsi="宋体" w:eastAsia="宋体" w:cs="宋体"/>
                <w:color w:val="auto"/>
                <w:spacing w:val="0"/>
                <w:w w:val="100"/>
                <w:lang w:eastAsia="zh-CN"/>
              </w:rPr>
              <w:t>（山围</w:t>
            </w:r>
            <w:r>
              <w:rPr>
                <w:rFonts w:hint="eastAsia" w:ascii="宋体" w:hAnsi="宋体" w:eastAsia="宋体" w:cs="宋体"/>
                <w:color w:val="auto"/>
                <w:spacing w:val="0"/>
                <w:w w:val="100"/>
                <w:lang w:val="en-US" w:eastAsia="zh-CN"/>
              </w:rPr>
              <w:t>2</w:t>
            </w:r>
            <w:r>
              <w:rPr>
                <w:rFonts w:hint="eastAsia" w:ascii="宋体" w:hAnsi="宋体" w:eastAsia="宋体" w:cs="宋体"/>
                <w:color w:val="auto"/>
                <w:spacing w:val="0"/>
                <w:w w:val="100"/>
              </w:rPr>
              <w:t>座</w:t>
            </w:r>
            <w:r>
              <w:rPr>
                <w:rFonts w:hint="eastAsia" w:ascii="宋体" w:hAnsi="宋体" w:eastAsia="宋体" w:cs="宋体"/>
                <w:color w:val="auto"/>
                <w:spacing w:val="0"/>
                <w:w w:val="100"/>
                <w:lang w:eastAsia="zh-CN"/>
              </w:rPr>
              <w:t>、民安</w:t>
            </w:r>
            <w:r>
              <w:rPr>
                <w:rFonts w:hint="eastAsia" w:ascii="宋体" w:hAnsi="宋体" w:eastAsia="宋体" w:cs="宋体"/>
                <w:color w:val="auto"/>
                <w:spacing w:val="0"/>
                <w:w w:val="100"/>
                <w:lang w:val="en-US" w:eastAsia="zh-CN"/>
              </w:rPr>
              <w:t>3</w:t>
            </w:r>
            <w:r>
              <w:rPr>
                <w:rFonts w:hint="eastAsia" w:ascii="宋体" w:hAnsi="宋体" w:eastAsia="宋体" w:cs="宋体"/>
                <w:color w:val="auto"/>
                <w:spacing w:val="0"/>
                <w:w w:val="100"/>
              </w:rPr>
              <w:t>座</w:t>
            </w:r>
            <w:r>
              <w:rPr>
                <w:rFonts w:hint="eastAsia" w:ascii="宋体" w:hAnsi="宋体" w:eastAsia="宋体" w:cs="宋体"/>
                <w:color w:val="auto"/>
                <w:spacing w:val="0"/>
                <w:w w:val="100"/>
                <w:lang w:eastAsia="zh-CN"/>
              </w:rPr>
              <w:t>、清水</w:t>
            </w:r>
            <w:r>
              <w:rPr>
                <w:rFonts w:hint="eastAsia" w:ascii="宋体" w:hAnsi="宋体" w:eastAsia="宋体" w:cs="宋体"/>
                <w:color w:val="auto"/>
                <w:spacing w:val="0"/>
                <w:w w:val="100"/>
                <w:lang w:val="en-US" w:eastAsia="zh-CN"/>
              </w:rPr>
              <w:t>口1</w:t>
            </w:r>
            <w:r>
              <w:rPr>
                <w:rFonts w:hint="eastAsia" w:ascii="宋体" w:hAnsi="宋体" w:eastAsia="宋体" w:cs="宋体"/>
                <w:color w:val="auto"/>
                <w:spacing w:val="0"/>
                <w:w w:val="100"/>
              </w:rPr>
              <w:t>座</w:t>
            </w: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rPr>
              <w:t>。</w:t>
            </w:r>
          </w:p>
          <w:p w14:paraId="4F3B3883">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val="en-US" w:eastAsia="zh-CN"/>
              </w:rPr>
            </w:pPr>
            <w:r>
              <w:rPr>
                <w:rFonts w:hint="eastAsia" w:ascii="宋体" w:hAnsi="宋体" w:eastAsia="宋体" w:cs="宋体"/>
                <w:b/>
                <w:bCs/>
                <w:color w:val="auto"/>
                <w:spacing w:val="0"/>
                <w:w w:val="100"/>
                <w:lang w:val="en-US" w:eastAsia="zh-CN"/>
              </w:rPr>
              <w:t>二、服务内容</w:t>
            </w:r>
          </w:p>
          <w:p w14:paraId="7EFDE733">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val="en-US" w:eastAsia="zh-CN"/>
              </w:rPr>
              <w:t>1.</w:t>
            </w:r>
            <w:r>
              <w:rPr>
                <w:rFonts w:hint="eastAsia" w:ascii="宋体" w:hAnsi="宋体" w:eastAsia="宋体" w:cs="宋体"/>
                <w:b/>
                <w:bCs/>
                <w:color w:val="auto"/>
                <w:spacing w:val="0"/>
                <w:w w:val="100"/>
                <w:lang w:eastAsia="zh-CN"/>
              </w:rPr>
              <w:t>镇级污水处理厂的运营维护。</w:t>
            </w:r>
          </w:p>
          <w:p w14:paraId="651A6F61">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lang w:eastAsia="zh-CN"/>
              </w:rPr>
              <w:t>山围镇、民安镇、清水口镇、新丰镇等4个</w:t>
            </w:r>
            <w:r>
              <w:rPr>
                <w:rFonts w:hint="eastAsia" w:ascii="宋体" w:hAnsi="宋体" w:eastAsia="宋体" w:cs="宋体"/>
                <w:color w:val="auto"/>
                <w:spacing w:val="0"/>
                <w:w w:val="100"/>
                <w:lang w:eastAsia="zh-CN"/>
              </w:rPr>
              <w:t>污水处理厂厂内所有设备设施、生产工艺管理、设备管理、安全管理、现场管理等与该项目生产经营活动有关的事项。具体包括</w:t>
            </w:r>
            <w:r>
              <w:rPr>
                <w:rFonts w:hint="eastAsia" w:ascii="宋体" w:hAnsi="宋体" w:cs="宋体"/>
                <w:color w:val="auto"/>
                <w:spacing w:val="0"/>
                <w:w w:val="100"/>
                <w:lang w:val="en-US" w:eastAsia="zh-CN"/>
              </w:rPr>
              <w:t>但不限于</w:t>
            </w:r>
            <w:r>
              <w:rPr>
                <w:rFonts w:hint="eastAsia" w:ascii="宋体" w:hAnsi="宋体" w:eastAsia="宋体" w:cs="宋体"/>
                <w:color w:val="auto"/>
                <w:spacing w:val="0"/>
                <w:w w:val="100"/>
                <w:lang w:eastAsia="zh-CN"/>
              </w:rPr>
              <w:t>：</w:t>
            </w:r>
          </w:p>
          <w:p w14:paraId="73AC460D">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1</w:t>
            </w:r>
            <w:r>
              <w:rPr>
                <w:rFonts w:hint="eastAsia" w:ascii="宋体" w:hAnsi="宋体" w:eastAsia="宋体" w:cs="宋体"/>
                <w:color w:val="auto"/>
                <w:spacing w:val="0"/>
                <w:w w:val="100"/>
                <w:lang w:eastAsia="zh-CN"/>
              </w:rPr>
              <w:t>）污水处理厂厂区内工艺、设备、设施、安全、现场卫生等事项的运营管理。</w:t>
            </w:r>
          </w:p>
          <w:p w14:paraId="31FB1F85">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2</w:t>
            </w:r>
            <w:r>
              <w:rPr>
                <w:rFonts w:hint="eastAsia" w:ascii="宋体" w:hAnsi="宋体" w:eastAsia="宋体" w:cs="宋体"/>
                <w:color w:val="auto"/>
                <w:spacing w:val="0"/>
                <w:w w:val="100"/>
                <w:lang w:eastAsia="zh-CN"/>
              </w:rPr>
              <w:t>）人工湿地植被收割、植被补种更新及日常维护管理等。</w:t>
            </w:r>
          </w:p>
          <w:p w14:paraId="47F43638">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val="en-US"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3</w:t>
            </w:r>
            <w:r>
              <w:rPr>
                <w:rFonts w:hint="eastAsia" w:ascii="宋体" w:hAnsi="宋体" w:eastAsia="宋体" w:cs="宋体"/>
                <w:color w:val="auto"/>
                <w:spacing w:val="0"/>
                <w:w w:val="100"/>
                <w:lang w:eastAsia="zh-CN"/>
              </w:rPr>
              <w:t>）承担污水厂运营产生的水电费、药剂费、化验费、污泥</w:t>
            </w:r>
            <w:r>
              <w:rPr>
                <w:rFonts w:hint="eastAsia" w:ascii="宋体" w:hAnsi="宋体" w:eastAsia="宋体" w:cs="宋体"/>
                <w:color w:val="auto"/>
                <w:spacing w:val="0"/>
                <w:w w:val="100"/>
                <w:lang w:val="en-US" w:eastAsia="zh-CN"/>
              </w:rPr>
              <w:t>运输</w:t>
            </w:r>
            <w:r>
              <w:rPr>
                <w:rFonts w:hint="eastAsia" w:ascii="宋体" w:hAnsi="宋体" w:eastAsia="宋体" w:cs="宋体"/>
                <w:color w:val="auto"/>
                <w:spacing w:val="0"/>
                <w:w w:val="100"/>
                <w:lang w:eastAsia="zh-CN"/>
              </w:rPr>
              <w:t>处置费、</w:t>
            </w:r>
            <w:r>
              <w:rPr>
                <w:rFonts w:hint="eastAsia" w:ascii="宋体" w:hAnsi="宋体" w:eastAsia="宋体" w:cs="宋体"/>
                <w:color w:val="auto"/>
                <w:spacing w:val="0"/>
                <w:w w:val="100"/>
                <w:lang w:val="en-US" w:eastAsia="zh-CN"/>
              </w:rPr>
              <w:t>数据网络费</w:t>
            </w:r>
            <w:r>
              <w:rPr>
                <w:rFonts w:hint="eastAsia" w:ascii="宋体" w:hAnsi="宋体" w:eastAsia="宋体" w:cs="宋体"/>
                <w:color w:val="auto"/>
                <w:spacing w:val="0"/>
                <w:w w:val="100"/>
                <w:lang w:eastAsia="zh-CN"/>
              </w:rPr>
              <w:t>等有关费用。</w:t>
            </w:r>
          </w:p>
          <w:p w14:paraId="3EF27148">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val="en-US" w:eastAsia="zh-CN"/>
              </w:rPr>
              <w:t>2.</w:t>
            </w:r>
            <w:r>
              <w:rPr>
                <w:rFonts w:hint="eastAsia" w:ascii="宋体" w:hAnsi="宋体" w:eastAsia="宋体" w:cs="宋体"/>
                <w:b/>
                <w:bCs/>
                <w:color w:val="auto"/>
                <w:spacing w:val="0"/>
                <w:w w:val="100"/>
                <w:lang w:eastAsia="zh-CN"/>
              </w:rPr>
              <w:t>配套污水收集管网巡查、清淤维护。</w:t>
            </w:r>
          </w:p>
          <w:p w14:paraId="3A6578FF">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1</w:t>
            </w:r>
            <w:r>
              <w:rPr>
                <w:rFonts w:hint="eastAsia" w:ascii="宋体" w:hAnsi="宋体" w:eastAsia="宋体" w:cs="宋体"/>
                <w:color w:val="auto"/>
                <w:spacing w:val="0"/>
                <w:w w:val="100"/>
                <w:lang w:eastAsia="zh-CN"/>
              </w:rPr>
              <w:t>）配套的污水收集管网及其检查井的日常巡视、维护、安全设施养护等工作。</w:t>
            </w:r>
          </w:p>
          <w:p w14:paraId="7C03249F">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u w:val="single"/>
                <w:lang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2</w:t>
            </w:r>
            <w:r>
              <w:rPr>
                <w:rFonts w:hint="eastAsia" w:ascii="宋体" w:hAnsi="宋体" w:eastAsia="宋体" w:cs="宋体"/>
                <w:color w:val="auto"/>
                <w:spacing w:val="0"/>
                <w:w w:val="100"/>
                <w:lang w:eastAsia="zh-CN"/>
              </w:rPr>
              <w:t>）配套管网内沉积淤泥、砂石板结块等清理、配套检查井、沉砂井内的垃圾、沉砂、</w:t>
            </w:r>
            <w:r>
              <w:rPr>
                <w:rFonts w:hint="eastAsia" w:ascii="宋体" w:hAnsi="宋体" w:eastAsia="宋体" w:cs="宋体"/>
                <w:color w:val="auto"/>
                <w:spacing w:val="0"/>
                <w:w w:val="100"/>
                <w:lang w:eastAsia="zh-CN"/>
              </w:rPr>
              <w:t>淤泥清运等工作</w:t>
            </w:r>
            <w:r>
              <w:rPr>
                <w:rFonts w:hint="eastAsia" w:ascii="宋体" w:hAnsi="宋体" w:cs="宋体"/>
                <w:color w:val="auto"/>
                <w:spacing w:val="0"/>
                <w:w w:val="100"/>
                <w:lang w:eastAsia="zh-CN"/>
              </w:rPr>
              <w:t>，</w:t>
            </w:r>
            <w:r>
              <w:rPr>
                <w:rFonts w:hint="eastAsia" w:ascii="宋体" w:hAnsi="宋体" w:eastAsia="宋体" w:cs="宋体"/>
                <w:color w:val="auto"/>
                <w:spacing w:val="0"/>
                <w:w w:val="100"/>
                <w:lang w:val="en-US" w:eastAsia="zh-CN"/>
              </w:rPr>
              <w:t>包括</w:t>
            </w:r>
            <w:r>
              <w:rPr>
                <w:rFonts w:hint="eastAsia" w:ascii="宋体" w:hAnsi="宋体" w:eastAsia="宋体" w:cs="宋体"/>
                <w:color w:val="auto"/>
                <w:spacing w:val="0"/>
                <w:w w:val="100"/>
                <w:lang w:eastAsia="zh-CN"/>
              </w:rPr>
              <w:t>地基沉降、车辆过载等原因导致的污水管网破</w:t>
            </w:r>
            <w:r>
              <w:rPr>
                <w:rFonts w:hint="eastAsia" w:ascii="宋体" w:hAnsi="宋体" w:eastAsia="宋体" w:cs="宋体"/>
                <w:color w:val="auto"/>
                <w:spacing w:val="0"/>
                <w:w w:val="100"/>
                <w:lang w:val="en-US" w:eastAsia="zh-CN"/>
              </w:rPr>
              <w:t>裂</w:t>
            </w:r>
            <w:r>
              <w:rPr>
                <w:rFonts w:hint="eastAsia" w:ascii="宋体" w:hAnsi="宋体" w:eastAsia="宋体" w:cs="宋体"/>
                <w:color w:val="auto"/>
                <w:spacing w:val="0"/>
                <w:w w:val="100"/>
                <w:lang w:eastAsia="zh-CN"/>
              </w:rPr>
              <w:t>、断管，必须进行开挖施工或采用非开槽施工技术进行换新管的</w:t>
            </w:r>
            <w:r>
              <w:rPr>
                <w:rFonts w:hint="eastAsia" w:ascii="宋体" w:hAnsi="宋体" w:eastAsia="宋体" w:cs="宋体"/>
                <w:b/>
                <w:bCs/>
                <w:color w:val="auto"/>
                <w:spacing w:val="0"/>
                <w:w w:val="100"/>
                <w:u w:val="single"/>
                <w:lang w:val="en-US" w:eastAsia="zh-CN"/>
              </w:rPr>
              <w:t>一般性修复（</w:t>
            </w:r>
            <w:r>
              <w:rPr>
                <w:rFonts w:hint="eastAsia" w:ascii="宋体" w:hAnsi="宋体" w:cs="宋体"/>
                <w:b/>
                <w:bCs/>
                <w:color w:val="auto"/>
                <w:spacing w:val="0"/>
                <w:w w:val="100"/>
                <w:u w:val="single"/>
                <w:lang w:val="en-US" w:eastAsia="zh-CN"/>
              </w:rPr>
              <w:t>单项</w:t>
            </w:r>
            <w:r>
              <w:rPr>
                <w:rFonts w:hint="eastAsia" w:ascii="宋体" w:hAnsi="宋体" w:eastAsia="宋体" w:cs="宋体"/>
                <w:b/>
                <w:bCs/>
                <w:color w:val="auto"/>
                <w:spacing w:val="0"/>
                <w:w w:val="100"/>
                <w:u w:val="single"/>
                <w:lang w:val="en-US" w:eastAsia="zh-CN"/>
              </w:rPr>
              <w:t>单次金额10000元以下，含10000元）。超出一般性修复的较大工程（</w:t>
            </w:r>
            <w:r>
              <w:rPr>
                <w:rFonts w:hint="eastAsia" w:ascii="宋体" w:hAnsi="宋体" w:cs="宋体"/>
                <w:b/>
                <w:bCs/>
                <w:color w:val="auto"/>
                <w:spacing w:val="0"/>
                <w:w w:val="100"/>
                <w:u w:val="single"/>
                <w:lang w:val="en-US" w:eastAsia="zh-CN"/>
              </w:rPr>
              <w:t>单项</w:t>
            </w:r>
            <w:r>
              <w:rPr>
                <w:rFonts w:hint="eastAsia" w:ascii="宋体" w:hAnsi="宋体" w:eastAsia="宋体" w:cs="宋体"/>
                <w:b/>
                <w:bCs/>
                <w:color w:val="auto"/>
                <w:spacing w:val="0"/>
                <w:w w:val="100"/>
                <w:u w:val="single"/>
                <w:lang w:val="en-US" w:eastAsia="zh-CN"/>
              </w:rPr>
              <w:t>单次金额为10000元以上）</w:t>
            </w:r>
            <w:r>
              <w:rPr>
                <w:rFonts w:hint="eastAsia" w:ascii="宋体" w:hAnsi="宋体" w:eastAsia="宋体" w:cs="宋体"/>
                <w:color w:val="auto"/>
                <w:spacing w:val="0"/>
                <w:w w:val="100"/>
                <w:lang w:eastAsia="zh-CN"/>
              </w:rPr>
              <w:t>不属于委托范围，若发生此项情况，由运营单位提出修复建议并报告项目业主，</w:t>
            </w:r>
            <w:r>
              <w:rPr>
                <w:rFonts w:hint="eastAsia" w:ascii="宋体" w:hAnsi="宋体" w:cs="宋体"/>
                <w:color w:val="auto"/>
                <w:spacing w:val="0"/>
                <w:w w:val="100"/>
                <w:lang w:eastAsia="zh-CN"/>
              </w:rPr>
              <w:t>由业主负责修复或</w:t>
            </w:r>
            <w:r>
              <w:rPr>
                <w:rFonts w:hint="eastAsia" w:ascii="宋体" w:hAnsi="宋体" w:eastAsia="宋体" w:cs="宋体"/>
                <w:b/>
                <w:bCs/>
                <w:color w:val="auto"/>
                <w:spacing w:val="0"/>
                <w:w w:val="100"/>
                <w:u w:val="single"/>
                <w:lang w:val="en-US" w:eastAsia="zh-CN"/>
              </w:rPr>
              <w:t>经业主同意</w:t>
            </w:r>
            <w:r>
              <w:rPr>
                <w:rFonts w:hint="eastAsia" w:ascii="宋体" w:hAnsi="宋体" w:cs="宋体"/>
                <w:b/>
                <w:bCs/>
                <w:color w:val="auto"/>
                <w:spacing w:val="0"/>
                <w:w w:val="100"/>
                <w:u w:val="single"/>
                <w:lang w:val="en-US" w:eastAsia="zh-CN"/>
              </w:rPr>
              <w:t>后</w:t>
            </w:r>
            <w:r>
              <w:rPr>
                <w:rFonts w:hint="eastAsia" w:ascii="宋体" w:hAnsi="宋体" w:eastAsia="宋体" w:cs="宋体"/>
                <w:b/>
                <w:bCs/>
                <w:color w:val="auto"/>
                <w:spacing w:val="0"/>
                <w:w w:val="100"/>
                <w:u w:val="single"/>
                <w:lang w:val="en-US" w:eastAsia="zh-CN"/>
              </w:rPr>
              <w:t>由运营单位先行出资垫付修复，所需费用随运营费用一起申请</w:t>
            </w:r>
            <w:r>
              <w:rPr>
                <w:rFonts w:hint="eastAsia" w:ascii="宋体" w:hAnsi="宋体" w:eastAsia="宋体" w:cs="宋体"/>
                <w:color w:val="auto"/>
                <w:spacing w:val="0"/>
                <w:w w:val="100"/>
                <w:u w:val="single"/>
                <w:lang w:eastAsia="zh-CN"/>
              </w:rPr>
              <w:t>。</w:t>
            </w:r>
          </w:p>
          <w:p w14:paraId="0BD83FB4">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val="en-US" w:eastAsia="zh-CN"/>
              </w:rPr>
              <w:t>3.</w:t>
            </w:r>
            <w:r>
              <w:rPr>
                <w:rFonts w:hint="eastAsia" w:ascii="宋体" w:hAnsi="宋体" w:eastAsia="宋体" w:cs="宋体"/>
                <w:b/>
                <w:bCs/>
                <w:color w:val="auto"/>
                <w:spacing w:val="0"/>
                <w:w w:val="100"/>
                <w:lang w:eastAsia="zh-CN"/>
              </w:rPr>
              <w:t>中途污水提升泵站巡查维护。</w:t>
            </w:r>
          </w:p>
          <w:p w14:paraId="4548D886">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1</w:t>
            </w:r>
            <w:r>
              <w:rPr>
                <w:rFonts w:hint="eastAsia" w:ascii="宋体" w:hAnsi="宋体" w:eastAsia="宋体" w:cs="宋体"/>
                <w:color w:val="auto"/>
                <w:spacing w:val="0"/>
                <w:w w:val="100"/>
                <w:lang w:eastAsia="zh-CN"/>
              </w:rPr>
              <w:t>）污水提升泵站的设备、设施、安全、现场卫生等事项的运营管理。</w:t>
            </w:r>
          </w:p>
          <w:p w14:paraId="460F578C">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2</w:t>
            </w:r>
            <w:r>
              <w:rPr>
                <w:rFonts w:hint="eastAsia" w:ascii="宋体" w:hAnsi="宋体" w:eastAsia="宋体" w:cs="宋体"/>
                <w:color w:val="auto"/>
                <w:spacing w:val="0"/>
                <w:w w:val="100"/>
                <w:lang w:eastAsia="zh-CN"/>
              </w:rPr>
              <w:t>）污水提升泵站的运行与维护记录。</w:t>
            </w:r>
          </w:p>
          <w:p w14:paraId="6B5AAC28">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3</w:t>
            </w:r>
            <w:r>
              <w:rPr>
                <w:rFonts w:hint="eastAsia" w:ascii="宋体" w:hAnsi="宋体" w:eastAsia="宋体" w:cs="宋体"/>
                <w:color w:val="auto"/>
                <w:spacing w:val="0"/>
                <w:w w:val="100"/>
                <w:lang w:eastAsia="zh-CN"/>
              </w:rPr>
              <w:t>）承担污水提升泵站运行产生的电费、用电设施（电箱、电线等）及设备</w:t>
            </w:r>
            <w:r>
              <w:rPr>
                <w:rFonts w:hint="eastAsia" w:ascii="宋体" w:hAnsi="宋体" w:eastAsia="宋体" w:cs="宋体"/>
                <w:color w:val="auto"/>
                <w:spacing w:val="0"/>
                <w:w w:val="100"/>
                <w:lang w:val="en-US" w:eastAsia="zh-CN"/>
              </w:rPr>
              <w:t>的维修、更换</w:t>
            </w:r>
            <w:r>
              <w:rPr>
                <w:rFonts w:hint="eastAsia" w:ascii="宋体" w:hAnsi="宋体" w:eastAsia="宋体" w:cs="宋体"/>
                <w:color w:val="auto"/>
                <w:spacing w:val="0"/>
                <w:w w:val="100"/>
                <w:lang w:eastAsia="zh-CN"/>
              </w:rPr>
              <w:t>等费用</w:t>
            </w:r>
            <w:r>
              <w:rPr>
                <w:rFonts w:hint="eastAsia" w:ascii="宋体" w:hAnsi="宋体" w:cs="宋体"/>
                <w:color w:val="auto"/>
                <w:spacing w:val="0"/>
                <w:w w:val="100"/>
                <w:lang w:eastAsia="zh-CN"/>
              </w:rPr>
              <w:t>，</w:t>
            </w:r>
            <w:r>
              <w:rPr>
                <w:rFonts w:hint="eastAsia" w:ascii="宋体" w:hAnsi="宋体" w:cs="宋体"/>
                <w:color w:val="auto"/>
                <w:spacing w:val="0"/>
                <w:w w:val="100"/>
                <w:lang w:val="en-US" w:eastAsia="zh-CN"/>
              </w:rPr>
              <w:t>维修更换费用单项单次金额10000元（含10000元）以下由运营方负责，单项单次金额10000元以上由业主方负责</w:t>
            </w:r>
            <w:r>
              <w:rPr>
                <w:rFonts w:hint="eastAsia" w:ascii="宋体" w:hAnsi="宋体" w:eastAsia="宋体" w:cs="宋体"/>
                <w:color w:val="auto"/>
                <w:spacing w:val="0"/>
                <w:w w:val="100"/>
                <w:lang w:eastAsia="zh-CN"/>
              </w:rPr>
              <w:t>。</w:t>
            </w:r>
          </w:p>
          <w:p w14:paraId="46D4B748">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u w:val="single"/>
                <w:lang w:val="en-US" w:eastAsia="zh-CN"/>
              </w:rPr>
            </w:pPr>
            <w:r>
              <w:rPr>
                <w:rFonts w:hint="eastAsia" w:ascii="宋体" w:hAnsi="宋体" w:eastAsia="宋体" w:cs="宋体"/>
                <w:b/>
                <w:bCs/>
                <w:color w:val="auto"/>
                <w:spacing w:val="0"/>
                <w:w w:val="100"/>
                <w:u w:val="single"/>
                <w:lang w:eastAsia="zh-CN"/>
              </w:rPr>
              <w:t>（</w:t>
            </w:r>
            <w:r>
              <w:rPr>
                <w:rFonts w:hint="eastAsia" w:ascii="宋体" w:hAnsi="宋体" w:eastAsia="宋体" w:cs="宋体"/>
                <w:b/>
                <w:bCs/>
                <w:color w:val="auto"/>
                <w:spacing w:val="0"/>
                <w:w w:val="100"/>
                <w:u w:val="single"/>
                <w:lang w:val="en-US" w:eastAsia="zh-CN"/>
              </w:rPr>
              <w:t>4</w:t>
            </w:r>
            <w:r>
              <w:rPr>
                <w:rFonts w:hint="eastAsia" w:ascii="宋体" w:hAnsi="宋体" w:eastAsia="宋体" w:cs="宋体"/>
                <w:b/>
                <w:bCs/>
                <w:color w:val="auto"/>
                <w:spacing w:val="0"/>
                <w:w w:val="100"/>
                <w:u w:val="single"/>
                <w:lang w:eastAsia="zh-CN"/>
              </w:rPr>
              <w:t>）</w:t>
            </w:r>
            <w:r>
              <w:rPr>
                <w:rFonts w:hint="eastAsia" w:ascii="宋体" w:hAnsi="宋体" w:eastAsia="宋体" w:cs="宋体"/>
                <w:b/>
                <w:bCs/>
                <w:color w:val="auto"/>
                <w:spacing w:val="0"/>
                <w:w w:val="100"/>
                <w:u w:val="single"/>
                <w:lang w:val="en-US" w:eastAsia="zh-CN"/>
              </w:rPr>
              <w:t>新建配套污水处理厂智慧运维管理云平台。</w:t>
            </w:r>
          </w:p>
          <w:p w14:paraId="49CCD9AC">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u w:val="single"/>
                <w:lang w:val="en-US" w:eastAsia="zh-CN"/>
              </w:rPr>
            </w:pPr>
            <w:r>
              <w:rPr>
                <w:rFonts w:hint="eastAsia" w:ascii="宋体" w:hAnsi="宋体" w:eastAsia="宋体" w:cs="宋体"/>
                <w:b/>
                <w:bCs/>
                <w:color w:val="auto"/>
                <w:spacing w:val="0"/>
                <w:w w:val="100"/>
                <w:u w:val="single"/>
                <w:lang w:val="en-US" w:eastAsia="zh-CN"/>
              </w:rPr>
              <w:t>为加强我市生活污水处理设施运行的监督管理，建立环境综合整治项目管理长效机制，切实促进水环境质量改善提升，同时响应国家人工智能与智慧水务建设运维的趋势导向，实现运维规范化、精细化、智慧化。在招标完成后，由中标公司自行出资（在1个月内）完成智慧运维管理云平台系统的建设安装，并开放端口交付业主使用。智慧运维管理云平台的日常维护所需的一切费用由中标公司负责。</w:t>
            </w:r>
          </w:p>
          <w:p w14:paraId="559C7934">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val="en-US" w:eastAsia="zh-CN"/>
              </w:rPr>
            </w:pPr>
            <w:r>
              <w:rPr>
                <w:rFonts w:hint="eastAsia" w:ascii="宋体" w:hAnsi="宋体" w:eastAsia="宋体" w:cs="宋体"/>
                <w:b/>
                <w:bCs/>
                <w:color w:val="auto"/>
                <w:spacing w:val="0"/>
                <w:w w:val="100"/>
                <w:lang w:val="en-US" w:eastAsia="zh-CN"/>
              </w:rPr>
              <w:t>三、服务要求</w:t>
            </w:r>
          </w:p>
          <w:p w14:paraId="36FD7A1B">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val="en-US" w:eastAsia="zh-CN"/>
              </w:rPr>
              <w:t>1.</w:t>
            </w:r>
            <w:r>
              <w:rPr>
                <w:rFonts w:hint="eastAsia" w:ascii="宋体" w:hAnsi="宋体" w:eastAsia="宋体" w:cs="宋体"/>
                <w:b/>
                <w:bCs/>
                <w:color w:val="auto"/>
                <w:spacing w:val="0"/>
                <w:w w:val="100"/>
                <w:lang w:eastAsia="zh-CN"/>
              </w:rPr>
              <w:t>厂区人员配置</w:t>
            </w:r>
            <w:r>
              <w:rPr>
                <w:rFonts w:hint="eastAsia" w:ascii="宋体" w:hAnsi="宋体" w:eastAsia="宋体" w:cs="宋体"/>
                <w:b/>
                <w:bCs/>
                <w:color w:val="auto"/>
                <w:spacing w:val="0"/>
                <w:w w:val="100"/>
                <w:lang w:val="en-US" w:eastAsia="zh-CN"/>
              </w:rPr>
              <w:t>1</w:t>
            </w:r>
            <w:r>
              <w:rPr>
                <w:rFonts w:hint="eastAsia" w:ascii="宋体" w:hAnsi="宋体" w:eastAsia="宋体" w:cs="宋体"/>
                <w:b/>
                <w:bCs/>
                <w:color w:val="auto"/>
                <w:spacing w:val="0"/>
                <w:w w:val="100"/>
                <w:lang w:eastAsia="zh-CN"/>
              </w:rPr>
              <w:t>3人。</w:t>
            </w:r>
          </w:p>
          <w:p w14:paraId="6F0CA002">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一是第三方运营单位需设置北流项目运营管理部，由部长1人、</w:t>
            </w:r>
            <w:r>
              <w:rPr>
                <w:rFonts w:hint="eastAsia" w:ascii="宋体" w:hAnsi="宋体" w:eastAsia="宋体" w:cs="宋体"/>
                <w:color w:val="auto"/>
                <w:spacing w:val="0"/>
                <w:w w:val="100"/>
                <w:lang w:val="en-US" w:eastAsia="zh-CN"/>
              </w:rPr>
              <w:t>工艺技术员1人、维修班长1人、</w:t>
            </w:r>
            <w:r>
              <w:rPr>
                <w:rFonts w:hint="eastAsia" w:ascii="宋体" w:hAnsi="宋体" w:eastAsia="宋体" w:cs="宋体"/>
                <w:color w:val="auto"/>
                <w:spacing w:val="0"/>
                <w:w w:val="100"/>
                <w:lang w:eastAsia="zh-CN"/>
              </w:rPr>
              <w:t>化验</w:t>
            </w:r>
            <w:r>
              <w:rPr>
                <w:rFonts w:hint="eastAsia" w:ascii="宋体" w:hAnsi="宋体" w:eastAsia="宋体" w:cs="宋体"/>
                <w:color w:val="auto"/>
                <w:spacing w:val="0"/>
                <w:w w:val="100"/>
                <w:lang w:val="en-US" w:eastAsia="zh-CN"/>
              </w:rPr>
              <w:t>员1</w:t>
            </w:r>
            <w:r>
              <w:rPr>
                <w:rFonts w:hint="eastAsia" w:ascii="宋体" w:hAnsi="宋体" w:eastAsia="宋体" w:cs="宋体"/>
                <w:color w:val="auto"/>
                <w:spacing w:val="0"/>
                <w:w w:val="100"/>
                <w:lang w:eastAsia="zh-CN"/>
              </w:rPr>
              <w:t>人、</w:t>
            </w:r>
            <w:r>
              <w:rPr>
                <w:rFonts w:hint="eastAsia" w:ascii="宋体" w:hAnsi="宋体" w:eastAsia="宋体" w:cs="宋体"/>
                <w:color w:val="auto"/>
                <w:spacing w:val="0"/>
                <w:w w:val="100"/>
                <w:lang w:val="en-US" w:eastAsia="zh-CN"/>
              </w:rPr>
              <w:t>资料员1</w:t>
            </w:r>
            <w:r>
              <w:rPr>
                <w:rFonts w:hint="eastAsia" w:ascii="宋体" w:hAnsi="宋体" w:eastAsia="宋体" w:cs="宋体"/>
                <w:color w:val="auto"/>
                <w:spacing w:val="0"/>
                <w:w w:val="100"/>
                <w:lang w:eastAsia="zh-CN"/>
              </w:rPr>
              <w:t>人共</w:t>
            </w:r>
            <w:r>
              <w:rPr>
                <w:rFonts w:hint="eastAsia" w:ascii="宋体" w:hAnsi="宋体" w:eastAsia="宋体" w:cs="宋体"/>
                <w:color w:val="auto"/>
                <w:spacing w:val="0"/>
                <w:w w:val="100"/>
                <w:lang w:val="en-US" w:eastAsia="zh-CN"/>
              </w:rPr>
              <w:t>5</w:t>
            </w:r>
            <w:r>
              <w:rPr>
                <w:rFonts w:hint="eastAsia" w:ascii="宋体" w:hAnsi="宋体" w:eastAsia="宋体" w:cs="宋体"/>
                <w:color w:val="auto"/>
                <w:spacing w:val="0"/>
                <w:w w:val="100"/>
                <w:lang w:eastAsia="zh-CN"/>
              </w:rPr>
              <w:t>人组建成，对所辖范围内的镇污水处理厂进行统筹管理，包括工艺、技术、设备等进行管控，并通</w:t>
            </w:r>
            <w:r>
              <w:rPr>
                <w:rFonts w:hint="eastAsia" w:ascii="宋体" w:hAnsi="宋体" w:eastAsia="宋体" w:cs="宋体"/>
                <w:color w:val="auto"/>
                <w:spacing w:val="0"/>
                <w:w w:val="100"/>
                <w:lang w:val="en-US" w:eastAsia="zh-CN"/>
              </w:rPr>
              <w:t>过</w:t>
            </w:r>
            <w:r>
              <w:rPr>
                <w:rFonts w:hint="eastAsia" w:ascii="宋体" w:hAnsi="宋体" w:eastAsia="宋体" w:cs="宋体"/>
                <w:color w:val="auto"/>
                <w:spacing w:val="0"/>
                <w:w w:val="100"/>
                <w:lang w:eastAsia="zh-CN"/>
              </w:rPr>
              <w:t>提升内部管理的效率控制项目的运营成本。</w:t>
            </w:r>
          </w:p>
          <w:p w14:paraId="05FDE299">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val="en-US" w:eastAsia="zh-CN"/>
              </w:rPr>
            </w:pPr>
            <w:r>
              <w:rPr>
                <w:rFonts w:hint="eastAsia" w:ascii="宋体" w:hAnsi="宋体" w:eastAsia="宋体" w:cs="宋体"/>
                <w:color w:val="auto"/>
                <w:spacing w:val="0"/>
                <w:w w:val="100"/>
                <w:lang w:eastAsia="zh-CN"/>
              </w:rPr>
              <w:t>二是在</w:t>
            </w:r>
            <w:r>
              <w:rPr>
                <w:rFonts w:hint="eastAsia" w:ascii="宋体" w:hAnsi="宋体" w:eastAsia="宋体" w:cs="宋体"/>
                <w:color w:val="auto"/>
                <w:spacing w:val="0"/>
                <w:w w:val="100"/>
                <w:lang w:val="en-US" w:eastAsia="zh-CN"/>
              </w:rPr>
              <w:t>4</w:t>
            </w:r>
            <w:r>
              <w:rPr>
                <w:rFonts w:hint="eastAsia" w:ascii="宋体" w:hAnsi="宋体" w:eastAsia="宋体" w:cs="宋体"/>
                <w:color w:val="auto"/>
                <w:spacing w:val="0"/>
                <w:w w:val="100"/>
                <w:lang w:eastAsia="zh-CN"/>
              </w:rPr>
              <w:t>个镇级污水处理厂</w:t>
            </w:r>
            <w:r>
              <w:rPr>
                <w:rFonts w:hint="eastAsia" w:ascii="宋体" w:hAnsi="宋体" w:eastAsia="宋体" w:cs="宋体"/>
                <w:color w:val="auto"/>
                <w:spacing w:val="0"/>
                <w:w w:val="100"/>
                <w:lang w:val="en-US" w:eastAsia="zh-CN"/>
              </w:rPr>
              <w:t>生产操作方面</w:t>
            </w:r>
            <w:r>
              <w:rPr>
                <w:rFonts w:hint="eastAsia" w:ascii="宋体" w:hAnsi="宋体" w:eastAsia="宋体" w:cs="宋体"/>
                <w:color w:val="auto"/>
                <w:spacing w:val="0"/>
                <w:w w:val="100"/>
                <w:lang w:eastAsia="zh-CN"/>
              </w:rPr>
              <w:t>配备不少于</w:t>
            </w:r>
            <w:r>
              <w:rPr>
                <w:rFonts w:hint="eastAsia" w:ascii="宋体" w:hAnsi="宋体" w:eastAsia="宋体" w:cs="宋体"/>
                <w:color w:val="auto"/>
                <w:spacing w:val="0"/>
                <w:w w:val="100"/>
                <w:lang w:val="en-US" w:eastAsia="zh-CN"/>
              </w:rPr>
              <w:t>每厂2人共8</w:t>
            </w:r>
            <w:r>
              <w:rPr>
                <w:rFonts w:hint="eastAsia" w:ascii="宋体" w:hAnsi="宋体" w:eastAsia="宋体" w:cs="宋体"/>
                <w:color w:val="auto"/>
                <w:spacing w:val="0"/>
                <w:w w:val="100"/>
                <w:lang w:eastAsia="zh-CN"/>
              </w:rPr>
              <w:t>名运行人员</w:t>
            </w:r>
            <w:r>
              <w:rPr>
                <w:rFonts w:hint="eastAsia" w:ascii="宋体" w:hAnsi="宋体" w:eastAsia="宋体" w:cs="宋体"/>
                <w:color w:val="auto"/>
                <w:spacing w:val="0"/>
                <w:w w:val="100"/>
                <w:lang w:val="en-US" w:eastAsia="zh-CN"/>
              </w:rPr>
              <w:t>。</w:t>
            </w:r>
          </w:p>
          <w:p w14:paraId="6DE09E5B">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val="en-US" w:eastAsia="zh-CN"/>
              </w:rPr>
            </w:pPr>
            <w:r>
              <w:rPr>
                <w:rFonts w:hint="eastAsia" w:ascii="宋体" w:hAnsi="宋体" w:eastAsia="宋体" w:cs="宋体"/>
                <w:color w:val="auto"/>
                <w:spacing w:val="0"/>
                <w:w w:val="100"/>
                <w:lang w:val="en-US" w:eastAsia="zh-CN"/>
              </w:rPr>
              <w:t>三配备至少1辆运维车辆。</w:t>
            </w:r>
          </w:p>
          <w:p w14:paraId="00EF6E58">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val="en-US" w:eastAsia="zh-CN"/>
              </w:rPr>
              <w:t>四备机备品：中标单位应存有足够数量的设备易损件和备</w:t>
            </w:r>
            <w:r>
              <w:rPr>
                <w:rFonts w:hint="eastAsia" w:ascii="宋体" w:hAnsi="宋体" w:eastAsia="宋体" w:cs="宋体"/>
                <w:color w:val="auto"/>
                <w:spacing w:val="0"/>
                <w:w w:val="100"/>
                <w:lang w:eastAsia="zh-CN"/>
              </w:rPr>
              <w:t>用仪器设备，并及时做好采购管理，有效保证运营维护工作的</w:t>
            </w:r>
            <w:r>
              <w:rPr>
                <w:rFonts w:hint="eastAsia" w:ascii="宋体" w:hAnsi="宋体" w:eastAsia="宋体" w:cs="宋体"/>
                <w:color w:val="auto"/>
                <w:spacing w:val="0"/>
                <w:w w:val="100"/>
                <w:lang w:val="en-US" w:eastAsia="zh-CN"/>
              </w:rPr>
              <w:t>正常开展</w:t>
            </w:r>
            <w:r>
              <w:rPr>
                <w:rFonts w:hint="eastAsia" w:ascii="宋体" w:hAnsi="宋体" w:eastAsia="宋体" w:cs="宋体"/>
                <w:color w:val="auto"/>
                <w:spacing w:val="0"/>
                <w:w w:val="100"/>
                <w:lang w:eastAsia="zh-CN"/>
              </w:rPr>
              <w:t>。</w:t>
            </w:r>
          </w:p>
          <w:p w14:paraId="7E1BB1AB">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val="en-US" w:eastAsia="zh-CN"/>
              </w:rPr>
              <w:t>2.</w:t>
            </w:r>
            <w:r>
              <w:rPr>
                <w:rFonts w:hint="eastAsia" w:ascii="宋体" w:hAnsi="宋体" w:eastAsia="宋体" w:cs="宋体"/>
                <w:b/>
                <w:bCs/>
                <w:color w:val="auto"/>
                <w:spacing w:val="0"/>
                <w:w w:val="100"/>
                <w:lang w:eastAsia="zh-CN"/>
              </w:rPr>
              <w:t>配套管网巡检</w:t>
            </w:r>
            <w:r>
              <w:rPr>
                <w:rFonts w:hint="eastAsia" w:ascii="宋体" w:hAnsi="宋体" w:eastAsia="宋体" w:cs="宋体"/>
                <w:b/>
                <w:bCs/>
                <w:color w:val="auto"/>
                <w:spacing w:val="0"/>
                <w:w w:val="100"/>
                <w:lang w:val="en-US" w:eastAsia="zh-CN"/>
              </w:rPr>
              <w:t>维修及厂区维护</w:t>
            </w:r>
            <w:r>
              <w:rPr>
                <w:rFonts w:hint="eastAsia" w:ascii="宋体" w:hAnsi="宋体" w:eastAsia="宋体" w:cs="宋体"/>
                <w:b/>
                <w:bCs/>
                <w:color w:val="auto"/>
                <w:spacing w:val="0"/>
                <w:w w:val="100"/>
                <w:lang w:eastAsia="zh-CN"/>
              </w:rPr>
              <w:t>人员配置</w:t>
            </w:r>
            <w:r>
              <w:rPr>
                <w:rFonts w:hint="eastAsia" w:ascii="宋体" w:hAnsi="宋体" w:eastAsia="宋体" w:cs="宋体"/>
                <w:b/>
                <w:bCs/>
                <w:color w:val="auto"/>
                <w:spacing w:val="0"/>
                <w:w w:val="100"/>
                <w:lang w:val="en-US" w:eastAsia="zh-CN"/>
              </w:rPr>
              <w:t>4</w:t>
            </w:r>
            <w:r>
              <w:rPr>
                <w:rFonts w:hint="eastAsia" w:ascii="宋体" w:hAnsi="宋体" w:eastAsia="宋体" w:cs="宋体"/>
                <w:b/>
                <w:bCs/>
                <w:color w:val="auto"/>
                <w:spacing w:val="0"/>
                <w:w w:val="100"/>
                <w:lang w:eastAsia="zh-CN"/>
              </w:rPr>
              <w:t>人</w:t>
            </w:r>
          </w:p>
          <w:p w14:paraId="635F241B">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val="en-US" w:eastAsia="zh-CN"/>
              </w:rPr>
              <w:t>4</w:t>
            </w:r>
            <w:r>
              <w:rPr>
                <w:rFonts w:hint="eastAsia" w:ascii="宋体" w:hAnsi="宋体" w:eastAsia="宋体" w:cs="宋体"/>
                <w:color w:val="auto"/>
                <w:spacing w:val="0"/>
                <w:w w:val="100"/>
                <w:lang w:eastAsia="zh-CN"/>
              </w:rPr>
              <w:t>个镇级污水处理厂配套管网合计长度为</w:t>
            </w:r>
            <w:r>
              <w:rPr>
                <w:rFonts w:hint="eastAsia" w:ascii="宋体" w:hAnsi="宋体" w:eastAsia="宋体" w:cs="宋体"/>
                <w:color w:val="auto"/>
                <w:spacing w:val="0"/>
                <w:w w:val="100"/>
                <w:lang w:val="en-US" w:eastAsia="zh-CN"/>
              </w:rPr>
              <w:t>11.7</w:t>
            </w:r>
            <w:r>
              <w:rPr>
                <w:rFonts w:hint="eastAsia" w:ascii="宋体" w:hAnsi="宋体" w:eastAsia="宋体" w:cs="宋体"/>
                <w:color w:val="auto"/>
                <w:spacing w:val="0"/>
                <w:w w:val="100"/>
                <w:lang w:eastAsia="zh-CN"/>
              </w:rPr>
              <w:t>公里，为了保证管网全方位巡检，</w:t>
            </w:r>
            <w:r>
              <w:rPr>
                <w:rFonts w:hint="eastAsia" w:ascii="宋体" w:hAnsi="宋体" w:eastAsia="宋体" w:cs="宋体"/>
                <w:color w:val="auto"/>
                <w:spacing w:val="0"/>
                <w:w w:val="100"/>
                <w:lang w:val="en-US" w:eastAsia="zh-CN"/>
              </w:rPr>
              <w:t>第三方</w:t>
            </w:r>
            <w:r>
              <w:rPr>
                <w:rFonts w:hint="eastAsia" w:ascii="宋体" w:hAnsi="宋体" w:eastAsia="宋体" w:cs="宋体"/>
                <w:color w:val="auto"/>
                <w:spacing w:val="0"/>
                <w:w w:val="100"/>
                <w:lang w:eastAsia="zh-CN"/>
              </w:rPr>
              <w:t>运营单位需要配置</w:t>
            </w:r>
            <w:r>
              <w:rPr>
                <w:rFonts w:hint="eastAsia" w:ascii="宋体" w:hAnsi="宋体" w:eastAsia="宋体" w:cs="宋体"/>
                <w:color w:val="auto"/>
                <w:spacing w:val="0"/>
                <w:w w:val="100"/>
                <w:lang w:val="en-US" w:eastAsia="zh-CN"/>
              </w:rPr>
              <w:t>4</w:t>
            </w:r>
            <w:r>
              <w:rPr>
                <w:rFonts w:hint="eastAsia" w:ascii="宋体" w:hAnsi="宋体" w:eastAsia="宋体" w:cs="宋体"/>
                <w:color w:val="auto"/>
                <w:spacing w:val="0"/>
                <w:w w:val="100"/>
                <w:lang w:eastAsia="zh-CN"/>
              </w:rPr>
              <w:t>人，同时配置用于巡检的交通工具，</w:t>
            </w:r>
            <w:r>
              <w:rPr>
                <w:rFonts w:hint="eastAsia" w:ascii="宋体" w:hAnsi="宋体" w:eastAsia="宋体" w:cs="宋体"/>
                <w:color w:val="auto"/>
                <w:spacing w:val="0"/>
                <w:w w:val="100"/>
                <w:lang w:val="en-US" w:eastAsia="zh-CN"/>
              </w:rPr>
              <w:t>负责管网、泵站的巡查维护及厂区的检修保养，以</w:t>
            </w:r>
            <w:r>
              <w:rPr>
                <w:rFonts w:hint="eastAsia" w:ascii="宋体" w:hAnsi="宋体" w:eastAsia="宋体" w:cs="宋体"/>
                <w:color w:val="auto"/>
                <w:spacing w:val="0"/>
                <w:w w:val="100"/>
                <w:lang w:eastAsia="zh-CN"/>
              </w:rPr>
              <w:t>满足日常工作的正常开展。</w:t>
            </w:r>
          </w:p>
          <w:p w14:paraId="0A253479">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val="en-US" w:eastAsia="zh-CN"/>
              </w:rPr>
              <w:t>3.</w:t>
            </w:r>
            <w:r>
              <w:rPr>
                <w:rFonts w:hint="eastAsia" w:ascii="宋体" w:hAnsi="宋体" w:eastAsia="宋体" w:cs="宋体"/>
                <w:b/>
                <w:bCs/>
                <w:color w:val="auto"/>
                <w:spacing w:val="0"/>
                <w:w w:val="100"/>
                <w:lang w:eastAsia="zh-CN"/>
              </w:rPr>
              <w:t>中途污水提升泵站巡检人员配置</w:t>
            </w:r>
          </w:p>
          <w:p w14:paraId="70CE4966">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val="en-US" w:eastAsia="zh-CN"/>
              </w:rPr>
              <w:t>4</w:t>
            </w:r>
            <w:r>
              <w:rPr>
                <w:rFonts w:hint="eastAsia" w:ascii="宋体" w:hAnsi="宋体" w:eastAsia="宋体" w:cs="宋体"/>
                <w:color w:val="auto"/>
                <w:spacing w:val="0"/>
                <w:w w:val="100"/>
                <w:lang w:eastAsia="zh-CN"/>
              </w:rPr>
              <w:t>个镇级污水处理厂配套共有</w:t>
            </w:r>
            <w:r>
              <w:rPr>
                <w:rFonts w:hint="eastAsia" w:ascii="宋体" w:hAnsi="宋体" w:eastAsia="宋体" w:cs="宋体"/>
                <w:color w:val="auto"/>
                <w:spacing w:val="0"/>
                <w:w w:val="100"/>
                <w:lang w:val="en-US" w:eastAsia="zh-CN"/>
              </w:rPr>
              <w:t>6</w:t>
            </w:r>
            <w:r>
              <w:rPr>
                <w:rFonts w:hint="eastAsia" w:ascii="宋体" w:hAnsi="宋体" w:eastAsia="宋体" w:cs="宋体"/>
                <w:color w:val="auto"/>
                <w:spacing w:val="0"/>
                <w:w w:val="100"/>
                <w:lang w:eastAsia="zh-CN"/>
              </w:rPr>
              <w:t>座中途污水提升泵站，在正常的运行情况下可以实现自动操控。但为了预防不可预见性因素，仍需要操作人员每天巡回检查设备的运行情况并作好相关的运行记录，根据其实际的布置情况，拟按照属地管理原则，由泵站所在片区的污水管网日常巡检人员</w:t>
            </w:r>
            <w:r>
              <w:rPr>
                <w:rFonts w:hint="eastAsia" w:ascii="宋体" w:hAnsi="宋体" w:eastAsia="宋体" w:cs="宋体"/>
                <w:color w:val="auto"/>
                <w:spacing w:val="0"/>
                <w:w w:val="100"/>
                <w:lang w:val="en-US" w:eastAsia="zh-CN"/>
              </w:rPr>
              <w:t>负责</w:t>
            </w:r>
            <w:r>
              <w:rPr>
                <w:rFonts w:hint="eastAsia" w:ascii="宋体" w:hAnsi="宋体" w:eastAsia="宋体" w:cs="宋体"/>
                <w:color w:val="auto"/>
                <w:spacing w:val="0"/>
                <w:w w:val="100"/>
                <w:lang w:eastAsia="zh-CN"/>
              </w:rPr>
              <w:t>操作与运营，污水厂厂区的现场操作人员负责协助配合。因此，泵站不需另配置人员。</w:t>
            </w:r>
          </w:p>
          <w:p w14:paraId="6F238EB4">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u w:val="single"/>
                <w:lang w:val="en-US" w:eastAsia="zh-CN"/>
              </w:rPr>
            </w:pPr>
          </w:p>
          <w:p w14:paraId="7EB40400">
            <w:pPr>
              <w:pStyle w:val="14"/>
              <w:adjustRightInd w:val="0"/>
              <w:snapToGrid w:val="0"/>
              <w:ind w:left="420" w:leftChars="200"/>
              <w:jc w:val="both"/>
              <w:rPr>
                <w:rFonts w:ascii="宋体" w:hAnsi="宋体" w:cs="宋体"/>
                <w:color w:val="auto"/>
                <w:szCs w:val="21"/>
              </w:rPr>
            </w:pPr>
          </w:p>
        </w:tc>
      </w:tr>
      <w:tr w14:paraId="57DD3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tcPr>
          <w:p w14:paraId="48AE0AB3">
            <w:pPr>
              <w:spacing w:line="360" w:lineRule="auto"/>
              <w:rPr>
                <w:rFonts w:ascii="宋体" w:hAnsi="宋体"/>
                <w:b/>
                <w:bCs/>
                <w:color w:val="auto"/>
                <w:szCs w:val="21"/>
              </w:rPr>
            </w:pPr>
            <w:r>
              <w:rPr>
                <w:rFonts w:hint="eastAsia" w:ascii="宋体" w:hAnsi="宋体"/>
                <w:color w:val="auto"/>
                <w:szCs w:val="21"/>
              </w:rPr>
              <w:t>▲</w:t>
            </w:r>
            <w:r>
              <w:rPr>
                <w:rFonts w:hint="eastAsia" w:ascii="宋体" w:hAnsi="宋体"/>
                <w:b/>
                <w:color w:val="auto"/>
                <w:szCs w:val="21"/>
              </w:rPr>
              <w:t>一、商务要求</w:t>
            </w:r>
          </w:p>
        </w:tc>
      </w:tr>
      <w:tr w14:paraId="6E062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5DC8E79B">
            <w:pPr>
              <w:spacing w:line="360" w:lineRule="auto"/>
              <w:jc w:val="center"/>
              <w:rPr>
                <w:rFonts w:ascii="宋体" w:hAnsi="宋体"/>
                <w:bCs/>
                <w:color w:val="auto"/>
                <w:szCs w:val="21"/>
              </w:rPr>
            </w:pPr>
            <w:r>
              <w:rPr>
                <w:rFonts w:hint="eastAsia" w:ascii="宋体" w:hAnsi="宋体"/>
                <w:bCs/>
                <w:color w:val="auto"/>
                <w:szCs w:val="21"/>
              </w:rPr>
              <w:t>报价要求</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7F6A183F">
            <w:pPr>
              <w:spacing w:line="360" w:lineRule="auto"/>
              <w:rPr>
                <w:rFonts w:ascii="宋体" w:hAnsi="宋体"/>
                <w:bCs/>
                <w:color w:val="auto"/>
                <w:szCs w:val="21"/>
              </w:rPr>
            </w:pPr>
            <w:r>
              <w:rPr>
                <w:rFonts w:hint="eastAsia" w:ascii="宋体" w:hAnsi="宋体"/>
                <w:bCs/>
                <w:color w:val="auto"/>
                <w:szCs w:val="21"/>
              </w:rPr>
              <w:t>报价必须含以下部分，包括：</w:t>
            </w:r>
          </w:p>
          <w:p w14:paraId="2BCAEAA8">
            <w:pPr>
              <w:spacing w:line="360" w:lineRule="auto"/>
              <w:rPr>
                <w:rFonts w:ascii="宋体" w:hAnsi="宋体"/>
                <w:bCs/>
                <w:color w:val="auto"/>
                <w:szCs w:val="21"/>
              </w:rPr>
            </w:pPr>
            <w:r>
              <w:rPr>
                <w:rFonts w:hint="eastAsia" w:ascii="宋体" w:hAnsi="宋体"/>
                <w:bCs/>
                <w:color w:val="auto"/>
                <w:szCs w:val="21"/>
                <w:lang w:val="en-US" w:eastAsia="zh-CN"/>
              </w:rPr>
              <w:t xml:space="preserve">（1）生产费用：包括污水设备设施的相关设备及排污管网维护费用，维护使用的配件、零部件、配件及安装材料的费用，运营所需要的化学药品或物理处理，运营水电费等； </w:t>
            </w:r>
          </w:p>
          <w:p w14:paraId="05CFA905">
            <w:pPr>
              <w:spacing w:line="360" w:lineRule="auto"/>
              <w:rPr>
                <w:rFonts w:ascii="宋体" w:hAnsi="宋体"/>
                <w:bCs/>
                <w:color w:val="auto"/>
                <w:szCs w:val="21"/>
              </w:rPr>
            </w:pPr>
            <w:r>
              <w:rPr>
                <w:rFonts w:hint="eastAsia" w:ascii="宋体" w:hAnsi="宋体"/>
                <w:bCs/>
                <w:color w:val="auto"/>
                <w:szCs w:val="21"/>
                <w:lang w:val="en-US" w:eastAsia="zh-CN"/>
              </w:rPr>
              <w:t xml:space="preserve">（2）管理费用：包括办公费、差旅费、绿化养护费等； </w:t>
            </w:r>
          </w:p>
          <w:p w14:paraId="5CAC6942">
            <w:pPr>
              <w:spacing w:line="360" w:lineRule="auto"/>
              <w:rPr>
                <w:rFonts w:ascii="宋体" w:hAnsi="宋体"/>
                <w:bCs/>
                <w:color w:val="auto"/>
                <w:szCs w:val="21"/>
              </w:rPr>
            </w:pPr>
            <w:r>
              <w:rPr>
                <w:rFonts w:hint="eastAsia" w:ascii="宋体" w:hAnsi="宋体"/>
                <w:bCs/>
                <w:color w:val="auto"/>
                <w:szCs w:val="21"/>
                <w:lang w:val="en-US" w:eastAsia="zh-CN"/>
              </w:rPr>
              <w:t xml:space="preserve">（3）人员工资：包括投入本项目服务所有人员的工资、交通及通讯补助、劳保费等； </w:t>
            </w:r>
          </w:p>
          <w:p w14:paraId="334E1255">
            <w:pPr>
              <w:spacing w:line="360" w:lineRule="auto"/>
              <w:rPr>
                <w:rFonts w:ascii="宋体" w:hAnsi="宋体"/>
                <w:bCs/>
                <w:color w:val="auto"/>
                <w:szCs w:val="21"/>
              </w:rPr>
            </w:pPr>
            <w:r>
              <w:rPr>
                <w:rFonts w:hint="eastAsia" w:ascii="宋体" w:hAnsi="宋体"/>
                <w:bCs/>
                <w:color w:val="auto"/>
                <w:szCs w:val="21"/>
                <w:lang w:val="en-US" w:eastAsia="zh-CN"/>
              </w:rPr>
              <w:t xml:space="preserve">（4）必要的保险费用和各项税金； </w:t>
            </w:r>
          </w:p>
          <w:p w14:paraId="24388F4A">
            <w:pPr>
              <w:spacing w:line="360" w:lineRule="auto"/>
              <w:rPr>
                <w:rFonts w:ascii="宋体" w:hAnsi="宋体"/>
                <w:bCs/>
                <w:color w:val="auto"/>
                <w:szCs w:val="21"/>
              </w:rPr>
            </w:pPr>
            <w:r>
              <w:rPr>
                <w:rFonts w:hint="eastAsia" w:ascii="宋体" w:hAnsi="宋体"/>
                <w:bCs/>
                <w:color w:val="auto"/>
                <w:szCs w:val="21"/>
                <w:lang w:val="en-US" w:eastAsia="zh-CN"/>
              </w:rPr>
              <w:t>（5）其他：运输、装卸、安装、调试、培训、技术支持、售后服务等费用。</w:t>
            </w:r>
          </w:p>
          <w:p w14:paraId="07C6BB25">
            <w:pPr>
              <w:spacing w:line="360" w:lineRule="auto"/>
              <w:rPr>
                <w:rFonts w:ascii="宋体" w:hAnsi="宋体"/>
                <w:bCs/>
                <w:color w:val="auto"/>
                <w:szCs w:val="21"/>
              </w:rPr>
            </w:pPr>
          </w:p>
        </w:tc>
      </w:tr>
      <w:tr w14:paraId="2E4E2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7CCEF10B">
            <w:pPr>
              <w:spacing w:line="360" w:lineRule="auto"/>
              <w:jc w:val="center"/>
              <w:rPr>
                <w:rFonts w:ascii="宋体" w:hAnsi="宋体"/>
                <w:bCs/>
                <w:color w:val="auto"/>
                <w:szCs w:val="21"/>
              </w:rPr>
            </w:pPr>
            <w:r>
              <w:rPr>
                <w:rFonts w:hint="eastAsia" w:ascii="宋体" w:hAnsi="宋体"/>
                <w:bCs/>
                <w:color w:val="auto"/>
                <w:szCs w:val="21"/>
              </w:rPr>
              <w:t>合同签订时间</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2A021E38">
            <w:pPr>
              <w:spacing w:line="360" w:lineRule="auto"/>
              <w:rPr>
                <w:rFonts w:ascii="宋体" w:hAnsi="宋体"/>
                <w:bCs/>
                <w:color w:val="auto"/>
                <w:szCs w:val="21"/>
              </w:rPr>
            </w:pPr>
            <w:r>
              <w:rPr>
                <w:rFonts w:hint="eastAsia" w:ascii="宋体" w:hAnsi="宋体"/>
                <w:bCs/>
                <w:color w:val="auto"/>
                <w:szCs w:val="21"/>
                <w:lang w:eastAsia="zh-CN"/>
              </w:rPr>
              <w:t>自</w:t>
            </w:r>
            <w:r>
              <w:rPr>
                <w:rFonts w:hint="eastAsia" w:ascii="宋体" w:hAnsi="宋体"/>
                <w:bCs/>
                <w:color w:val="auto"/>
                <w:szCs w:val="21"/>
                <w:lang w:val="en-US" w:eastAsia="zh-CN"/>
              </w:rPr>
              <w:t>中标</w:t>
            </w:r>
            <w:r>
              <w:rPr>
                <w:rFonts w:hint="eastAsia" w:ascii="宋体" w:hAnsi="宋体"/>
                <w:bCs/>
                <w:color w:val="auto"/>
                <w:szCs w:val="21"/>
                <w:lang w:eastAsia="zh-CN"/>
              </w:rPr>
              <w:t>通知书发出之日起25日内</w:t>
            </w:r>
            <w:r>
              <w:rPr>
                <w:rFonts w:hint="eastAsia" w:ascii="宋体" w:hAnsi="宋体"/>
                <w:bCs/>
                <w:color w:val="auto"/>
                <w:szCs w:val="21"/>
              </w:rPr>
              <w:t>。</w:t>
            </w:r>
          </w:p>
        </w:tc>
      </w:tr>
      <w:tr w14:paraId="75707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06677568">
            <w:pPr>
              <w:spacing w:line="360" w:lineRule="auto"/>
              <w:jc w:val="center"/>
              <w:rPr>
                <w:rFonts w:ascii="宋体" w:hAnsi="宋体"/>
                <w:bCs/>
                <w:color w:val="auto"/>
                <w:szCs w:val="21"/>
              </w:rPr>
            </w:pPr>
            <w:r>
              <w:rPr>
                <w:rFonts w:hint="eastAsia" w:ascii="宋体" w:hAnsi="宋体"/>
                <w:bCs/>
                <w:color w:val="auto"/>
                <w:szCs w:val="21"/>
              </w:rPr>
              <w:t>服务时间及地点</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4A0FC4B6">
            <w:pPr>
              <w:spacing w:line="360" w:lineRule="auto"/>
              <w:rPr>
                <w:rFonts w:hint="eastAsia" w:ascii="宋体" w:hAnsi="宋体" w:eastAsia="宋体"/>
                <w:bCs/>
                <w:color w:val="auto"/>
                <w:szCs w:val="21"/>
                <w:lang w:eastAsia="zh-CN"/>
              </w:rPr>
            </w:pPr>
            <w:r>
              <w:rPr>
                <w:rFonts w:hint="eastAsia" w:ascii="宋体" w:hAnsi="宋体"/>
                <w:bCs/>
                <w:color w:val="auto"/>
                <w:szCs w:val="21"/>
              </w:rPr>
              <w:t>1.维保服务时间：</w:t>
            </w:r>
            <w:r>
              <w:rPr>
                <w:rFonts w:hint="eastAsia" w:ascii="宋体" w:hAnsi="宋体"/>
                <w:bCs/>
                <w:color w:val="auto"/>
                <w:szCs w:val="21"/>
                <w:lang w:eastAsia="zh-CN"/>
              </w:rPr>
              <w:t>本项目合同期限为3年，具体起止日期以合同明确约定为准。</w:t>
            </w:r>
          </w:p>
          <w:p w14:paraId="59FA6138">
            <w:pPr>
              <w:spacing w:line="360" w:lineRule="auto"/>
              <w:rPr>
                <w:rFonts w:ascii="宋体" w:hAnsi="宋体"/>
                <w:bCs/>
                <w:color w:val="auto"/>
                <w:szCs w:val="21"/>
              </w:rPr>
            </w:pPr>
            <w:r>
              <w:rPr>
                <w:rFonts w:hint="eastAsia" w:ascii="宋体" w:hAnsi="宋体"/>
                <w:bCs/>
                <w:color w:val="auto"/>
                <w:szCs w:val="21"/>
              </w:rPr>
              <w:t>2.服务地点：</w:t>
            </w:r>
            <w:r>
              <w:rPr>
                <w:rFonts w:hint="eastAsia" w:ascii="宋体" w:hAnsi="宋体"/>
                <w:bCs/>
                <w:color w:val="auto"/>
                <w:szCs w:val="21"/>
                <w:lang w:eastAsia="zh-CN"/>
              </w:rPr>
              <w:t>北流市城市管理监督局</w:t>
            </w:r>
            <w:r>
              <w:rPr>
                <w:rFonts w:hint="eastAsia" w:ascii="宋体" w:hAnsi="宋体"/>
                <w:bCs/>
                <w:color w:val="auto"/>
                <w:szCs w:val="21"/>
              </w:rPr>
              <w:t>采购人指定地点。</w:t>
            </w:r>
          </w:p>
        </w:tc>
      </w:tr>
      <w:tr w14:paraId="1EF9C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76D68FE2">
            <w:pPr>
              <w:spacing w:line="360" w:lineRule="auto"/>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售后服务要求</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613E9B23">
            <w:pPr>
              <w:spacing w:line="360" w:lineRule="auto"/>
              <w:rPr>
                <w:rFonts w:ascii="宋体" w:hAnsi="宋体"/>
                <w:bCs/>
                <w:color w:val="auto"/>
                <w:szCs w:val="21"/>
              </w:rPr>
            </w:pPr>
            <w:r>
              <w:rPr>
                <w:rFonts w:hint="eastAsia" w:ascii="宋体" w:hAnsi="宋体"/>
                <w:bCs/>
                <w:color w:val="auto"/>
                <w:szCs w:val="21"/>
                <w:lang w:val="en-US" w:eastAsia="zh-CN"/>
              </w:rPr>
              <w:t xml:space="preserve">（1）处理问题响应时间：接到采购人处理问题通知后2小时内到达采购人指定现场。 </w:t>
            </w:r>
          </w:p>
          <w:p w14:paraId="3BF76952">
            <w:pPr>
              <w:spacing w:line="360" w:lineRule="auto"/>
              <w:rPr>
                <w:rFonts w:ascii="宋体" w:hAnsi="宋体"/>
                <w:bCs/>
                <w:color w:val="auto"/>
                <w:szCs w:val="21"/>
              </w:rPr>
            </w:pPr>
            <w:r>
              <w:rPr>
                <w:rFonts w:hint="eastAsia" w:ascii="宋体" w:hAnsi="宋体"/>
                <w:bCs/>
                <w:color w:val="auto"/>
                <w:szCs w:val="21"/>
                <w:lang w:val="en-US" w:eastAsia="zh-CN"/>
              </w:rPr>
              <w:t xml:space="preserve">（2）每月向采购人汇报运营情况不低于1次。 </w:t>
            </w:r>
          </w:p>
          <w:p w14:paraId="1210788A">
            <w:pPr>
              <w:spacing w:line="360" w:lineRule="auto"/>
              <w:rPr>
                <w:rFonts w:ascii="宋体" w:hAnsi="宋体"/>
                <w:bCs/>
                <w:color w:val="auto"/>
                <w:szCs w:val="21"/>
              </w:rPr>
            </w:pPr>
            <w:r>
              <w:rPr>
                <w:rFonts w:hint="eastAsia" w:ascii="宋体" w:hAnsi="宋体"/>
                <w:bCs/>
                <w:color w:val="auto"/>
                <w:szCs w:val="21"/>
                <w:lang w:val="en-US" w:eastAsia="zh-CN"/>
              </w:rPr>
              <w:t xml:space="preserve">（3）服务期内不少12次检修保养，每次检修保养完需要向采购人提供检修保养证明（包括检修台帐、照片等相关证明）。 </w:t>
            </w:r>
          </w:p>
          <w:p w14:paraId="29357259">
            <w:pPr>
              <w:spacing w:line="360" w:lineRule="auto"/>
              <w:rPr>
                <w:rFonts w:ascii="宋体" w:hAnsi="宋体"/>
                <w:bCs/>
                <w:color w:val="auto"/>
                <w:szCs w:val="21"/>
              </w:rPr>
            </w:pPr>
            <w:r>
              <w:rPr>
                <w:rFonts w:hint="eastAsia" w:ascii="宋体" w:hAnsi="宋体"/>
                <w:bCs/>
                <w:color w:val="auto"/>
                <w:szCs w:val="21"/>
                <w:lang w:val="en-US" w:eastAsia="zh-CN"/>
              </w:rPr>
              <w:t xml:space="preserve">（4）中标人按照附件1《山围镇、民安镇、清水口镇、新丰镇等 4 个镇级污水处理设施（含泵站、污水管网）运营维护管理考核细则》进行考核并予以考核结果运用。 </w:t>
            </w:r>
          </w:p>
          <w:p w14:paraId="6804AE67">
            <w:pPr>
              <w:spacing w:line="360" w:lineRule="auto"/>
              <w:rPr>
                <w:rFonts w:ascii="宋体" w:hAnsi="宋体"/>
                <w:bCs/>
                <w:color w:val="auto"/>
                <w:szCs w:val="21"/>
              </w:rPr>
            </w:pPr>
            <w:r>
              <w:rPr>
                <w:rFonts w:hint="eastAsia" w:ascii="宋体" w:hAnsi="宋体"/>
                <w:bCs/>
                <w:color w:val="auto"/>
                <w:szCs w:val="21"/>
                <w:lang w:val="en-US" w:eastAsia="zh-CN"/>
              </w:rPr>
              <w:t xml:space="preserve">其他要求： </w:t>
            </w:r>
          </w:p>
          <w:p w14:paraId="35F3C7F7">
            <w:pPr>
              <w:spacing w:line="360" w:lineRule="auto"/>
              <w:rPr>
                <w:rFonts w:ascii="宋体" w:hAnsi="宋体"/>
                <w:bCs/>
                <w:color w:val="auto"/>
                <w:szCs w:val="21"/>
              </w:rPr>
            </w:pPr>
            <w:r>
              <w:rPr>
                <w:rFonts w:hint="eastAsia" w:ascii="宋体" w:hAnsi="宋体"/>
                <w:bCs/>
                <w:color w:val="auto"/>
                <w:szCs w:val="21"/>
                <w:lang w:val="en-US" w:eastAsia="zh-CN"/>
              </w:rPr>
              <w:t xml:space="preserve">▲（1）运营期间接受当地政府相关监督部门有关运维工作绩效监督考核。 </w:t>
            </w:r>
          </w:p>
          <w:p w14:paraId="797CBFCF">
            <w:pPr>
              <w:spacing w:line="360" w:lineRule="auto"/>
              <w:rPr>
                <w:rFonts w:ascii="宋体" w:hAnsi="宋体"/>
                <w:bCs/>
                <w:color w:val="auto"/>
                <w:szCs w:val="21"/>
              </w:rPr>
            </w:pPr>
            <w:r>
              <w:rPr>
                <w:rFonts w:hint="eastAsia" w:ascii="宋体" w:hAnsi="宋体"/>
                <w:bCs/>
                <w:color w:val="auto"/>
                <w:szCs w:val="21"/>
                <w:lang w:val="en-US" w:eastAsia="zh-CN"/>
              </w:rPr>
              <w:t xml:space="preserve">（2）投标人可自行对污水设施进行现场勘察，并将项目现状、解决方案等附于投标文件中，费用自理。 </w:t>
            </w:r>
          </w:p>
          <w:p w14:paraId="0A0FBC93">
            <w:pPr>
              <w:spacing w:line="360" w:lineRule="auto"/>
              <w:rPr>
                <w:rFonts w:ascii="宋体" w:hAnsi="宋体"/>
                <w:bCs/>
                <w:color w:val="auto"/>
                <w:szCs w:val="21"/>
              </w:rPr>
            </w:pPr>
            <w:r>
              <w:rPr>
                <w:rFonts w:hint="eastAsia" w:ascii="宋体" w:hAnsi="宋体"/>
                <w:bCs/>
                <w:color w:val="auto"/>
                <w:szCs w:val="21"/>
                <w:lang w:val="en-US" w:eastAsia="zh-CN"/>
              </w:rPr>
              <w:t>（3）如有上级部门检查，中标人必须有人员在场。</w:t>
            </w:r>
          </w:p>
          <w:p w14:paraId="0A2DED6B">
            <w:pPr>
              <w:spacing w:line="360" w:lineRule="auto"/>
              <w:rPr>
                <w:rFonts w:ascii="宋体" w:hAnsi="宋体"/>
                <w:bCs/>
                <w:color w:val="auto"/>
                <w:szCs w:val="21"/>
              </w:rPr>
            </w:pPr>
          </w:p>
        </w:tc>
      </w:tr>
      <w:tr w14:paraId="4C456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6F3E82BD">
            <w:pPr>
              <w:spacing w:line="360" w:lineRule="auto"/>
              <w:jc w:val="center"/>
              <w:rPr>
                <w:rFonts w:ascii="宋体" w:hAnsi="宋体"/>
                <w:bCs/>
                <w:color w:val="auto"/>
                <w:szCs w:val="21"/>
              </w:rPr>
            </w:pPr>
            <w:r>
              <w:rPr>
                <w:rFonts w:hint="eastAsia" w:ascii="宋体" w:hAnsi="宋体"/>
                <w:bCs/>
                <w:color w:val="auto"/>
                <w:szCs w:val="21"/>
              </w:rPr>
              <w:t>付款方式</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33E0A5CD">
            <w:pPr>
              <w:keepNext w:val="0"/>
              <w:keepLines w:val="0"/>
              <w:widowControl/>
              <w:suppressLineNumbers w:val="0"/>
              <w:jc w:val="left"/>
              <w:rPr>
                <w:rFonts w:hint="default" w:ascii="宋体" w:hAnsi="宋体"/>
                <w:bCs/>
                <w:color w:val="auto"/>
                <w:szCs w:val="21"/>
                <w:lang w:val="en-US"/>
              </w:rPr>
            </w:pPr>
            <w:r>
              <w:rPr>
                <w:rFonts w:hint="eastAsia" w:ascii="宋体" w:hAnsi="宋体" w:cs="宋体"/>
                <w:color w:val="auto"/>
                <w:kern w:val="0"/>
                <w:sz w:val="20"/>
                <w:szCs w:val="20"/>
                <w:lang w:val="en-US" w:eastAsia="zh-CN" w:bidi="ar"/>
              </w:rPr>
              <w:t>见合同条款</w:t>
            </w:r>
          </w:p>
        </w:tc>
      </w:tr>
      <w:tr w14:paraId="744D8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1EDA479F">
            <w:pPr>
              <w:spacing w:line="360" w:lineRule="auto"/>
              <w:rPr>
                <w:rFonts w:ascii="宋体" w:hAnsi="宋体"/>
                <w:bCs/>
                <w:color w:val="auto"/>
                <w:szCs w:val="21"/>
              </w:rPr>
            </w:pPr>
            <w:r>
              <w:rPr>
                <w:rFonts w:hint="eastAsia" w:ascii="宋体" w:hAnsi="宋体"/>
                <w:bCs/>
                <w:color w:val="auto"/>
                <w:szCs w:val="21"/>
              </w:rPr>
              <w:t>履约保证金</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351EA931">
            <w:pPr>
              <w:keepNext w:val="0"/>
              <w:keepLines w:val="0"/>
              <w:widowControl/>
              <w:suppressLineNumbers w:val="0"/>
              <w:jc w:val="left"/>
              <w:rPr>
                <w:rFonts w:ascii="宋体" w:hAnsi="宋体"/>
                <w:bCs/>
                <w:color w:val="auto"/>
                <w:szCs w:val="21"/>
              </w:rPr>
            </w:pPr>
            <w:r>
              <w:rPr>
                <w:rFonts w:hint="eastAsia" w:ascii="宋体" w:hAnsi="宋体" w:eastAsia="宋体" w:cs="宋体"/>
                <w:color w:val="auto"/>
                <w:kern w:val="0"/>
                <w:sz w:val="20"/>
                <w:szCs w:val="20"/>
                <w:lang w:val="en-US" w:eastAsia="zh-CN" w:bidi="ar"/>
              </w:rPr>
              <w:t>本项目不收取履约保证金。</w:t>
            </w:r>
          </w:p>
        </w:tc>
      </w:tr>
      <w:tr w14:paraId="19F84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5DCA1812">
            <w:pPr>
              <w:spacing w:line="360" w:lineRule="auto"/>
              <w:rPr>
                <w:rFonts w:ascii="宋体" w:hAnsi="宋体"/>
                <w:bCs/>
                <w:color w:val="auto"/>
                <w:szCs w:val="21"/>
              </w:rPr>
            </w:pPr>
            <w:r>
              <w:rPr>
                <w:rFonts w:hint="eastAsia" w:ascii="宋体" w:hAnsi="宋体"/>
                <w:bCs/>
                <w:color w:val="auto"/>
                <w:szCs w:val="21"/>
              </w:rPr>
              <w:t>违约责任</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05188D7A">
            <w:pPr>
              <w:spacing w:line="360" w:lineRule="auto"/>
              <w:rPr>
                <w:rFonts w:hint="default" w:ascii="宋体" w:hAnsi="宋体" w:eastAsia="宋体"/>
                <w:bCs/>
                <w:color w:val="auto"/>
                <w:szCs w:val="21"/>
                <w:lang w:val="en-US" w:eastAsia="zh-CN"/>
              </w:rPr>
            </w:pPr>
            <w:r>
              <w:rPr>
                <w:rFonts w:hint="eastAsia" w:ascii="宋体" w:hAnsi="宋体"/>
                <w:bCs/>
                <w:color w:val="auto"/>
                <w:szCs w:val="21"/>
                <w:lang w:val="en-US" w:eastAsia="zh-CN"/>
              </w:rPr>
              <w:t>见合同条款</w:t>
            </w:r>
          </w:p>
        </w:tc>
      </w:tr>
      <w:tr w14:paraId="5698B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643BEEB1">
            <w:pPr>
              <w:spacing w:line="360" w:lineRule="auto"/>
              <w:rPr>
                <w:rFonts w:ascii="宋体" w:hAnsi="宋体"/>
                <w:bCs/>
                <w:color w:val="auto"/>
                <w:szCs w:val="21"/>
              </w:rPr>
            </w:pPr>
            <w:r>
              <w:rPr>
                <w:rFonts w:hint="eastAsia" w:ascii="宋体" w:hAnsi="宋体"/>
                <w:bCs/>
                <w:color w:val="auto"/>
                <w:szCs w:val="21"/>
              </w:rPr>
              <w:t>其他要求</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553E6AEC">
            <w:pPr>
              <w:spacing w:line="360" w:lineRule="auto"/>
              <w:ind w:firstLine="420" w:firstLineChars="200"/>
              <w:rPr>
                <w:rFonts w:hint="eastAsia" w:ascii="宋体" w:hAnsi="宋体" w:eastAsia="宋体"/>
                <w:bCs/>
                <w:color w:val="auto"/>
                <w:szCs w:val="21"/>
                <w:lang w:eastAsia="zh-CN"/>
              </w:rPr>
            </w:pPr>
            <w:r>
              <w:rPr>
                <w:rFonts w:hint="eastAsia" w:ascii="宋体" w:hAnsi="宋体" w:eastAsia="宋体"/>
                <w:bCs/>
                <w:color w:val="auto"/>
                <w:szCs w:val="21"/>
                <w:lang w:val="en-US" w:eastAsia="zh-CN"/>
              </w:rPr>
              <w:t>本项目采购标的的需执行的国家相关标准、行业标准、地方标准或其他强制性标准、规范等要求：按国家相关标准、中标供应商承诺进行验收。</w:t>
            </w:r>
          </w:p>
        </w:tc>
      </w:tr>
      <w:tr w14:paraId="23AB8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3B1159B7">
            <w:pPr>
              <w:spacing w:line="360" w:lineRule="auto"/>
              <w:rPr>
                <w:rFonts w:ascii="宋体" w:hAnsi="宋体"/>
                <w:b/>
                <w:color w:val="auto"/>
                <w:szCs w:val="21"/>
              </w:rPr>
            </w:pPr>
            <w:r>
              <w:rPr>
                <w:rFonts w:hint="eastAsia" w:ascii="宋体" w:hAnsi="宋体"/>
                <w:b/>
                <w:bCs/>
                <w:color w:val="auto"/>
                <w:szCs w:val="21"/>
              </w:rPr>
              <w:t>二、与实现项目目标相关的其他要求</w:t>
            </w:r>
          </w:p>
        </w:tc>
      </w:tr>
      <w:tr w14:paraId="35023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0778813A">
            <w:pPr>
              <w:spacing w:line="360" w:lineRule="auto"/>
              <w:rPr>
                <w:rFonts w:ascii="宋体" w:hAnsi="宋体"/>
                <w:b/>
                <w:color w:val="auto"/>
                <w:szCs w:val="21"/>
              </w:rPr>
            </w:pPr>
            <w:r>
              <w:rPr>
                <w:rFonts w:hint="eastAsia" w:ascii="宋体" w:hAnsi="宋体"/>
                <w:b/>
                <w:color w:val="auto"/>
                <w:szCs w:val="21"/>
              </w:rPr>
              <w:t>（一）投标人的履约能力要求</w:t>
            </w:r>
          </w:p>
        </w:tc>
      </w:tr>
      <w:tr w14:paraId="06B8F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31FE3084">
            <w:pPr>
              <w:spacing w:line="360" w:lineRule="auto"/>
              <w:rPr>
                <w:rFonts w:ascii="宋体" w:hAnsi="宋体"/>
                <w:b/>
                <w:color w:val="auto"/>
                <w:szCs w:val="21"/>
              </w:rPr>
            </w:pPr>
            <w:r>
              <w:rPr>
                <w:rFonts w:hint="eastAsia" w:ascii="宋体" w:hAnsi="宋体"/>
                <w:color w:val="auto"/>
                <w:szCs w:val="21"/>
              </w:rPr>
              <w:t>管理体系要求</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7F9809B2">
            <w:pPr>
              <w:spacing w:line="360" w:lineRule="auto"/>
              <w:rPr>
                <w:rFonts w:ascii="宋体" w:hAnsi="宋体"/>
                <w:b/>
                <w:color w:val="auto"/>
                <w:szCs w:val="21"/>
              </w:rPr>
            </w:pPr>
            <w:r>
              <w:rPr>
                <w:rFonts w:hint="eastAsia" w:ascii="宋体" w:hAnsi="宋体"/>
                <w:color w:val="auto"/>
                <w:szCs w:val="21"/>
              </w:rPr>
              <w:t>见本招标文件 “评标办法及评分标准”。</w:t>
            </w:r>
          </w:p>
        </w:tc>
      </w:tr>
      <w:tr w14:paraId="32357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011DB839">
            <w:pPr>
              <w:spacing w:line="360" w:lineRule="auto"/>
              <w:rPr>
                <w:rFonts w:ascii="宋体" w:hAnsi="宋体"/>
                <w:b/>
                <w:color w:val="auto"/>
                <w:szCs w:val="21"/>
              </w:rPr>
            </w:pPr>
            <w:r>
              <w:rPr>
                <w:rFonts w:hint="eastAsia" w:ascii="宋体" w:hAnsi="宋体"/>
                <w:color w:val="auto"/>
                <w:szCs w:val="21"/>
              </w:rPr>
              <w:t>业绩要求</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6C311668">
            <w:pPr>
              <w:spacing w:line="360" w:lineRule="auto"/>
              <w:rPr>
                <w:rFonts w:ascii="宋体" w:hAnsi="宋体"/>
                <w:b/>
                <w:color w:val="auto"/>
                <w:szCs w:val="21"/>
              </w:rPr>
            </w:pPr>
            <w:r>
              <w:rPr>
                <w:rFonts w:hint="eastAsia" w:ascii="宋体" w:hAnsi="宋体"/>
                <w:color w:val="auto"/>
                <w:szCs w:val="21"/>
              </w:rPr>
              <w:t>见本招标文件 “评标办法及评分标准”。</w:t>
            </w:r>
          </w:p>
        </w:tc>
      </w:tr>
      <w:tr w14:paraId="54D6D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48A3F410">
            <w:pPr>
              <w:tabs>
                <w:tab w:val="left" w:pos="180"/>
                <w:tab w:val="left" w:pos="1620"/>
              </w:tabs>
              <w:spacing w:line="360" w:lineRule="auto"/>
              <w:rPr>
                <w:rFonts w:ascii="宋体" w:hAnsi="宋体" w:cs="宋体"/>
                <w:bCs/>
                <w:color w:val="auto"/>
                <w:szCs w:val="21"/>
              </w:rPr>
            </w:pPr>
            <w:r>
              <w:rPr>
                <w:rFonts w:hint="eastAsia" w:ascii="宋体" w:hAnsi="宋体"/>
                <w:b/>
                <w:color w:val="auto"/>
                <w:szCs w:val="21"/>
              </w:rPr>
              <w:t>（二）验收标准</w:t>
            </w:r>
          </w:p>
        </w:tc>
      </w:tr>
      <w:tr w14:paraId="6E715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5238F73A">
            <w:pPr>
              <w:tabs>
                <w:tab w:val="left" w:pos="180"/>
                <w:tab w:val="left" w:pos="1620"/>
              </w:tabs>
              <w:spacing w:line="360" w:lineRule="auto"/>
              <w:rPr>
                <w:rFonts w:ascii="宋体" w:hAnsi="宋体"/>
                <w:color w:val="auto"/>
                <w:szCs w:val="21"/>
              </w:rPr>
            </w:pPr>
            <w:r>
              <w:rPr>
                <w:rFonts w:hint="eastAsia" w:ascii="宋体" w:hAnsi="宋体" w:cs="宋体"/>
                <w:bCs/>
                <w:color w:val="auto"/>
                <w:szCs w:val="21"/>
              </w:rPr>
              <w:t>符合现行国家相关标准、行业标准、地方标准或者其他标准、规范</w:t>
            </w:r>
          </w:p>
        </w:tc>
      </w:tr>
      <w:tr w14:paraId="35690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0DB0097F">
            <w:pPr>
              <w:spacing w:line="360" w:lineRule="auto"/>
              <w:rPr>
                <w:rFonts w:ascii="宋体" w:hAnsi="宋体"/>
                <w:color w:val="auto"/>
                <w:szCs w:val="21"/>
              </w:rPr>
            </w:pPr>
            <w:r>
              <w:rPr>
                <w:rFonts w:hint="eastAsia" w:ascii="宋体" w:hAnsi="宋体"/>
                <w:b/>
                <w:color w:val="auto"/>
                <w:szCs w:val="21"/>
              </w:rPr>
              <w:t>（三）其他要求</w:t>
            </w:r>
          </w:p>
        </w:tc>
      </w:tr>
      <w:tr w14:paraId="01DE9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19A24931">
            <w:pPr>
              <w:spacing w:line="360" w:lineRule="auto"/>
              <w:rPr>
                <w:rFonts w:ascii="宋体" w:hAnsi="宋体"/>
                <w:color w:val="auto"/>
                <w:szCs w:val="21"/>
              </w:rPr>
            </w:pPr>
            <w:r>
              <w:rPr>
                <w:rFonts w:hint="eastAsia" w:ascii="宋体" w:hAnsi="宋体"/>
                <w:color w:val="auto"/>
                <w:szCs w:val="21"/>
              </w:rPr>
              <w:t>投标人结合自身情况提供技术服务方案（内容不限，可以是</w:t>
            </w:r>
            <w:r>
              <w:rPr>
                <w:rFonts w:hint="eastAsia" w:ascii="宋体" w:hAnsi="宋体"/>
                <w:color w:val="auto"/>
                <w:szCs w:val="21"/>
              </w:rPr>
              <w:t>日常运营服务方案、应急处置能力、备机备品储备能力、智慧平台建设响应能力、售后服务与运营保障、信誉、业绩</w:t>
            </w:r>
            <w:r>
              <w:rPr>
                <w:rFonts w:hint="eastAsia" w:ascii="宋体" w:hAnsi="宋体"/>
                <w:color w:val="auto"/>
                <w:szCs w:val="21"/>
                <w:lang w:eastAsia="zh-CN"/>
              </w:rPr>
              <w:t>）</w:t>
            </w:r>
            <w:r>
              <w:rPr>
                <w:rFonts w:hint="eastAsia" w:ascii="宋体" w:hAnsi="宋体"/>
                <w:color w:val="auto"/>
                <w:szCs w:val="21"/>
              </w:rPr>
              <w:t>。</w:t>
            </w:r>
          </w:p>
        </w:tc>
      </w:tr>
    </w:tbl>
    <w:p w14:paraId="52E17EFF">
      <w:pPr>
        <w:tabs>
          <w:tab w:val="left" w:pos="180"/>
          <w:tab w:val="left" w:pos="1620"/>
        </w:tabs>
        <w:spacing w:line="360" w:lineRule="auto"/>
        <w:ind w:firstLine="422" w:firstLineChars="200"/>
        <w:rPr>
          <w:rFonts w:ascii="宋体" w:hAnsi="宋体" w:cs="宋体"/>
          <w:b/>
          <w:bCs/>
          <w:color w:val="auto"/>
          <w:szCs w:val="21"/>
        </w:rPr>
      </w:pPr>
    </w:p>
    <w:p w14:paraId="2FD1EE28">
      <w:pPr>
        <w:spacing w:line="360" w:lineRule="auto"/>
        <w:ind w:firstLine="310" w:firstLineChars="147"/>
        <w:jc w:val="left"/>
        <w:rPr>
          <w:rFonts w:ascii="宋体" w:hAnsi="宋体"/>
          <w:b/>
          <w:color w:val="auto"/>
          <w:szCs w:val="21"/>
        </w:rPr>
      </w:pPr>
    </w:p>
    <w:bookmarkEnd w:id="38"/>
    <w:bookmarkEnd w:id="39"/>
    <w:p w14:paraId="23AA4621">
      <w:pPr>
        <w:snapToGrid w:val="0"/>
        <w:jc w:val="center"/>
        <w:rPr>
          <w:rFonts w:ascii="宋体" w:hAnsi="宋体"/>
          <w:color w:val="auto"/>
          <w:sz w:val="30"/>
          <w:szCs w:val="30"/>
        </w:rPr>
      </w:pPr>
    </w:p>
    <w:p w14:paraId="56513269">
      <w:pPr>
        <w:rPr>
          <w:rFonts w:ascii="宋体" w:hAnsi="宋体" w:cs="宋体"/>
          <w:color w:val="auto"/>
          <w:sz w:val="20"/>
          <w:szCs w:val="20"/>
        </w:rPr>
      </w:pPr>
    </w:p>
    <w:p w14:paraId="0407B87F">
      <w:pPr>
        <w:rPr>
          <w:rFonts w:ascii="宋体" w:hAnsi="宋体" w:cs="宋体"/>
          <w:color w:val="auto"/>
          <w:sz w:val="20"/>
          <w:szCs w:val="20"/>
        </w:rPr>
      </w:pPr>
    </w:p>
    <w:p w14:paraId="3AA0E642">
      <w:pPr>
        <w:keepNext w:val="0"/>
        <w:keepLines w:val="0"/>
        <w:widowControl/>
        <w:suppressLineNumbers w:val="0"/>
        <w:jc w:val="left"/>
        <w:rPr>
          <w:color w:val="auto"/>
        </w:rPr>
      </w:pPr>
      <w:r>
        <w:rPr>
          <w:rFonts w:ascii="宋体" w:hAnsi="宋体" w:cs="宋体"/>
          <w:color w:val="auto"/>
          <w:sz w:val="20"/>
          <w:szCs w:val="20"/>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w:t>
      </w:r>
      <w:r>
        <w:rPr>
          <w:rFonts w:hint="eastAsia" w:ascii="宋体" w:hAnsi="宋体" w:eastAsia="宋体" w:cs="宋体"/>
          <w:b/>
          <w:bCs/>
          <w:color w:val="auto"/>
          <w:kern w:val="0"/>
          <w:sz w:val="28"/>
          <w:szCs w:val="28"/>
          <w:lang w:val="en-US" w:eastAsia="zh-CN" w:bidi="ar"/>
        </w:rPr>
        <w:t>山围镇、民安镇、清水口镇、新丰镇等4个镇级污水处理设施（含泵站、污水管网）运营维护管理考核细则</w:t>
      </w:r>
    </w:p>
    <w:p w14:paraId="03183E1C">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为充分调动运营商的积极性，避免“运维商不想深入排查已建成管网、泵站损坏及堵塞情况，出现应处理的污水而得不到收集处理；污水进水量越少就越好”等现象产生，在保证运营商能够覆盖运营成本和应获得合理运营利润基础上，应通过设计运营的基本水量的方式，固化产生运营成本的固定费用，并设置绩效考核鼓励运维商努力提高污水厂运行负荷率，确保达标运</w:t>
      </w:r>
      <w:r>
        <w:rPr>
          <w:rFonts w:hint="eastAsia" w:ascii="宋体" w:hAnsi="宋体" w:eastAsia="宋体" w:cs="宋体"/>
          <w:color w:val="auto"/>
          <w:spacing w:val="0"/>
          <w:w w:val="100"/>
          <w:lang w:val="en-US" w:eastAsia="zh-CN"/>
        </w:rPr>
        <w:t>行</w:t>
      </w:r>
      <w:r>
        <w:rPr>
          <w:rFonts w:hint="eastAsia" w:ascii="宋体" w:hAnsi="宋体" w:eastAsia="宋体" w:cs="宋体"/>
          <w:color w:val="auto"/>
          <w:spacing w:val="0"/>
          <w:w w:val="100"/>
          <w:lang w:eastAsia="zh-CN"/>
        </w:rPr>
        <w:t>。</w:t>
      </w:r>
    </w:p>
    <w:p w14:paraId="0C4D391B">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eastAsia="zh-CN"/>
        </w:rPr>
        <w:t>（一）考核体系设置情况</w:t>
      </w:r>
    </w:p>
    <w:p w14:paraId="72FDFDB0">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eastAsia="zh-CN"/>
        </w:rPr>
        <w:t>1.绩效考核原则</w:t>
      </w:r>
    </w:p>
    <w:p w14:paraId="3EAA020C">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val="en-US"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1</w:t>
      </w:r>
      <w:r>
        <w:rPr>
          <w:rFonts w:hint="eastAsia" w:ascii="宋体" w:hAnsi="宋体" w:eastAsia="宋体" w:cs="宋体"/>
          <w:color w:val="auto"/>
          <w:spacing w:val="0"/>
          <w:w w:val="100"/>
          <w:lang w:eastAsia="zh-CN"/>
        </w:rPr>
        <w:t>）污水处理厂、配套管网的日常巡检维护运营、配套污水提升泵站的费用采取包干制，每季度考核一次。为了保证能够覆盖运营成本和运营商的合理运营利润，</w:t>
      </w:r>
      <w:r>
        <w:rPr>
          <w:rFonts w:hint="eastAsia" w:ascii="宋体" w:hAnsi="宋体" w:eastAsia="宋体" w:cs="宋体"/>
          <w:b/>
          <w:bCs/>
          <w:color w:val="auto"/>
          <w:spacing w:val="0"/>
          <w:w w:val="100"/>
          <w:u w:val="single"/>
          <w:lang w:val="en-US" w:eastAsia="zh-CN"/>
        </w:rPr>
        <w:t>70</w:t>
      </w:r>
      <w:r>
        <w:rPr>
          <w:rFonts w:hint="eastAsia" w:ascii="宋体" w:hAnsi="宋体" w:eastAsia="宋体" w:cs="宋体"/>
          <w:b/>
          <w:bCs/>
          <w:color w:val="auto"/>
          <w:spacing w:val="0"/>
          <w:w w:val="100"/>
          <w:u w:val="single"/>
          <w:lang w:eastAsia="zh-CN"/>
        </w:rPr>
        <w:t>%</w:t>
      </w:r>
      <w:r>
        <w:rPr>
          <w:rFonts w:hint="eastAsia" w:ascii="宋体" w:hAnsi="宋体" w:eastAsia="宋体" w:cs="宋体"/>
          <w:b/>
          <w:bCs/>
          <w:color w:val="auto"/>
          <w:spacing w:val="0"/>
          <w:w w:val="100"/>
          <w:lang w:eastAsia="zh-CN"/>
        </w:rPr>
        <w:t>的费用计作固定费用，余下</w:t>
      </w:r>
      <w:r>
        <w:rPr>
          <w:rFonts w:hint="eastAsia" w:ascii="宋体" w:hAnsi="宋体" w:eastAsia="宋体" w:cs="宋体"/>
          <w:b/>
          <w:bCs/>
          <w:color w:val="auto"/>
          <w:spacing w:val="0"/>
          <w:w w:val="100"/>
          <w:u w:val="single"/>
          <w:lang w:val="en-US" w:eastAsia="zh-CN"/>
        </w:rPr>
        <w:t>30</w:t>
      </w:r>
      <w:r>
        <w:rPr>
          <w:rFonts w:hint="eastAsia" w:ascii="宋体" w:hAnsi="宋体" w:eastAsia="宋体" w:cs="宋体"/>
          <w:b/>
          <w:bCs/>
          <w:color w:val="auto"/>
          <w:spacing w:val="0"/>
          <w:w w:val="100"/>
          <w:u w:val="single"/>
          <w:lang w:eastAsia="zh-CN"/>
        </w:rPr>
        <w:t>%</w:t>
      </w:r>
      <w:r>
        <w:rPr>
          <w:rFonts w:hint="eastAsia" w:ascii="宋体" w:hAnsi="宋体" w:eastAsia="宋体" w:cs="宋体"/>
          <w:b/>
          <w:bCs/>
          <w:color w:val="auto"/>
          <w:spacing w:val="0"/>
          <w:w w:val="100"/>
          <w:lang w:eastAsia="zh-CN"/>
        </w:rPr>
        <w:t>的费用作为绩效考核费用直接参与绩效挂钩考核。</w:t>
      </w:r>
    </w:p>
    <w:p w14:paraId="1BF51157">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2</w:t>
      </w:r>
      <w:r>
        <w:rPr>
          <w:rFonts w:hint="eastAsia" w:ascii="宋体" w:hAnsi="宋体" w:eastAsia="宋体" w:cs="宋体"/>
          <w:color w:val="auto"/>
          <w:spacing w:val="0"/>
          <w:w w:val="100"/>
          <w:lang w:eastAsia="zh-CN"/>
        </w:rPr>
        <w:t>）固定费用（</w:t>
      </w:r>
      <w:r>
        <w:rPr>
          <w:rFonts w:hint="eastAsia" w:ascii="宋体" w:hAnsi="宋体" w:eastAsia="宋体" w:cs="宋体"/>
          <w:color w:val="auto"/>
          <w:spacing w:val="0"/>
          <w:w w:val="100"/>
          <w:lang w:val="en-US" w:eastAsia="zh-CN"/>
        </w:rPr>
        <w:t>7</w:t>
      </w:r>
      <w:r>
        <w:rPr>
          <w:rFonts w:hint="eastAsia" w:ascii="宋体" w:hAnsi="宋体" w:eastAsia="宋体" w:cs="宋体"/>
          <w:color w:val="auto"/>
          <w:spacing w:val="0"/>
          <w:w w:val="100"/>
          <w:lang w:eastAsia="zh-CN"/>
        </w:rPr>
        <w:t>0%的费用）不参与绩效挂钩考核。</w:t>
      </w:r>
    </w:p>
    <w:p w14:paraId="2424AFBA">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eastAsia="zh-CN"/>
        </w:rPr>
        <w:t>2.污水处理厂、配套管网等各项的绩效考核费设置情况</w:t>
      </w:r>
    </w:p>
    <w:p w14:paraId="7ADD2304">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eastAsia="zh-CN"/>
        </w:rPr>
        <w:t>（</w:t>
      </w:r>
      <w:r>
        <w:rPr>
          <w:rFonts w:hint="eastAsia" w:ascii="宋体" w:hAnsi="宋体" w:eastAsia="宋体" w:cs="宋体"/>
          <w:b/>
          <w:bCs/>
          <w:color w:val="auto"/>
          <w:spacing w:val="0"/>
          <w:w w:val="100"/>
          <w:lang w:val="en-US" w:eastAsia="zh-CN"/>
        </w:rPr>
        <w:t>1</w:t>
      </w:r>
      <w:r>
        <w:rPr>
          <w:rFonts w:hint="eastAsia" w:ascii="宋体" w:hAnsi="宋体" w:eastAsia="宋体" w:cs="宋体"/>
          <w:b/>
          <w:bCs/>
          <w:color w:val="auto"/>
          <w:spacing w:val="0"/>
          <w:w w:val="100"/>
          <w:lang w:eastAsia="zh-CN"/>
        </w:rPr>
        <w:t>）污水处理运营绩效考核费用</w:t>
      </w:r>
    </w:p>
    <w:p w14:paraId="5DE690F5">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b/>
          <w:bCs/>
          <w:color w:val="auto"/>
          <w:spacing w:val="0"/>
          <w:w w:val="100"/>
          <w:lang w:eastAsia="zh-CN"/>
        </w:rPr>
        <w:t>①</w:t>
      </w:r>
      <w:r>
        <w:rPr>
          <w:rFonts w:hint="eastAsia" w:ascii="宋体" w:hAnsi="宋体" w:eastAsia="宋体" w:cs="宋体"/>
          <w:b/>
          <w:bCs/>
          <w:color w:val="auto"/>
          <w:spacing w:val="0"/>
          <w:w w:val="100"/>
          <w:lang w:val="en-US" w:eastAsia="zh-CN"/>
        </w:rPr>
        <w:t xml:space="preserve"> 4</w:t>
      </w:r>
      <w:r>
        <w:rPr>
          <w:rFonts w:hint="eastAsia" w:ascii="宋体" w:hAnsi="宋体" w:eastAsia="宋体" w:cs="宋体"/>
          <w:b/>
          <w:bCs/>
          <w:color w:val="auto"/>
          <w:spacing w:val="0"/>
          <w:w w:val="100"/>
          <w:lang w:eastAsia="zh-CN"/>
        </w:rPr>
        <w:t>个乡镇污水处理厂区年度运营费、泵站年运营维护费分为固定费用、与绩效考核挂钩费用两大部分。</w:t>
      </w:r>
      <w:r>
        <w:rPr>
          <w:rFonts w:hint="eastAsia" w:ascii="宋体" w:hAnsi="宋体" w:eastAsia="宋体" w:cs="宋体"/>
          <w:color w:val="auto"/>
          <w:spacing w:val="0"/>
          <w:w w:val="100"/>
          <w:lang w:eastAsia="zh-CN"/>
        </w:rPr>
        <w:t>具体如下：污水处理运维费</w:t>
      </w:r>
      <w:r>
        <w:rPr>
          <w:rFonts w:hint="eastAsia" w:ascii="宋体" w:hAnsi="宋体" w:cs="宋体"/>
          <w:color w:val="auto"/>
          <w:spacing w:val="0"/>
          <w:w w:val="100"/>
          <w:lang w:val="en-US" w:eastAsia="zh-CN"/>
        </w:rPr>
        <w:t>预算</w:t>
      </w:r>
      <w:r>
        <w:rPr>
          <w:rFonts w:hint="eastAsia" w:ascii="宋体" w:hAnsi="宋体" w:eastAsia="宋体" w:cs="宋体"/>
          <w:color w:val="auto"/>
          <w:spacing w:val="0"/>
          <w:w w:val="100"/>
          <w:lang w:val="en-US" w:eastAsia="zh-CN"/>
        </w:rPr>
        <w:t>为</w:t>
      </w:r>
      <w:r>
        <w:rPr>
          <w:rFonts w:hint="eastAsia" w:ascii="宋体" w:hAnsi="宋体" w:eastAsia="宋体" w:cs="宋体"/>
          <w:color w:val="auto"/>
          <w:lang w:val="en-US" w:eastAsia="zh-CN"/>
        </w:rPr>
        <w:t>140.1965</w:t>
      </w:r>
      <w:r>
        <w:rPr>
          <w:rFonts w:hint="eastAsia" w:ascii="宋体" w:hAnsi="宋体" w:eastAsia="宋体" w:cs="宋体"/>
          <w:color w:val="auto"/>
          <w:spacing w:val="0"/>
          <w:w w:val="100"/>
          <w:lang w:eastAsia="zh-CN"/>
        </w:rPr>
        <w:t>万元</w:t>
      </w:r>
      <w:r>
        <w:rPr>
          <w:rFonts w:hint="eastAsia" w:ascii="宋体" w:hAnsi="宋体" w:eastAsia="宋体" w:cs="宋体"/>
          <w:color w:val="auto"/>
          <w:spacing w:val="0"/>
          <w:w w:val="100"/>
          <w:lang w:val="en-US" w:eastAsia="zh-CN"/>
        </w:rPr>
        <w:t>/年，</w:t>
      </w:r>
      <w:r>
        <w:rPr>
          <w:rFonts w:hint="eastAsia" w:ascii="宋体" w:hAnsi="宋体" w:eastAsia="宋体" w:cs="宋体"/>
          <w:color w:val="auto"/>
          <w:spacing w:val="0"/>
          <w:w w:val="100"/>
          <w:lang w:eastAsia="zh-CN"/>
        </w:rPr>
        <w:t>配套的</w:t>
      </w:r>
      <w:r>
        <w:rPr>
          <w:rFonts w:hint="eastAsia" w:ascii="宋体" w:hAnsi="宋体" w:eastAsia="宋体" w:cs="宋体"/>
          <w:color w:val="auto"/>
          <w:spacing w:val="0"/>
          <w:w w:val="100"/>
          <w:lang w:val="en-US" w:eastAsia="zh-CN"/>
        </w:rPr>
        <w:t>6</w:t>
      </w:r>
      <w:r>
        <w:rPr>
          <w:rFonts w:hint="eastAsia" w:ascii="宋体" w:hAnsi="宋体" w:eastAsia="宋体" w:cs="宋体"/>
          <w:color w:val="auto"/>
          <w:spacing w:val="0"/>
          <w:w w:val="100"/>
          <w:lang w:eastAsia="zh-CN"/>
        </w:rPr>
        <w:t>座中途提升泵站运营维护费</w:t>
      </w:r>
      <w:r>
        <w:rPr>
          <w:rFonts w:hint="eastAsia" w:ascii="宋体" w:hAnsi="宋体" w:cs="宋体"/>
          <w:color w:val="auto"/>
          <w:spacing w:val="0"/>
          <w:w w:val="100"/>
          <w:lang w:val="en-US" w:eastAsia="zh-CN"/>
        </w:rPr>
        <w:t>预算</w:t>
      </w:r>
      <w:r>
        <w:rPr>
          <w:rFonts w:hint="eastAsia" w:ascii="宋体" w:hAnsi="宋体" w:eastAsia="宋体" w:cs="宋体"/>
          <w:color w:val="auto"/>
          <w:spacing w:val="0"/>
          <w:w w:val="100"/>
          <w:lang w:eastAsia="zh-CN"/>
        </w:rPr>
        <w:t>为</w:t>
      </w:r>
      <w:r>
        <w:rPr>
          <w:rFonts w:hint="eastAsia" w:ascii="宋体" w:hAnsi="宋体" w:eastAsia="宋体" w:cs="宋体"/>
          <w:b/>
          <w:bCs/>
          <w:color w:val="auto"/>
          <w:spacing w:val="0"/>
          <w:w w:val="100"/>
          <w:lang w:val="en-US" w:eastAsia="zh-CN"/>
        </w:rPr>
        <w:t>18.49</w:t>
      </w:r>
      <w:r>
        <w:rPr>
          <w:rFonts w:hint="eastAsia" w:ascii="宋体" w:hAnsi="宋体" w:eastAsia="宋体" w:cs="宋体"/>
          <w:color w:val="auto"/>
          <w:spacing w:val="0"/>
          <w:w w:val="100"/>
          <w:lang w:eastAsia="zh-CN"/>
        </w:rPr>
        <w:t>万元</w:t>
      </w:r>
      <w:r>
        <w:rPr>
          <w:rFonts w:hint="eastAsia" w:ascii="宋体" w:hAnsi="宋体" w:eastAsia="宋体" w:cs="宋体"/>
          <w:color w:val="auto"/>
          <w:spacing w:val="0"/>
          <w:w w:val="100"/>
          <w:lang w:val="en-US" w:eastAsia="zh-CN"/>
        </w:rPr>
        <w:t>/年，合计总额为158.6865万元/年</w:t>
      </w:r>
      <w:r>
        <w:rPr>
          <w:rFonts w:hint="eastAsia" w:ascii="宋体" w:hAnsi="宋体" w:eastAsia="宋体" w:cs="宋体"/>
          <w:color w:val="auto"/>
          <w:spacing w:val="0"/>
          <w:w w:val="100"/>
          <w:lang w:eastAsia="zh-CN"/>
        </w:rPr>
        <w:t>。其中：年固定费用</w:t>
      </w:r>
      <w:r>
        <w:rPr>
          <w:rFonts w:hint="eastAsia" w:ascii="宋体" w:hAnsi="宋体" w:eastAsia="宋体" w:cs="宋体"/>
          <w:color w:val="auto"/>
          <w:spacing w:val="0"/>
          <w:w w:val="100"/>
          <w:lang w:val="en-US" w:eastAsia="zh-CN"/>
        </w:rPr>
        <w:t>占70%，</w:t>
      </w:r>
      <w:r>
        <w:rPr>
          <w:rFonts w:hint="eastAsia" w:ascii="宋体" w:hAnsi="宋体" w:cs="宋体"/>
          <w:color w:val="auto"/>
          <w:spacing w:val="0"/>
          <w:w w:val="100"/>
          <w:lang w:val="en-US" w:eastAsia="zh-CN"/>
        </w:rPr>
        <w:t>预算</w:t>
      </w:r>
      <w:r>
        <w:rPr>
          <w:rFonts w:hint="eastAsia" w:ascii="宋体" w:hAnsi="宋体" w:eastAsia="宋体" w:cs="宋体"/>
          <w:color w:val="auto"/>
          <w:spacing w:val="0"/>
          <w:w w:val="100"/>
          <w:lang w:eastAsia="zh-CN"/>
        </w:rPr>
        <w:t>为</w:t>
      </w:r>
      <w:r>
        <w:rPr>
          <w:rFonts w:hint="eastAsia" w:ascii="宋体" w:hAnsi="宋体" w:eastAsia="宋体" w:cs="宋体"/>
          <w:color w:val="auto"/>
          <w:spacing w:val="0"/>
          <w:w w:val="100"/>
          <w:lang w:val="en-US" w:eastAsia="zh-CN"/>
        </w:rPr>
        <w:t>111.08055</w:t>
      </w:r>
      <w:r>
        <w:rPr>
          <w:rFonts w:hint="eastAsia" w:ascii="宋体" w:hAnsi="宋体" w:eastAsia="宋体" w:cs="宋体"/>
          <w:color w:val="auto"/>
          <w:spacing w:val="0"/>
          <w:w w:val="100"/>
          <w:lang w:eastAsia="zh-CN"/>
        </w:rPr>
        <w:t>万元，与绩效考核挂钩费用</w:t>
      </w:r>
      <w:r>
        <w:rPr>
          <w:rFonts w:hint="eastAsia" w:ascii="宋体" w:hAnsi="宋体" w:eastAsia="宋体" w:cs="宋体"/>
          <w:color w:val="auto"/>
          <w:spacing w:val="0"/>
          <w:w w:val="100"/>
          <w:lang w:val="en-US" w:eastAsia="zh-CN"/>
        </w:rPr>
        <w:t>占30%，</w:t>
      </w:r>
      <w:r>
        <w:rPr>
          <w:rFonts w:hint="eastAsia" w:ascii="宋体" w:hAnsi="宋体" w:cs="宋体"/>
          <w:color w:val="auto"/>
          <w:spacing w:val="0"/>
          <w:w w:val="100"/>
          <w:lang w:val="en-US" w:eastAsia="zh-CN"/>
        </w:rPr>
        <w:t>预算</w:t>
      </w:r>
      <w:r>
        <w:rPr>
          <w:rFonts w:hint="eastAsia" w:ascii="宋体" w:hAnsi="宋体" w:eastAsia="宋体" w:cs="宋体"/>
          <w:color w:val="auto"/>
          <w:spacing w:val="0"/>
          <w:w w:val="100"/>
          <w:lang w:eastAsia="zh-CN"/>
        </w:rPr>
        <w:t>为</w:t>
      </w:r>
      <w:r>
        <w:rPr>
          <w:rFonts w:hint="eastAsia" w:ascii="宋体" w:hAnsi="宋体" w:eastAsia="宋体" w:cs="宋体"/>
          <w:color w:val="auto"/>
          <w:spacing w:val="0"/>
          <w:w w:val="100"/>
          <w:lang w:val="en-US" w:eastAsia="zh-CN"/>
        </w:rPr>
        <w:t>47.60595</w:t>
      </w:r>
      <w:r>
        <w:rPr>
          <w:rFonts w:hint="eastAsia" w:ascii="宋体" w:hAnsi="宋体" w:eastAsia="宋体" w:cs="宋体"/>
          <w:color w:val="auto"/>
          <w:spacing w:val="0"/>
          <w:w w:val="100"/>
          <w:lang w:eastAsia="zh-CN"/>
        </w:rPr>
        <w:t>万元。具体按表6-</w:t>
      </w:r>
      <w:r>
        <w:rPr>
          <w:rFonts w:hint="eastAsia" w:ascii="宋体" w:hAnsi="宋体" w:eastAsia="宋体" w:cs="宋体"/>
          <w:color w:val="auto"/>
          <w:spacing w:val="0"/>
          <w:w w:val="100"/>
          <w:lang w:val="en-US" w:eastAsia="zh-CN"/>
        </w:rPr>
        <w:t>1进行</w:t>
      </w:r>
      <w:r>
        <w:rPr>
          <w:rFonts w:hint="eastAsia" w:ascii="宋体" w:hAnsi="宋体" w:eastAsia="宋体" w:cs="宋体"/>
          <w:color w:val="auto"/>
          <w:spacing w:val="0"/>
          <w:w w:val="100"/>
          <w:lang w:eastAsia="zh-CN"/>
        </w:rPr>
        <w:t>考核</w:t>
      </w:r>
      <w:r>
        <w:rPr>
          <w:rFonts w:hint="eastAsia" w:ascii="宋体" w:hAnsi="宋体" w:cs="宋体"/>
          <w:color w:val="auto"/>
          <w:spacing w:val="0"/>
          <w:w w:val="100"/>
          <w:lang w:val="en-US" w:eastAsia="zh-CN"/>
        </w:rPr>
        <w:t>并以中标价进行计算费用</w:t>
      </w:r>
      <w:r>
        <w:rPr>
          <w:rFonts w:hint="eastAsia" w:ascii="宋体" w:hAnsi="宋体" w:eastAsia="宋体" w:cs="宋体"/>
          <w:color w:val="auto"/>
          <w:spacing w:val="0"/>
          <w:w w:val="100"/>
          <w:lang w:eastAsia="zh-CN"/>
        </w:rPr>
        <w:t>。</w:t>
      </w:r>
    </w:p>
    <w:p w14:paraId="3F9DCA29">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b/>
          <w:bCs/>
          <w:color w:val="auto"/>
          <w:spacing w:val="0"/>
          <w:w w:val="100"/>
          <w:lang w:eastAsia="zh-CN"/>
        </w:rPr>
        <w:t>②</w:t>
      </w:r>
      <w:r>
        <w:rPr>
          <w:rFonts w:hint="eastAsia" w:ascii="宋体" w:hAnsi="宋体" w:eastAsia="宋体" w:cs="宋体"/>
          <w:b/>
          <w:bCs/>
          <w:color w:val="auto"/>
          <w:spacing w:val="0"/>
          <w:w w:val="100"/>
          <w:lang w:val="en-US" w:eastAsia="zh-CN"/>
        </w:rPr>
        <w:t xml:space="preserve"> </w:t>
      </w:r>
      <w:r>
        <w:rPr>
          <w:rFonts w:hint="eastAsia" w:ascii="宋体" w:hAnsi="宋体" w:eastAsia="宋体" w:cs="宋体"/>
          <w:color w:val="auto"/>
          <w:spacing w:val="0"/>
          <w:w w:val="100"/>
          <w:lang w:eastAsia="zh-CN"/>
        </w:rPr>
        <w:t>污水处理水量的绩效考核费用。一是出水水质若未达到排放标准，除扣减绩效考核费用外，不免除环保等部门作出的相应处罚。二是处理水量</w:t>
      </w:r>
      <w:r>
        <w:rPr>
          <w:rFonts w:hint="eastAsia" w:ascii="宋体" w:hAnsi="宋体" w:eastAsia="宋体" w:cs="宋体"/>
          <w:b/>
          <w:bCs/>
          <w:color w:val="auto"/>
          <w:spacing w:val="0"/>
          <w:w w:val="100"/>
          <w:u w:val="single"/>
          <w:lang w:val="en-US" w:eastAsia="zh-CN"/>
        </w:rPr>
        <w:t>负荷率不达标的（按自治区要求）</w:t>
      </w: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按</w:t>
      </w:r>
      <w:r>
        <w:rPr>
          <w:rFonts w:hint="eastAsia" w:ascii="宋体" w:hAnsi="宋体" w:eastAsia="宋体" w:cs="宋体"/>
          <w:color w:val="auto"/>
          <w:spacing w:val="0"/>
          <w:w w:val="100"/>
          <w:lang w:eastAsia="zh-CN"/>
        </w:rPr>
        <w:t>阶梯扣减相应绩效考核费用，处理水量占考核</w:t>
      </w:r>
      <w:r>
        <w:rPr>
          <w:rFonts w:hint="eastAsia" w:ascii="宋体" w:hAnsi="宋体" w:eastAsia="宋体" w:cs="宋体"/>
          <w:b/>
          <w:bCs/>
          <w:color w:val="auto"/>
          <w:spacing w:val="0"/>
          <w:w w:val="100"/>
          <w:u w:val="single"/>
          <w:lang w:eastAsia="zh-CN"/>
        </w:rPr>
        <w:t>比例</w:t>
      </w:r>
      <w:r>
        <w:rPr>
          <w:rFonts w:hint="eastAsia" w:ascii="宋体" w:hAnsi="宋体" w:eastAsia="宋体" w:cs="宋体"/>
          <w:b/>
          <w:bCs/>
          <w:color w:val="auto"/>
          <w:spacing w:val="0"/>
          <w:w w:val="100"/>
          <w:u w:val="single"/>
          <w:lang w:val="en-US" w:eastAsia="zh-CN"/>
        </w:rPr>
        <w:t>2</w:t>
      </w:r>
      <w:r>
        <w:rPr>
          <w:rFonts w:hint="eastAsia" w:ascii="宋体" w:hAnsi="宋体" w:eastAsia="宋体" w:cs="宋体"/>
          <w:b/>
          <w:bCs/>
          <w:color w:val="auto"/>
          <w:spacing w:val="0"/>
          <w:w w:val="100"/>
          <w:u w:val="single"/>
          <w:lang w:eastAsia="zh-CN"/>
        </w:rPr>
        <w:t>0%</w:t>
      </w:r>
      <w:r>
        <w:rPr>
          <w:rFonts w:hint="eastAsia" w:ascii="宋体" w:hAnsi="宋体" w:eastAsia="宋体" w:cs="宋体"/>
          <w:color w:val="auto"/>
          <w:spacing w:val="0"/>
          <w:w w:val="100"/>
          <w:lang w:eastAsia="zh-CN"/>
        </w:rPr>
        <w:t>，按表6-2分段式考核。</w:t>
      </w:r>
    </w:p>
    <w:p w14:paraId="148306A5">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color w:val="auto"/>
          <w:spacing w:val="0"/>
          <w:w w:val="100"/>
          <w:lang w:eastAsia="zh-CN"/>
        </w:rPr>
        <w:t>（</w:t>
      </w:r>
      <w:r>
        <w:rPr>
          <w:rFonts w:hint="eastAsia" w:ascii="宋体" w:hAnsi="宋体" w:eastAsia="宋体" w:cs="宋体"/>
          <w:color w:val="auto"/>
          <w:spacing w:val="0"/>
          <w:w w:val="100"/>
          <w:lang w:val="en-US" w:eastAsia="zh-CN"/>
        </w:rPr>
        <w:t>2</w:t>
      </w:r>
      <w:r>
        <w:rPr>
          <w:rFonts w:hint="eastAsia" w:ascii="宋体" w:hAnsi="宋体" w:eastAsia="宋体" w:cs="宋体"/>
          <w:color w:val="auto"/>
          <w:spacing w:val="0"/>
          <w:w w:val="100"/>
          <w:lang w:eastAsia="zh-CN"/>
        </w:rPr>
        <w:t>）</w:t>
      </w:r>
      <w:r>
        <w:rPr>
          <w:rFonts w:hint="eastAsia" w:ascii="宋体" w:hAnsi="宋体" w:eastAsia="宋体" w:cs="宋体"/>
          <w:b/>
          <w:bCs/>
          <w:color w:val="auto"/>
          <w:spacing w:val="0"/>
          <w:w w:val="100"/>
          <w:lang w:eastAsia="zh-CN"/>
        </w:rPr>
        <w:t>配套污水管网日常运营维护绩效考核费用</w:t>
      </w:r>
    </w:p>
    <w:p w14:paraId="64A0BD2D">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rPr>
      </w:pPr>
      <w:r>
        <w:rPr>
          <w:rFonts w:hint="eastAsia" w:ascii="宋体" w:hAnsi="宋体" w:eastAsia="宋体" w:cs="宋体"/>
          <w:color w:val="auto"/>
          <w:spacing w:val="0"/>
          <w:w w:val="100"/>
          <w:lang w:eastAsia="zh-CN"/>
        </w:rPr>
        <w:t>总长度</w:t>
      </w:r>
      <w:r>
        <w:rPr>
          <w:rFonts w:hint="eastAsia" w:ascii="宋体" w:hAnsi="宋体" w:eastAsia="宋体" w:cs="宋体"/>
          <w:color w:val="auto"/>
          <w:spacing w:val="0"/>
          <w:w w:val="100"/>
          <w:lang w:val="en-US" w:eastAsia="zh-CN"/>
        </w:rPr>
        <w:t>11.7</w:t>
      </w:r>
      <w:r>
        <w:rPr>
          <w:rFonts w:hint="eastAsia" w:ascii="宋体" w:hAnsi="宋体" w:eastAsia="宋体" w:cs="宋体"/>
          <w:color w:val="auto"/>
          <w:spacing w:val="0"/>
          <w:w w:val="100"/>
          <w:lang w:eastAsia="zh-CN"/>
        </w:rPr>
        <w:t>公里的配套管网年日常巡检维护费用合计</w:t>
      </w:r>
      <w:r>
        <w:rPr>
          <w:rFonts w:hint="eastAsia" w:ascii="宋体" w:hAnsi="宋体" w:cs="宋体"/>
          <w:color w:val="auto"/>
          <w:spacing w:val="0"/>
          <w:w w:val="100"/>
          <w:lang w:val="en-US" w:eastAsia="zh-CN"/>
        </w:rPr>
        <w:t>预算</w:t>
      </w:r>
      <w:r>
        <w:rPr>
          <w:rFonts w:hint="eastAsia" w:ascii="宋体" w:hAnsi="宋体" w:eastAsia="宋体" w:cs="宋体"/>
          <w:color w:val="auto"/>
          <w:spacing w:val="0"/>
          <w:w w:val="100"/>
          <w:lang w:eastAsia="zh-CN"/>
        </w:rPr>
        <w:t>为</w:t>
      </w:r>
      <w:r>
        <w:rPr>
          <w:rFonts w:hint="eastAsia" w:ascii="宋体" w:hAnsi="宋体" w:eastAsia="宋体" w:cs="宋体"/>
          <w:b/>
          <w:bCs/>
          <w:color w:val="auto"/>
          <w:spacing w:val="0"/>
          <w:w w:val="100"/>
          <w:lang w:val="en-US" w:eastAsia="zh-CN"/>
        </w:rPr>
        <w:t>23.4</w:t>
      </w:r>
      <w:r>
        <w:rPr>
          <w:rFonts w:hint="eastAsia" w:ascii="宋体" w:hAnsi="宋体" w:eastAsia="宋体" w:cs="宋体"/>
          <w:color w:val="auto"/>
          <w:spacing w:val="0"/>
          <w:w w:val="100"/>
          <w:lang w:eastAsia="zh-CN"/>
        </w:rPr>
        <w:t>万元。其中年固定费用</w:t>
      </w:r>
      <w:r>
        <w:rPr>
          <w:rFonts w:hint="eastAsia" w:ascii="宋体" w:hAnsi="宋体" w:eastAsia="宋体" w:cs="宋体"/>
          <w:b/>
          <w:bCs/>
          <w:color w:val="auto"/>
          <w:spacing w:val="0"/>
          <w:w w:val="100"/>
          <w:u w:val="single"/>
          <w:lang w:val="en-US" w:eastAsia="zh-CN"/>
        </w:rPr>
        <w:t>占70%</w:t>
      </w:r>
      <w:r>
        <w:rPr>
          <w:rFonts w:hint="eastAsia" w:ascii="宋体" w:hAnsi="宋体" w:eastAsia="宋体" w:cs="宋体"/>
          <w:color w:val="auto"/>
          <w:spacing w:val="0"/>
          <w:w w:val="100"/>
          <w:lang w:val="en-US" w:eastAsia="zh-CN"/>
        </w:rPr>
        <w:t>，</w:t>
      </w:r>
      <w:r>
        <w:rPr>
          <w:rFonts w:hint="eastAsia" w:ascii="宋体" w:hAnsi="宋体" w:cs="宋体"/>
          <w:color w:val="auto"/>
          <w:spacing w:val="0"/>
          <w:w w:val="100"/>
          <w:lang w:val="en-US" w:eastAsia="zh-CN"/>
        </w:rPr>
        <w:t>预算</w:t>
      </w:r>
      <w:r>
        <w:rPr>
          <w:rFonts w:hint="eastAsia" w:ascii="宋体" w:hAnsi="宋体" w:eastAsia="宋体" w:cs="宋体"/>
          <w:color w:val="auto"/>
          <w:spacing w:val="0"/>
          <w:w w:val="100"/>
          <w:lang w:eastAsia="zh-CN"/>
        </w:rPr>
        <w:t>为</w:t>
      </w:r>
      <w:r>
        <w:rPr>
          <w:rFonts w:hint="eastAsia" w:ascii="宋体" w:hAnsi="宋体" w:eastAsia="宋体" w:cs="宋体"/>
          <w:color w:val="auto"/>
          <w:spacing w:val="0"/>
          <w:w w:val="100"/>
          <w:lang w:val="en-US" w:eastAsia="zh-CN"/>
        </w:rPr>
        <w:t>16.38</w:t>
      </w:r>
      <w:r>
        <w:rPr>
          <w:rFonts w:hint="eastAsia" w:ascii="宋体" w:hAnsi="宋体" w:eastAsia="宋体" w:cs="宋体"/>
          <w:color w:val="auto"/>
          <w:spacing w:val="0"/>
          <w:w w:val="100"/>
          <w:lang w:eastAsia="zh-CN"/>
        </w:rPr>
        <w:t>万元，</w:t>
      </w:r>
      <w:r>
        <w:rPr>
          <w:rFonts w:hint="eastAsia" w:ascii="宋体" w:hAnsi="宋体" w:eastAsia="宋体" w:cs="宋体"/>
          <w:b/>
          <w:bCs/>
          <w:color w:val="auto"/>
          <w:spacing w:val="0"/>
          <w:w w:val="100"/>
          <w:lang w:eastAsia="zh-CN"/>
        </w:rPr>
        <w:t>与绩效考核挂钩费用</w:t>
      </w:r>
      <w:r>
        <w:rPr>
          <w:rFonts w:hint="eastAsia" w:ascii="宋体" w:hAnsi="宋体" w:eastAsia="宋体" w:cs="宋体"/>
          <w:b/>
          <w:bCs/>
          <w:color w:val="auto"/>
          <w:spacing w:val="0"/>
          <w:w w:val="100"/>
          <w:u w:val="single"/>
          <w:lang w:val="en-US" w:eastAsia="zh-CN"/>
        </w:rPr>
        <w:t>占30%</w:t>
      </w:r>
      <w:r>
        <w:rPr>
          <w:rFonts w:hint="eastAsia" w:ascii="宋体" w:hAnsi="宋体" w:eastAsia="宋体" w:cs="宋体"/>
          <w:b/>
          <w:bCs/>
          <w:color w:val="auto"/>
          <w:spacing w:val="0"/>
          <w:w w:val="100"/>
          <w:lang w:val="en-US" w:eastAsia="zh-CN"/>
        </w:rPr>
        <w:t>，</w:t>
      </w:r>
      <w:r>
        <w:rPr>
          <w:rFonts w:hint="eastAsia" w:ascii="宋体" w:hAnsi="宋体" w:cs="宋体"/>
          <w:b w:val="0"/>
          <w:bCs w:val="0"/>
          <w:color w:val="auto"/>
          <w:spacing w:val="0"/>
          <w:w w:val="100"/>
          <w:lang w:val="en-US" w:eastAsia="zh-CN"/>
        </w:rPr>
        <w:t>预算</w:t>
      </w:r>
      <w:r>
        <w:rPr>
          <w:rFonts w:hint="eastAsia" w:ascii="宋体" w:hAnsi="宋体" w:eastAsia="宋体" w:cs="宋体"/>
          <w:color w:val="auto"/>
          <w:spacing w:val="0"/>
          <w:w w:val="100"/>
          <w:lang w:eastAsia="zh-CN"/>
        </w:rPr>
        <w:t>为</w:t>
      </w:r>
      <w:r>
        <w:rPr>
          <w:rFonts w:hint="eastAsia" w:ascii="宋体" w:hAnsi="宋体" w:eastAsia="宋体" w:cs="宋体"/>
          <w:color w:val="auto"/>
          <w:spacing w:val="0"/>
          <w:w w:val="100"/>
          <w:lang w:val="en-US" w:eastAsia="zh-CN"/>
        </w:rPr>
        <w:t>7.02</w:t>
      </w:r>
      <w:r>
        <w:rPr>
          <w:rFonts w:hint="eastAsia" w:ascii="宋体" w:hAnsi="宋体" w:eastAsia="宋体" w:cs="宋体"/>
          <w:color w:val="auto"/>
          <w:spacing w:val="0"/>
          <w:w w:val="100"/>
          <w:lang w:eastAsia="zh-CN"/>
        </w:rPr>
        <w:t>万元。具体按表6-</w:t>
      </w:r>
      <w:r>
        <w:rPr>
          <w:rFonts w:hint="eastAsia" w:ascii="宋体" w:hAnsi="宋体" w:eastAsia="宋体" w:cs="宋体"/>
          <w:color w:val="auto"/>
          <w:spacing w:val="0"/>
          <w:w w:val="100"/>
          <w:lang w:val="en-US" w:eastAsia="zh-CN"/>
        </w:rPr>
        <w:t>3进行</w:t>
      </w:r>
      <w:r>
        <w:rPr>
          <w:rFonts w:hint="eastAsia" w:ascii="宋体" w:hAnsi="宋体" w:eastAsia="宋体" w:cs="宋体"/>
          <w:color w:val="auto"/>
          <w:spacing w:val="0"/>
          <w:w w:val="100"/>
          <w:lang w:eastAsia="zh-CN"/>
        </w:rPr>
        <w:t>考核</w:t>
      </w:r>
      <w:r>
        <w:rPr>
          <w:rFonts w:hint="eastAsia" w:ascii="宋体" w:hAnsi="宋体" w:cs="宋体"/>
          <w:color w:val="auto"/>
          <w:spacing w:val="0"/>
          <w:w w:val="100"/>
          <w:lang w:val="en-US" w:eastAsia="zh-CN"/>
        </w:rPr>
        <w:t>并以中标价进行计算费用</w:t>
      </w:r>
      <w:r>
        <w:rPr>
          <w:rFonts w:hint="eastAsia" w:ascii="宋体" w:hAnsi="宋体" w:eastAsia="宋体" w:cs="宋体"/>
          <w:color w:val="auto"/>
          <w:spacing w:val="0"/>
          <w:w w:val="100"/>
          <w:lang w:eastAsia="zh-CN"/>
        </w:rPr>
        <w:t>。</w:t>
      </w:r>
    </w:p>
    <w:p w14:paraId="1C7FB278">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综合上述，本方案污水处理厂、</w:t>
      </w:r>
      <w:r>
        <w:rPr>
          <w:rFonts w:hint="eastAsia" w:ascii="宋体" w:hAnsi="宋体" w:eastAsia="宋体" w:cs="宋体"/>
          <w:color w:val="auto"/>
          <w:spacing w:val="0"/>
          <w:w w:val="100"/>
          <w:lang w:val="en-US" w:eastAsia="zh-CN"/>
        </w:rPr>
        <w:t>泵站</w:t>
      </w:r>
      <w:r>
        <w:rPr>
          <w:rFonts w:hint="eastAsia" w:ascii="宋体" w:hAnsi="宋体" w:eastAsia="宋体" w:cs="宋体"/>
          <w:color w:val="auto"/>
          <w:spacing w:val="0"/>
          <w:w w:val="100"/>
          <w:lang w:eastAsia="zh-CN"/>
        </w:rPr>
        <w:t>及</w:t>
      </w:r>
      <w:r>
        <w:rPr>
          <w:rFonts w:hint="eastAsia" w:ascii="宋体" w:hAnsi="宋体" w:eastAsia="宋体" w:cs="宋体"/>
          <w:color w:val="auto"/>
          <w:spacing w:val="0"/>
          <w:w w:val="100"/>
          <w:lang w:val="en-US" w:eastAsia="zh-CN"/>
        </w:rPr>
        <w:t>管网</w:t>
      </w:r>
      <w:r>
        <w:rPr>
          <w:rFonts w:hint="eastAsia" w:ascii="宋体" w:hAnsi="宋体" w:eastAsia="宋体" w:cs="宋体"/>
          <w:color w:val="auto"/>
          <w:spacing w:val="0"/>
          <w:w w:val="100"/>
          <w:lang w:eastAsia="zh-CN"/>
        </w:rPr>
        <w:t>运营维护</w:t>
      </w:r>
      <w:r>
        <w:rPr>
          <w:rFonts w:hint="eastAsia" w:ascii="宋体" w:hAnsi="宋体" w:eastAsia="宋体" w:cs="宋体"/>
          <w:color w:val="auto"/>
          <w:spacing w:val="0"/>
          <w:w w:val="100"/>
          <w:lang w:val="en-US" w:eastAsia="zh-CN"/>
        </w:rPr>
        <w:t>列入</w:t>
      </w:r>
      <w:r>
        <w:rPr>
          <w:rFonts w:hint="eastAsia" w:ascii="宋体" w:hAnsi="宋体" w:eastAsia="宋体" w:cs="宋体"/>
          <w:color w:val="auto"/>
          <w:spacing w:val="0"/>
          <w:w w:val="100"/>
          <w:lang w:eastAsia="zh-CN"/>
        </w:rPr>
        <w:t>绩效考核</w:t>
      </w:r>
      <w:r>
        <w:rPr>
          <w:rFonts w:hint="eastAsia" w:ascii="宋体" w:hAnsi="宋体" w:eastAsia="宋体" w:cs="宋体"/>
          <w:color w:val="auto"/>
          <w:spacing w:val="0"/>
          <w:w w:val="100"/>
          <w:lang w:val="en-US" w:eastAsia="zh-CN"/>
        </w:rPr>
        <w:t>的</w:t>
      </w:r>
      <w:r>
        <w:rPr>
          <w:rFonts w:hint="eastAsia" w:ascii="宋体" w:hAnsi="宋体" w:eastAsia="宋体" w:cs="宋体"/>
          <w:color w:val="auto"/>
          <w:spacing w:val="0"/>
          <w:w w:val="100"/>
          <w:lang w:eastAsia="zh-CN"/>
        </w:rPr>
        <w:t>费用合计</w:t>
      </w:r>
      <w:r>
        <w:rPr>
          <w:rFonts w:hint="eastAsia" w:ascii="宋体" w:hAnsi="宋体" w:cs="宋体"/>
          <w:color w:val="auto"/>
          <w:spacing w:val="0"/>
          <w:w w:val="100"/>
          <w:lang w:val="en-US" w:eastAsia="zh-CN"/>
        </w:rPr>
        <w:t>预算</w:t>
      </w:r>
      <w:r>
        <w:rPr>
          <w:rFonts w:hint="eastAsia" w:ascii="宋体" w:hAnsi="宋体" w:eastAsia="宋体" w:cs="宋体"/>
          <w:color w:val="auto"/>
          <w:spacing w:val="0"/>
          <w:w w:val="100"/>
          <w:lang w:eastAsia="zh-CN"/>
        </w:rPr>
        <w:t>为</w:t>
      </w:r>
      <w:r>
        <w:rPr>
          <w:rFonts w:hint="eastAsia" w:ascii="宋体" w:hAnsi="宋体" w:eastAsia="宋体" w:cs="宋体"/>
          <w:color w:val="auto"/>
          <w:spacing w:val="0"/>
          <w:w w:val="100"/>
          <w:lang w:val="en-US" w:eastAsia="zh-CN"/>
        </w:rPr>
        <w:t>54.62595</w:t>
      </w:r>
      <w:r>
        <w:rPr>
          <w:rFonts w:hint="eastAsia" w:ascii="宋体" w:hAnsi="宋体" w:eastAsia="宋体" w:cs="宋体"/>
          <w:color w:val="auto"/>
          <w:spacing w:val="0"/>
          <w:w w:val="100"/>
          <w:lang w:eastAsia="zh-CN"/>
        </w:rPr>
        <w:t>万元／年（约</w:t>
      </w:r>
      <w:r>
        <w:rPr>
          <w:rFonts w:hint="eastAsia" w:ascii="宋体" w:hAnsi="宋体" w:eastAsia="宋体" w:cs="宋体"/>
          <w:color w:val="auto"/>
          <w:lang w:val="en-US" w:eastAsia="zh-CN"/>
        </w:rPr>
        <w:t>13.6565</w:t>
      </w:r>
      <w:r>
        <w:rPr>
          <w:rFonts w:hint="eastAsia" w:ascii="宋体" w:hAnsi="宋体" w:eastAsia="宋体" w:cs="宋体"/>
          <w:color w:val="auto"/>
          <w:spacing w:val="0"/>
          <w:w w:val="100"/>
          <w:lang w:eastAsia="zh-CN"/>
        </w:rPr>
        <w:t>万元／季度）。</w:t>
      </w:r>
    </w:p>
    <w:p w14:paraId="5E054B61">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eastAsia="zh-CN"/>
        </w:rPr>
        <w:t>3.考核方式方法</w:t>
      </w:r>
    </w:p>
    <w:p w14:paraId="1C337972">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eastAsia="zh-CN"/>
        </w:rPr>
        <w:t>（</w:t>
      </w:r>
      <w:r>
        <w:rPr>
          <w:rFonts w:hint="eastAsia" w:ascii="宋体" w:hAnsi="宋体" w:eastAsia="宋体" w:cs="宋体"/>
          <w:b/>
          <w:bCs/>
          <w:color w:val="auto"/>
          <w:spacing w:val="0"/>
          <w:w w:val="100"/>
          <w:lang w:val="en-US" w:eastAsia="zh-CN"/>
        </w:rPr>
        <w:t>1</w:t>
      </w:r>
      <w:r>
        <w:rPr>
          <w:rFonts w:hint="eastAsia" w:ascii="宋体" w:hAnsi="宋体" w:eastAsia="宋体" w:cs="宋体"/>
          <w:b/>
          <w:bCs/>
          <w:color w:val="auto"/>
          <w:spacing w:val="0"/>
          <w:w w:val="100"/>
          <w:lang w:eastAsia="zh-CN"/>
        </w:rPr>
        <w:t>）常规考核</w:t>
      </w:r>
    </w:p>
    <w:p w14:paraId="27D40429">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b/>
          <w:bCs/>
          <w:color w:val="auto"/>
          <w:spacing w:val="0"/>
          <w:w w:val="100"/>
          <w:lang w:eastAsia="zh-CN"/>
        </w:rPr>
        <w:t>①</w:t>
      </w:r>
      <w:r>
        <w:rPr>
          <w:rFonts w:hint="eastAsia" w:ascii="宋体" w:hAnsi="宋体" w:eastAsia="宋体" w:cs="宋体"/>
          <w:b/>
          <w:bCs/>
          <w:color w:val="auto"/>
          <w:spacing w:val="0"/>
          <w:w w:val="100"/>
          <w:lang w:val="en-US" w:eastAsia="zh-CN"/>
        </w:rPr>
        <w:t xml:space="preserve"> </w:t>
      </w:r>
      <w:r>
        <w:rPr>
          <w:rFonts w:hint="eastAsia" w:ascii="宋体" w:hAnsi="宋体" w:eastAsia="宋体" w:cs="宋体"/>
          <w:color w:val="auto"/>
          <w:spacing w:val="0"/>
          <w:w w:val="100"/>
          <w:lang w:eastAsia="zh-CN"/>
        </w:rPr>
        <w:t>考核时间。常规考核从正式移交之日起开始，每季度进行一次，考核时间为当季度最后一个月。</w:t>
      </w:r>
    </w:p>
    <w:p w14:paraId="6E2D1455">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b/>
          <w:bCs/>
          <w:color w:val="auto"/>
          <w:spacing w:val="0"/>
          <w:w w:val="100"/>
          <w:lang w:val="en-US" w:eastAsia="zh-CN"/>
        </w:rPr>
        <w:t xml:space="preserve">② </w:t>
      </w:r>
      <w:r>
        <w:rPr>
          <w:rFonts w:hint="eastAsia" w:ascii="宋体" w:hAnsi="宋体" w:eastAsia="宋体" w:cs="宋体"/>
          <w:b/>
          <w:bCs/>
          <w:color w:val="auto"/>
          <w:spacing w:val="0"/>
          <w:w w:val="100"/>
          <w:lang w:eastAsia="zh-CN"/>
        </w:rPr>
        <w:t>台帐材料。</w:t>
      </w:r>
      <w:r>
        <w:rPr>
          <w:rFonts w:hint="eastAsia" w:ascii="宋体" w:hAnsi="宋体" w:eastAsia="宋体" w:cs="宋体"/>
          <w:color w:val="auto"/>
          <w:spacing w:val="0"/>
          <w:w w:val="100"/>
          <w:lang w:eastAsia="zh-CN"/>
        </w:rPr>
        <w:t>运营单位按绩效考核指标内容向业主提交各厂有水量、水质的月运维报告及报表、水质化验报告、电费单、污泥处置等相关运维记录台帐以及佐证材料。</w:t>
      </w:r>
    </w:p>
    <w:p w14:paraId="37055A6C">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b/>
          <w:bCs/>
          <w:color w:val="auto"/>
          <w:spacing w:val="0"/>
          <w:w w:val="100"/>
          <w:lang w:eastAsia="zh-CN"/>
        </w:rPr>
        <w:t>③</w:t>
      </w:r>
      <w:r>
        <w:rPr>
          <w:rFonts w:hint="eastAsia" w:ascii="宋体" w:hAnsi="宋体" w:eastAsia="宋体" w:cs="宋体"/>
          <w:b/>
          <w:bCs/>
          <w:color w:val="auto"/>
          <w:spacing w:val="0"/>
          <w:w w:val="100"/>
          <w:lang w:val="en-US" w:eastAsia="zh-CN"/>
        </w:rPr>
        <w:t xml:space="preserve"> </w:t>
      </w:r>
      <w:r>
        <w:rPr>
          <w:rFonts w:hint="eastAsia" w:ascii="宋体" w:hAnsi="宋体" w:eastAsia="宋体" w:cs="宋体"/>
          <w:b/>
          <w:bCs/>
          <w:color w:val="auto"/>
          <w:spacing w:val="0"/>
          <w:w w:val="100"/>
          <w:lang w:eastAsia="zh-CN"/>
        </w:rPr>
        <w:t>考核方式。</w:t>
      </w:r>
      <w:r>
        <w:rPr>
          <w:rFonts w:hint="eastAsia" w:ascii="宋体" w:hAnsi="宋体" w:eastAsia="宋体" w:cs="宋体"/>
          <w:color w:val="auto"/>
          <w:spacing w:val="0"/>
          <w:w w:val="100"/>
          <w:lang w:eastAsia="zh-CN"/>
        </w:rPr>
        <w:t>由业主负责开展运营期评价，对各镇污水处理厂及其泵站设施设备进行现场检查及资料检查，对服务效果进行考核评价；在有必要的情况下，也可以通过环保部门或第三方检验机构见证取样检测、送检等，其结果作为绩效考核的依据。考核分满分为100分。考核工作应在7日内完成，并在考核工作完成后3天内出具考核报告。</w:t>
      </w:r>
    </w:p>
    <w:p w14:paraId="7502E093">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lang w:eastAsia="zh-CN"/>
        </w:rPr>
      </w:pPr>
      <w:r>
        <w:rPr>
          <w:rFonts w:hint="eastAsia" w:ascii="宋体" w:hAnsi="宋体" w:eastAsia="宋体" w:cs="宋体"/>
          <w:b/>
          <w:bCs/>
          <w:color w:val="auto"/>
          <w:spacing w:val="0"/>
          <w:w w:val="100"/>
          <w:lang w:eastAsia="zh-CN"/>
        </w:rPr>
        <w:t>（</w:t>
      </w:r>
      <w:r>
        <w:rPr>
          <w:rFonts w:hint="eastAsia" w:ascii="宋体" w:hAnsi="宋体" w:eastAsia="宋体" w:cs="宋体"/>
          <w:b/>
          <w:bCs/>
          <w:color w:val="auto"/>
          <w:spacing w:val="0"/>
          <w:w w:val="100"/>
          <w:lang w:val="en-US" w:eastAsia="zh-CN"/>
        </w:rPr>
        <w:t>2</w:t>
      </w:r>
      <w:r>
        <w:rPr>
          <w:rFonts w:hint="eastAsia" w:ascii="宋体" w:hAnsi="宋体" w:eastAsia="宋体" w:cs="宋体"/>
          <w:b/>
          <w:bCs/>
          <w:color w:val="auto"/>
          <w:spacing w:val="0"/>
          <w:w w:val="100"/>
          <w:lang w:eastAsia="zh-CN"/>
        </w:rPr>
        <w:t>）随机抽查</w:t>
      </w:r>
    </w:p>
    <w:p w14:paraId="63144571">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lang w:eastAsia="zh-CN"/>
        </w:rPr>
      </w:pPr>
      <w:r>
        <w:rPr>
          <w:rFonts w:hint="eastAsia" w:ascii="宋体" w:hAnsi="宋体" w:eastAsia="宋体" w:cs="宋体"/>
          <w:color w:val="auto"/>
          <w:spacing w:val="0"/>
          <w:w w:val="100"/>
          <w:lang w:eastAsia="zh-CN"/>
        </w:rPr>
        <w:t>基于监管需要，业主可自行不定期对污水处理厂区及泵站运行管理情况进行抽检，或者可以随时委托第三方检测机构对项目服务范围内任意污水厂水质水量进行随机抽检，随机抽查检测费由业主自行承担。对在随机抽查过程中和有关部门、上级督查发现的问题，将对应绩效考核指标表标准对应项进行扣分，同时以书面的形式下达整改通知要求运营商进行整改，若不按时完成整改，再予以双倍扣分。</w:t>
      </w:r>
    </w:p>
    <w:p w14:paraId="17375C4C">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left"/>
        <w:textAlignment w:val="auto"/>
        <w:outlineLvl w:val="9"/>
        <w:rPr>
          <w:rFonts w:hint="eastAsia" w:ascii="宋体" w:hAnsi="宋体" w:eastAsia="宋体" w:cs="宋体"/>
          <w:color w:val="auto"/>
          <w:spacing w:val="0"/>
          <w:w w:val="100"/>
          <w:lang w:eastAsia="zh-CN"/>
        </w:rPr>
      </w:pPr>
    </w:p>
    <w:p w14:paraId="6B16737E">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left"/>
        <w:textAlignment w:val="auto"/>
        <w:outlineLvl w:val="9"/>
        <w:rPr>
          <w:rFonts w:hint="eastAsia" w:ascii="宋体" w:hAnsi="宋体" w:eastAsia="宋体" w:cs="宋体"/>
          <w:b/>
          <w:bCs/>
          <w:color w:val="auto"/>
          <w:w w:val="102"/>
          <w:sz w:val="24"/>
          <w:szCs w:val="24"/>
        </w:rPr>
      </w:pPr>
      <w:r>
        <w:rPr>
          <w:rFonts w:hint="eastAsia" w:ascii="宋体" w:hAnsi="宋体" w:eastAsia="宋体" w:cs="宋体"/>
          <w:b/>
          <w:bCs/>
          <w:color w:val="auto"/>
          <w:spacing w:val="0"/>
          <w:w w:val="100"/>
          <w:lang w:eastAsia="zh-CN"/>
        </w:rPr>
        <w:t>4.污水处理厂、配套管网等各项的绩效考核指标设置情况</w:t>
      </w:r>
    </w:p>
    <w:p w14:paraId="58FA6437">
      <w:pPr>
        <w:pStyle w:val="98"/>
        <w:kinsoku w:val="0"/>
        <w:overflowPunct w:val="0"/>
        <w:spacing w:before="10" w:beforeLines="0" w:line="218" w:lineRule="auto"/>
        <w:ind w:left="111" w:right="75" w:firstLine="14"/>
        <w:rPr>
          <w:rFonts w:hint="eastAsia" w:ascii="宋体" w:hAnsi="宋体" w:eastAsia="宋体" w:cs="宋体"/>
          <w:color w:val="auto"/>
          <w:w w:val="102"/>
          <w:sz w:val="40"/>
          <w:szCs w:val="40"/>
        </w:rPr>
      </w:pPr>
    </w:p>
    <w:p w14:paraId="4F7F5CC0">
      <w:pPr>
        <w:spacing w:line="300" w:lineRule="auto"/>
        <w:rPr>
          <w:rFonts w:ascii="仿宋_GB2312" w:hAnsi="仿宋_GB2312" w:eastAsia="仿宋_GB2312" w:cs="仿宋_GB2312"/>
          <w:b/>
          <w:color w:val="auto"/>
          <w:spacing w:val="-20"/>
          <w:sz w:val="28"/>
          <w:szCs w:val="48"/>
        </w:rPr>
      </w:pPr>
      <w:r>
        <w:rPr>
          <w:rFonts w:hint="eastAsia" w:ascii="仿宋_GB2312" w:hAnsi="仿宋_GB2312" w:eastAsia="仿宋_GB2312" w:cs="仿宋_GB2312"/>
          <w:b/>
          <w:color w:val="auto"/>
          <w:sz w:val="28"/>
          <w:szCs w:val="48"/>
          <w:lang w:eastAsia="zh-CN"/>
        </w:rPr>
        <w:t>（</w:t>
      </w:r>
      <w:r>
        <w:rPr>
          <w:rFonts w:hint="eastAsia" w:ascii="仿宋_GB2312" w:hAnsi="仿宋_GB2312" w:eastAsia="仿宋_GB2312" w:cs="仿宋_GB2312"/>
          <w:b/>
          <w:color w:val="auto"/>
          <w:sz w:val="28"/>
          <w:szCs w:val="48"/>
          <w:lang w:val="en-US" w:eastAsia="zh-CN"/>
        </w:rPr>
        <w:t>1</w:t>
      </w:r>
      <w:r>
        <w:rPr>
          <w:rFonts w:hint="eastAsia" w:ascii="仿宋_GB2312" w:hAnsi="仿宋_GB2312" w:eastAsia="仿宋_GB2312" w:cs="仿宋_GB2312"/>
          <w:b/>
          <w:color w:val="auto"/>
          <w:sz w:val="28"/>
          <w:szCs w:val="48"/>
          <w:lang w:eastAsia="zh-CN"/>
        </w:rPr>
        <w:t>）</w:t>
      </w:r>
      <w:r>
        <w:rPr>
          <w:rFonts w:hint="eastAsia" w:ascii="仿宋_GB2312" w:hAnsi="仿宋_GB2312" w:eastAsia="仿宋_GB2312" w:cs="仿宋_GB2312"/>
          <w:b/>
          <w:bCs/>
          <w:color w:val="auto"/>
          <w:sz w:val="28"/>
          <w:szCs w:val="48"/>
        </w:rPr>
        <w:t xml:space="preserve">表6-1 </w:t>
      </w:r>
      <w:r>
        <w:rPr>
          <w:rFonts w:hint="eastAsia" w:ascii="仿宋_GB2312" w:hAnsi="仿宋_GB2312" w:eastAsia="仿宋_GB2312" w:cs="仿宋_GB2312"/>
          <w:b/>
          <w:color w:val="auto"/>
          <w:spacing w:val="-20"/>
          <w:sz w:val="28"/>
          <w:szCs w:val="48"/>
        </w:rPr>
        <w:t>污水处理厂及其泵站</w:t>
      </w:r>
      <w:r>
        <w:rPr>
          <w:rFonts w:hint="eastAsia" w:ascii="仿宋_GB2312" w:hAnsi="仿宋_GB2312" w:eastAsia="仿宋_GB2312" w:cs="仿宋_GB2312"/>
          <w:b/>
          <w:bCs/>
          <w:color w:val="auto"/>
          <w:spacing w:val="-20"/>
          <w:sz w:val="28"/>
          <w:szCs w:val="48"/>
        </w:rPr>
        <w:t>设施运营维护绩效考核指标（季度考核）</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643"/>
        <w:gridCol w:w="975"/>
        <w:gridCol w:w="1106"/>
        <w:gridCol w:w="10"/>
        <w:gridCol w:w="3898"/>
        <w:gridCol w:w="3300"/>
      </w:tblGrid>
      <w:tr w14:paraId="2212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53" w:type="dxa"/>
            <w:gridSpan w:val="2"/>
            <w:noWrap w:val="0"/>
            <w:vAlign w:val="center"/>
          </w:tcPr>
          <w:p w14:paraId="402AF13F">
            <w:pPr>
              <w:pStyle w:val="101"/>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081" w:type="dxa"/>
            <w:gridSpan w:val="2"/>
            <w:noWrap w:val="0"/>
            <w:vAlign w:val="center"/>
          </w:tcPr>
          <w:p w14:paraId="419F7DE0">
            <w:pPr>
              <w:pStyle w:val="101"/>
              <w:rPr>
                <w:rFonts w:hint="eastAsia" w:ascii="宋体" w:hAnsi="宋体" w:eastAsia="宋体" w:cs="宋体"/>
                <w:b/>
                <w:bCs/>
                <w:color w:val="auto"/>
                <w:sz w:val="21"/>
                <w:szCs w:val="21"/>
              </w:rPr>
            </w:pPr>
            <w:r>
              <w:rPr>
                <w:rFonts w:hint="eastAsia" w:ascii="宋体" w:hAnsi="宋体" w:eastAsia="宋体" w:cs="宋体"/>
                <w:b/>
                <w:bCs/>
                <w:color w:val="auto"/>
                <w:sz w:val="21"/>
                <w:szCs w:val="21"/>
              </w:rPr>
              <w:t>考核项目</w:t>
            </w:r>
          </w:p>
        </w:tc>
        <w:tc>
          <w:tcPr>
            <w:tcW w:w="3908" w:type="dxa"/>
            <w:gridSpan w:val="2"/>
            <w:noWrap w:val="0"/>
            <w:vAlign w:val="center"/>
          </w:tcPr>
          <w:p w14:paraId="2496351B">
            <w:pPr>
              <w:pStyle w:val="101"/>
              <w:rPr>
                <w:rFonts w:hint="eastAsia" w:ascii="宋体" w:hAnsi="宋体" w:eastAsia="宋体" w:cs="宋体"/>
                <w:b/>
                <w:bCs/>
                <w:color w:val="auto"/>
                <w:sz w:val="21"/>
                <w:szCs w:val="21"/>
              </w:rPr>
            </w:pPr>
            <w:r>
              <w:rPr>
                <w:rFonts w:hint="eastAsia" w:ascii="宋体" w:hAnsi="宋体" w:eastAsia="宋体" w:cs="宋体"/>
                <w:b/>
                <w:bCs/>
                <w:color w:val="auto"/>
                <w:sz w:val="21"/>
                <w:szCs w:val="21"/>
              </w:rPr>
              <w:t>基本指标</w:t>
            </w:r>
          </w:p>
        </w:tc>
        <w:tc>
          <w:tcPr>
            <w:tcW w:w="3300" w:type="dxa"/>
            <w:noWrap w:val="0"/>
            <w:vAlign w:val="center"/>
          </w:tcPr>
          <w:p w14:paraId="48004A2C">
            <w:pPr>
              <w:pStyle w:val="101"/>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r>
      <w:tr w14:paraId="319F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41DA4403">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75" w:type="dxa"/>
            <w:vMerge w:val="restart"/>
            <w:noWrap w:val="0"/>
            <w:vAlign w:val="center"/>
          </w:tcPr>
          <w:p w14:paraId="274FD076">
            <w:pPr>
              <w:pStyle w:val="101"/>
              <w:rPr>
                <w:rFonts w:hint="eastAsia" w:ascii="宋体" w:hAnsi="宋体" w:eastAsia="宋体" w:cs="宋体"/>
                <w:color w:val="auto"/>
                <w:sz w:val="21"/>
                <w:szCs w:val="21"/>
              </w:rPr>
            </w:pPr>
          </w:p>
          <w:p w14:paraId="03D15055">
            <w:pPr>
              <w:pStyle w:val="101"/>
              <w:rPr>
                <w:rFonts w:hint="eastAsia" w:ascii="宋体" w:hAnsi="宋体" w:eastAsia="宋体" w:cs="宋体"/>
                <w:color w:val="auto"/>
                <w:sz w:val="21"/>
                <w:szCs w:val="21"/>
              </w:rPr>
            </w:pPr>
          </w:p>
          <w:p w14:paraId="0C56BD95">
            <w:pPr>
              <w:pStyle w:val="101"/>
              <w:rPr>
                <w:rFonts w:hint="eastAsia" w:ascii="宋体" w:hAnsi="宋体" w:eastAsia="宋体" w:cs="宋体"/>
                <w:color w:val="auto"/>
                <w:sz w:val="21"/>
                <w:szCs w:val="21"/>
              </w:rPr>
            </w:pPr>
          </w:p>
          <w:p w14:paraId="5DD6C3A7">
            <w:pPr>
              <w:pStyle w:val="101"/>
              <w:rPr>
                <w:rFonts w:hint="eastAsia" w:ascii="宋体" w:hAnsi="宋体" w:eastAsia="宋体" w:cs="宋体"/>
                <w:color w:val="auto"/>
                <w:sz w:val="21"/>
                <w:szCs w:val="21"/>
              </w:rPr>
            </w:pPr>
          </w:p>
          <w:p w14:paraId="46344AED">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服务</w:t>
            </w:r>
          </w:p>
          <w:p w14:paraId="440163C5">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设施</w:t>
            </w:r>
          </w:p>
          <w:p w14:paraId="400FC05F">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条件</w:t>
            </w:r>
          </w:p>
          <w:p w14:paraId="6AB44651">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与管</w:t>
            </w:r>
          </w:p>
          <w:p w14:paraId="293E3ABF">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理维</w:t>
            </w:r>
          </w:p>
          <w:p w14:paraId="26FCCF9C">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护考</w:t>
            </w:r>
          </w:p>
          <w:p w14:paraId="28BE4050">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核</w:t>
            </w:r>
          </w:p>
          <w:p w14:paraId="18BE0D3C">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（12分）</w:t>
            </w:r>
          </w:p>
        </w:tc>
        <w:tc>
          <w:tcPr>
            <w:tcW w:w="1106" w:type="dxa"/>
            <w:noWrap w:val="0"/>
            <w:vAlign w:val="center"/>
          </w:tcPr>
          <w:p w14:paraId="496AEFD8">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构筑物（</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3908" w:type="dxa"/>
            <w:gridSpan w:val="2"/>
            <w:noWrap w:val="0"/>
            <w:vAlign w:val="center"/>
          </w:tcPr>
          <w:p w14:paraId="4377AC07">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符合《城镇污水处理厂运行、维护及安全技术规程》(CJJ60-2011) 及相关规范、法规的要求：包括格栅槽、调节池、初沉池、曝气池、二沉池、巴氏计量槽、污泥池等无破损、渗漏；池面清洁，堰口出水均匀等。</w:t>
            </w:r>
          </w:p>
        </w:tc>
        <w:tc>
          <w:tcPr>
            <w:tcW w:w="3300" w:type="dxa"/>
            <w:noWrap w:val="0"/>
            <w:vAlign w:val="center"/>
          </w:tcPr>
          <w:p w14:paraId="052DD004">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不符合要求每次</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处扣1分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并要求整改，超过规定的周期未完成整改，扣罚分数按上一周期的扣分加倍。</w:t>
            </w:r>
          </w:p>
        </w:tc>
      </w:tr>
      <w:tr w14:paraId="35C0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01E46AE1">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75" w:type="dxa"/>
            <w:vMerge w:val="continue"/>
            <w:noWrap w:val="0"/>
            <w:vAlign w:val="center"/>
          </w:tcPr>
          <w:p w14:paraId="326F6E90">
            <w:pPr>
              <w:widowControl/>
              <w:jc w:val="center"/>
              <w:rPr>
                <w:rFonts w:hint="eastAsia" w:ascii="宋体" w:hAnsi="宋体" w:eastAsia="宋体" w:cs="宋体"/>
                <w:color w:val="auto"/>
                <w:sz w:val="21"/>
                <w:szCs w:val="21"/>
              </w:rPr>
            </w:pPr>
          </w:p>
        </w:tc>
        <w:tc>
          <w:tcPr>
            <w:tcW w:w="1106" w:type="dxa"/>
            <w:noWrap w:val="0"/>
            <w:vAlign w:val="center"/>
          </w:tcPr>
          <w:p w14:paraId="79BE4E4F">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主要</w:t>
            </w:r>
          </w:p>
          <w:p w14:paraId="48EB512D">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设备</w:t>
            </w:r>
          </w:p>
          <w:p w14:paraId="6E3E8151">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3908" w:type="dxa"/>
            <w:gridSpan w:val="2"/>
            <w:noWrap w:val="0"/>
            <w:vAlign w:val="center"/>
          </w:tcPr>
          <w:p w14:paraId="54D56A6F">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符合《城镇污水处理厂运行、维护及安全技术规程》(CJJ60-2011) 及相关规范的要求：污水处理所有设备如监测系统、曝气设备、消毒设备、池内设备、加药装置设备、风机、水泵等运行正常，外观整洁，螺栓齐全牢固；设备无渗漏，计量仪表、设施设备定期检定、设备台账及维护档案齐全等。定期开展设施、设备厂保养，防止损坏及生锈氧化。</w:t>
            </w:r>
          </w:p>
        </w:tc>
        <w:tc>
          <w:tcPr>
            <w:tcW w:w="3300" w:type="dxa"/>
            <w:noWrap w:val="0"/>
            <w:vAlign w:val="center"/>
          </w:tcPr>
          <w:p w14:paraId="07D1DEC3">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设施设备至少每周维护保养1次，发现设备故障及损坏未及时修复；油漆无锈蚀，每次</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处扣2分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。并在规定时间内完成整改，超过规定的周期未完成整 改，扣罚分数按上一周期的扣分加倍。</w:t>
            </w:r>
          </w:p>
        </w:tc>
      </w:tr>
      <w:tr w14:paraId="0E1A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5D369617">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975" w:type="dxa"/>
            <w:noWrap w:val="0"/>
            <w:vAlign w:val="center"/>
          </w:tcPr>
          <w:p w14:paraId="7C78C37E">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人工湿地管理（3分）</w:t>
            </w:r>
          </w:p>
        </w:tc>
        <w:tc>
          <w:tcPr>
            <w:tcW w:w="1106" w:type="dxa"/>
            <w:noWrap w:val="0"/>
            <w:vAlign w:val="center"/>
          </w:tcPr>
          <w:p w14:paraId="175797A9">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人工湿地(3分)</w:t>
            </w:r>
          </w:p>
        </w:tc>
        <w:tc>
          <w:tcPr>
            <w:tcW w:w="3908" w:type="dxa"/>
            <w:gridSpan w:val="2"/>
            <w:noWrap w:val="0"/>
            <w:vAlign w:val="center"/>
          </w:tcPr>
          <w:p w14:paraId="4D057FC0">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定期开展人工湿地植被养护、收割、除杂草、干枯枝叶、植被补种更新及日常维护管理等。</w:t>
            </w:r>
          </w:p>
        </w:tc>
        <w:tc>
          <w:tcPr>
            <w:tcW w:w="3300" w:type="dxa"/>
            <w:noWrap w:val="0"/>
            <w:vAlign w:val="center"/>
          </w:tcPr>
          <w:p w14:paraId="2D63F8BB">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每半年定期对人工湿地开展植被收割、除杂草、干枯枝叶、植被补种更新及日常维护管理，未按要求每次扣3分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并在规定时间内完成整改，超过规定的周期未完成整改，扣罚分数按上一周期的扣分加倍。</w:t>
            </w:r>
          </w:p>
        </w:tc>
      </w:tr>
      <w:tr w14:paraId="2A7B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563A5B00">
            <w:pPr>
              <w:pStyle w:val="10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75" w:type="dxa"/>
            <w:noWrap w:val="0"/>
            <w:vAlign w:val="center"/>
          </w:tcPr>
          <w:p w14:paraId="28E7368A">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污泥处置</w:t>
            </w:r>
          </w:p>
          <w:p w14:paraId="26123745">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（6分）</w:t>
            </w:r>
          </w:p>
        </w:tc>
        <w:tc>
          <w:tcPr>
            <w:tcW w:w="1106" w:type="dxa"/>
            <w:noWrap w:val="0"/>
            <w:vAlign w:val="center"/>
          </w:tcPr>
          <w:p w14:paraId="3D5DCEC2">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6分</w:t>
            </w:r>
          </w:p>
        </w:tc>
        <w:tc>
          <w:tcPr>
            <w:tcW w:w="3908" w:type="dxa"/>
            <w:gridSpan w:val="2"/>
            <w:noWrap w:val="0"/>
            <w:vAlign w:val="center"/>
          </w:tcPr>
          <w:p w14:paraId="26100FE7">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严格按照《北流市城镇污水处理厂污泥制度（试行）》文件要求，好做厂区产生、储存、运输处置过程，且及时登记厂区污泥管理台账，做到无害化处理。</w:t>
            </w:r>
          </w:p>
        </w:tc>
        <w:tc>
          <w:tcPr>
            <w:tcW w:w="3300" w:type="dxa"/>
            <w:noWrap w:val="0"/>
            <w:vAlign w:val="center"/>
          </w:tcPr>
          <w:p w14:paraId="758F73B7">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擅自倾倒、堆放、露天堆放的污泥，每次</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处扣2分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；产生、运输、处置全流程记录不完整，数据不可追溯‌，每次</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处扣1分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并要求整改，超过规定的周期未完成整 改，扣罚分数按上一周期的扣分加倍。</w:t>
            </w:r>
          </w:p>
        </w:tc>
      </w:tr>
      <w:tr w14:paraId="0554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1B6FA05F">
            <w:pPr>
              <w:pStyle w:val="10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975" w:type="dxa"/>
            <w:vMerge w:val="restart"/>
            <w:noWrap w:val="0"/>
            <w:vAlign w:val="center"/>
          </w:tcPr>
          <w:p w14:paraId="5A230C7C">
            <w:pPr>
              <w:pStyle w:val="101"/>
              <w:rPr>
                <w:rFonts w:hint="eastAsia" w:ascii="宋体" w:hAnsi="宋体" w:eastAsia="宋体" w:cs="宋体"/>
                <w:color w:val="auto"/>
                <w:sz w:val="21"/>
                <w:szCs w:val="21"/>
              </w:rPr>
            </w:pPr>
          </w:p>
          <w:p w14:paraId="6994DEF4">
            <w:pPr>
              <w:pStyle w:val="101"/>
              <w:rPr>
                <w:rFonts w:hint="eastAsia" w:ascii="宋体" w:hAnsi="宋体" w:eastAsia="宋体" w:cs="宋体"/>
                <w:color w:val="auto"/>
                <w:sz w:val="21"/>
                <w:szCs w:val="21"/>
              </w:rPr>
            </w:pPr>
          </w:p>
          <w:p w14:paraId="75C00E37">
            <w:pPr>
              <w:pStyle w:val="101"/>
              <w:rPr>
                <w:rFonts w:hint="eastAsia" w:ascii="宋体" w:hAnsi="宋体" w:eastAsia="宋体" w:cs="宋体"/>
                <w:color w:val="auto"/>
                <w:sz w:val="21"/>
                <w:szCs w:val="21"/>
              </w:rPr>
            </w:pPr>
          </w:p>
          <w:p w14:paraId="2F24CBAE">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质量</w:t>
            </w:r>
          </w:p>
          <w:p w14:paraId="45C95A87">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管理</w:t>
            </w:r>
          </w:p>
          <w:p w14:paraId="2E51AFED">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38</w:t>
            </w:r>
            <w:r>
              <w:rPr>
                <w:rFonts w:hint="eastAsia" w:ascii="宋体" w:hAnsi="宋体" w:eastAsia="宋体" w:cs="宋体"/>
                <w:color w:val="auto"/>
                <w:sz w:val="21"/>
                <w:szCs w:val="21"/>
              </w:rPr>
              <w:t>分）</w:t>
            </w:r>
          </w:p>
          <w:p w14:paraId="107254A1">
            <w:pPr>
              <w:pStyle w:val="101"/>
              <w:rPr>
                <w:rFonts w:hint="eastAsia" w:ascii="宋体" w:hAnsi="宋体" w:eastAsia="宋体" w:cs="宋体"/>
                <w:color w:val="auto"/>
                <w:sz w:val="21"/>
                <w:szCs w:val="21"/>
              </w:rPr>
            </w:pPr>
          </w:p>
          <w:p w14:paraId="67DA61E0">
            <w:pPr>
              <w:pStyle w:val="101"/>
              <w:rPr>
                <w:rFonts w:hint="eastAsia" w:ascii="宋体" w:hAnsi="宋体" w:eastAsia="宋体" w:cs="宋体"/>
                <w:color w:val="auto"/>
                <w:sz w:val="21"/>
                <w:szCs w:val="21"/>
              </w:rPr>
            </w:pPr>
          </w:p>
          <w:p w14:paraId="2B0CCA1B">
            <w:pPr>
              <w:pStyle w:val="101"/>
              <w:rPr>
                <w:rFonts w:hint="eastAsia" w:ascii="宋体" w:hAnsi="宋体" w:eastAsia="宋体" w:cs="宋体"/>
                <w:color w:val="auto"/>
                <w:sz w:val="21"/>
                <w:szCs w:val="21"/>
              </w:rPr>
            </w:pPr>
          </w:p>
        </w:tc>
        <w:tc>
          <w:tcPr>
            <w:tcW w:w="1106" w:type="dxa"/>
            <w:noWrap w:val="0"/>
            <w:vAlign w:val="center"/>
          </w:tcPr>
          <w:p w14:paraId="17BD0139">
            <w:pPr>
              <w:pStyle w:val="101"/>
              <w:rPr>
                <w:rFonts w:hint="eastAsia" w:ascii="宋体" w:hAnsi="宋体" w:eastAsia="宋体" w:cs="宋体"/>
                <w:color w:val="auto"/>
                <w:sz w:val="21"/>
                <w:szCs w:val="21"/>
              </w:rPr>
            </w:pPr>
            <w:r>
              <w:rPr>
                <w:rFonts w:hint="eastAsia" w:ascii="宋体" w:hAnsi="宋体" w:cs="宋体"/>
                <w:color w:val="auto"/>
                <w:sz w:val="21"/>
                <w:szCs w:val="21"/>
                <w:lang w:eastAsia="zh-CN"/>
              </w:rPr>
              <w:t>进、</w:t>
            </w:r>
            <w:r>
              <w:rPr>
                <w:rFonts w:hint="eastAsia" w:ascii="宋体" w:hAnsi="宋体" w:eastAsia="宋体" w:cs="宋体"/>
                <w:color w:val="auto"/>
                <w:sz w:val="21"/>
                <w:szCs w:val="21"/>
              </w:rPr>
              <w:t>出水水质 (2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c>
          <w:tcPr>
            <w:tcW w:w="3908" w:type="dxa"/>
            <w:gridSpan w:val="2"/>
            <w:noWrap w:val="0"/>
            <w:vAlign w:val="center"/>
          </w:tcPr>
          <w:p w14:paraId="082EAB34">
            <w:pPr>
              <w:pStyle w:val="101"/>
              <w:jc w:val="both"/>
              <w:rPr>
                <w:rFonts w:hint="eastAsia" w:ascii="宋体" w:hAnsi="宋体" w:eastAsia="宋体" w:cs="宋体"/>
                <w:color w:val="auto"/>
                <w:sz w:val="21"/>
                <w:szCs w:val="21"/>
              </w:rPr>
            </w:pPr>
            <w:r>
              <w:rPr>
                <w:rFonts w:hint="eastAsia" w:ascii="宋体" w:hAnsi="宋体" w:cs="宋体"/>
                <w:color w:val="auto"/>
                <w:sz w:val="21"/>
                <w:szCs w:val="21"/>
                <w:lang w:eastAsia="zh-CN"/>
              </w:rPr>
              <w:t>进水</w:t>
            </w:r>
            <w:r>
              <w:rPr>
                <w:rFonts w:hint="eastAsia" w:ascii="宋体" w:hAnsi="宋体" w:eastAsia="宋体" w:cs="宋体"/>
                <w:color w:val="auto"/>
                <w:sz w:val="21"/>
                <w:szCs w:val="21"/>
              </w:rPr>
              <w:t>CODcr</w:t>
            </w:r>
            <w:r>
              <w:rPr>
                <w:rFonts w:hint="eastAsia" w:ascii="宋体" w:hAnsi="宋体" w:cs="宋体"/>
                <w:color w:val="auto"/>
                <w:sz w:val="21"/>
                <w:szCs w:val="21"/>
                <w:lang w:eastAsia="zh-CN"/>
              </w:rPr>
              <w:t>平均浓度需达</w:t>
            </w:r>
            <w:r>
              <w:rPr>
                <w:rFonts w:hint="eastAsia" w:ascii="宋体" w:hAnsi="宋体" w:cs="宋体"/>
                <w:color w:val="auto"/>
                <w:sz w:val="21"/>
                <w:szCs w:val="21"/>
                <w:lang w:val="en-US" w:eastAsia="zh-CN"/>
              </w:rPr>
              <w:t>100</w:t>
            </w:r>
            <w:r>
              <w:rPr>
                <w:rFonts w:hint="eastAsia"/>
                <w:b w:val="0"/>
                <w:bCs/>
                <w:color w:val="auto"/>
                <w:vertAlign w:val="baseline"/>
                <w:lang w:val="en-US" w:eastAsia="zh-CN"/>
              </w:rPr>
              <w:t>mg/L以上，</w:t>
            </w:r>
            <w:r>
              <w:rPr>
                <w:rFonts w:hint="eastAsia" w:ascii="宋体" w:hAnsi="宋体" w:eastAsia="宋体" w:cs="宋体"/>
                <w:color w:val="auto"/>
                <w:sz w:val="21"/>
                <w:szCs w:val="21"/>
              </w:rPr>
              <w:t>出水水质中 CODcr、NH3-N、TP、TN、pH、等指标需达到《城镇污水处理厂污染物排放标准 (GB18918-2002) 中一级排放A标准。</w:t>
            </w:r>
          </w:p>
        </w:tc>
        <w:tc>
          <w:tcPr>
            <w:tcW w:w="3300" w:type="dxa"/>
            <w:noWrap w:val="0"/>
            <w:vAlign w:val="center"/>
          </w:tcPr>
          <w:p w14:paraId="5225314E">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根据绩效考核周期的检测水质化验报告及玉林市污染源自动监控平台数据，每发现任何一项数据不达标扣3分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并要求整改，超过规定的周期未完成整改，予以加倍扣分。</w:t>
            </w:r>
          </w:p>
        </w:tc>
      </w:tr>
      <w:tr w14:paraId="45EB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2E253952">
            <w:pPr>
              <w:pStyle w:val="10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975" w:type="dxa"/>
            <w:vMerge w:val="continue"/>
            <w:noWrap w:val="0"/>
            <w:vAlign w:val="center"/>
          </w:tcPr>
          <w:p w14:paraId="6B9ABE6D">
            <w:pPr>
              <w:widowControl/>
              <w:jc w:val="center"/>
              <w:rPr>
                <w:rFonts w:hint="eastAsia" w:ascii="宋体" w:hAnsi="宋体" w:eastAsia="宋体" w:cs="宋体"/>
                <w:color w:val="auto"/>
                <w:sz w:val="21"/>
                <w:szCs w:val="21"/>
              </w:rPr>
            </w:pPr>
          </w:p>
        </w:tc>
        <w:tc>
          <w:tcPr>
            <w:tcW w:w="1106" w:type="dxa"/>
            <w:noWrap w:val="0"/>
            <w:vAlign w:val="center"/>
          </w:tcPr>
          <w:p w14:paraId="06969619">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厂区运营台账</w:t>
            </w:r>
          </w:p>
          <w:p w14:paraId="20F3CFE0">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 xml:space="preserve"> (4分)</w:t>
            </w:r>
          </w:p>
        </w:tc>
        <w:tc>
          <w:tcPr>
            <w:tcW w:w="3908" w:type="dxa"/>
            <w:gridSpan w:val="2"/>
            <w:noWrap w:val="0"/>
            <w:vAlign w:val="center"/>
          </w:tcPr>
          <w:p w14:paraId="605D4293">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按要求处理集水池中被格栅拦截栅渣，外运至指定地点；交接班、生产物质、异常数据等厂区内运行记录和统计报表应做到完整、规范。</w:t>
            </w:r>
          </w:p>
        </w:tc>
        <w:tc>
          <w:tcPr>
            <w:tcW w:w="3300" w:type="dxa"/>
            <w:noWrap w:val="0"/>
            <w:vAlign w:val="center"/>
          </w:tcPr>
          <w:p w14:paraId="308C442C">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每发现1处不合格/不完善扣0.5分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并要求整改，超过规定的周期未完成整改，予以加倍扣分。</w:t>
            </w:r>
          </w:p>
        </w:tc>
      </w:tr>
      <w:tr w14:paraId="7CE5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54BCAFC8">
            <w:pPr>
              <w:pStyle w:val="10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975" w:type="dxa"/>
            <w:vMerge w:val="continue"/>
            <w:noWrap w:val="0"/>
            <w:vAlign w:val="center"/>
          </w:tcPr>
          <w:p w14:paraId="26E8C6AC">
            <w:pPr>
              <w:widowControl/>
              <w:jc w:val="center"/>
              <w:rPr>
                <w:rFonts w:hint="eastAsia" w:ascii="宋体" w:hAnsi="宋体" w:eastAsia="宋体" w:cs="宋体"/>
                <w:color w:val="auto"/>
                <w:sz w:val="21"/>
                <w:szCs w:val="21"/>
              </w:rPr>
            </w:pPr>
          </w:p>
        </w:tc>
        <w:tc>
          <w:tcPr>
            <w:tcW w:w="1116" w:type="dxa"/>
            <w:gridSpan w:val="2"/>
            <w:noWrap w:val="0"/>
            <w:vAlign w:val="center"/>
          </w:tcPr>
          <w:p w14:paraId="76B691E4">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出水水质化验</w:t>
            </w:r>
          </w:p>
          <w:p w14:paraId="23A933BD">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3898" w:type="dxa"/>
            <w:noWrap w:val="0"/>
            <w:vAlign w:val="center"/>
          </w:tcPr>
          <w:p w14:paraId="4080BC1C">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A 按要求配置检测仪器；</w:t>
            </w:r>
          </w:p>
          <w:p w14:paraId="012B98EE">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B 制定严格的管理制度 (上墙) ；</w:t>
            </w:r>
          </w:p>
          <w:p w14:paraId="7C0C88C3">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C 按相关规定对水质进行人工化验 (每周) ；</w:t>
            </w:r>
          </w:p>
          <w:p w14:paraId="4E0BC193">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D 检测仪器、化学试剂使用规范；</w:t>
            </w:r>
          </w:p>
          <w:p w14:paraId="34BE1AE7">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E 按相关要求对水样进行采样和保管；</w:t>
            </w:r>
          </w:p>
          <w:p w14:paraId="69019B10">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F 化验试剂(危险化学品、剧毒品) 管理、储存规范；</w:t>
            </w:r>
          </w:p>
          <w:p w14:paraId="79D5B8BF">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G 化验数据及时登记造册、上报。</w:t>
            </w:r>
          </w:p>
        </w:tc>
        <w:tc>
          <w:tcPr>
            <w:tcW w:w="3300" w:type="dxa"/>
            <w:noWrap w:val="0"/>
            <w:vAlign w:val="center"/>
          </w:tcPr>
          <w:p w14:paraId="7871BF91">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每发现1处不合格扣2分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并要求整改，超过规定的周期未完成整改，予以加倍扣分。</w:t>
            </w:r>
          </w:p>
        </w:tc>
      </w:tr>
      <w:tr w14:paraId="35A6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2705688F">
            <w:pPr>
              <w:pStyle w:val="10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975" w:type="dxa"/>
            <w:vMerge w:val="continue"/>
            <w:noWrap w:val="0"/>
            <w:vAlign w:val="center"/>
          </w:tcPr>
          <w:p w14:paraId="2F4E5840">
            <w:pPr>
              <w:widowControl/>
              <w:jc w:val="center"/>
              <w:rPr>
                <w:rFonts w:hint="eastAsia" w:ascii="宋体" w:hAnsi="宋体" w:eastAsia="宋体" w:cs="宋体"/>
                <w:color w:val="auto"/>
                <w:sz w:val="21"/>
                <w:szCs w:val="21"/>
              </w:rPr>
            </w:pPr>
          </w:p>
        </w:tc>
        <w:tc>
          <w:tcPr>
            <w:tcW w:w="1116" w:type="dxa"/>
            <w:gridSpan w:val="2"/>
            <w:noWrap w:val="0"/>
            <w:vAlign w:val="center"/>
          </w:tcPr>
          <w:p w14:paraId="7F290E6E">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数据</w:t>
            </w:r>
          </w:p>
          <w:p w14:paraId="23496941">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监测</w:t>
            </w:r>
          </w:p>
          <w:p w14:paraId="52BB0506">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3898" w:type="dxa"/>
            <w:noWrap w:val="0"/>
            <w:vAlign w:val="center"/>
          </w:tcPr>
          <w:p w14:paraId="34098A4B">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有安装进出厂水在线计量、检测设备的污水厂，运营商需做好进出水流量、COD、pH、NH3-N、TN、TP等指标数据的记录，并对日常设备运行是否正常情况进行记录。监测房上锁，无关人员不得进入。记录好进出监测房时间、人员姓名。</w:t>
            </w:r>
          </w:p>
        </w:tc>
        <w:tc>
          <w:tcPr>
            <w:tcW w:w="3300" w:type="dxa"/>
            <w:noWrap w:val="0"/>
            <w:vAlign w:val="center"/>
          </w:tcPr>
          <w:p w14:paraId="22F4A7DC">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做好日常运营记录，如未按要求做好相关项，记录每缺一项扣1分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并要求整改，超过规定的周期未完成整改，予以加倍扣分。</w:t>
            </w:r>
          </w:p>
        </w:tc>
      </w:tr>
      <w:tr w14:paraId="1293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2AA6A1FB">
            <w:pPr>
              <w:pStyle w:val="10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p>
        </w:tc>
        <w:tc>
          <w:tcPr>
            <w:tcW w:w="975" w:type="dxa"/>
            <w:vMerge w:val="restart"/>
            <w:noWrap w:val="0"/>
            <w:vAlign w:val="center"/>
          </w:tcPr>
          <w:p w14:paraId="7804AFA2">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厂容</w:t>
            </w:r>
          </w:p>
          <w:p w14:paraId="7E82D9A0">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厂貌（</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c>
          <w:tcPr>
            <w:tcW w:w="1116" w:type="dxa"/>
            <w:gridSpan w:val="2"/>
            <w:noWrap w:val="0"/>
            <w:vAlign w:val="center"/>
          </w:tcPr>
          <w:p w14:paraId="00E93373">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 xml:space="preserve">室内 </w:t>
            </w:r>
          </w:p>
          <w:p w14:paraId="166ACF31">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tc>
        <w:tc>
          <w:tcPr>
            <w:tcW w:w="3898" w:type="dxa"/>
            <w:noWrap w:val="0"/>
            <w:vAlign w:val="center"/>
          </w:tcPr>
          <w:p w14:paraId="0681891F">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厂区内所有室内无垃圾堆放、无烟头、照明设施分布整齐完好；门、窗、玻璃明亮、无破损；室内无乱涂画、整洁；操作人员着装整齐统一工作服，文明礼貌。</w:t>
            </w:r>
          </w:p>
        </w:tc>
        <w:tc>
          <w:tcPr>
            <w:tcW w:w="3300" w:type="dxa"/>
            <w:noWrap w:val="0"/>
            <w:vAlign w:val="center"/>
          </w:tcPr>
          <w:p w14:paraId="6769B119">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不符合要求每次</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处扣 0.5 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并要求整改，超过规定的周期未完</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成整改，扣罚分数按上一周期的扣分加倍。</w:t>
            </w:r>
          </w:p>
        </w:tc>
      </w:tr>
      <w:tr w14:paraId="7641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302E5059">
            <w:pPr>
              <w:pStyle w:val="10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975" w:type="dxa"/>
            <w:vMerge w:val="continue"/>
            <w:noWrap w:val="0"/>
            <w:vAlign w:val="center"/>
          </w:tcPr>
          <w:p w14:paraId="2ABAC6A0">
            <w:pPr>
              <w:widowControl/>
              <w:jc w:val="center"/>
              <w:rPr>
                <w:rFonts w:hint="eastAsia" w:ascii="宋体" w:hAnsi="宋体" w:eastAsia="宋体" w:cs="宋体"/>
                <w:color w:val="auto"/>
                <w:sz w:val="21"/>
                <w:szCs w:val="21"/>
              </w:rPr>
            </w:pPr>
          </w:p>
        </w:tc>
        <w:tc>
          <w:tcPr>
            <w:tcW w:w="1116" w:type="dxa"/>
            <w:gridSpan w:val="2"/>
            <w:noWrap w:val="0"/>
            <w:vAlign w:val="center"/>
          </w:tcPr>
          <w:p w14:paraId="7BBF92D1">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 xml:space="preserve">室外 </w:t>
            </w:r>
          </w:p>
          <w:p w14:paraId="0EFEEFDF">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tc>
        <w:tc>
          <w:tcPr>
            <w:tcW w:w="3898" w:type="dxa"/>
            <w:noWrap w:val="0"/>
            <w:vAlign w:val="center"/>
          </w:tcPr>
          <w:p w14:paraId="1F9626EF">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厂内道路畅通，道路卫生清洁；厂区照明设施分布整齐完好；厂区给排水设施完好无损；构筑物、建筑物护栏、围墙完好、无杂草、树枝；配备灭火器、救生圈等安全设备；配电柜、配电箱上锁关闭。设置固定宣传栏、移动展板等。</w:t>
            </w:r>
          </w:p>
        </w:tc>
        <w:tc>
          <w:tcPr>
            <w:tcW w:w="3300" w:type="dxa"/>
            <w:noWrap w:val="0"/>
            <w:vAlign w:val="center"/>
          </w:tcPr>
          <w:p w14:paraId="6144F452">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每发现1处不合格/不完善扣 0.5分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 整改，超过规定的周期未完成整 改，扣罚分数按上一周期的扣分加倍。</w:t>
            </w:r>
          </w:p>
        </w:tc>
      </w:tr>
      <w:tr w14:paraId="06DA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7FB6345C">
            <w:pPr>
              <w:pStyle w:val="10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975" w:type="dxa"/>
            <w:noWrap w:val="0"/>
            <w:vAlign w:val="center"/>
          </w:tcPr>
          <w:p w14:paraId="21AE0B36">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备机备品（5分）</w:t>
            </w:r>
          </w:p>
        </w:tc>
        <w:tc>
          <w:tcPr>
            <w:tcW w:w="1116" w:type="dxa"/>
            <w:gridSpan w:val="2"/>
            <w:noWrap w:val="0"/>
            <w:vAlign w:val="center"/>
          </w:tcPr>
          <w:p w14:paraId="62EAECFB">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备机备品配置完整性（5分）</w:t>
            </w:r>
          </w:p>
        </w:tc>
        <w:tc>
          <w:tcPr>
            <w:tcW w:w="3898" w:type="dxa"/>
            <w:noWrap w:val="0"/>
            <w:vAlign w:val="center"/>
          </w:tcPr>
          <w:p w14:paraId="12BC7F9D">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关键设备（提升泵、消毒设备等）均按规范配备备机，数量满足应急需求（至少1台/套关键设备对应1台备机）；备机型号、参数与主机匹配，能直接投入使用，无型号不符、无法兼容情况；备品备件（易损件：密封圈、轴承、滤网等；关键件：泵轴、电机等）储备充足，种类、数量符合运维规范；建立备品备件台账，记录完整；</w:t>
            </w:r>
            <w:r>
              <w:rPr>
                <w:rFonts w:hint="eastAsia" w:ascii="宋体" w:hAnsi="宋体" w:eastAsia="宋体" w:cs="宋体"/>
                <w:color w:val="auto"/>
                <w:sz w:val="21"/>
                <w:szCs w:val="21"/>
              </w:rPr>
              <w:t>备</w:t>
            </w:r>
            <w:r>
              <w:rPr>
                <w:rFonts w:hint="eastAsia" w:ascii="宋体" w:hAnsi="宋体" w:cs="宋体"/>
                <w:color w:val="auto"/>
                <w:sz w:val="21"/>
                <w:szCs w:val="21"/>
                <w:lang w:val="en-US" w:eastAsia="zh-CN"/>
              </w:rPr>
              <w:t>机</w:t>
            </w:r>
            <w:r>
              <w:rPr>
                <w:rFonts w:hint="eastAsia" w:ascii="宋体" w:hAnsi="宋体" w:eastAsia="宋体" w:cs="宋体"/>
                <w:color w:val="auto"/>
                <w:sz w:val="21"/>
                <w:szCs w:val="21"/>
              </w:rPr>
              <w:t>备品定期检查，每月至少1次，及时更新损坏、过期备件；备机出现故障时，24小时内完成维修或更换，确保应急可用。</w:t>
            </w:r>
          </w:p>
        </w:tc>
        <w:tc>
          <w:tcPr>
            <w:tcW w:w="3300" w:type="dxa"/>
            <w:noWrap w:val="0"/>
            <w:vAlign w:val="center"/>
          </w:tcPr>
          <w:p w14:paraId="3247E726">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每发现1处未配备备机备品，或备机备品数量不足应急需求，每次扣1分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并要求及时配备，超过规定的周期未完成配备，扣罚分数按上一周期的扣分加倍；</w:t>
            </w:r>
          </w:p>
          <w:p w14:paraId="26E96182">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故障处置时效超过24小时但不超过48小时，扣0.5分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；故障处置超时超过48小时，或备机故障后长期未处理扣1分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，并要求整改，超过规定周期未完成整改，扣罚分数加倍。</w:t>
            </w:r>
          </w:p>
        </w:tc>
      </w:tr>
      <w:tr w14:paraId="4F6A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6BEB9CA3">
            <w:pPr>
              <w:pStyle w:val="10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975" w:type="dxa"/>
            <w:noWrap w:val="0"/>
            <w:vAlign w:val="center"/>
          </w:tcPr>
          <w:p w14:paraId="3BF72DC6">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督查通报（9分）</w:t>
            </w:r>
          </w:p>
        </w:tc>
        <w:tc>
          <w:tcPr>
            <w:tcW w:w="1116" w:type="dxa"/>
            <w:gridSpan w:val="2"/>
            <w:noWrap w:val="0"/>
            <w:vAlign w:val="center"/>
          </w:tcPr>
          <w:p w14:paraId="36332A3B">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被上级通报或收到整改通知书（9分）</w:t>
            </w:r>
          </w:p>
        </w:tc>
        <w:tc>
          <w:tcPr>
            <w:tcW w:w="3898" w:type="dxa"/>
            <w:noWrap w:val="0"/>
            <w:vAlign w:val="center"/>
          </w:tcPr>
          <w:p w14:paraId="41678C62">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对监管部门、上级单位督查发现的问题，在规定期限内完成整改（一般问题3个工作日内，重点问题7个工作日内，重大问题按整改方案期限）；整改完成后，及时提交整改报告、佐证材料，确保整改闭环；针对通报中反复出现的问题，建立长效防控机制，杜绝同类问题再次发生；无拒不落实督查通报要求、拖延整改、虚假整改情况。</w:t>
            </w:r>
          </w:p>
        </w:tc>
        <w:tc>
          <w:tcPr>
            <w:tcW w:w="3300" w:type="dxa"/>
            <w:noWrap w:val="0"/>
            <w:vAlign w:val="center"/>
          </w:tcPr>
          <w:p w14:paraId="130345AF">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未在规定期限内完成整改（一般问题3个工作日内，重点问题7个工作日内，重大问题按整改方案期限）扣2分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，未提交整改报告扣2分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，整改未落实一项扣1分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w:t>
            </w:r>
          </w:p>
        </w:tc>
      </w:tr>
      <w:tr w14:paraId="07BF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30DAAA2B">
            <w:pPr>
              <w:pStyle w:val="10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p>
        </w:tc>
        <w:tc>
          <w:tcPr>
            <w:tcW w:w="975" w:type="dxa"/>
            <w:noWrap w:val="0"/>
            <w:vAlign w:val="center"/>
          </w:tcPr>
          <w:p w14:paraId="5418EB21">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配合上级部门督查（3分）</w:t>
            </w:r>
          </w:p>
        </w:tc>
        <w:tc>
          <w:tcPr>
            <w:tcW w:w="1116" w:type="dxa"/>
            <w:gridSpan w:val="2"/>
            <w:noWrap w:val="0"/>
            <w:vAlign w:val="center"/>
          </w:tcPr>
          <w:p w14:paraId="0018BADB">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迎检工作</w:t>
            </w:r>
          </w:p>
          <w:p w14:paraId="32BE39B5">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（3 分）</w:t>
            </w:r>
          </w:p>
        </w:tc>
        <w:tc>
          <w:tcPr>
            <w:tcW w:w="3898" w:type="dxa"/>
            <w:noWrap w:val="0"/>
            <w:vAlign w:val="center"/>
          </w:tcPr>
          <w:p w14:paraId="08E1078F">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厂内工作人员需严格遵守制定的《污水处理厂生产运作管理制度及操作规程》。在任何情况下，积极配合甲方共同做好上级部门的各种检查、参观活动，并提供相应的资料。</w:t>
            </w:r>
          </w:p>
        </w:tc>
        <w:tc>
          <w:tcPr>
            <w:tcW w:w="3300" w:type="dxa"/>
            <w:noWrap w:val="0"/>
            <w:vAlign w:val="center"/>
          </w:tcPr>
          <w:p w14:paraId="310F9878">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每发现1次不合格扣1分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并整改，未按时完成整改，予以加倍扣分。不配合迎检工作的扣3分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w:t>
            </w:r>
          </w:p>
        </w:tc>
      </w:tr>
      <w:tr w14:paraId="3463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783" w:hRule="atLeast"/>
          <w:jc w:val="center"/>
        </w:trPr>
        <w:tc>
          <w:tcPr>
            <w:tcW w:w="643" w:type="dxa"/>
            <w:noWrap w:val="0"/>
            <w:vAlign w:val="center"/>
          </w:tcPr>
          <w:p w14:paraId="71524736">
            <w:pPr>
              <w:pStyle w:val="10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p>
        </w:tc>
        <w:tc>
          <w:tcPr>
            <w:tcW w:w="975" w:type="dxa"/>
            <w:noWrap w:val="0"/>
            <w:vAlign w:val="center"/>
          </w:tcPr>
          <w:p w14:paraId="3EE2CEC5">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泵站运行管理</w:t>
            </w:r>
          </w:p>
          <w:p w14:paraId="063D1808">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1116" w:type="dxa"/>
            <w:gridSpan w:val="2"/>
            <w:noWrap w:val="0"/>
            <w:vAlign w:val="center"/>
          </w:tcPr>
          <w:p w14:paraId="1D662730">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3898" w:type="dxa"/>
            <w:noWrap w:val="0"/>
            <w:vAlign w:val="center"/>
          </w:tcPr>
          <w:p w14:paraId="5A32282F">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泵站定期清淤，不出现堵塞导致污水无法抽送现象。泵站巡查、维护日志记录及时、准确登记造册。捞出的垃圾、油污要及时入袋。</w:t>
            </w:r>
          </w:p>
        </w:tc>
        <w:tc>
          <w:tcPr>
            <w:tcW w:w="3300" w:type="dxa"/>
            <w:noWrap w:val="0"/>
            <w:vAlign w:val="center"/>
          </w:tcPr>
          <w:p w14:paraId="47E481CA">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每周定期对泵站清理不少于2次，发现泵站未清理油污、污泥、垃圾，每次扣2分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，台账不完善，每次扣1分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，发现周边有垃圾、油污堆积，每次扣0.5分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，并要求整改，超过规定周期未完成整改，扣罚分数加</w:t>
            </w:r>
            <w:r>
              <w:rPr>
                <w:rFonts w:hint="eastAsia" w:ascii="宋体" w:hAnsi="宋体" w:eastAsia="宋体" w:cs="宋体"/>
                <w:color w:val="auto"/>
                <w:sz w:val="21"/>
                <w:szCs w:val="21"/>
                <w:lang w:val="en-US" w:eastAsia="zh-CN"/>
              </w:rPr>
              <w:t>倍</w:t>
            </w:r>
            <w:r>
              <w:rPr>
                <w:rFonts w:hint="eastAsia" w:ascii="宋体" w:hAnsi="宋体" w:eastAsia="宋体" w:cs="宋体"/>
                <w:color w:val="auto"/>
                <w:sz w:val="21"/>
                <w:szCs w:val="21"/>
              </w:rPr>
              <w:t>。</w:t>
            </w:r>
          </w:p>
        </w:tc>
      </w:tr>
      <w:tr w14:paraId="48FC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1837" w:hRule="atLeast"/>
          <w:jc w:val="center"/>
        </w:trPr>
        <w:tc>
          <w:tcPr>
            <w:tcW w:w="643" w:type="dxa"/>
            <w:noWrap w:val="0"/>
            <w:vAlign w:val="center"/>
          </w:tcPr>
          <w:p w14:paraId="7266158E">
            <w:pPr>
              <w:pStyle w:val="10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p>
        </w:tc>
        <w:tc>
          <w:tcPr>
            <w:tcW w:w="975" w:type="dxa"/>
            <w:noWrap w:val="0"/>
            <w:vAlign w:val="center"/>
          </w:tcPr>
          <w:p w14:paraId="6E266521">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安全生产管理（1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1116" w:type="dxa"/>
            <w:gridSpan w:val="2"/>
            <w:noWrap w:val="0"/>
            <w:vAlign w:val="center"/>
          </w:tcPr>
          <w:p w14:paraId="26A35FD9">
            <w:pPr>
              <w:pStyle w:val="101"/>
              <w:rPr>
                <w:rFonts w:hint="eastAsia" w:ascii="宋体" w:hAnsi="宋体" w:eastAsia="宋体" w:cs="宋体"/>
                <w:color w:val="auto"/>
                <w:sz w:val="21"/>
                <w:szCs w:val="21"/>
              </w:rPr>
            </w:pPr>
            <w:r>
              <w:rPr>
                <w:rFonts w:hint="eastAsia" w:ascii="宋体" w:hAnsi="宋体" w:eastAsia="宋体" w:cs="宋体"/>
                <w:color w:val="auto"/>
                <w:sz w:val="21"/>
                <w:szCs w:val="21"/>
              </w:rPr>
              <w:t>应急预案（1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3898" w:type="dxa"/>
            <w:noWrap w:val="0"/>
            <w:vAlign w:val="center"/>
          </w:tcPr>
          <w:p w14:paraId="45864262">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执行有关安全管理制度，确保安全生产。建立健全相关应急预案；制定应急训练计划，并开展培训及训练。建立完善的治安管理系统，配备必要的抢险装备、器材，且能定期组织演练。</w:t>
            </w:r>
          </w:p>
        </w:tc>
        <w:tc>
          <w:tcPr>
            <w:tcW w:w="3300" w:type="dxa"/>
            <w:noWrap w:val="0"/>
            <w:vAlign w:val="center"/>
          </w:tcPr>
          <w:p w14:paraId="5C37C9E3">
            <w:pPr>
              <w:pStyle w:val="101"/>
              <w:jc w:val="both"/>
              <w:rPr>
                <w:rFonts w:hint="eastAsia" w:ascii="宋体" w:hAnsi="宋体" w:eastAsia="宋体" w:cs="宋体"/>
                <w:color w:val="auto"/>
                <w:sz w:val="21"/>
                <w:szCs w:val="21"/>
              </w:rPr>
            </w:pPr>
            <w:r>
              <w:rPr>
                <w:rFonts w:hint="eastAsia" w:ascii="宋体" w:hAnsi="宋体" w:eastAsia="宋体" w:cs="宋体"/>
                <w:color w:val="auto"/>
                <w:sz w:val="21"/>
                <w:szCs w:val="21"/>
              </w:rPr>
              <w:t>每出现一次安全事故扣5分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；未建立健全应急预案扣4分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；无具体的训练计划扣3分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；未建立完善的治安管理系统，扣1分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。每年至少2次安全演练，未开展培训、训练及演练，每次扣2分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，并要求整改，超过规定周期未完成整改，扣罚分数加</w:t>
            </w:r>
            <w:r>
              <w:rPr>
                <w:rFonts w:hint="eastAsia" w:ascii="宋体" w:hAnsi="宋体" w:eastAsia="宋体" w:cs="宋体"/>
                <w:color w:val="auto"/>
                <w:sz w:val="21"/>
                <w:szCs w:val="21"/>
                <w:lang w:val="en-US" w:eastAsia="zh-CN"/>
              </w:rPr>
              <w:t>倍</w:t>
            </w:r>
            <w:r>
              <w:rPr>
                <w:rFonts w:hint="eastAsia" w:ascii="宋体" w:hAnsi="宋体" w:eastAsia="宋体" w:cs="宋体"/>
                <w:color w:val="auto"/>
                <w:sz w:val="21"/>
                <w:szCs w:val="21"/>
              </w:rPr>
              <w:t>。</w:t>
            </w:r>
          </w:p>
        </w:tc>
      </w:tr>
    </w:tbl>
    <w:p w14:paraId="1326A599">
      <w:pPr>
        <w:spacing w:line="300" w:lineRule="auto"/>
        <w:rPr>
          <w:rFonts w:ascii="Calibri" w:hAnsi="Calibri" w:eastAsia="仿宋_GB2312" w:cs="Calibri"/>
          <w:b/>
          <w:color w:val="auto"/>
          <w:szCs w:val="32"/>
        </w:rPr>
      </w:pPr>
    </w:p>
    <w:tbl>
      <w:tblPr>
        <w:tblStyle w:val="43"/>
        <w:tblpPr w:leftFromText="180" w:rightFromText="180" w:vertAnchor="text" w:horzAnchor="page" w:tblpX="1508" w:tblpY="78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
        <w:gridCol w:w="3339"/>
        <w:gridCol w:w="2457"/>
        <w:gridCol w:w="2283"/>
      </w:tblGrid>
      <w:tr w14:paraId="39D7E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5" w:type="dxa"/>
            <w:noWrap w:val="0"/>
            <w:vAlign w:val="center"/>
          </w:tcPr>
          <w:p w14:paraId="4857348E">
            <w:pPr>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339" w:type="dxa"/>
            <w:noWrap w:val="0"/>
            <w:vAlign w:val="center"/>
          </w:tcPr>
          <w:p w14:paraId="1BDE612F">
            <w:pPr>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季度平均负荷率（B</w:t>
            </w:r>
            <w:r>
              <w:rPr>
                <w:rFonts w:hint="eastAsia" w:ascii="宋体" w:hAnsi="宋体" w:eastAsia="宋体" w:cs="宋体"/>
                <w:color w:val="auto"/>
                <w:kern w:val="0"/>
                <w:sz w:val="21"/>
                <w:szCs w:val="21"/>
              </w:rPr>
              <w:t>%</w:t>
            </w:r>
            <w:r>
              <w:rPr>
                <w:rFonts w:hint="eastAsia" w:ascii="宋体" w:hAnsi="宋体" w:eastAsia="宋体" w:cs="宋体"/>
                <w:bCs/>
                <w:color w:val="auto"/>
                <w:sz w:val="21"/>
                <w:szCs w:val="21"/>
              </w:rPr>
              <w:t>）</w:t>
            </w:r>
          </w:p>
        </w:tc>
        <w:tc>
          <w:tcPr>
            <w:tcW w:w="2457" w:type="dxa"/>
            <w:noWrap w:val="0"/>
            <w:vAlign w:val="center"/>
          </w:tcPr>
          <w:p w14:paraId="3B9D622C">
            <w:pPr>
              <w:spacing w:line="3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N2</w:t>
            </w:r>
          </w:p>
          <w:p w14:paraId="2DF4998F">
            <w:pPr>
              <w:spacing w:line="3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（污水处理水量绩效考核当季度得分值）</w:t>
            </w:r>
          </w:p>
        </w:tc>
        <w:tc>
          <w:tcPr>
            <w:tcW w:w="2283" w:type="dxa"/>
            <w:noWrap w:val="0"/>
            <w:vAlign w:val="center"/>
          </w:tcPr>
          <w:p w14:paraId="3A498C4D">
            <w:pPr>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tc>
      </w:tr>
      <w:tr w14:paraId="50B5C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5" w:type="dxa"/>
            <w:noWrap w:val="0"/>
            <w:vAlign w:val="center"/>
          </w:tcPr>
          <w:p w14:paraId="78255E63">
            <w:pPr>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339" w:type="dxa"/>
            <w:noWrap w:val="0"/>
            <w:vAlign w:val="center"/>
          </w:tcPr>
          <w:p w14:paraId="3228C8EF">
            <w:pPr>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B</w:t>
            </w:r>
            <w:r>
              <w:rPr>
                <w:rFonts w:hint="eastAsia" w:ascii="宋体" w:hAnsi="宋体" w:eastAsia="宋体" w:cs="宋体"/>
                <w:color w:val="auto"/>
                <w:kern w:val="0"/>
                <w:sz w:val="21"/>
                <w:szCs w:val="21"/>
              </w:rPr>
              <w:t>%</w:t>
            </w:r>
            <w:r>
              <w:rPr>
                <w:rFonts w:hint="eastAsia" w:ascii="宋体" w:hAnsi="宋体" w:eastAsia="宋体" w:cs="宋体"/>
                <w:bCs/>
                <w:color w:val="auto"/>
                <w:sz w:val="21"/>
                <w:szCs w:val="21"/>
              </w:rPr>
              <w:t>＜30%</w:t>
            </w:r>
          </w:p>
        </w:tc>
        <w:tc>
          <w:tcPr>
            <w:tcW w:w="2457" w:type="dxa"/>
            <w:noWrap w:val="0"/>
            <w:vAlign w:val="center"/>
          </w:tcPr>
          <w:p w14:paraId="324530E9">
            <w:pPr>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0</w:t>
            </w:r>
          </w:p>
        </w:tc>
        <w:tc>
          <w:tcPr>
            <w:tcW w:w="2283" w:type="dxa"/>
            <w:noWrap w:val="0"/>
            <w:vAlign w:val="center"/>
          </w:tcPr>
          <w:p w14:paraId="3DE6FEE1">
            <w:pPr>
              <w:spacing w:line="460" w:lineRule="exact"/>
              <w:jc w:val="center"/>
              <w:rPr>
                <w:rFonts w:hint="eastAsia" w:ascii="宋体" w:hAnsi="宋体" w:eastAsia="宋体" w:cs="宋体"/>
                <w:bCs/>
                <w:color w:val="auto"/>
                <w:sz w:val="21"/>
                <w:szCs w:val="21"/>
              </w:rPr>
            </w:pPr>
          </w:p>
        </w:tc>
      </w:tr>
      <w:tr w14:paraId="08AEF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5" w:type="dxa"/>
            <w:noWrap w:val="0"/>
            <w:vAlign w:val="center"/>
          </w:tcPr>
          <w:p w14:paraId="612F85C3">
            <w:pPr>
              <w:spacing w:line="46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3339" w:type="dxa"/>
            <w:noWrap w:val="0"/>
            <w:vAlign w:val="center"/>
          </w:tcPr>
          <w:p w14:paraId="1DA3437D">
            <w:pPr>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30%≤B</w:t>
            </w:r>
            <w:r>
              <w:rPr>
                <w:rFonts w:hint="eastAsia" w:ascii="宋体" w:hAnsi="宋体" w:eastAsia="宋体" w:cs="宋体"/>
                <w:color w:val="auto"/>
                <w:kern w:val="0"/>
                <w:sz w:val="21"/>
                <w:szCs w:val="21"/>
              </w:rPr>
              <w:t>%</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40</w:t>
            </w:r>
            <w:r>
              <w:rPr>
                <w:rFonts w:hint="eastAsia" w:ascii="宋体" w:hAnsi="宋体" w:eastAsia="宋体" w:cs="宋体"/>
                <w:bCs/>
                <w:color w:val="auto"/>
                <w:sz w:val="21"/>
                <w:szCs w:val="21"/>
              </w:rPr>
              <w:t>%</w:t>
            </w:r>
          </w:p>
        </w:tc>
        <w:tc>
          <w:tcPr>
            <w:tcW w:w="2457" w:type="dxa"/>
            <w:noWrap w:val="0"/>
            <w:vAlign w:val="center"/>
          </w:tcPr>
          <w:p w14:paraId="587DB106">
            <w:pPr>
              <w:spacing w:line="46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30</w:t>
            </w:r>
          </w:p>
        </w:tc>
        <w:tc>
          <w:tcPr>
            <w:tcW w:w="2283" w:type="dxa"/>
            <w:noWrap w:val="0"/>
            <w:vAlign w:val="center"/>
          </w:tcPr>
          <w:p w14:paraId="667F9EC1">
            <w:pPr>
              <w:spacing w:line="460" w:lineRule="exact"/>
              <w:jc w:val="center"/>
              <w:rPr>
                <w:rFonts w:hint="eastAsia" w:ascii="宋体" w:hAnsi="宋体" w:eastAsia="宋体" w:cs="宋体"/>
                <w:bCs/>
                <w:color w:val="auto"/>
                <w:sz w:val="21"/>
                <w:szCs w:val="21"/>
              </w:rPr>
            </w:pPr>
          </w:p>
        </w:tc>
      </w:tr>
      <w:tr w14:paraId="6104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5" w:type="dxa"/>
            <w:noWrap w:val="0"/>
            <w:vAlign w:val="center"/>
          </w:tcPr>
          <w:p w14:paraId="4B3712C1">
            <w:pPr>
              <w:spacing w:line="46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w:t>
            </w:r>
          </w:p>
        </w:tc>
        <w:tc>
          <w:tcPr>
            <w:tcW w:w="3339" w:type="dxa"/>
            <w:noWrap w:val="0"/>
            <w:vAlign w:val="center"/>
          </w:tcPr>
          <w:p w14:paraId="3B3DB198">
            <w:pPr>
              <w:spacing w:line="46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0%≤B</w:t>
            </w:r>
            <w:r>
              <w:rPr>
                <w:rFonts w:hint="eastAsia" w:ascii="宋体" w:hAnsi="宋体" w:eastAsia="宋体" w:cs="宋体"/>
                <w:color w:val="auto"/>
                <w:kern w:val="0"/>
                <w:sz w:val="21"/>
                <w:szCs w:val="21"/>
              </w:rPr>
              <w:t>%</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50</w:t>
            </w:r>
            <w:r>
              <w:rPr>
                <w:rFonts w:hint="eastAsia" w:ascii="宋体" w:hAnsi="宋体" w:eastAsia="宋体" w:cs="宋体"/>
                <w:bCs/>
                <w:color w:val="auto"/>
                <w:sz w:val="21"/>
                <w:szCs w:val="21"/>
              </w:rPr>
              <w:t>%</w:t>
            </w:r>
          </w:p>
        </w:tc>
        <w:tc>
          <w:tcPr>
            <w:tcW w:w="2457" w:type="dxa"/>
            <w:noWrap w:val="0"/>
            <w:vAlign w:val="center"/>
          </w:tcPr>
          <w:p w14:paraId="276F2858">
            <w:pPr>
              <w:spacing w:line="46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40</w:t>
            </w:r>
          </w:p>
        </w:tc>
        <w:tc>
          <w:tcPr>
            <w:tcW w:w="2283" w:type="dxa"/>
            <w:noWrap w:val="0"/>
            <w:vAlign w:val="center"/>
          </w:tcPr>
          <w:p w14:paraId="7002A689">
            <w:pPr>
              <w:spacing w:line="460" w:lineRule="exact"/>
              <w:jc w:val="center"/>
              <w:rPr>
                <w:rFonts w:hint="eastAsia" w:ascii="宋体" w:hAnsi="宋体" w:eastAsia="宋体" w:cs="宋体"/>
                <w:bCs/>
                <w:color w:val="auto"/>
                <w:sz w:val="21"/>
                <w:szCs w:val="21"/>
              </w:rPr>
            </w:pPr>
          </w:p>
        </w:tc>
      </w:tr>
      <w:tr w14:paraId="00A6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5" w:type="dxa"/>
            <w:noWrap w:val="0"/>
            <w:vAlign w:val="center"/>
          </w:tcPr>
          <w:p w14:paraId="2F0EF6F0">
            <w:pPr>
              <w:spacing w:line="46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w:t>
            </w:r>
          </w:p>
        </w:tc>
        <w:tc>
          <w:tcPr>
            <w:tcW w:w="3339" w:type="dxa"/>
            <w:noWrap w:val="0"/>
            <w:vAlign w:val="center"/>
          </w:tcPr>
          <w:p w14:paraId="5B6DB417">
            <w:pPr>
              <w:spacing w:line="46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0%≤B</w:t>
            </w:r>
            <w:r>
              <w:rPr>
                <w:rFonts w:hint="eastAsia" w:ascii="宋体" w:hAnsi="宋体" w:eastAsia="宋体" w:cs="宋体"/>
                <w:color w:val="auto"/>
                <w:kern w:val="0"/>
                <w:sz w:val="21"/>
                <w:szCs w:val="21"/>
              </w:rPr>
              <w:t>%</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70</w:t>
            </w:r>
            <w:r>
              <w:rPr>
                <w:rFonts w:hint="eastAsia" w:ascii="宋体" w:hAnsi="宋体" w:eastAsia="宋体" w:cs="宋体"/>
                <w:bCs/>
                <w:color w:val="auto"/>
                <w:sz w:val="21"/>
                <w:szCs w:val="21"/>
              </w:rPr>
              <w:t>%</w:t>
            </w:r>
          </w:p>
        </w:tc>
        <w:tc>
          <w:tcPr>
            <w:tcW w:w="2457" w:type="dxa"/>
            <w:noWrap w:val="0"/>
            <w:vAlign w:val="center"/>
          </w:tcPr>
          <w:p w14:paraId="06142C40">
            <w:pPr>
              <w:spacing w:line="46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50</w:t>
            </w:r>
          </w:p>
        </w:tc>
        <w:tc>
          <w:tcPr>
            <w:tcW w:w="2283" w:type="dxa"/>
            <w:noWrap w:val="0"/>
            <w:vAlign w:val="center"/>
          </w:tcPr>
          <w:p w14:paraId="38BDBC45">
            <w:pPr>
              <w:spacing w:line="460" w:lineRule="exact"/>
              <w:jc w:val="center"/>
              <w:rPr>
                <w:rFonts w:hint="eastAsia" w:ascii="宋体" w:hAnsi="宋体" w:eastAsia="宋体" w:cs="宋体"/>
                <w:bCs/>
                <w:color w:val="auto"/>
                <w:sz w:val="21"/>
                <w:szCs w:val="21"/>
              </w:rPr>
            </w:pPr>
          </w:p>
        </w:tc>
      </w:tr>
      <w:tr w14:paraId="2845D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5" w:type="dxa"/>
            <w:noWrap w:val="0"/>
            <w:vAlign w:val="center"/>
          </w:tcPr>
          <w:p w14:paraId="1ADC08EA">
            <w:pPr>
              <w:spacing w:line="46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5</w:t>
            </w:r>
          </w:p>
        </w:tc>
        <w:tc>
          <w:tcPr>
            <w:tcW w:w="3339" w:type="dxa"/>
            <w:noWrap w:val="0"/>
            <w:vAlign w:val="center"/>
          </w:tcPr>
          <w:p w14:paraId="4EE34135">
            <w:pPr>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70</w:t>
            </w:r>
            <w:r>
              <w:rPr>
                <w:rFonts w:hint="eastAsia" w:ascii="宋体" w:hAnsi="宋体" w:eastAsia="宋体" w:cs="宋体"/>
                <w:bCs/>
                <w:color w:val="auto"/>
                <w:sz w:val="21"/>
                <w:szCs w:val="21"/>
              </w:rPr>
              <w:t>%≤B</w:t>
            </w:r>
            <w:r>
              <w:rPr>
                <w:rFonts w:hint="eastAsia" w:ascii="宋体" w:hAnsi="宋体" w:eastAsia="宋体" w:cs="宋体"/>
                <w:color w:val="auto"/>
                <w:kern w:val="0"/>
                <w:sz w:val="21"/>
                <w:szCs w:val="21"/>
              </w:rPr>
              <w:t>%</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90</w:t>
            </w:r>
            <w:r>
              <w:rPr>
                <w:rFonts w:hint="eastAsia" w:ascii="宋体" w:hAnsi="宋体" w:eastAsia="宋体" w:cs="宋体"/>
                <w:bCs/>
                <w:color w:val="auto"/>
                <w:sz w:val="21"/>
                <w:szCs w:val="21"/>
              </w:rPr>
              <w:t>%</w:t>
            </w:r>
          </w:p>
        </w:tc>
        <w:tc>
          <w:tcPr>
            <w:tcW w:w="2457" w:type="dxa"/>
            <w:noWrap w:val="0"/>
            <w:vAlign w:val="center"/>
          </w:tcPr>
          <w:p w14:paraId="287A1DB0">
            <w:pPr>
              <w:spacing w:line="46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B</w:t>
            </w:r>
          </w:p>
        </w:tc>
        <w:tc>
          <w:tcPr>
            <w:tcW w:w="2283" w:type="dxa"/>
            <w:noWrap w:val="0"/>
            <w:vAlign w:val="center"/>
          </w:tcPr>
          <w:p w14:paraId="3E23975D">
            <w:pPr>
              <w:spacing w:line="460" w:lineRule="exact"/>
              <w:jc w:val="center"/>
              <w:rPr>
                <w:rFonts w:hint="eastAsia" w:ascii="宋体" w:hAnsi="宋体" w:eastAsia="宋体" w:cs="宋体"/>
                <w:bCs/>
                <w:color w:val="auto"/>
                <w:sz w:val="21"/>
                <w:szCs w:val="21"/>
              </w:rPr>
            </w:pPr>
          </w:p>
        </w:tc>
      </w:tr>
      <w:tr w14:paraId="71E8B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5" w:type="dxa"/>
            <w:noWrap w:val="0"/>
            <w:vAlign w:val="center"/>
          </w:tcPr>
          <w:p w14:paraId="2978334B">
            <w:pPr>
              <w:spacing w:line="46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w:t>
            </w:r>
          </w:p>
        </w:tc>
        <w:tc>
          <w:tcPr>
            <w:tcW w:w="3339" w:type="dxa"/>
            <w:noWrap w:val="0"/>
            <w:vAlign w:val="center"/>
          </w:tcPr>
          <w:p w14:paraId="0F13F498">
            <w:pPr>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90%≤B</w:t>
            </w:r>
            <w:r>
              <w:rPr>
                <w:rFonts w:hint="eastAsia" w:ascii="宋体" w:hAnsi="宋体" w:eastAsia="宋体" w:cs="宋体"/>
                <w:color w:val="auto"/>
                <w:kern w:val="0"/>
                <w:sz w:val="21"/>
                <w:szCs w:val="21"/>
              </w:rPr>
              <w:t>%</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120%</w:t>
            </w:r>
          </w:p>
        </w:tc>
        <w:tc>
          <w:tcPr>
            <w:tcW w:w="2457" w:type="dxa"/>
            <w:noWrap w:val="0"/>
            <w:vAlign w:val="center"/>
          </w:tcPr>
          <w:p w14:paraId="42C82A6D">
            <w:pPr>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100</w:t>
            </w:r>
          </w:p>
        </w:tc>
        <w:tc>
          <w:tcPr>
            <w:tcW w:w="2283" w:type="dxa"/>
            <w:noWrap w:val="0"/>
            <w:vAlign w:val="center"/>
          </w:tcPr>
          <w:p w14:paraId="0B442DD3">
            <w:pPr>
              <w:spacing w:line="460" w:lineRule="exact"/>
              <w:jc w:val="center"/>
              <w:rPr>
                <w:rFonts w:hint="eastAsia" w:ascii="宋体" w:hAnsi="宋体" w:eastAsia="宋体" w:cs="宋体"/>
                <w:bCs/>
                <w:color w:val="auto"/>
                <w:sz w:val="21"/>
                <w:szCs w:val="21"/>
              </w:rPr>
            </w:pPr>
          </w:p>
        </w:tc>
      </w:tr>
    </w:tbl>
    <w:p w14:paraId="3FD6B422">
      <w:pPr>
        <w:spacing w:line="300" w:lineRule="auto"/>
        <w:ind w:firstLine="1124" w:firstLineChars="400"/>
        <w:rPr>
          <w:rFonts w:hint="eastAsia" w:ascii="仿宋_GB2312" w:hAnsi="仿宋_GB2312" w:eastAsia="仿宋_GB2312" w:cs="仿宋_GB2312"/>
          <w:b/>
          <w:color w:val="auto"/>
          <w:sz w:val="28"/>
          <w:szCs w:val="48"/>
        </w:rPr>
      </w:pPr>
      <w:r>
        <w:rPr>
          <w:rFonts w:hint="eastAsia" w:ascii="仿宋_GB2312" w:hAnsi="仿宋_GB2312" w:eastAsia="仿宋_GB2312" w:cs="仿宋_GB2312"/>
          <w:b/>
          <w:color w:val="auto"/>
          <w:sz w:val="28"/>
          <w:szCs w:val="48"/>
          <w:lang w:eastAsia="zh-CN"/>
        </w:rPr>
        <w:t>（</w:t>
      </w:r>
      <w:r>
        <w:rPr>
          <w:rFonts w:hint="eastAsia" w:ascii="仿宋_GB2312" w:hAnsi="仿宋_GB2312" w:eastAsia="仿宋_GB2312" w:cs="仿宋_GB2312"/>
          <w:b/>
          <w:color w:val="auto"/>
          <w:sz w:val="28"/>
          <w:szCs w:val="48"/>
          <w:lang w:val="en-US" w:eastAsia="zh-CN"/>
        </w:rPr>
        <w:t>2</w:t>
      </w:r>
      <w:r>
        <w:rPr>
          <w:rFonts w:hint="eastAsia" w:ascii="仿宋_GB2312" w:hAnsi="仿宋_GB2312" w:eastAsia="仿宋_GB2312" w:cs="仿宋_GB2312"/>
          <w:b/>
          <w:color w:val="auto"/>
          <w:sz w:val="28"/>
          <w:szCs w:val="48"/>
          <w:lang w:eastAsia="zh-CN"/>
        </w:rPr>
        <w:t>）</w:t>
      </w:r>
      <w:r>
        <w:rPr>
          <w:rFonts w:hint="eastAsia" w:ascii="仿宋_GB2312" w:hAnsi="仿宋_GB2312" w:eastAsia="仿宋_GB2312" w:cs="仿宋_GB2312"/>
          <w:b/>
          <w:color w:val="auto"/>
          <w:sz w:val="28"/>
          <w:szCs w:val="48"/>
        </w:rPr>
        <w:t xml:space="preserve">  表6-2  污水处理水量的绩效考核指标表</w:t>
      </w:r>
    </w:p>
    <w:p w14:paraId="716A8CB5">
      <w:pPr>
        <w:spacing w:line="300" w:lineRule="auto"/>
        <w:ind w:right="-706" w:rightChars="-336" w:firstLine="640"/>
        <w:rPr>
          <w:rFonts w:hint="eastAsia" w:ascii="仿宋_GB2312" w:hAnsi="仿宋_GB2312" w:eastAsia="仿宋_GB2312" w:cs="仿宋_GB2312"/>
          <w:color w:val="auto"/>
          <w:sz w:val="32"/>
          <w:szCs w:val="52"/>
        </w:rPr>
      </w:pPr>
    </w:p>
    <w:p w14:paraId="35182CA2">
      <w:pPr>
        <w:spacing w:line="300" w:lineRule="auto"/>
        <w:ind w:right="-706" w:rightChars="-336"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注: 在进厂水量符合设计水量的前提下，进厂污水需全部处理，不得擅自减产、停产，不得对周边环境造成污染。若发现污水应抽未抽、应处理未处理的情况，除扣减绩效考核费用外，不免除环保等部门作出的相应处罚。</w:t>
      </w:r>
    </w:p>
    <w:p w14:paraId="5E292BCA">
      <w:pPr>
        <w:spacing w:line="300" w:lineRule="auto"/>
        <w:ind w:right="-706" w:rightChars="-336" w:firstLine="640"/>
        <w:rPr>
          <w:rFonts w:hint="eastAsia" w:ascii="仿宋_GB2312" w:hAnsi="仿宋_GB2312" w:eastAsia="仿宋_GB2312" w:cs="仿宋_GB2312"/>
          <w:color w:val="auto"/>
          <w:sz w:val="32"/>
          <w:szCs w:val="52"/>
        </w:rPr>
      </w:pPr>
    </w:p>
    <w:p w14:paraId="3FF55C66">
      <w:pPr>
        <w:spacing w:before="56" w:line="218" w:lineRule="auto"/>
        <w:ind w:left="104"/>
        <w:jc w:val="center"/>
        <w:rPr>
          <w:rFonts w:hint="eastAsia" w:ascii="仿宋_GB2312" w:hAnsi="仿宋_GB2312" w:eastAsia="仿宋_GB2312" w:cs="仿宋_GB2312"/>
          <w:b/>
          <w:color w:val="auto"/>
          <w:sz w:val="28"/>
          <w:szCs w:val="48"/>
        </w:rPr>
      </w:pPr>
      <w:r>
        <w:rPr>
          <w:rFonts w:hint="eastAsia" w:ascii="仿宋_GB2312" w:hAnsi="仿宋_GB2312" w:eastAsia="仿宋_GB2312" w:cs="仿宋_GB2312"/>
          <w:b/>
          <w:color w:val="auto"/>
          <w:sz w:val="28"/>
          <w:szCs w:val="48"/>
          <w:lang w:eastAsia="zh-CN"/>
        </w:rPr>
        <w:t>（</w:t>
      </w:r>
      <w:r>
        <w:rPr>
          <w:rFonts w:hint="eastAsia" w:ascii="仿宋_GB2312" w:hAnsi="仿宋_GB2312" w:eastAsia="仿宋_GB2312" w:cs="仿宋_GB2312"/>
          <w:b/>
          <w:color w:val="auto"/>
          <w:sz w:val="28"/>
          <w:szCs w:val="48"/>
          <w:lang w:val="en-US" w:eastAsia="zh-CN"/>
        </w:rPr>
        <w:t>3</w:t>
      </w:r>
      <w:r>
        <w:rPr>
          <w:rFonts w:hint="eastAsia" w:ascii="仿宋_GB2312" w:hAnsi="仿宋_GB2312" w:eastAsia="仿宋_GB2312" w:cs="仿宋_GB2312"/>
          <w:b/>
          <w:color w:val="auto"/>
          <w:sz w:val="28"/>
          <w:szCs w:val="48"/>
          <w:lang w:eastAsia="zh-CN"/>
        </w:rPr>
        <w:t>）</w:t>
      </w:r>
      <w:r>
        <w:rPr>
          <w:rFonts w:hint="eastAsia" w:ascii="仿宋_GB2312" w:hAnsi="仿宋_GB2312" w:eastAsia="仿宋_GB2312" w:cs="仿宋_GB2312"/>
          <w:b/>
          <w:color w:val="auto"/>
          <w:sz w:val="28"/>
          <w:szCs w:val="48"/>
        </w:rPr>
        <w:t xml:space="preserve">  表6-</w:t>
      </w:r>
      <w:r>
        <w:rPr>
          <w:rFonts w:hint="eastAsia" w:ascii="仿宋_GB2312" w:hAnsi="仿宋_GB2312" w:eastAsia="仿宋_GB2312" w:cs="仿宋_GB2312"/>
          <w:b/>
          <w:color w:val="auto"/>
          <w:sz w:val="28"/>
          <w:szCs w:val="48"/>
          <w:lang w:val="en-US" w:eastAsia="zh-CN"/>
        </w:rPr>
        <w:t>3</w:t>
      </w:r>
      <w:r>
        <w:rPr>
          <w:rFonts w:hint="eastAsia" w:ascii="仿宋_GB2312" w:hAnsi="仿宋_GB2312" w:eastAsia="仿宋_GB2312" w:cs="仿宋_GB2312"/>
          <w:b/>
          <w:color w:val="auto"/>
          <w:sz w:val="28"/>
          <w:szCs w:val="48"/>
        </w:rPr>
        <w:t xml:space="preserve">  污水厂配套管网巡查维护绩效考核指标表</w:t>
      </w:r>
    </w:p>
    <w:tbl>
      <w:tblPr>
        <w:tblStyle w:val="43"/>
        <w:tblW w:w="935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114"/>
        <w:gridCol w:w="1208"/>
        <w:gridCol w:w="615"/>
        <w:gridCol w:w="5759"/>
      </w:tblGrid>
      <w:tr w14:paraId="4CB7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blHeader/>
        </w:trPr>
        <w:tc>
          <w:tcPr>
            <w:tcW w:w="657" w:type="dxa"/>
            <w:noWrap w:val="0"/>
            <w:vAlign w:val="center"/>
          </w:tcPr>
          <w:p w14:paraId="51758B45">
            <w:pPr>
              <w:pStyle w:val="98"/>
              <w:spacing w:line="300" w:lineRule="auto"/>
              <w:jc w:val="center"/>
              <w:rPr>
                <w:rFonts w:hint="eastAsia" w:ascii="宋体" w:hAnsi="宋体" w:eastAsia="宋体" w:cs="宋体"/>
                <w:b/>
                <w:color w:val="auto"/>
                <w:sz w:val="21"/>
                <w:szCs w:val="21"/>
              </w:rPr>
            </w:pPr>
            <w:r>
              <w:rPr>
                <w:rFonts w:hint="eastAsia" w:ascii="宋体" w:hAnsi="宋体" w:eastAsia="宋体" w:cs="宋体"/>
                <w:b/>
                <w:bCs w:val="0"/>
                <w:color w:val="auto"/>
                <w:sz w:val="21"/>
                <w:szCs w:val="21"/>
              </w:rPr>
              <w:t>序号</w:t>
            </w:r>
          </w:p>
        </w:tc>
        <w:tc>
          <w:tcPr>
            <w:tcW w:w="1114" w:type="dxa"/>
            <w:noWrap w:val="0"/>
            <w:vAlign w:val="center"/>
          </w:tcPr>
          <w:p w14:paraId="1C83E317">
            <w:pPr>
              <w:pStyle w:val="98"/>
              <w:spacing w:line="300" w:lineRule="auto"/>
              <w:jc w:val="center"/>
              <w:rPr>
                <w:rFonts w:hint="eastAsia" w:ascii="宋体" w:hAnsi="宋体" w:eastAsia="宋体" w:cs="宋体"/>
                <w:b/>
                <w:color w:val="auto"/>
                <w:sz w:val="21"/>
                <w:szCs w:val="21"/>
              </w:rPr>
            </w:pPr>
            <w:r>
              <w:rPr>
                <w:rFonts w:hint="eastAsia" w:ascii="宋体" w:hAnsi="宋体" w:eastAsia="宋体" w:cs="宋体"/>
                <w:b/>
                <w:bCs w:val="0"/>
                <w:color w:val="auto"/>
                <w:sz w:val="21"/>
                <w:szCs w:val="21"/>
              </w:rPr>
              <w:t>考核项目</w:t>
            </w:r>
          </w:p>
        </w:tc>
        <w:tc>
          <w:tcPr>
            <w:tcW w:w="1208" w:type="dxa"/>
            <w:noWrap w:val="0"/>
            <w:vAlign w:val="center"/>
          </w:tcPr>
          <w:p w14:paraId="2024EC78">
            <w:pPr>
              <w:pStyle w:val="98"/>
              <w:spacing w:line="300" w:lineRule="auto"/>
              <w:jc w:val="center"/>
              <w:rPr>
                <w:rFonts w:hint="eastAsia" w:ascii="宋体" w:hAnsi="宋体" w:eastAsia="宋体" w:cs="宋体"/>
                <w:b/>
                <w:color w:val="auto"/>
                <w:sz w:val="21"/>
                <w:szCs w:val="21"/>
              </w:rPr>
            </w:pPr>
            <w:r>
              <w:rPr>
                <w:rFonts w:hint="eastAsia" w:ascii="宋体" w:hAnsi="宋体" w:eastAsia="宋体" w:cs="宋体"/>
                <w:b/>
                <w:bCs w:val="0"/>
                <w:color w:val="auto"/>
                <w:sz w:val="21"/>
                <w:szCs w:val="21"/>
              </w:rPr>
              <w:t>考核内容</w:t>
            </w:r>
          </w:p>
        </w:tc>
        <w:tc>
          <w:tcPr>
            <w:tcW w:w="615" w:type="dxa"/>
            <w:noWrap w:val="0"/>
            <w:vAlign w:val="center"/>
          </w:tcPr>
          <w:p w14:paraId="14494E30">
            <w:pPr>
              <w:pStyle w:val="98"/>
              <w:spacing w:before="118" w:beforeLines="0" w:line="300" w:lineRule="auto"/>
              <w:jc w:val="center"/>
              <w:rPr>
                <w:rFonts w:hint="eastAsia" w:ascii="宋体" w:hAnsi="宋体" w:eastAsia="宋体" w:cs="宋体"/>
                <w:b/>
                <w:color w:val="auto"/>
                <w:sz w:val="21"/>
                <w:szCs w:val="21"/>
              </w:rPr>
            </w:pPr>
            <w:r>
              <w:rPr>
                <w:rFonts w:hint="eastAsia" w:ascii="宋体" w:hAnsi="宋体" w:eastAsia="宋体" w:cs="宋体"/>
                <w:b/>
                <w:bCs w:val="0"/>
                <w:color w:val="auto"/>
                <w:sz w:val="21"/>
                <w:szCs w:val="21"/>
              </w:rPr>
              <w:t>分值</w:t>
            </w:r>
          </w:p>
        </w:tc>
        <w:tc>
          <w:tcPr>
            <w:tcW w:w="5759" w:type="dxa"/>
            <w:noWrap w:val="0"/>
            <w:vAlign w:val="center"/>
          </w:tcPr>
          <w:p w14:paraId="64D93D5B">
            <w:pPr>
              <w:pStyle w:val="98"/>
              <w:spacing w:before="118" w:beforeLines="0" w:line="300" w:lineRule="auto"/>
              <w:ind w:right="1"/>
              <w:jc w:val="center"/>
              <w:rPr>
                <w:rFonts w:hint="eastAsia" w:ascii="宋体" w:hAnsi="宋体" w:eastAsia="宋体" w:cs="宋体"/>
                <w:b/>
                <w:color w:val="auto"/>
                <w:sz w:val="21"/>
                <w:szCs w:val="21"/>
              </w:rPr>
            </w:pPr>
            <w:r>
              <w:rPr>
                <w:rFonts w:hint="eastAsia" w:ascii="宋体" w:hAnsi="宋体" w:eastAsia="宋体" w:cs="宋体"/>
                <w:b/>
                <w:bCs w:val="0"/>
                <w:color w:val="auto"/>
                <w:sz w:val="21"/>
                <w:szCs w:val="21"/>
              </w:rPr>
              <w:t>评分标准</w:t>
            </w:r>
          </w:p>
        </w:tc>
      </w:tr>
      <w:tr w14:paraId="5EE8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657" w:type="dxa"/>
            <w:vMerge w:val="restart"/>
            <w:noWrap w:val="0"/>
            <w:vAlign w:val="center"/>
          </w:tcPr>
          <w:p w14:paraId="7CDFCBB8">
            <w:pPr>
              <w:pStyle w:val="98"/>
              <w:spacing w:line="300" w:lineRule="auto"/>
              <w:ind w:left="182"/>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4" w:type="dxa"/>
            <w:vMerge w:val="restart"/>
            <w:noWrap w:val="0"/>
            <w:vAlign w:val="center"/>
          </w:tcPr>
          <w:p w14:paraId="4A8AFF50">
            <w:pPr>
              <w:pStyle w:val="98"/>
              <w:spacing w:line="300" w:lineRule="auto"/>
              <w:ind w:left="156" w:right="155"/>
              <w:jc w:val="center"/>
              <w:rPr>
                <w:rFonts w:hint="eastAsia" w:ascii="宋体" w:hAnsi="宋体" w:eastAsia="宋体" w:cs="宋体"/>
                <w:color w:val="auto"/>
                <w:sz w:val="21"/>
                <w:szCs w:val="21"/>
              </w:rPr>
            </w:pPr>
            <w:r>
              <w:rPr>
                <w:rFonts w:hint="eastAsia" w:ascii="宋体" w:hAnsi="宋体" w:eastAsia="宋体" w:cs="宋体"/>
                <w:color w:val="auto"/>
                <w:sz w:val="21"/>
                <w:szCs w:val="21"/>
              </w:rPr>
              <w:t>组织管理 (</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p>
        </w:tc>
        <w:tc>
          <w:tcPr>
            <w:tcW w:w="1208" w:type="dxa"/>
            <w:noWrap w:val="0"/>
            <w:vAlign w:val="center"/>
          </w:tcPr>
          <w:p w14:paraId="43C71B25">
            <w:pPr>
              <w:pStyle w:val="98"/>
              <w:spacing w:line="300" w:lineRule="auto"/>
              <w:ind w:right="154"/>
              <w:jc w:val="center"/>
              <w:rPr>
                <w:rFonts w:hint="eastAsia" w:ascii="宋体" w:hAnsi="宋体" w:eastAsia="宋体" w:cs="宋体"/>
                <w:color w:val="auto"/>
                <w:sz w:val="21"/>
                <w:szCs w:val="21"/>
              </w:rPr>
            </w:pPr>
            <w:r>
              <w:rPr>
                <w:rFonts w:hint="eastAsia" w:ascii="宋体" w:hAnsi="宋体" w:eastAsia="宋体" w:cs="宋体"/>
                <w:color w:val="auto"/>
                <w:sz w:val="21"/>
                <w:szCs w:val="21"/>
              </w:rPr>
              <w:t>人员配置情况</w:t>
            </w:r>
          </w:p>
        </w:tc>
        <w:tc>
          <w:tcPr>
            <w:tcW w:w="615" w:type="dxa"/>
            <w:noWrap w:val="0"/>
            <w:vAlign w:val="center"/>
          </w:tcPr>
          <w:p w14:paraId="5FAA0E4A">
            <w:pPr>
              <w:pStyle w:val="98"/>
              <w:spacing w:before="165" w:beforeLines="0" w:line="300" w:lineRule="auto"/>
              <w:ind w:left="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5759" w:type="dxa"/>
            <w:noWrap w:val="0"/>
            <w:vAlign w:val="center"/>
          </w:tcPr>
          <w:p w14:paraId="41C77139">
            <w:pPr>
              <w:pStyle w:val="98"/>
              <w:spacing w:line="300" w:lineRule="auto"/>
              <w:ind w:left="99" w:right="-8"/>
              <w:jc w:val="both"/>
              <w:rPr>
                <w:rFonts w:hint="eastAsia" w:ascii="宋体" w:hAnsi="宋体" w:eastAsia="宋体" w:cs="宋体"/>
                <w:color w:val="auto"/>
                <w:sz w:val="21"/>
                <w:szCs w:val="21"/>
              </w:rPr>
            </w:pPr>
            <w:r>
              <w:rPr>
                <w:rFonts w:hint="eastAsia" w:ascii="宋体" w:hAnsi="宋体" w:eastAsia="宋体" w:cs="宋体"/>
                <w:color w:val="auto"/>
                <w:sz w:val="21"/>
                <w:szCs w:val="21"/>
              </w:rPr>
              <w:t>管网配置人员要求4人(配备1名专人负责到镇，当发现问题时，专人要及时回应、配合，不能推脱），每厂区配备专职管理人员，未配有专职管理人员，扣2分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；管网巡检维护人员占比低于65%，扣2分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；运行管理机构未配置的，</w:t>
            </w:r>
            <w:r>
              <w:rPr>
                <w:rFonts w:hint="eastAsia" w:ascii="宋体" w:hAnsi="宋体" w:eastAsia="宋体" w:cs="宋体"/>
                <w:color w:val="auto"/>
                <w:sz w:val="21"/>
                <w:szCs w:val="21"/>
              </w:rPr>
              <w:t>扣</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w:t>
            </w:r>
          </w:p>
        </w:tc>
      </w:tr>
      <w:tr w14:paraId="7F62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trPr>
        <w:tc>
          <w:tcPr>
            <w:tcW w:w="657" w:type="dxa"/>
            <w:vMerge w:val="continue"/>
            <w:noWrap w:val="0"/>
            <w:vAlign w:val="center"/>
          </w:tcPr>
          <w:p w14:paraId="35B4E3B0">
            <w:pPr>
              <w:widowControl/>
              <w:spacing w:line="300" w:lineRule="auto"/>
              <w:jc w:val="center"/>
              <w:rPr>
                <w:rFonts w:hint="eastAsia" w:ascii="宋体" w:hAnsi="宋体" w:eastAsia="宋体" w:cs="宋体"/>
                <w:color w:val="auto"/>
                <w:sz w:val="21"/>
                <w:szCs w:val="21"/>
              </w:rPr>
            </w:pPr>
          </w:p>
        </w:tc>
        <w:tc>
          <w:tcPr>
            <w:tcW w:w="1114" w:type="dxa"/>
            <w:vMerge w:val="continue"/>
            <w:noWrap w:val="0"/>
            <w:vAlign w:val="center"/>
          </w:tcPr>
          <w:p w14:paraId="144788DB">
            <w:pPr>
              <w:widowControl/>
              <w:spacing w:line="300" w:lineRule="auto"/>
              <w:jc w:val="center"/>
              <w:rPr>
                <w:rFonts w:hint="eastAsia" w:ascii="宋体" w:hAnsi="宋体" w:eastAsia="宋体" w:cs="宋体"/>
                <w:color w:val="auto"/>
                <w:sz w:val="21"/>
                <w:szCs w:val="21"/>
              </w:rPr>
            </w:pPr>
          </w:p>
        </w:tc>
        <w:tc>
          <w:tcPr>
            <w:tcW w:w="1208" w:type="dxa"/>
            <w:noWrap w:val="0"/>
            <w:vAlign w:val="center"/>
          </w:tcPr>
          <w:p w14:paraId="348A98E1">
            <w:pPr>
              <w:pStyle w:val="98"/>
              <w:spacing w:before="150" w:beforeLines="0" w:line="300" w:lineRule="auto"/>
              <w:ind w:right="154"/>
              <w:jc w:val="center"/>
              <w:rPr>
                <w:rFonts w:hint="eastAsia" w:ascii="宋体" w:hAnsi="宋体" w:eastAsia="宋体" w:cs="宋体"/>
                <w:color w:val="auto"/>
                <w:sz w:val="21"/>
                <w:szCs w:val="21"/>
              </w:rPr>
            </w:pPr>
            <w:r>
              <w:rPr>
                <w:rFonts w:hint="eastAsia" w:ascii="宋体" w:hAnsi="宋体" w:eastAsia="宋体" w:cs="宋体"/>
                <w:color w:val="auto"/>
                <w:sz w:val="21"/>
                <w:szCs w:val="21"/>
              </w:rPr>
              <w:t>规章制度建设</w:t>
            </w:r>
          </w:p>
        </w:tc>
        <w:tc>
          <w:tcPr>
            <w:tcW w:w="615" w:type="dxa"/>
            <w:noWrap w:val="0"/>
            <w:vAlign w:val="center"/>
          </w:tcPr>
          <w:p w14:paraId="06590C55">
            <w:pPr>
              <w:pStyle w:val="98"/>
              <w:spacing w:line="300" w:lineRule="auto"/>
              <w:ind w:left="1"/>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759" w:type="dxa"/>
            <w:noWrap w:val="0"/>
            <w:vAlign w:val="center"/>
          </w:tcPr>
          <w:p w14:paraId="13198531">
            <w:pPr>
              <w:pStyle w:val="98"/>
              <w:spacing w:before="31" w:beforeLines="0" w:line="300" w:lineRule="auto"/>
              <w:ind w:left="99" w:right="110"/>
              <w:jc w:val="both"/>
              <w:rPr>
                <w:rFonts w:hint="eastAsia" w:ascii="宋体" w:hAnsi="宋体" w:eastAsia="宋体" w:cs="宋体"/>
                <w:color w:val="auto"/>
                <w:sz w:val="21"/>
                <w:szCs w:val="21"/>
              </w:rPr>
            </w:pPr>
            <w:r>
              <w:rPr>
                <w:rFonts w:hint="eastAsia" w:ascii="宋体" w:hAnsi="宋体" w:eastAsia="宋体" w:cs="宋体"/>
                <w:color w:val="auto"/>
                <w:sz w:val="21"/>
                <w:szCs w:val="21"/>
              </w:rPr>
              <w:t>管理体制和运营机制、机构设置和人员配备、规章制度、档案管理等工作准备完善；缺一项扣1分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w:t>
            </w:r>
          </w:p>
        </w:tc>
      </w:tr>
      <w:tr w14:paraId="0F20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trPr>
        <w:tc>
          <w:tcPr>
            <w:tcW w:w="657" w:type="dxa"/>
            <w:vMerge w:val="continue"/>
            <w:noWrap w:val="0"/>
            <w:vAlign w:val="center"/>
          </w:tcPr>
          <w:p w14:paraId="6A06AED4">
            <w:pPr>
              <w:widowControl/>
              <w:spacing w:line="300" w:lineRule="auto"/>
              <w:jc w:val="center"/>
              <w:rPr>
                <w:rFonts w:hint="eastAsia" w:ascii="宋体" w:hAnsi="宋体" w:eastAsia="宋体" w:cs="宋体"/>
                <w:color w:val="auto"/>
                <w:sz w:val="21"/>
                <w:szCs w:val="21"/>
              </w:rPr>
            </w:pPr>
          </w:p>
        </w:tc>
        <w:tc>
          <w:tcPr>
            <w:tcW w:w="1114" w:type="dxa"/>
            <w:vMerge w:val="continue"/>
            <w:noWrap w:val="0"/>
            <w:vAlign w:val="center"/>
          </w:tcPr>
          <w:p w14:paraId="475CC8B9">
            <w:pPr>
              <w:widowControl/>
              <w:spacing w:line="300" w:lineRule="auto"/>
              <w:jc w:val="center"/>
              <w:rPr>
                <w:rFonts w:hint="eastAsia" w:ascii="宋体" w:hAnsi="宋体" w:eastAsia="宋体" w:cs="宋体"/>
                <w:color w:val="auto"/>
                <w:sz w:val="21"/>
                <w:szCs w:val="21"/>
              </w:rPr>
            </w:pPr>
          </w:p>
        </w:tc>
        <w:tc>
          <w:tcPr>
            <w:tcW w:w="1208" w:type="dxa"/>
            <w:noWrap w:val="0"/>
            <w:vAlign w:val="center"/>
          </w:tcPr>
          <w:p w14:paraId="7A7B8200">
            <w:pPr>
              <w:pStyle w:val="98"/>
              <w:spacing w:line="3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员工技能培训</w:t>
            </w:r>
          </w:p>
        </w:tc>
        <w:tc>
          <w:tcPr>
            <w:tcW w:w="615" w:type="dxa"/>
            <w:noWrap w:val="0"/>
            <w:vAlign w:val="center"/>
          </w:tcPr>
          <w:p w14:paraId="74FCB721">
            <w:pPr>
              <w:pStyle w:val="98"/>
              <w:spacing w:before="173" w:beforeLines="0" w:line="300" w:lineRule="auto"/>
              <w:ind w:left="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5759" w:type="dxa"/>
            <w:noWrap w:val="0"/>
            <w:vAlign w:val="center"/>
          </w:tcPr>
          <w:p w14:paraId="56397046">
            <w:pPr>
              <w:pStyle w:val="98"/>
              <w:spacing w:line="300" w:lineRule="auto"/>
              <w:ind w:left="99"/>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每月无具体的员工技能培训计划，未按计划培训，扣2分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pacing w:val="-6"/>
                <w:sz w:val="21"/>
                <w:szCs w:val="21"/>
              </w:rPr>
              <w:t>；每月未开展员工技能培训，扣1分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pacing w:val="-6"/>
                <w:sz w:val="21"/>
                <w:szCs w:val="21"/>
              </w:rPr>
              <w:t>，培训材料、培训相片作为佐证材料。</w:t>
            </w:r>
          </w:p>
        </w:tc>
      </w:tr>
      <w:tr w14:paraId="0D0E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trPr>
        <w:tc>
          <w:tcPr>
            <w:tcW w:w="657" w:type="dxa"/>
            <w:vMerge w:val="restart"/>
            <w:noWrap w:val="0"/>
            <w:vAlign w:val="center"/>
          </w:tcPr>
          <w:p w14:paraId="5E158E24">
            <w:pPr>
              <w:pStyle w:val="98"/>
              <w:spacing w:line="300" w:lineRule="auto"/>
              <w:ind w:left="182"/>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4" w:type="dxa"/>
            <w:vMerge w:val="restart"/>
            <w:noWrap w:val="0"/>
            <w:vAlign w:val="center"/>
          </w:tcPr>
          <w:p w14:paraId="1684B9CA">
            <w:pPr>
              <w:pStyle w:val="98"/>
              <w:spacing w:before="173" w:beforeLines="0" w:line="300" w:lineRule="auto"/>
              <w:ind w:left="156" w:right="155"/>
              <w:jc w:val="center"/>
              <w:rPr>
                <w:rFonts w:hint="eastAsia" w:ascii="宋体" w:hAnsi="宋体" w:eastAsia="宋体" w:cs="宋体"/>
                <w:color w:val="auto"/>
                <w:sz w:val="21"/>
                <w:szCs w:val="21"/>
              </w:rPr>
            </w:pPr>
            <w:r>
              <w:rPr>
                <w:rFonts w:hint="eastAsia" w:ascii="宋体" w:hAnsi="宋体" w:eastAsia="宋体" w:cs="宋体"/>
                <w:color w:val="auto"/>
                <w:sz w:val="21"/>
                <w:szCs w:val="21"/>
              </w:rPr>
              <w:t>管网维</w:t>
            </w:r>
          </w:p>
          <w:p w14:paraId="473A71EB">
            <w:pPr>
              <w:pStyle w:val="98"/>
              <w:spacing w:before="173" w:beforeLines="0" w:line="300" w:lineRule="auto"/>
              <w:ind w:left="156" w:right="155"/>
              <w:jc w:val="center"/>
              <w:rPr>
                <w:rFonts w:hint="eastAsia" w:ascii="宋体" w:hAnsi="宋体" w:eastAsia="宋体" w:cs="宋体"/>
                <w:color w:val="auto"/>
                <w:sz w:val="21"/>
                <w:szCs w:val="21"/>
              </w:rPr>
            </w:pPr>
            <w:r>
              <w:rPr>
                <w:rFonts w:hint="eastAsia" w:ascii="宋体" w:hAnsi="宋体" w:eastAsia="宋体" w:cs="宋体"/>
                <w:color w:val="auto"/>
                <w:sz w:val="21"/>
                <w:szCs w:val="21"/>
              </w:rPr>
              <w:t>护质量</w:t>
            </w:r>
          </w:p>
          <w:p w14:paraId="5A20AFA5">
            <w:pPr>
              <w:pStyle w:val="98"/>
              <w:spacing w:before="173" w:beforeLines="0" w:line="300" w:lineRule="auto"/>
              <w:ind w:left="156" w:right="155"/>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c>
          <w:tcPr>
            <w:tcW w:w="1208" w:type="dxa"/>
            <w:noWrap w:val="0"/>
            <w:vAlign w:val="center"/>
          </w:tcPr>
          <w:p w14:paraId="2D545C50">
            <w:pPr>
              <w:pStyle w:val="98"/>
              <w:spacing w:before="116" w:beforeLines="0" w:line="3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井盖</w:t>
            </w:r>
          </w:p>
          <w:p w14:paraId="7E36E841">
            <w:pPr>
              <w:pStyle w:val="98"/>
              <w:spacing w:before="116" w:beforeLines="0" w:line="3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维护</w:t>
            </w:r>
          </w:p>
        </w:tc>
        <w:tc>
          <w:tcPr>
            <w:tcW w:w="615" w:type="dxa"/>
            <w:noWrap w:val="0"/>
            <w:vAlign w:val="center"/>
          </w:tcPr>
          <w:p w14:paraId="4092AF73">
            <w:pPr>
              <w:pStyle w:val="98"/>
              <w:spacing w:before="172" w:beforeLines="0" w:line="300" w:lineRule="auto"/>
              <w:ind w:left="1"/>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5759" w:type="dxa"/>
            <w:noWrap w:val="0"/>
            <w:vAlign w:val="center"/>
          </w:tcPr>
          <w:p w14:paraId="5261E128">
            <w:pPr>
              <w:pStyle w:val="98"/>
              <w:spacing w:line="30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现井盖缺失、损坏及移位等事故后，应当在事故发生或接到投诉2h内到达现场，组织抢修，必须及时安放护栏和警示标志，并应在8h内恢复。未提交整改报告扣2分/次，未按照要求完成整改扣5分/次，超过2天未完成整改扣10分/次。</w:t>
            </w:r>
          </w:p>
        </w:tc>
      </w:tr>
      <w:tr w14:paraId="4F27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trPr>
        <w:tc>
          <w:tcPr>
            <w:tcW w:w="657" w:type="dxa"/>
            <w:vMerge w:val="continue"/>
            <w:noWrap w:val="0"/>
            <w:vAlign w:val="center"/>
          </w:tcPr>
          <w:p w14:paraId="5E9B645E">
            <w:pPr>
              <w:widowControl/>
              <w:spacing w:line="300" w:lineRule="auto"/>
              <w:jc w:val="center"/>
              <w:rPr>
                <w:rFonts w:hint="eastAsia" w:ascii="宋体" w:hAnsi="宋体" w:eastAsia="宋体" w:cs="宋体"/>
                <w:color w:val="auto"/>
                <w:sz w:val="21"/>
                <w:szCs w:val="21"/>
              </w:rPr>
            </w:pPr>
          </w:p>
        </w:tc>
        <w:tc>
          <w:tcPr>
            <w:tcW w:w="1114" w:type="dxa"/>
            <w:vMerge w:val="continue"/>
            <w:noWrap w:val="0"/>
            <w:vAlign w:val="center"/>
          </w:tcPr>
          <w:p w14:paraId="03D8A195">
            <w:pPr>
              <w:widowControl/>
              <w:spacing w:line="300" w:lineRule="auto"/>
              <w:jc w:val="center"/>
              <w:rPr>
                <w:rFonts w:hint="eastAsia" w:ascii="宋体" w:hAnsi="宋体" w:eastAsia="宋体" w:cs="宋体"/>
                <w:color w:val="auto"/>
                <w:sz w:val="21"/>
                <w:szCs w:val="21"/>
              </w:rPr>
            </w:pPr>
          </w:p>
        </w:tc>
        <w:tc>
          <w:tcPr>
            <w:tcW w:w="1208" w:type="dxa"/>
            <w:noWrap w:val="0"/>
            <w:vAlign w:val="center"/>
          </w:tcPr>
          <w:p w14:paraId="617D32A2">
            <w:pPr>
              <w:pStyle w:val="98"/>
              <w:spacing w:before="117" w:beforeLines="0" w:line="3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检查井及污水管道</w:t>
            </w:r>
          </w:p>
        </w:tc>
        <w:tc>
          <w:tcPr>
            <w:tcW w:w="615" w:type="dxa"/>
            <w:noWrap w:val="0"/>
            <w:vAlign w:val="center"/>
          </w:tcPr>
          <w:p w14:paraId="0D42F0D2">
            <w:pPr>
              <w:pStyle w:val="98"/>
              <w:spacing w:before="173" w:beforeLines="0" w:line="300" w:lineRule="auto"/>
              <w:ind w:left="1"/>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14</w:t>
            </w:r>
          </w:p>
        </w:tc>
        <w:tc>
          <w:tcPr>
            <w:tcW w:w="5759" w:type="dxa"/>
            <w:noWrap w:val="0"/>
            <w:vAlign w:val="center"/>
          </w:tcPr>
          <w:p w14:paraId="781A53B8">
            <w:pPr>
              <w:pStyle w:val="98"/>
              <w:spacing w:line="300" w:lineRule="auto"/>
              <w:ind w:left="99"/>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每发现一个检查井、污水管道破损、堵塞、淤积造成污水直排的，按时整改及提交整改报告不扣分，未提交整改报告扣2分/次，5天内未完成整改扣5分/次。检查井内无防坠网，扣0.5分/次/个，扣完为止。</w:t>
            </w:r>
          </w:p>
        </w:tc>
      </w:tr>
      <w:tr w14:paraId="5A29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trPr>
        <w:tc>
          <w:tcPr>
            <w:tcW w:w="657" w:type="dxa"/>
            <w:vMerge w:val="continue"/>
            <w:noWrap w:val="0"/>
            <w:vAlign w:val="center"/>
          </w:tcPr>
          <w:p w14:paraId="6CFE368A">
            <w:pPr>
              <w:widowControl/>
              <w:spacing w:line="300" w:lineRule="auto"/>
              <w:jc w:val="center"/>
              <w:rPr>
                <w:rFonts w:hint="eastAsia" w:ascii="宋体" w:hAnsi="宋体" w:eastAsia="宋体" w:cs="宋体"/>
                <w:color w:val="auto"/>
                <w:sz w:val="21"/>
                <w:szCs w:val="21"/>
              </w:rPr>
            </w:pPr>
          </w:p>
        </w:tc>
        <w:tc>
          <w:tcPr>
            <w:tcW w:w="1114" w:type="dxa"/>
            <w:vMerge w:val="continue"/>
            <w:noWrap w:val="0"/>
            <w:vAlign w:val="center"/>
          </w:tcPr>
          <w:p w14:paraId="72CC6505">
            <w:pPr>
              <w:widowControl/>
              <w:spacing w:line="300" w:lineRule="auto"/>
              <w:jc w:val="center"/>
              <w:rPr>
                <w:rFonts w:hint="eastAsia" w:ascii="宋体" w:hAnsi="宋体" w:eastAsia="宋体" w:cs="宋体"/>
                <w:color w:val="auto"/>
                <w:sz w:val="21"/>
                <w:szCs w:val="21"/>
              </w:rPr>
            </w:pPr>
          </w:p>
        </w:tc>
        <w:tc>
          <w:tcPr>
            <w:tcW w:w="1208" w:type="dxa"/>
            <w:noWrap w:val="0"/>
            <w:vAlign w:val="center"/>
          </w:tcPr>
          <w:p w14:paraId="502061A6">
            <w:pPr>
              <w:pStyle w:val="98"/>
              <w:spacing w:before="118" w:beforeLines="0" w:line="3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截污井</w:t>
            </w:r>
          </w:p>
        </w:tc>
        <w:tc>
          <w:tcPr>
            <w:tcW w:w="615" w:type="dxa"/>
            <w:noWrap w:val="0"/>
            <w:vAlign w:val="center"/>
          </w:tcPr>
          <w:p w14:paraId="57C1F7A9">
            <w:pPr>
              <w:pStyle w:val="98"/>
              <w:spacing w:before="174" w:beforeLines="0" w:line="300" w:lineRule="auto"/>
              <w:ind w:left="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5759" w:type="dxa"/>
            <w:noWrap w:val="0"/>
            <w:vAlign w:val="center"/>
          </w:tcPr>
          <w:p w14:paraId="061B7D19">
            <w:pPr>
              <w:pStyle w:val="98"/>
              <w:spacing w:line="300" w:lineRule="auto"/>
              <w:ind w:left="99"/>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每周定期对管网（检查井、截污井等）进行清理不少于2次（含井、井盖周边1米内无杂草），未按要求发现1次扣2分。及时对截流设施及其上下游检查井进行清疏维护，清除截污管段内的堵塞物，确保截流设施不堵塞，晴天污水不溢流。考核周期发现截污井、检查井内有大量积淤垃圾、油污、油渣的1次扣2分，清理出的垃圾、油污等未入袋处理，每次扣0.5分，扣完为止。</w:t>
            </w:r>
          </w:p>
        </w:tc>
      </w:tr>
      <w:tr w14:paraId="58C3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trPr>
        <w:tc>
          <w:tcPr>
            <w:tcW w:w="657" w:type="dxa"/>
            <w:vMerge w:val="continue"/>
            <w:noWrap w:val="0"/>
            <w:vAlign w:val="center"/>
          </w:tcPr>
          <w:p w14:paraId="4085CAA6">
            <w:pPr>
              <w:widowControl/>
              <w:spacing w:line="300" w:lineRule="auto"/>
              <w:jc w:val="center"/>
              <w:rPr>
                <w:rFonts w:hint="eastAsia" w:ascii="宋体" w:hAnsi="宋体" w:eastAsia="宋体" w:cs="宋体"/>
                <w:color w:val="auto"/>
                <w:sz w:val="21"/>
                <w:szCs w:val="21"/>
              </w:rPr>
            </w:pPr>
          </w:p>
        </w:tc>
        <w:tc>
          <w:tcPr>
            <w:tcW w:w="1114" w:type="dxa"/>
            <w:vMerge w:val="continue"/>
            <w:noWrap w:val="0"/>
            <w:vAlign w:val="center"/>
          </w:tcPr>
          <w:p w14:paraId="5C086368">
            <w:pPr>
              <w:widowControl/>
              <w:spacing w:line="300" w:lineRule="auto"/>
              <w:jc w:val="center"/>
              <w:rPr>
                <w:rFonts w:hint="eastAsia" w:ascii="宋体" w:hAnsi="宋体" w:eastAsia="宋体" w:cs="宋体"/>
                <w:color w:val="auto"/>
                <w:sz w:val="21"/>
                <w:szCs w:val="21"/>
              </w:rPr>
            </w:pPr>
          </w:p>
        </w:tc>
        <w:tc>
          <w:tcPr>
            <w:tcW w:w="1208" w:type="dxa"/>
            <w:noWrap w:val="0"/>
            <w:vAlign w:val="center"/>
          </w:tcPr>
          <w:p w14:paraId="277E8064">
            <w:pPr>
              <w:pStyle w:val="98"/>
              <w:spacing w:before="118" w:beforeLines="0" w:line="3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制定管网设施巡查养护计划表</w:t>
            </w:r>
          </w:p>
        </w:tc>
        <w:tc>
          <w:tcPr>
            <w:tcW w:w="615" w:type="dxa"/>
            <w:noWrap w:val="0"/>
            <w:vAlign w:val="center"/>
          </w:tcPr>
          <w:p w14:paraId="564282E8">
            <w:pPr>
              <w:pStyle w:val="98"/>
              <w:spacing w:before="174" w:beforeLines="0" w:line="300" w:lineRule="auto"/>
              <w:ind w:left="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5759" w:type="dxa"/>
            <w:noWrap w:val="0"/>
            <w:vAlign w:val="center"/>
          </w:tcPr>
          <w:p w14:paraId="0B962334">
            <w:pPr>
              <w:pStyle w:val="98"/>
              <w:spacing w:line="300" w:lineRule="auto"/>
              <w:ind w:left="99"/>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编制并执行《月度管网设施巡查养护计划表》，对辖区范围内全覆盖检查井、截污口建立常态化巡查，发现问题要及时上报且处理，形成闭环管理，未编制、执行《月度管网设施巡查养护计划表》扣2分</w:t>
            </w:r>
            <w:r>
              <w:rPr>
                <w:rFonts w:hint="eastAsia" w:ascii="宋体" w:hAnsi="宋体" w:eastAsia="宋体" w:cs="宋体"/>
                <w:color w:val="auto"/>
                <w:sz w:val="21"/>
                <w:szCs w:val="21"/>
                <w:lang w:val="en-US" w:eastAsia="zh-CN"/>
              </w:rPr>
              <w:t>/次</w:t>
            </w:r>
            <w:r>
              <w:rPr>
                <w:rFonts w:hint="eastAsia" w:ascii="宋体" w:hAnsi="宋体" w:eastAsia="宋体" w:cs="宋体"/>
                <w:color w:val="auto"/>
                <w:kern w:val="0"/>
                <w:sz w:val="21"/>
                <w:szCs w:val="21"/>
                <w:lang w:val="en-US" w:eastAsia="zh-CN"/>
              </w:rPr>
              <w:t>。</w:t>
            </w:r>
          </w:p>
        </w:tc>
      </w:tr>
      <w:tr w14:paraId="2E99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5" w:hRule="atLeast"/>
        </w:trPr>
        <w:tc>
          <w:tcPr>
            <w:tcW w:w="657" w:type="dxa"/>
            <w:vMerge w:val="restart"/>
            <w:noWrap w:val="0"/>
            <w:vAlign w:val="center"/>
          </w:tcPr>
          <w:p w14:paraId="1CACC6E8">
            <w:pPr>
              <w:pStyle w:val="98"/>
              <w:spacing w:before="160" w:beforeLines="0" w:line="300" w:lineRule="auto"/>
              <w:ind w:left="182"/>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4" w:type="dxa"/>
            <w:vMerge w:val="restart"/>
            <w:noWrap w:val="0"/>
            <w:vAlign w:val="center"/>
          </w:tcPr>
          <w:p w14:paraId="3430C973">
            <w:pPr>
              <w:pStyle w:val="98"/>
              <w:spacing w:line="300" w:lineRule="auto"/>
              <w:ind w:left="101" w:right="-19"/>
              <w:jc w:val="center"/>
              <w:rPr>
                <w:rFonts w:hint="eastAsia" w:ascii="宋体" w:hAnsi="宋体" w:eastAsia="宋体" w:cs="宋体"/>
                <w:color w:val="auto"/>
                <w:sz w:val="21"/>
                <w:szCs w:val="21"/>
              </w:rPr>
            </w:pPr>
            <w:r>
              <w:rPr>
                <w:rFonts w:hint="eastAsia" w:ascii="宋体" w:hAnsi="宋体" w:eastAsia="宋体" w:cs="宋体"/>
                <w:color w:val="auto"/>
                <w:sz w:val="21"/>
                <w:szCs w:val="21"/>
              </w:rPr>
              <w:t>日常管理（1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1208" w:type="dxa"/>
            <w:noWrap w:val="0"/>
            <w:vAlign w:val="center"/>
          </w:tcPr>
          <w:p w14:paraId="51DA8D87">
            <w:pPr>
              <w:pStyle w:val="98"/>
              <w:spacing w:before="185" w:beforeLines="0" w:line="300" w:lineRule="auto"/>
              <w:ind w:right="154"/>
              <w:jc w:val="center"/>
              <w:rPr>
                <w:rFonts w:hint="eastAsia" w:ascii="宋体" w:hAnsi="宋体" w:eastAsia="宋体" w:cs="宋体"/>
                <w:color w:val="auto"/>
                <w:sz w:val="21"/>
                <w:szCs w:val="21"/>
              </w:rPr>
            </w:pPr>
            <w:r>
              <w:rPr>
                <w:rFonts w:hint="eastAsia" w:ascii="宋体" w:hAnsi="宋体" w:eastAsia="宋体" w:cs="宋体"/>
                <w:color w:val="auto"/>
                <w:sz w:val="21"/>
                <w:szCs w:val="21"/>
              </w:rPr>
              <w:t>日常维护制度</w:t>
            </w:r>
          </w:p>
        </w:tc>
        <w:tc>
          <w:tcPr>
            <w:tcW w:w="615" w:type="dxa"/>
            <w:noWrap w:val="0"/>
            <w:vAlign w:val="center"/>
          </w:tcPr>
          <w:p w14:paraId="21681D29">
            <w:pPr>
              <w:pStyle w:val="98"/>
              <w:spacing w:before="171" w:beforeLines="0" w:line="300" w:lineRule="auto"/>
              <w:ind w:left="1"/>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13</w:t>
            </w:r>
          </w:p>
        </w:tc>
        <w:tc>
          <w:tcPr>
            <w:tcW w:w="5759" w:type="dxa"/>
            <w:noWrap w:val="0"/>
            <w:vAlign w:val="center"/>
          </w:tcPr>
          <w:p w14:paraId="03ED253C">
            <w:pPr>
              <w:pStyle w:val="98"/>
              <w:spacing w:before="115" w:beforeLines="0" w:line="300" w:lineRule="auto"/>
              <w:ind w:left="99"/>
              <w:jc w:val="both"/>
              <w:rPr>
                <w:rFonts w:hint="eastAsia" w:ascii="宋体" w:hAnsi="宋体" w:eastAsia="宋体" w:cs="宋体"/>
                <w:color w:val="auto"/>
                <w:sz w:val="21"/>
                <w:szCs w:val="21"/>
              </w:rPr>
            </w:pPr>
            <w:r>
              <w:rPr>
                <w:rFonts w:hint="eastAsia" w:ascii="宋体" w:hAnsi="宋体" w:eastAsia="宋体" w:cs="宋体"/>
                <w:color w:val="auto"/>
                <w:sz w:val="21"/>
                <w:szCs w:val="21"/>
              </w:rPr>
              <w:t>阀门井、井盖、截流井等不完好，每处扣2分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；阀门井、计量井等井内和露地管阀、管件有缺损，每处扣2分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；检查井、截污口等存在滞水、溢流现象、痕迹，未及时整改恢复原状，每次扣2分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，扣完为止。</w:t>
            </w:r>
          </w:p>
        </w:tc>
      </w:tr>
      <w:tr w14:paraId="06CB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657" w:type="dxa"/>
            <w:vMerge w:val="continue"/>
            <w:noWrap w:val="0"/>
            <w:vAlign w:val="center"/>
          </w:tcPr>
          <w:p w14:paraId="7F309825">
            <w:pPr>
              <w:widowControl/>
              <w:spacing w:line="300" w:lineRule="auto"/>
              <w:jc w:val="center"/>
              <w:rPr>
                <w:rFonts w:hint="eastAsia" w:ascii="宋体" w:hAnsi="宋体" w:eastAsia="宋体" w:cs="宋体"/>
                <w:color w:val="auto"/>
                <w:sz w:val="21"/>
                <w:szCs w:val="21"/>
              </w:rPr>
            </w:pPr>
          </w:p>
        </w:tc>
        <w:tc>
          <w:tcPr>
            <w:tcW w:w="1114" w:type="dxa"/>
            <w:vMerge w:val="continue"/>
            <w:noWrap w:val="0"/>
            <w:vAlign w:val="center"/>
          </w:tcPr>
          <w:p w14:paraId="07D97094">
            <w:pPr>
              <w:widowControl/>
              <w:spacing w:line="300" w:lineRule="auto"/>
              <w:jc w:val="center"/>
              <w:rPr>
                <w:rFonts w:hint="eastAsia" w:ascii="宋体" w:hAnsi="宋体" w:eastAsia="宋体" w:cs="宋体"/>
                <w:color w:val="auto"/>
                <w:sz w:val="21"/>
                <w:szCs w:val="21"/>
              </w:rPr>
            </w:pPr>
          </w:p>
        </w:tc>
        <w:tc>
          <w:tcPr>
            <w:tcW w:w="1208" w:type="dxa"/>
            <w:noWrap w:val="0"/>
            <w:vAlign w:val="center"/>
          </w:tcPr>
          <w:p w14:paraId="02DB62A9">
            <w:pPr>
              <w:pStyle w:val="98"/>
              <w:spacing w:line="3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维护日志</w:t>
            </w:r>
          </w:p>
        </w:tc>
        <w:tc>
          <w:tcPr>
            <w:tcW w:w="615" w:type="dxa"/>
            <w:noWrap w:val="0"/>
            <w:vAlign w:val="center"/>
          </w:tcPr>
          <w:p w14:paraId="4D32B725">
            <w:pPr>
              <w:pStyle w:val="98"/>
              <w:spacing w:before="173" w:beforeLines="0" w:line="300" w:lineRule="auto"/>
              <w:ind w:left="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5759" w:type="dxa"/>
            <w:noWrap w:val="0"/>
            <w:vAlign w:val="center"/>
          </w:tcPr>
          <w:p w14:paraId="377E164F">
            <w:pPr>
              <w:pStyle w:val="98"/>
              <w:spacing w:line="300" w:lineRule="auto"/>
              <w:ind w:left="99"/>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根据实际情况记录维护日志，发现问题要及时上报、登记。维护记录不齐全，缺一项扣0.5分</w:t>
            </w:r>
            <w:r>
              <w:rPr>
                <w:rFonts w:hint="eastAsia" w:ascii="宋体" w:hAnsi="宋体" w:eastAsia="宋体" w:cs="宋体"/>
                <w:color w:val="auto"/>
                <w:sz w:val="21"/>
                <w:szCs w:val="21"/>
                <w:lang w:val="en-US" w:eastAsia="zh-CN"/>
              </w:rPr>
              <w:t>/次</w:t>
            </w:r>
            <w:r>
              <w:rPr>
                <w:rFonts w:hint="eastAsia" w:ascii="宋体" w:hAnsi="宋体" w:eastAsia="宋体" w:cs="宋体"/>
                <w:color w:val="auto"/>
                <w:spacing w:val="-6"/>
                <w:sz w:val="21"/>
                <w:szCs w:val="21"/>
              </w:rPr>
              <w:t>；记录数据不真实，不得分。</w:t>
            </w:r>
          </w:p>
        </w:tc>
      </w:tr>
      <w:tr w14:paraId="5B8D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trPr>
        <w:tc>
          <w:tcPr>
            <w:tcW w:w="657" w:type="dxa"/>
            <w:vMerge w:val="restart"/>
            <w:noWrap w:val="0"/>
            <w:vAlign w:val="center"/>
          </w:tcPr>
          <w:p w14:paraId="29DEA243">
            <w:pPr>
              <w:pStyle w:val="98"/>
              <w:spacing w:line="300" w:lineRule="auto"/>
              <w:ind w:left="182"/>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4" w:type="dxa"/>
            <w:vMerge w:val="restart"/>
            <w:noWrap w:val="0"/>
            <w:vAlign w:val="center"/>
          </w:tcPr>
          <w:p w14:paraId="7B7642AB">
            <w:pPr>
              <w:pStyle w:val="98"/>
              <w:spacing w:line="300" w:lineRule="auto"/>
              <w:ind w:left="101" w:right="-19"/>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安全管理（</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5分）</w:t>
            </w:r>
          </w:p>
        </w:tc>
        <w:tc>
          <w:tcPr>
            <w:tcW w:w="1208" w:type="dxa"/>
            <w:noWrap w:val="0"/>
            <w:vAlign w:val="center"/>
          </w:tcPr>
          <w:p w14:paraId="106FE445">
            <w:pPr>
              <w:pStyle w:val="98"/>
              <w:spacing w:line="3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安全管理制度建设</w:t>
            </w:r>
          </w:p>
        </w:tc>
        <w:tc>
          <w:tcPr>
            <w:tcW w:w="615" w:type="dxa"/>
            <w:noWrap w:val="0"/>
            <w:vAlign w:val="center"/>
          </w:tcPr>
          <w:p w14:paraId="4BC577F8">
            <w:pPr>
              <w:pStyle w:val="98"/>
              <w:spacing w:line="300" w:lineRule="auto"/>
              <w:ind w:left="1"/>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759" w:type="dxa"/>
            <w:noWrap w:val="0"/>
            <w:vAlign w:val="center"/>
          </w:tcPr>
          <w:p w14:paraId="0374FEB2">
            <w:pPr>
              <w:pStyle w:val="98"/>
              <w:spacing w:before="31" w:beforeLines="0" w:line="300" w:lineRule="auto"/>
              <w:ind w:left="99" w:right="98"/>
              <w:jc w:val="both"/>
              <w:rPr>
                <w:rFonts w:hint="eastAsia" w:ascii="宋体" w:hAnsi="宋体" w:eastAsia="宋体" w:cs="宋体"/>
                <w:color w:val="auto"/>
                <w:sz w:val="21"/>
                <w:szCs w:val="21"/>
              </w:rPr>
            </w:pPr>
            <w:r>
              <w:rPr>
                <w:rFonts w:hint="eastAsia" w:ascii="宋体" w:hAnsi="宋体" w:eastAsia="宋体" w:cs="宋体"/>
                <w:color w:val="auto"/>
                <w:sz w:val="21"/>
                <w:szCs w:val="21"/>
              </w:rPr>
              <w:t>无安全管理制度或不健全，安全管理制度未上墙，扣1分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；每季度无逐级签订安全生产责任书，责任未落实，扣1分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w:t>
            </w:r>
          </w:p>
        </w:tc>
      </w:tr>
      <w:tr w14:paraId="7889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657" w:type="dxa"/>
            <w:vMerge w:val="continue"/>
            <w:noWrap w:val="0"/>
            <w:vAlign w:val="center"/>
          </w:tcPr>
          <w:p w14:paraId="55AE661A">
            <w:pPr>
              <w:widowControl/>
              <w:spacing w:line="300" w:lineRule="auto"/>
              <w:jc w:val="center"/>
              <w:rPr>
                <w:rFonts w:hint="eastAsia" w:ascii="宋体" w:hAnsi="宋体" w:eastAsia="宋体" w:cs="宋体"/>
                <w:color w:val="auto"/>
                <w:sz w:val="21"/>
                <w:szCs w:val="21"/>
              </w:rPr>
            </w:pPr>
          </w:p>
        </w:tc>
        <w:tc>
          <w:tcPr>
            <w:tcW w:w="1114" w:type="dxa"/>
            <w:vMerge w:val="continue"/>
            <w:noWrap w:val="0"/>
            <w:vAlign w:val="center"/>
          </w:tcPr>
          <w:p w14:paraId="5EDCA903">
            <w:pPr>
              <w:widowControl/>
              <w:spacing w:line="300" w:lineRule="auto"/>
              <w:jc w:val="center"/>
              <w:rPr>
                <w:rFonts w:hint="eastAsia" w:ascii="宋体" w:hAnsi="宋体" w:eastAsia="宋体" w:cs="宋体"/>
                <w:color w:val="auto"/>
                <w:sz w:val="21"/>
                <w:szCs w:val="21"/>
              </w:rPr>
            </w:pPr>
          </w:p>
        </w:tc>
        <w:tc>
          <w:tcPr>
            <w:tcW w:w="1208" w:type="dxa"/>
            <w:noWrap w:val="0"/>
            <w:vAlign w:val="center"/>
          </w:tcPr>
          <w:p w14:paraId="62267EF5">
            <w:pPr>
              <w:pStyle w:val="98"/>
              <w:spacing w:before="147" w:beforeLines="0" w:line="300" w:lineRule="auto"/>
              <w:ind w:right="154"/>
              <w:jc w:val="center"/>
              <w:rPr>
                <w:rFonts w:hint="eastAsia" w:ascii="宋体" w:hAnsi="宋体" w:eastAsia="宋体" w:cs="宋体"/>
                <w:color w:val="auto"/>
                <w:sz w:val="21"/>
                <w:szCs w:val="21"/>
              </w:rPr>
            </w:pPr>
            <w:r>
              <w:rPr>
                <w:rFonts w:hint="eastAsia" w:ascii="宋体" w:hAnsi="宋体" w:eastAsia="宋体" w:cs="宋体"/>
                <w:color w:val="auto"/>
                <w:sz w:val="21"/>
                <w:szCs w:val="21"/>
              </w:rPr>
              <w:t>应急预案</w:t>
            </w:r>
          </w:p>
        </w:tc>
        <w:tc>
          <w:tcPr>
            <w:tcW w:w="615" w:type="dxa"/>
            <w:noWrap w:val="0"/>
            <w:vAlign w:val="center"/>
          </w:tcPr>
          <w:p w14:paraId="1ECAF103">
            <w:pPr>
              <w:pStyle w:val="98"/>
              <w:spacing w:line="300" w:lineRule="auto"/>
              <w:ind w:left="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5759" w:type="dxa"/>
            <w:noWrap w:val="0"/>
            <w:vAlign w:val="center"/>
          </w:tcPr>
          <w:p w14:paraId="4F013BD9">
            <w:pPr>
              <w:pStyle w:val="98"/>
              <w:spacing w:before="20" w:beforeLines="0" w:line="300" w:lineRule="auto"/>
              <w:ind w:left="99" w:right="98"/>
              <w:jc w:val="both"/>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未建立安全应急预案，扣2分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pacing w:val="-6"/>
                <w:sz w:val="21"/>
                <w:szCs w:val="21"/>
              </w:rPr>
              <w:t>；</w:t>
            </w:r>
          </w:p>
          <w:p w14:paraId="762E37D9">
            <w:pPr>
              <w:pStyle w:val="98"/>
              <w:spacing w:before="20" w:beforeLines="0" w:line="300" w:lineRule="auto"/>
              <w:ind w:left="99" w:right="98"/>
              <w:jc w:val="both"/>
              <w:rPr>
                <w:rFonts w:hint="eastAsia" w:ascii="宋体" w:hAnsi="宋体" w:eastAsia="宋体" w:cs="宋体"/>
                <w:color w:val="auto"/>
                <w:sz w:val="21"/>
                <w:szCs w:val="21"/>
                <w:lang w:eastAsia="zh-CN"/>
              </w:rPr>
            </w:pPr>
            <w:r>
              <w:rPr>
                <w:rFonts w:hint="eastAsia" w:ascii="宋体" w:hAnsi="宋体" w:eastAsia="宋体" w:cs="宋体"/>
                <w:color w:val="auto"/>
                <w:spacing w:val="-6"/>
                <w:sz w:val="21"/>
                <w:szCs w:val="21"/>
              </w:rPr>
              <w:t>每季度无具体的安全培训计划，扣1分</w:t>
            </w:r>
            <w:r>
              <w:rPr>
                <w:rFonts w:hint="eastAsia" w:ascii="宋体" w:hAnsi="宋体" w:eastAsia="宋体" w:cs="宋体"/>
                <w:color w:val="auto"/>
                <w:sz w:val="21"/>
                <w:szCs w:val="21"/>
                <w:lang w:val="en-US" w:eastAsia="zh-CN"/>
              </w:rPr>
              <w:t>/次</w:t>
            </w:r>
            <w:r>
              <w:rPr>
                <w:rFonts w:hint="eastAsia" w:ascii="宋体" w:hAnsi="宋体" w:cs="宋体"/>
                <w:color w:val="auto"/>
                <w:spacing w:val="-6"/>
                <w:sz w:val="21"/>
                <w:szCs w:val="21"/>
                <w:lang w:eastAsia="zh-CN"/>
              </w:rPr>
              <w:t>。</w:t>
            </w:r>
          </w:p>
        </w:tc>
      </w:tr>
      <w:tr w14:paraId="7E4E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trPr>
        <w:tc>
          <w:tcPr>
            <w:tcW w:w="657" w:type="dxa"/>
            <w:vMerge w:val="continue"/>
            <w:noWrap w:val="0"/>
            <w:vAlign w:val="center"/>
          </w:tcPr>
          <w:p w14:paraId="1766F46A">
            <w:pPr>
              <w:widowControl/>
              <w:spacing w:line="300" w:lineRule="auto"/>
              <w:jc w:val="center"/>
              <w:rPr>
                <w:rFonts w:hint="eastAsia" w:ascii="宋体" w:hAnsi="宋体" w:eastAsia="宋体" w:cs="宋体"/>
                <w:color w:val="auto"/>
                <w:sz w:val="21"/>
                <w:szCs w:val="21"/>
              </w:rPr>
            </w:pPr>
          </w:p>
        </w:tc>
        <w:tc>
          <w:tcPr>
            <w:tcW w:w="1114" w:type="dxa"/>
            <w:vMerge w:val="continue"/>
            <w:noWrap w:val="0"/>
            <w:vAlign w:val="center"/>
          </w:tcPr>
          <w:p w14:paraId="4F2DC0BD">
            <w:pPr>
              <w:widowControl/>
              <w:spacing w:line="300" w:lineRule="auto"/>
              <w:jc w:val="center"/>
              <w:rPr>
                <w:rFonts w:hint="eastAsia" w:ascii="宋体" w:hAnsi="宋体" w:eastAsia="宋体" w:cs="宋体"/>
                <w:color w:val="auto"/>
                <w:sz w:val="21"/>
                <w:szCs w:val="21"/>
              </w:rPr>
            </w:pPr>
          </w:p>
        </w:tc>
        <w:tc>
          <w:tcPr>
            <w:tcW w:w="1208" w:type="dxa"/>
            <w:noWrap w:val="0"/>
            <w:vAlign w:val="center"/>
          </w:tcPr>
          <w:p w14:paraId="0D90C1A4">
            <w:pPr>
              <w:pStyle w:val="98"/>
              <w:spacing w:line="3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安全事故</w:t>
            </w:r>
          </w:p>
        </w:tc>
        <w:tc>
          <w:tcPr>
            <w:tcW w:w="615" w:type="dxa"/>
            <w:noWrap w:val="0"/>
            <w:vAlign w:val="center"/>
          </w:tcPr>
          <w:p w14:paraId="53D5DC7F">
            <w:pPr>
              <w:pStyle w:val="98"/>
              <w:spacing w:before="172" w:beforeLines="0" w:line="300" w:lineRule="auto"/>
              <w:ind w:left="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5759" w:type="dxa"/>
            <w:noWrap w:val="0"/>
            <w:vAlign w:val="center"/>
          </w:tcPr>
          <w:p w14:paraId="73D7C7AF">
            <w:pPr>
              <w:pStyle w:val="98"/>
              <w:spacing w:before="116" w:beforeLines="0" w:line="300" w:lineRule="auto"/>
              <w:ind w:left="99"/>
              <w:jc w:val="both"/>
              <w:rPr>
                <w:rFonts w:hint="eastAsia" w:ascii="宋体" w:hAnsi="宋体" w:eastAsia="宋体" w:cs="宋体"/>
                <w:color w:val="auto"/>
                <w:sz w:val="21"/>
                <w:szCs w:val="21"/>
              </w:rPr>
            </w:pPr>
            <w:r>
              <w:rPr>
                <w:rFonts w:hint="eastAsia" w:ascii="宋体" w:hAnsi="宋体" w:eastAsia="宋体" w:cs="宋体"/>
                <w:color w:val="auto"/>
                <w:sz w:val="21"/>
                <w:szCs w:val="21"/>
              </w:rPr>
              <w:t>发生重大安全事故，扣11分/次，此项扣分不封顶。</w:t>
            </w:r>
          </w:p>
        </w:tc>
      </w:tr>
      <w:tr w14:paraId="3A73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1" w:hRule="atLeast"/>
        </w:trPr>
        <w:tc>
          <w:tcPr>
            <w:tcW w:w="657" w:type="dxa"/>
            <w:vMerge w:val="restart"/>
            <w:noWrap w:val="0"/>
            <w:vAlign w:val="center"/>
          </w:tcPr>
          <w:p w14:paraId="626EEDE5">
            <w:pPr>
              <w:pStyle w:val="98"/>
              <w:spacing w:line="300" w:lineRule="auto"/>
              <w:ind w:left="182"/>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14" w:type="dxa"/>
            <w:vMerge w:val="restart"/>
            <w:noWrap w:val="0"/>
            <w:vAlign w:val="center"/>
          </w:tcPr>
          <w:p w14:paraId="67FF212E">
            <w:pPr>
              <w:pStyle w:val="98"/>
              <w:spacing w:line="300" w:lineRule="auto"/>
              <w:ind w:left="101" w:right="90"/>
              <w:jc w:val="center"/>
              <w:rPr>
                <w:rFonts w:hint="eastAsia" w:ascii="宋体" w:hAnsi="宋体" w:eastAsia="宋体" w:cs="宋体"/>
                <w:color w:val="auto"/>
                <w:sz w:val="21"/>
                <w:szCs w:val="21"/>
              </w:rPr>
            </w:pPr>
            <w:r>
              <w:rPr>
                <w:rFonts w:hint="eastAsia" w:ascii="宋体" w:hAnsi="宋体" w:eastAsia="宋体" w:cs="宋体"/>
                <w:color w:val="auto"/>
                <w:sz w:val="21"/>
                <w:szCs w:val="21"/>
              </w:rPr>
              <w:t>档案管理（4分）</w:t>
            </w:r>
          </w:p>
        </w:tc>
        <w:tc>
          <w:tcPr>
            <w:tcW w:w="1208" w:type="dxa"/>
            <w:noWrap w:val="0"/>
            <w:vAlign w:val="center"/>
          </w:tcPr>
          <w:p w14:paraId="145BC2C4">
            <w:pPr>
              <w:pStyle w:val="98"/>
              <w:spacing w:before="119" w:beforeLines="0" w:line="300" w:lineRule="auto"/>
              <w:ind w:right="154"/>
              <w:jc w:val="center"/>
              <w:rPr>
                <w:rFonts w:hint="eastAsia" w:ascii="宋体" w:hAnsi="宋体" w:eastAsia="宋体" w:cs="宋体"/>
                <w:color w:val="auto"/>
                <w:sz w:val="21"/>
                <w:szCs w:val="21"/>
              </w:rPr>
            </w:pPr>
            <w:r>
              <w:rPr>
                <w:rFonts w:hint="eastAsia" w:ascii="宋体" w:hAnsi="宋体" w:eastAsia="宋体" w:cs="宋体"/>
                <w:color w:val="auto"/>
                <w:sz w:val="21"/>
                <w:szCs w:val="21"/>
              </w:rPr>
              <w:t>档案管理制度建设</w:t>
            </w:r>
          </w:p>
        </w:tc>
        <w:tc>
          <w:tcPr>
            <w:tcW w:w="615" w:type="dxa"/>
            <w:noWrap w:val="0"/>
            <w:vAlign w:val="center"/>
          </w:tcPr>
          <w:p w14:paraId="5A39C98E">
            <w:pPr>
              <w:pStyle w:val="98"/>
              <w:spacing w:before="206" w:beforeLines="0" w:line="300" w:lineRule="auto"/>
              <w:ind w:left="1"/>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759" w:type="dxa"/>
            <w:noWrap w:val="0"/>
            <w:vAlign w:val="center"/>
          </w:tcPr>
          <w:p w14:paraId="69FF1D80">
            <w:pPr>
              <w:pStyle w:val="98"/>
              <w:spacing w:before="1" w:beforeLines="0" w:line="300" w:lineRule="auto"/>
              <w:ind w:left="99" w:right="-20"/>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档案管理不规范、不完整扣1分；未按要求建立有生产运行、水质、设备、材料管理、安全、人事等档案，少一项，扣 0.5 分</w:t>
            </w:r>
            <w:r>
              <w:rPr>
                <w:rFonts w:hint="eastAsia" w:ascii="宋体" w:hAnsi="宋体" w:eastAsia="宋体" w:cs="宋体"/>
                <w:color w:val="auto"/>
                <w:sz w:val="21"/>
                <w:szCs w:val="21"/>
                <w:lang w:val="en-US" w:eastAsia="zh-CN"/>
              </w:rPr>
              <w:t>/次</w:t>
            </w:r>
            <w:r>
              <w:rPr>
                <w:rFonts w:hint="eastAsia" w:ascii="宋体" w:hAnsi="宋体" w:eastAsia="宋体" w:cs="宋体"/>
                <w:color w:val="auto"/>
                <w:spacing w:val="-6"/>
                <w:sz w:val="21"/>
                <w:szCs w:val="21"/>
              </w:rPr>
              <w:t>。最高2分。</w:t>
            </w:r>
          </w:p>
        </w:tc>
      </w:tr>
      <w:tr w14:paraId="2F8B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1" w:hRule="atLeast"/>
        </w:trPr>
        <w:tc>
          <w:tcPr>
            <w:tcW w:w="657" w:type="dxa"/>
            <w:vMerge w:val="continue"/>
            <w:noWrap w:val="0"/>
            <w:vAlign w:val="center"/>
          </w:tcPr>
          <w:p w14:paraId="1E474455">
            <w:pPr>
              <w:widowControl/>
              <w:spacing w:line="300" w:lineRule="auto"/>
              <w:jc w:val="center"/>
              <w:rPr>
                <w:rFonts w:hint="eastAsia" w:ascii="宋体" w:hAnsi="宋体" w:eastAsia="宋体" w:cs="宋体"/>
                <w:color w:val="auto"/>
                <w:sz w:val="21"/>
                <w:szCs w:val="21"/>
              </w:rPr>
            </w:pPr>
          </w:p>
        </w:tc>
        <w:tc>
          <w:tcPr>
            <w:tcW w:w="1114" w:type="dxa"/>
            <w:vMerge w:val="continue"/>
            <w:noWrap w:val="0"/>
            <w:vAlign w:val="center"/>
          </w:tcPr>
          <w:p w14:paraId="774C0184">
            <w:pPr>
              <w:widowControl/>
              <w:spacing w:line="300" w:lineRule="auto"/>
              <w:jc w:val="center"/>
              <w:rPr>
                <w:rFonts w:hint="eastAsia" w:ascii="宋体" w:hAnsi="宋体" w:eastAsia="宋体" w:cs="宋体"/>
                <w:color w:val="auto"/>
                <w:sz w:val="21"/>
                <w:szCs w:val="21"/>
              </w:rPr>
            </w:pPr>
          </w:p>
        </w:tc>
        <w:tc>
          <w:tcPr>
            <w:tcW w:w="1208" w:type="dxa"/>
            <w:noWrap w:val="0"/>
            <w:vAlign w:val="center"/>
          </w:tcPr>
          <w:p w14:paraId="1A5A37CA">
            <w:pPr>
              <w:pStyle w:val="98"/>
              <w:spacing w:before="119" w:beforeLines="0" w:line="300" w:lineRule="auto"/>
              <w:ind w:right="154"/>
              <w:jc w:val="center"/>
              <w:rPr>
                <w:rFonts w:hint="eastAsia" w:ascii="宋体" w:hAnsi="宋体" w:eastAsia="宋体" w:cs="宋体"/>
                <w:color w:val="auto"/>
                <w:sz w:val="21"/>
                <w:szCs w:val="21"/>
              </w:rPr>
            </w:pPr>
            <w:r>
              <w:rPr>
                <w:rFonts w:hint="eastAsia" w:ascii="宋体" w:hAnsi="宋体" w:eastAsia="宋体" w:cs="宋体"/>
                <w:color w:val="auto"/>
                <w:sz w:val="21"/>
                <w:szCs w:val="21"/>
              </w:rPr>
              <w:t>档案信息化程度</w:t>
            </w:r>
          </w:p>
        </w:tc>
        <w:tc>
          <w:tcPr>
            <w:tcW w:w="615" w:type="dxa"/>
            <w:noWrap w:val="0"/>
            <w:vAlign w:val="center"/>
          </w:tcPr>
          <w:p w14:paraId="53312E2D">
            <w:pPr>
              <w:pStyle w:val="98"/>
              <w:spacing w:before="206" w:beforeLines="0" w:line="300" w:lineRule="auto"/>
              <w:ind w:left="1"/>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759" w:type="dxa"/>
            <w:noWrap w:val="0"/>
            <w:vAlign w:val="center"/>
          </w:tcPr>
          <w:p w14:paraId="656076E9">
            <w:pPr>
              <w:pStyle w:val="98"/>
              <w:spacing w:line="300" w:lineRule="auto"/>
              <w:ind w:left="99"/>
              <w:jc w:val="both"/>
              <w:rPr>
                <w:rFonts w:hint="eastAsia" w:ascii="宋体" w:hAnsi="宋体" w:eastAsia="宋体" w:cs="宋体"/>
                <w:color w:val="auto"/>
                <w:sz w:val="21"/>
                <w:szCs w:val="21"/>
              </w:rPr>
            </w:pPr>
            <w:r>
              <w:rPr>
                <w:rFonts w:hint="eastAsia" w:ascii="宋体" w:hAnsi="宋体" w:eastAsia="宋体" w:cs="宋体"/>
                <w:color w:val="auto"/>
                <w:sz w:val="21"/>
                <w:szCs w:val="21"/>
              </w:rPr>
              <w:t>按要求及时归集管网巡检记录台账、维护与运行记录台账，得0.5分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；记录数据真实可靠，得分0.5分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。无台账、管理混乱、记录省略最高扣2分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w:t>
            </w:r>
          </w:p>
        </w:tc>
      </w:tr>
      <w:tr w14:paraId="04A3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0" w:hRule="atLeast"/>
        </w:trPr>
        <w:tc>
          <w:tcPr>
            <w:tcW w:w="657" w:type="dxa"/>
            <w:vMerge w:val="restart"/>
            <w:noWrap w:val="0"/>
            <w:vAlign w:val="center"/>
          </w:tcPr>
          <w:p w14:paraId="489A5E66">
            <w:pPr>
              <w:pStyle w:val="98"/>
              <w:spacing w:line="300" w:lineRule="auto"/>
              <w:ind w:left="182"/>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14" w:type="dxa"/>
            <w:vMerge w:val="restart"/>
            <w:noWrap w:val="0"/>
            <w:vAlign w:val="center"/>
          </w:tcPr>
          <w:p w14:paraId="551824F1">
            <w:pPr>
              <w:pStyle w:val="98"/>
              <w:spacing w:before="193" w:beforeLines="0" w:line="300" w:lineRule="auto"/>
              <w:ind w:left="101" w:right="-19"/>
              <w:jc w:val="center"/>
              <w:rPr>
                <w:rFonts w:hint="eastAsia" w:ascii="宋体" w:hAnsi="宋体" w:eastAsia="宋体" w:cs="宋体"/>
                <w:color w:val="auto"/>
                <w:sz w:val="21"/>
                <w:szCs w:val="21"/>
              </w:rPr>
            </w:pPr>
            <w:r>
              <w:rPr>
                <w:rFonts w:hint="eastAsia" w:ascii="宋体" w:hAnsi="宋体" w:eastAsia="宋体" w:cs="宋体"/>
                <w:color w:val="auto"/>
                <w:sz w:val="21"/>
                <w:szCs w:val="21"/>
              </w:rPr>
              <w:t>维护质量（1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tc>
        <w:tc>
          <w:tcPr>
            <w:tcW w:w="1208" w:type="dxa"/>
            <w:noWrap w:val="0"/>
            <w:vAlign w:val="center"/>
          </w:tcPr>
          <w:p w14:paraId="265B24F0">
            <w:pPr>
              <w:pStyle w:val="98"/>
              <w:spacing w:before="150" w:beforeLines="0" w:line="300" w:lineRule="auto"/>
              <w:ind w:right="154"/>
              <w:jc w:val="center"/>
              <w:rPr>
                <w:rFonts w:hint="eastAsia" w:ascii="宋体" w:hAnsi="宋体" w:eastAsia="宋体" w:cs="宋体"/>
                <w:color w:val="auto"/>
                <w:sz w:val="21"/>
                <w:szCs w:val="21"/>
              </w:rPr>
            </w:pPr>
            <w:r>
              <w:rPr>
                <w:rFonts w:hint="eastAsia" w:ascii="宋体" w:hAnsi="宋体" w:eastAsia="宋体" w:cs="宋体"/>
                <w:color w:val="auto"/>
                <w:sz w:val="21"/>
                <w:szCs w:val="21"/>
              </w:rPr>
              <w:t>维护效率</w:t>
            </w:r>
          </w:p>
        </w:tc>
        <w:tc>
          <w:tcPr>
            <w:tcW w:w="615" w:type="dxa"/>
            <w:noWrap w:val="0"/>
            <w:vAlign w:val="center"/>
          </w:tcPr>
          <w:p w14:paraId="72C82AF8">
            <w:pPr>
              <w:pStyle w:val="98"/>
              <w:spacing w:line="300" w:lineRule="auto"/>
              <w:ind w:left="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5759" w:type="dxa"/>
            <w:noWrap w:val="0"/>
            <w:vAlign w:val="center"/>
          </w:tcPr>
          <w:p w14:paraId="0E2CD79F">
            <w:pPr>
              <w:pStyle w:val="98"/>
              <w:spacing w:before="31" w:beforeLines="0" w:line="300" w:lineRule="auto"/>
              <w:ind w:left="99" w:right="-20"/>
              <w:jc w:val="both"/>
              <w:rPr>
                <w:rFonts w:hint="eastAsia" w:ascii="宋体" w:hAnsi="宋体" w:eastAsia="宋体" w:cs="宋体"/>
                <w:color w:val="auto"/>
                <w:sz w:val="21"/>
                <w:szCs w:val="21"/>
              </w:rPr>
            </w:pPr>
            <w:r>
              <w:rPr>
                <w:rFonts w:hint="eastAsia" w:ascii="宋体" w:hAnsi="宋体" w:eastAsia="宋体" w:cs="宋体"/>
                <w:color w:val="auto"/>
                <w:sz w:val="21"/>
                <w:szCs w:val="21"/>
              </w:rPr>
              <w:t>对各项检查中存在的问题能及时整改，得8分</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rPr>
              <w:t>；整改不到位，扣1分/次。</w:t>
            </w:r>
          </w:p>
        </w:tc>
      </w:tr>
      <w:tr w14:paraId="668A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657" w:type="dxa"/>
            <w:vMerge w:val="continue"/>
            <w:noWrap w:val="0"/>
            <w:vAlign w:val="center"/>
          </w:tcPr>
          <w:p w14:paraId="545E3B1B">
            <w:pPr>
              <w:widowControl/>
              <w:spacing w:line="300" w:lineRule="auto"/>
              <w:jc w:val="center"/>
              <w:rPr>
                <w:rFonts w:hint="eastAsia" w:ascii="宋体" w:hAnsi="宋体" w:eastAsia="宋体" w:cs="宋体"/>
                <w:color w:val="auto"/>
                <w:sz w:val="21"/>
                <w:szCs w:val="21"/>
              </w:rPr>
            </w:pPr>
          </w:p>
        </w:tc>
        <w:tc>
          <w:tcPr>
            <w:tcW w:w="1114" w:type="dxa"/>
            <w:vMerge w:val="continue"/>
            <w:noWrap w:val="0"/>
            <w:vAlign w:val="center"/>
          </w:tcPr>
          <w:p w14:paraId="3E3F785A">
            <w:pPr>
              <w:widowControl/>
              <w:spacing w:line="300" w:lineRule="auto"/>
              <w:jc w:val="center"/>
              <w:rPr>
                <w:rFonts w:hint="eastAsia" w:ascii="宋体" w:hAnsi="宋体" w:eastAsia="宋体" w:cs="宋体"/>
                <w:color w:val="auto"/>
                <w:sz w:val="21"/>
                <w:szCs w:val="21"/>
              </w:rPr>
            </w:pPr>
          </w:p>
        </w:tc>
        <w:tc>
          <w:tcPr>
            <w:tcW w:w="1208" w:type="dxa"/>
            <w:noWrap w:val="0"/>
            <w:vAlign w:val="center"/>
          </w:tcPr>
          <w:p w14:paraId="427CDC54">
            <w:pPr>
              <w:pStyle w:val="98"/>
              <w:spacing w:line="3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投诉情况</w:t>
            </w:r>
          </w:p>
        </w:tc>
        <w:tc>
          <w:tcPr>
            <w:tcW w:w="615" w:type="dxa"/>
            <w:noWrap w:val="0"/>
            <w:vAlign w:val="center"/>
          </w:tcPr>
          <w:p w14:paraId="3BA6B659">
            <w:pPr>
              <w:pStyle w:val="98"/>
              <w:spacing w:before="173" w:beforeLines="0" w:line="300" w:lineRule="auto"/>
              <w:ind w:left="1"/>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759" w:type="dxa"/>
            <w:noWrap w:val="0"/>
            <w:vAlign w:val="center"/>
          </w:tcPr>
          <w:p w14:paraId="74FBF8B3">
            <w:pPr>
              <w:pStyle w:val="98"/>
              <w:spacing w:line="300" w:lineRule="auto"/>
              <w:ind w:left="99"/>
              <w:jc w:val="both"/>
              <w:rPr>
                <w:rFonts w:hint="eastAsia" w:ascii="宋体" w:hAnsi="宋体" w:eastAsia="宋体" w:cs="宋体"/>
                <w:color w:val="auto"/>
                <w:sz w:val="21"/>
                <w:szCs w:val="21"/>
              </w:rPr>
            </w:pPr>
            <w:r>
              <w:rPr>
                <w:rFonts w:hint="eastAsia" w:ascii="宋体" w:hAnsi="宋体" w:eastAsia="宋体" w:cs="宋体"/>
                <w:color w:val="auto"/>
                <w:sz w:val="21"/>
                <w:szCs w:val="21"/>
              </w:rPr>
              <w:t>如有投诉并经查属实的，扣1分/次。</w:t>
            </w:r>
          </w:p>
        </w:tc>
      </w:tr>
    </w:tbl>
    <w:p w14:paraId="0C71113A">
      <w:pPr>
        <w:pStyle w:val="16"/>
        <w:kinsoku w:val="0"/>
        <w:overflowPunct w:val="0"/>
        <w:ind w:left="0"/>
        <w:rPr>
          <w:rFonts w:hint="eastAsia"/>
          <w:color w:val="auto"/>
          <w:spacing w:val="0"/>
          <w:w w:val="100"/>
          <w:sz w:val="20"/>
        </w:rPr>
      </w:pPr>
    </w:p>
    <w:p w14:paraId="520C4865">
      <w:pPr>
        <w:pStyle w:val="16"/>
        <w:kinsoku w:val="0"/>
        <w:overflowPunct w:val="0"/>
        <w:spacing w:before="8" w:beforeLines="0"/>
        <w:ind w:left="0"/>
        <w:rPr>
          <w:rFonts w:hint="eastAsia"/>
          <w:color w:val="auto"/>
          <w:spacing w:val="0"/>
          <w:w w:val="100"/>
          <w:sz w:val="14"/>
        </w:rPr>
      </w:pPr>
    </w:p>
    <w:p w14:paraId="7B73F8FB">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lang w:eastAsia="zh-CN"/>
        </w:rPr>
      </w:pPr>
      <w:r>
        <w:rPr>
          <w:rFonts w:hint="eastAsia" w:ascii="宋体" w:hAnsi="宋体" w:eastAsia="宋体" w:cs="宋体"/>
          <w:b/>
          <w:bCs/>
          <w:color w:val="auto"/>
          <w:spacing w:val="0"/>
          <w:w w:val="100"/>
          <w:sz w:val="24"/>
          <w:szCs w:val="24"/>
          <w:lang w:eastAsia="zh-CN"/>
        </w:rPr>
        <w:t>（二）污水厂区、泵站设施运营维护绩效考核绩效考核计分方法以及考核费用支付方式</w:t>
      </w:r>
    </w:p>
    <w:p w14:paraId="1EB6A322">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color w:val="auto"/>
          <w:spacing w:val="0"/>
          <w:w w:val="100"/>
          <w:sz w:val="24"/>
          <w:szCs w:val="24"/>
          <w:lang w:val="en-US" w:eastAsia="zh-CN"/>
        </w:rPr>
      </w:pPr>
      <w:r>
        <w:rPr>
          <w:rFonts w:hint="eastAsia" w:ascii="宋体" w:hAnsi="宋体" w:eastAsia="宋体" w:cs="宋体"/>
          <w:b/>
          <w:bCs/>
          <w:color w:val="auto"/>
          <w:spacing w:val="0"/>
          <w:w w:val="100"/>
          <w:sz w:val="24"/>
          <w:szCs w:val="24"/>
          <w:lang w:eastAsia="zh-CN"/>
        </w:rPr>
        <w:t>1.计分方法。</w:t>
      </w:r>
      <w:r>
        <w:rPr>
          <w:rFonts w:hint="eastAsia" w:ascii="宋体" w:hAnsi="宋体" w:eastAsia="宋体" w:cs="宋体"/>
          <w:color w:val="auto"/>
          <w:spacing w:val="0"/>
          <w:w w:val="100"/>
          <w:sz w:val="24"/>
          <w:szCs w:val="24"/>
          <w:lang w:eastAsia="zh-CN"/>
        </w:rPr>
        <w:t>运营期绩效考核办法采用季度考核方式进行，考核方式采用满分100分制，实行扣分制。每季度运营期绩效考核得分按照如下公式计算</w:t>
      </w:r>
      <w:r>
        <w:rPr>
          <w:rFonts w:hint="eastAsia" w:ascii="宋体" w:hAnsi="宋体" w:eastAsia="宋体" w:cs="宋体"/>
          <w:color w:val="auto"/>
          <w:spacing w:val="0"/>
          <w:w w:val="100"/>
          <w:sz w:val="24"/>
          <w:szCs w:val="24"/>
          <w:lang w:val="en-US" w:eastAsia="zh-CN"/>
        </w:rPr>
        <w:t>：</w:t>
      </w:r>
    </w:p>
    <w:p w14:paraId="69A9FC17">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lang w:eastAsia="zh-CN"/>
        </w:rPr>
      </w:pPr>
      <w:r>
        <w:rPr>
          <w:rFonts w:hint="eastAsia" w:ascii="宋体" w:hAnsi="宋体" w:eastAsia="宋体" w:cs="宋体"/>
          <w:b/>
          <w:bCs/>
          <w:color w:val="auto"/>
          <w:spacing w:val="0"/>
          <w:w w:val="100"/>
          <w:sz w:val="24"/>
          <w:szCs w:val="24"/>
          <w:lang w:eastAsia="zh-CN"/>
        </w:rPr>
        <w:t>N=Nl×</w:t>
      </w:r>
      <w:r>
        <w:rPr>
          <w:rFonts w:hint="eastAsia" w:ascii="宋体" w:hAnsi="宋体" w:eastAsia="宋体" w:cs="宋体"/>
          <w:b/>
          <w:bCs/>
          <w:color w:val="auto"/>
          <w:spacing w:val="0"/>
          <w:w w:val="100"/>
          <w:sz w:val="24"/>
          <w:szCs w:val="24"/>
          <w:lang w:val="en-US" w:eastAsia="zh-CN"/>
        </w:rPr>
        <w:t>50</w:t>
      </w:r>
      <w:r>
        <w:rPr>
          <w:rFonts w:hint="eastAsia" w:ascii="宋体" w:hAnsi="宋体" w:eastAsia="宋体" w:cs="宋体"/>
          <w:b/>
          <w:bCs/>
          <w:color w:val="auto"/>
          <w:spacing w:val="0"/>
          <w:w w:val="100"/>
          <w:sz w:val="24"/>
          <w:szCs w:val="24"/>
          <w:lang w:eastAsia="zh-CN"/>
        </w:rPr>
        <w:t>%+N2×</w:t>
      </w:r>
      <w:r>
        <w:rPr>
          <w:rFonts w:hint="eastAsia" w:ascii="宋体" w:hAnsi="宋体" w:eastAsia="宋体" w:cs="宋体"/>
          <w:b/>
          <w:bCs/>
          <w:color w:val="auto"/>
          <w:spacing w:val="0"/>
          <w:w w:val="100"/>
          <w:sz w:val="24"/>
          <w:szCs w:val="24"/>
          <w:lang w:val="en-US" w:eastAsia="zh-CN"/>
        </w:rPr>
        <w:t>20</w:t>
      </w:r>
      <w:r>
        <w:rPr>
          <w:rFonts w:hint="eastAsia" w:ascii="宋体" w:hAnsi="宋体" w:eastAsia="宋体" w:cs="宋体"/>
          <w:b/>
          <w:bCs/>
          <w:color w:val="auto"/>
          <w:spacing w:val="0"/>
          <w:w w:val="100"/>
          <w:sz w:val="24"/>
          <w:szCs w:val="24"/>
          <w:lang w:eastAsia="zh-CN"/>
        </w:rPr>
        <w:t>%</w:t>
      </w:r>
      <w:r>
        <w:rPr>
          <w:rFonts w:hint="eastAsia" w:ascii="宋体" w:hAnsi="宋体" w:eastAsia="宋体" w:cs="宋体"/>
          <w:b/>
          <w:bCs/>
          <w:color w:val="auto"/>
          <w:spacing w:val="0"/>
          <w:w w:val="100"/>
          <w:sz w:val="24"/>
          <w:szCs w:val="24"/>
          <w:lang w:val="en-US" w:eastAsia="zh-CN"/>
        </w:rPr>
        <w:t>+</w:t>
      </w:r>
      <w:r>
        <w:rPr>
          <w:rFonts w:hint="eastAsia" w:ascii="宋体" w:hAnsi="宋体" w:eastAsia="宋体" w:cs="宋体"/>
          <w:b/>
          <w:bCs/>
          <w:color w:val="auto"/>
          <w:spacing w:val="0"/>
          <w:w w:val="100"/>
          <w:sz w:val="24"/>
          <w:szCs w:val="24"/>
          <w:lang w:eastAsia="zh-CN"/>
        </w:rPr>
        <w:t>N</w:t>
      </w:r>
      <w:r>
        <w:rPr>
          <w:rFonts w:hint="eastAsia" w:ascii="宋体" w:hAnsi="宋体" w:eastAsia="宋体" w:cs="宋体"/>
          <w:b/>
          <w:bCs/>
          <w:color w:val="auto"/>
          <w:spacing w:val="0"/>
          <w:w w:val="100"/>
          <w:sz w:val="24"/>
          <w:szCs w:val="24"/>
          <w:lang w:val="en-US" w:eastAsia="zh-CN"/>
        </w:rPr>
        <w:t>3</w:t>
      </w:r>
      <w:r>
        <w:rPr>
          <w:rFonts w:hint="eastAsia" w:ascii="宋体" w:hAnsi="宋体" w:eastAsia="宋体" w:cs="宋体"/>
          <w:b/>
          <w:bCs/>
          <w:color w:val="auto"/>
          <w:spacing w:val="0"/>
          <w:w w:val="100"/>
          <w:sz w:val="24"/>
          <w:szCs w:val="24"/>
          <w:lang w:eastAsia="zh-CN"/>
        </w:rPr>
        <w:t>×</w:t>
      </w:r>
      <w:r>
        <w:rPr>
          <w:rFonts w:hint="eastAsia" w:ascii="宋体" w:hAnsi="宋体" w:eastAsia="宋体" w:cs="宋体"/>
          <w:b/>
          <w:bCs/>
          <w:color w:val="auto"/>
          <w:spacing w:val="0"/>
          <w:w w:val="100"/>
          <w:sz w:val="24"/>
          <w:szCs w:val="24"/>
          <w:lang w:val="en-US" w:eastAsia="zh-CN"/>
        </w:rPr>
        <w:t>30</w:t>
      </w:r>
      <w:r>
        <w:rPr>
          <w:rFonts w:hint="eastAsia" w:ascii="宋体" w:hAnsi="宋体" w:eastAsia="宋体" w:cs="宋体"/>
          <w:b/>
          <w:bCs/>
          <w:color w:val="auto"/>
          <w:spacing w:val="0"/>
          <w:w w:val="100"/>
          <w:sz w:val="24"/>
          <w:szCs w:val="24"/>
          <w:lang w:eastAsia="zh-CN"/>
        </w:rPr>
        <w:t>%。</w:t>
      </w:r>
    </w:p>
    <w:p w14:paraId="45B86A68">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N为运营期当季度绩效考核得分；</w:t>
      </w:r>
    </w:p>
    <w:p w14:paraId="78C0A416">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lang w:eastAsia="zh-CN"/>
        </w:rPr>
      </w:pPr>
      <w:r>
        <w:rPr>
          <w:rFonts w:hint="eastAsia" w:ascii="宋体" w:hAnsi="宋体" w:eastAsia="宋体" w:cs="宋体"/>
          <w:b/>
          <w:bCs/>
          <w:color w:val="auto"/>
          <w:spacing w:val="0"/>
          <w:w w:val="100"/>
          <w:sz w:val="24"/>
          <w:szCs w:val="24"/>
          <w:lang w:eastAsia="zh-CN"/>
        </w:rPr>
        <w:t>Nl为污水处理厂及其泵站设施运营维护绩效考核当季度得分值，分值按照上述表6-1考核评定；</w:t>
      </w:r>
    </w:p>
    <w:p w14:paraId="02A13321">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lang w:eastAsia="zh-CN"/>
        </w:rPr>
      </w:pPr>
      <w:r>
        <w:rPr>
          <w:rFonts w:hint="eastAsia" w:ascii="宋体" w:hAnsi="宋体" w:eastAsia="宋体" w:cs="宋体"/>
          <w:b/>
          <w:bCs/>
          <w:color w:val="auto"/>
          <w:spacing w:val="0"/>
          <w:w w:val="100"/>
          <w:sz w:val="24"/>
          <w:szCs w:val="24"/>
          <w:lang w:eastAsia="zh-CN"/>
        </w:rPr>
        <w:t>N2为污水处理水量绩效考核当季度得分值，分值按照上述表6-2考核评定；</w:t>
      </w:r>
    </w:p>
    <w:p w14:paraId="5B6C80A3">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lang w:eastAsia="zh-CN"/>
        </w:rPr>
      </w:pPr>
      <w:r>
        <w:rPr>
          <w:rFonts w:hint="eastAsia" w:ascii="宋体" w:hAnsi="宋体" w:eastAsia="宋体" w:cs="宋体"/>
          <w:b/>
          <w:bCs/>
          <w:color w:val="auto"/>
          <w:spacing w:val="0"/>
          <w:w w:val="100"/>
          <w:sz w:val="24"/>
          <w:szCs w:val="24"/>
          <w:lang w:val="en-US" w:eastAsia="zh-CN"/>
        </w:rPr>
        <w:t>N3</w:t>
      </w:r>
      <w:r>
        <w:rPr>
          <w:rFonts w:hint="eastAsia" w:ascii="宋体" w:hAnsi="宋体" w:eastAsia="宋体" w:cs="宋体"/>
          <w:b/>
          <w:bCs/>
          <w:color w:val="auto"/>
          <w:spacing w:val="0"/>
          <w:w w:val="100"/>
          <w:sz w:val="24"/>
          <w:szCs w:val="24"/>
          <w:lang w:eastAsia="zh-CN"/>
        </w:rPr>
        <w:t>为为污水厂配套管网巡查维护绩效考核当季度得分值，分值按照上述表表6-3考核评定。</w:t>
      </w:r>
    </w:p>
    <w:p w14:paraId="4A7A8725">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lang w:eastAsia="zh-CN"/>
        </w:rPr>
      </w:pPr>
      <w:r>
        <w:rPr>
          <w:rFonts w:hint="eastAsia" w:ascii="宋体" w:hAnsi="宋体" w:eastAsia="宋体" w:cs="宋体"/>
          <w:b/>
          <w:bCs/>
          <w:color w:val="auto"/>
          <w:spacing w:val="0"/>
          <w:w w:val="100"/>
          <w:sz w:val="24"/>
          <w:szCs w:val="24"/>
          <w:lang w:eastAsia="zh-CN"/>
        </w:rPr>
        <w:t>2.考核费用支付方式</w:t>
      </w:r>
    </w:p>
    <w:p w14:paraId="38E29EA6">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业主每月</w:t>
      </w:r>
      <w:r>
        <w:rPr>
          <w:rFonts w:hint="eastAsia" w:ascii="宋体" w:hAnsi="宋体" w:eastAsia="宋体" w:cs="宋体"/>
          <w:b/>
          <w:bCs/>
          <w:color w:val="auto"/>
          <w:spacing w:val="0"/>
          <w:w w:val="100"/>
          <w:sz w:val="24"/>
          <w:szCs w:val="24"/>
          <w:lang w:eastAsia="zh-CN"/>
        </w:rPr>
        <w:t>支付固定费用</w:t>
      </w:r>
      <w:r>
        <w:rPr>
          <w:rFonts w:hint="eastAsia" w:ascii="宋体" w:hAnsi="宋体" w:eastAsia="宋体" w:cs="宋体"/>
          <w:color w:val="auto"/>
          <w:spacing w:val="0"/>
          <w:w w:val="100"/>
          <w:sz w:val="24"/>
          <w:szCs w:val="24"/>
          <w:lang w:eastAsia="zh-CN"/>
        </w:rPr>
        <w:t>。绩效考核每季度进行一次，绩效考核费用根据考核得分情况计算费用，每季度支付一次。支付方式如下：</w:t>
      </w:r>
    </w:p>
    <w:p w14:paraId="586ED32E">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val="en-US" w:eastAsia="zh-CN"/>
        </w:rPr>
        <w:t xml:space="preserve">    </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lang w:val="en-US" w:eastAsia="zh-CN"/>
        </w:rPr>
        <w:t>1</w:t>
      </w:r>
      <w:r>
        <w:rPr>
          <w:rFonts w:hint="eastAsia" w:ascii="宋体" w:hAnsi="宋体" w:eastAsia="宋体" w:cs="宋体"/>
          <w:color w:val="auto"/>
          <w:spacing w:val="0"/>
          <w:w w:val="100"/>
          <w:sz w:val="24"/>
          <w:szCs w:val="24"/>
          <w:lang w:eastAsia="zh-CN"/>
        </w:rPr>
        <w:t>）月支付固定费用：污水处理厂及管网维护、配套污水提升泵站年支付固定费用为</w:t>
      </w:r>
      <w:r>
        <w:rPr>
          <w:rFonts w:hint="eastAsia" w:ascii="宋体" w:hAnsi="宋体" w:eastAsia="宋体" w:cs="宋体"/>
          <w:color w:val="auto"/>
          <w:spacing w:val="0"/>
          <w:w w:val="100"/>
          <w:sz w:val="24"/>
          <w:szCs w:val="24"/>
          <w:lang w:val="en-US" w:eastAsia="zh-CN"/>
        </w:rPr>
        <w:t>127.46055</w:t>
      </w:r>
      <w:r>
        <w:rPr>
          <w:rFonts w:hint="eastAsia" w:ascii="宋体" w:hAnsi="宋体" w:eastAsia="宋体" w:cs="宋体"/>
          <w:color w:val="auto"/>
          <w:spacing w:val="0"/>
          <w:w w:val="100"/>
          <w:sz w:val="24"/>
          <w:szCs w:val="24"/>
          <w:lang w:eastAsia="zh-CN"/>
        </w:rPr>
        <w:t>万元；则每月支付固定费用为：</w:t>
      </w:r>
      <w:r>
        <w:rPr>
          <w:rFonts w:hint="eastAsia" w:ascii="宋体" w:hAnsi="宋体" w:eastAsia="宋体" w:cs="宋体"/>
          <w:color w:val="auto"/>
          <w:spacing w:val="0"/>
          <w:w w:val="100"/>
          <w:sz w:val="24"/>
          <w:szCs w:val="24"/>
          <w:lang w:val="en-US" w:eastAsia="zh-CN"/>
        </w:rPr>
        <w:t>127.46055</w:t>
      </w:r>
      <w:r>
        <w:rPr>
          <w:rFonts w:hint="eastAsia" w:ascii="宋体" w:hAnsi="宋体" w:eastAsia="宋体" w:cs="宋体"/>
          <w:color w:val="auto"/>
          <w:spacing w:val="0"/>
          <w:w w:val="100"/>
          <w:sz w:val="24"/>
          <w:szCs w:val="24"/>
          <w:lang w:eastAsia="zh-CN"/>
        </w:rPr>
        <w:t>/12≈</w:t>
      </w:r>
      <w:r>
        <w:rPr>
          <w:rFonts w:hint="eastAsia" w:ascii="宋体" w:hAnsi="宋体" w:eastAsia="宋体" w:cs="宋体"/>
          <w:color w:val="auto"/>
          <w:spacing w:val="0"/>
          <w:w w:val="100"/>
          <w:sz w:val="24"/>
          <w:szCs w:val="24"/>
          <w:lang w:val="en-US" w:eastAsia="zh-CN"/>
        </w:rPr>
        <w:t>10.6217</w:t>
      </w:r>
      <w:r>
        <w:rPr>
          <w:rFonts w:hint="eastAsia" w:ascii="宋体" w:hAnsi="宋体" w:eastAsia="宋体" w:cs="宋体"/>
          <w:color w:val="auto"/>
          <w:spacing w:val="0"/>
          <w:w w:val="100"/>
          <w:sz w:val="24"/>
          <w:szCs w:val="24"/>
          <w:lang w:eastAsia="zh-CN"/>
        </w:rPr>
        <w:t>万元。</w:t>
      </w:r>
    </w:p>
    <w:p w14:paraId="788A0406">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lang w:val="en-US" w:eastAsia="zh-CN"/>
        </w:rPr>
        <w:t>2</w:t>
      </w:r>
      <w:r>
        <w:rPr>
          <w:rFonts w:hint="eastAsia" w:ascii="宋体" w:hAnsi="宋体" w:eastAsia="宋体" w:cs="宋体"/>
          <w:color w:val="auto"/>
          <w:spacing w:val="0"/>
          <w:w w:val="100"/>
          <w:sz w:val="24"/>
          <w:szCs w:val="24"/>
          <w:lang w:eastAsia="zh-CN"/>
        </w:rPr>
        <w:t>）季度考核绩效费用</w:t>
      </w:r>
    </w:p>
    <w:p w14:paraId="1FEBCE66">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当季度业主支付的绩效考核费用与当期的绩效考核评分挂钩，计算公式为当季度实际支付的绩效考核费用（F)＝厂区、配套污水管网、泵站当季度考核绩效费用（G）×绩效考核系数（β），其中：</w:t>
      </w:r>
    </w:p>
    <w:p w14:paraId="3E42E3A7">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F为当季度实际支付的绩效考核费用；</w:t>
      </w:r>
    </w:p>
    <w:p w14:paraId="52FA90A0">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当季度受考核的绩效费用G=</w:t>
      </w:r>
      <w:r>
        <w:rPr>
          <w:rFonts w:hint="eastAsia" w:ascii="宋体" w:hAnsi="宋体" w:eastAsia="宋体" w:cs="宋体"/>
          <w:color w:val="auto"/>
          <w:spacing w:val="0"/>
          <w:w w:val="100"/>
          <w:sz w:val="24"/>
          <w:szCs w:val="24"/>
          <w:lang w:val="en-US" w:eastAsia="zh-CN"/>
        </w:rPr>
        <w:t xml:space="preserve"> 127.46055</w:t>
      </w:r>
      <w:r>
        <w:rPr>
          <w:rFonts w:hint="eastAsia" w:ascii="宋体" w:hAnsi="宋体" w:eastAsia="宋体" w:cs="宋体"/>
          <w:color w:val="auto"/>
          <w:spacing w:val="0"/>
          <w:w w:val="100"/>
          <w:sz w:val="24"/>
          <w:szCs w:val="24"/>
          <w:lang w:eastAsia="zh-CN"/>
        </w:rPr>
        <w:t>万元／4季度＝</w:t>
      </w:r>
      <w:r>
        <w:rPr>
          <w:rFonts w:hint="eastAsia" w:ascii="宋体" w:hAnsi="宋体" w:eastAsia="宋体" w:cs="宋体"/>
          <w:color w:val="auto"/>
          <w:spacing w:val="0"/>
          <w:w w:val="100"/>
          <w:sz w:val="24"/>
          <w:szCs w:val="24"/>
          <w:lang w:val="en-US" w:eastAsia="zh-CN"/>
        </w:rPr>
        <w:t>31.8651</w:t>
      </w:r>
      <w:r>
        <w:rPr>
          <w:rFonts w:hint="eastAsia" w:ascii="宋体" w:hAnsi="宋体" w:eastAsia="宋体" w:cs="宋体"/>
          <w:color w:val="auto"/>
          <w:spacing w:val="0"/>
          <w:w w:val="100"/>
          <w:sz w:val="24"/>
          <w:szCs w:val="24"/>
          <w:lang w:eastAsia="zh-CN"/>
        </w:rPr>
        <w:t>万元／季度；</w:t>
      </w:r>
    </w:p>
    <w:p w14:paraId="7BEE172D">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β为绩效考核系数，根据表6-4计算得出；</w:t>
      </w:r>
    </w:p>
    <w:p w14:paraId="2DA50E3E">
      <w:pPr>
        <w:spacing w:line="300"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表6-4考核得分与绩效考核系数表</w:t>
      </w:r>
    </w:p>
    <w:tbl>
      <w:tblPr>
        <w:tblStyle w:val="43"/>
        <w:tblpPr w:leftFromText="180" w:rightFromText="180" w:vertAnchor="text" w:horzAnchor="page" w:tblpX="1731" w:tblpY="17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3"/>
        <w:gridCol w:w="2491"/>
        <w:gridCol w:w="3607"/>
      </w:tblGrid>
      <w:tr w14:paraId="198C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3" w:type="dxa"/>
            <w:tcBorders>
              <w:top w:val="single" w:color="auto" w:sz="4" w:space="0"/>
              <w:left w:val="single" w:color="auto" w:sz="4" w:space="0"/>
              <w:bottom w:val="single" w:color="auto" w:sz="4" w:space="0"/>
              <w:right w:val="single" w:color="auto" w:sz="4" w:space="0"/>
            </w:tcBorders>
            <w:noWrap w:val="0"/>
            <w:vAlign w:val="center"/>
          </w:tcPr>
          <w:p w14:paraId="37C01309">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绩效考核得分（N）</w:t>
            </w:r>
          </w:p>
        </w:tc>
        <w:tc>
          <w:tcPr>
            <w:tcW w:w="2491" w:type="dxa"/>
            <w:tcBorders>
              <w:top w:val="single" w:color="auto" w:sz="4" w:space="0"/>
              <w:left w:val="nil"/>
              <w:bottom w:val="single" w:color="auto" w:sz="4" w:space="0"/>
              <w:right w:val="single" w:color="auto" w:sz="4" w:space="0"/>
            </w:tcBorders>
            <w:noWrap w:val="0"/>
            <w:vAlign w:val="center"/>
          </w:tcPr>
          <w:p w14:paraId="2183F75E">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绩效考核系数（β）</w:t>
            </w:r>
          </w:p>
        </w:tc>
        <w:tc>
          <w:tcPr>
            <w:tcW w:w="3607" w:type="dxa"/>
            <w:tcBorders>
              <w:top w:val="single" w:color="auto" w:sz="4" w:space="0"/>
              <w:left w:val="nil"/>
              <w:bottom w:val="single" w:color="auto" w:sz="4" w:space="0"/>
              <w:right w:val="single" w:color="auto" w:sz="4" w:space="0"/>
            </w:tcBorders>
            <w:noWrap w:val="0"/>
            <w:vAlign w:val="center"/>
          </w:tcPr>
          <w:p w14:paraId="43F63801">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339E7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3" w:type="dxa"/>
            <w:tcBorders>
              <w:top w:val="single" w:color="auto" w:sz="4" w:space="0"/>
              <w:left w:val="single" w:color="auto" w:sz="4" w:space="0"/>
              <w:bottom w:val="single" w:color="auto" w:sz="4" w:space="0"/>
              <w:right w:val="single" w:color="auto" w:sz="4" w:space="0"/>
            </w:tcBorders>
            <w:noWrap w:val="0"/>
            <w:vAlign w:val="center"/>
          </w:tcPr>
          <w:p w14:paraId="4896532D">
            <w:pPr>
              <w:spacing w:line="30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≤N≤100</w:t>
            </w:r>
          </w:p>
        </w:tc>
        <w:tc>
          <w:tcPr>
            <w:tcW w:w="2491" w:type="dxa"/>
            <w:tcBorders>
              <w:top w:val="single" w:color="auto" w:sz="4" w:space="0"/>
              <w:left w:val="nil"/>
              <w:bottom w:val="single" w:color="auto" w:sz="4" w:space="0"/>
              <w:right w:val="single" w:color="auto" w:sz="4" w:space="0"/>
            </w:tcBorders>
            <w:noWrap w:val="0"/>
            <w:vAlign w:val="center"/>
          </w:tcPr>
          <w:p w14:paraId="0452174B">
            <w:pPr>
              <w:spacing w:line="30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β=1</w:t>
            </w:r>
          </w:p>
        </w:tc>
        <w:tc>
          <w:tcPr>
            <w:tcW w:w="3607" w:type="dxa"/>
            <w:tcBorders>
              <w:top w:val="single" w:color="auto" w:sz="4" w:space="0"/>
              <w:left w:val="nil"/>
              <w:bottom w:val="single" w:color="auto" w:sz="4" w:space="0"/>
              <w:right w:val="single" w:color="auto" w:sz="4" w:space="0"/>
            </w:tcBorders>
            <w:noWrap w:val="0"/>
            <w:vAlign w:val="center"/>
          </w:tcPr>
          <w:p w14:paraId="4502962B">
            <w:pPr>
              <w:spacing w:line="30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全额支付</w:t>
            </w:r>
            <w:r>
              <w:rPr>
                <w:rFonts w:hint="eastAsia" w:ascii="宋体" w:hAnsi="宋体" w:eastAsia="宋体" w:cs="宋体"/>
                <w:color w:val="auto"/>
                <w:sz w:val="24"/>
                <w:szCs w:val="24"/>
                <w:lang w:eastAsia="zh-CN"/>
              </w:rPr>
              <w:t>受</w:t>
            </w:r>
            <w:r>
              <w:rPr>
                <w:rFonts w:hint="eastAsia" w:ascii="宋体" w:hAnsi="宋体" w:eastAsia="宋体" w:cs="宋体"/>
                <w:color w:val="auto"/>
                <w:sz w:val="24"/>
                <w:szCs w:val="24"/>
              </w:rPr>
              <w:t>绩效考核费用</w:t>
            </w:r>
          </w:p>
        </w:tc>
      </w:tr>
      <w:tr w14:paraId="244D7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583" w:type="dxa"/>
            <w:tcBorders>
              <w:top w:val="single" w:color="auto" w:sz="4" w:space="0"/>
              <w:left w:val="single" w:color="auto" w:sz="4" w:space="0"/>
              <w:bottom w:val="single" w:color="auto" w:sz="4" w:space="0"/>
              <w:right w:val="single" w:color="auto" w:sz="4" w:space="0"/>
            </w:tcBorders>
            <w:noWrap w:val="0"/>
            <w:vAlign w:val="center"/>
          </w:tcPr>
          <w:p w14:paraId="07CA5131">
            <w:pPr>
              <w:spacing w:line="30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0≤N≤</w:t>
            </w:r>
            <w:r>
              <w:rPr>
                <w:rFonts w:hint="eastAsia" w:ascii="宋体" w:hAnsi="宋体" w:eastAsia="宋体" w:cs="宋体"/>
                <w:color w:val="auto"/>
                <w:sz w:val="24"/>
                <w:szCs w:val="24"/>
                <w:lang w:val="en-US" w:eastAsia="zh-CN"/>
              </w:rPr>
              <w:t>89</w:t>
            </w:r>
          </w:p>
        </w:tc>
        <w:tc>
          <w:tcPr>
            <w:tcW w:w="2491" w:type="dxa"/>
            <w:tcBorders>
              <w:top w:val="single" w:color="auto" w:sz="4" w:space="0"/>
              <w:left w:val="nil"/>
              <w:bottom w:val="single" w:color="auto" w:sz="4" w:space="0"/>
              <w:right w:val="single" w:color="auto" w:sz="4" w:space="0"/>
            </w:tcBorders>
            <w:noWrap w:val="0"/>
            <w:vAlign w:val="center"/>
          </w:tcPr>
          <w:p w14:paraId="32BCFAF5">
            <w:pPr>
              <w:spacing w:line="30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β=N/100</w:t>
            </w:r>
          </w:p>
        </w:tc>
        <w:tc>
          <w:tcPr>
            <w:tcW w:w="3607" w:type="dxa"/>
            <w:tcBorders>
              <w:top w:val="single" w:color="auto" w:sz="4" w:space="0"/>
              <w:left w:val="nil"/>
              <w:bottom w:val="single" w:color="auto" w:sz="4" w:space="0"/>
              <w:right w:val="single" w:color="auto" w:sz="4" w:space="0"/>
            </w:tcBorders>
            <w:noWrap w:val="0"/>
            <w:vAlign w:val="center"/>
          </w:tcPr>
          <w:p w14:paraId="4E076164">
            <w:pPr>
              <w:spacing w:line="30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按比例</w:t>
            </w:r>
            <w:r>
              <w:rPr>
                <w:rFonts w:hint="eastAsia" w:ascii="宋体" w:hAnsi="宋体" w:eastAsia="宋体" w:cs="宋体"/>
                <w:color w:val="auto"/>
                <w:sz w:val="24"/>
                <w:szCs w:val="24"/>
              </w:rPr>
              <w:t>支付</w:t>
            </w:r>
            <w:r>
              <w:rPr>
                <w:rFonts w:hint="eastAsia" w:ascii="宋体" w:hAnsi="宋体" w:eastAsia="宋体" w:cs="宋体"/>
                <w:color w:val="auto"/>
                <w:sz w:val="24"/>
                <w:szCs w:val="24"/>
                <w:lang w:eastAsia="zh-CN"/>
              </w:rPr>
              <w:t>受</w:t>
            </w:r>
            <w:r>
              <w:rPr>
                <w:rFonts w:hint="eastAsia" w:ascii="宋体" w:hAnsi="宋体" w:eastAsia="宋体" w:cs="宋体"/>
                <w:color w:val="auto"/>
                <w:sz w:val="24"/>
                <w:szCs w:val="24"/>
              </w:rPr>
              <w:t>绩效考核费用</w:t>
            </w:r>
          </w:p>
        </w:tc>
      </w:tr>
      <w:tr w14:paraId="7DD02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3" w:type="dxa"/>
            <w:tcBorders>
              <w:top w:val="single" w:color="auto" w:sz="4" w:space="0"/>
              <w:left w:val="single" w:color="auto" w:sz="4" w:space="0"/>
              <w:bottom w:val="single" w:color="auto" w:sz="4" w:space="0"/>
              <w:right w:val="single" w:color="auto" w:sz="4" w:space="0"/>
            </w:tcBorders>
            <w:noWrap w:val="0"/>
            <w:vAlign w:val="center"/>
          </w:tcPr>
          <w:p w14:paraId="7F794A45">
            <w:pPr>
              <w:spacing w:line="30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N&lt;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w:t>
            </w:r>
          </w:p>
        </w:tc>
        <w:tc>
          <w:tcPr>
            <w:tcW w:w="2491" w:type="dxa"/>
            <w:tcBorders>
              <w:top w:val="single" w:color="auto" w:sz="4" w:space="0"/>
              <w:left w:val="nil"/>
              <w:bottom w:val="single" w:color="auto" w:sz="4" w:space="0"/>
              <w:right w:val="single" w:color="auto" w:sz="4" w:space="0"/>
            </w:tcBorders>
            <w:noWrap w:val="0"/>
            <w:vAlign w:val="center"/>
          </w:tcPr>
          <w:p w14:paraId="596561D4">
            <w:pPr>
              <w:spacing w:line="30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β=0</w:t>
            </w:r>
          </w:p>
        </w:tc>
        <w:tc>
          <w:tcPr>
            <w:tcW w:w="3607" w:type="dxa"/>
            <w:tcBorders>
              <w:top w:val="single" w:color="auto" w:sz="4" w:space="0"/>
              <w:left w:val="nil"/>
              <w:bottom w:val="single" w:color="auto" w:sz="4" w:space="0"/>
              <w:right w:val="single" w:color="auto" w:sz="4" w:space="0"/>
            </w:tcBorders>
            <w:noWrap w:val="0"/>
            <w:vAlign w:val="center"/>
          </w:tcPr>
          <w:p w14:paraId="3D194FBE">
            <w:pPr>
              <w:spacing w:line="30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不支付</w:t>
            </w:r>
            <w:r>
              <w:rPr>
                <w:rFonts w:hint="eastAsia" w:ascii="宋体" w:hAnsi="宋体" w:eastAsia="宋体" w:cs="宋体"/>
                <w:color w:val="auto"/>
                <w:sz w:val="24"/>
                <w:szCs w:val="24"/>
                <w:lang w:eastAsia="zh-CN"/>
              </w:rPr>
              <w:t>受</w:t>
            </w:r>
            <w:r>
              <w:rPr>
                <w:rFonts w:hint="eastAsia" w:ascii="宋体" w:hAnsi="宋体" w:eastAsia="宋体" w:cs="宋体"/>
                <w:color w:val="auto"/>
                <w:sz w:val="24"/>
                <w:szCs w:val="24"/>
              </w:rPr>
              <w:t>绩效考核费用</w:t>
            </w:r>
          </w:p>
        </w:tc>
      </w:tr>
    </w:tbl>
    <w:p w14:paraId="25069C07">
      <w:pPr>
        <w:spacing w:line="30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运营期考核采用厂区及泵站绩效考核费用与项目运营绩效考核挂钩的方式，绩效考核费用支付有以下四种情形：</w:t>
      </w:r>
    </w:p>
    <w:p w14:paraId="2DF46F01">
      <w:pPr>
        <w:spacing w:line="300" w:lineRule="auto"/>
        <w:ind w:firstLine="643"/>
        <w:jc w:val="both"/>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①</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9</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≤运营期当季度绩效考核得分≤100：</w:t>
      </w:r>
    </w:p>
    <w:p w14:paraId="461FF259">
      <w:pPr>
        <w:spacing w:line="30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全额支付</w:t>
      </w:r>
      <w:r>
        <w:rPr>
          <w:rFonts w:hint="eastAsia" w:ascii="宋体" w:hAnsi="宋体" w:eastAsia="宋体" w:cs="宋体"/>
          <w:color w:val="auto"/>
          <w:sz w:val="24"/>
          <w:szCs w:val="24"/>
          <w:lang w:eastAsia="zh-CN"/>
        </w:rPr>
        <w:t>受</w:t>
      </w:r>
      <w:r>
        <w:rPr>
          <w:rFonts w:hint="eastAsia" w:ascii="宋体" w:hAnsi="宋体" w:eastAsia="宋体" w:cs="宋体"/>
          <w:color w:val="auto"/>
          <w:sz w:val="24"/>
          <w:szCs w:val="24"/>
        </w:rPr>
        <w:t>绩效考核费用；即:当季度实际支付的绩效考核费用</w:t>
      </w:r>
      <w:r>
        <w:rPr>
          <w:rFonts w:hint="eastAsia" w:ascii="宋体" w:hAnsi="宋体" w:eastAsia="宋体" w:cs="宋体"/>
          <w:color w:val="auto"/>
          <w:sz w:val="24"/>
          <w:szCs w:val="24"/>
          <w:lang w:eastAsia="zh-CN"/>
        </w:rPr>
        <w:t>（F）=厂区、配套污水管网、泵站当季度考核绩效费用（G）×1＝</w:t>
      </w:r>
      <w:r>
        <w:rPr>
          <w:rFonts w:hint="eastAsia" w:ascii="宋体" w:hAnsi="宋体" w:eastAsia="宋体" w:cs="宋体"/>
          <w:color w:val="auto"/>
          <w:sz w:val="24"/>
          <w:szCs w:val="24"/>
          <w:lang w:val="en-US" w:eastAsia="zh-CN"/>
        </w:rPr>
        <w:t>13.6565</w:t>
      </w:r>
      <w:r>
        <w:rPr>
          <w:rFonts w:hint="eastAsia" w:ascii="宋体" w:hAnsi="宋体" w:eastAsia="宋体" w:cs="宋体"/>
          <w:color w:val="auto"/>
          <w:sz w:val="24"/>
          <w:szCs w:val="24"/>
          <w:lang w:eastAsia="zh-CN"/>
        </w:rPr>
        <w:t>万元；</w:t>
      </w:r>
    </w:p>
    <w:p w14:paraId="1E87BF43">
      <w:pPr>
        <w:spacing w:line="300" w:lineRule="auto"/>
        <w:ind w:firstLine="643"/>
        <w:jc w:val="both"/>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②</w:t>
      </w:r>
      <w:r>
        <w:rPr>
          <w:rFonts w:hint="eastAsia" w:ascii="宋体" w:hAnsi="宋体" w:eastAsia="宋体" w:cs="宋体"/>
          <w:b/>
          <w:color w:val="auto"/>
          <w:sz w:val="24"/>
          <w:szCs w:val="24"/>
          <w:lang w:val="en-US" w:eastAsia="zh-CN"/>
        </w:rPr>
        <w:t xml:space="preserve"> 6</w:t>
      </w:r>
      <w:r>
        <w:rPr>
          <w:rFonts w:hint="eastAsia" w:ascii="宋体" w:hAnsi="宋体" w:eastAsia="宋体" w:cs="宋体"/>
          <w:b/>
          <w:color w:val="auto"/>
          <w:sz w:val="24"/>
          <w:szCs w:val="24"/>
        </w:rPr>
        <w:t>0≤运营期当季度绩效考核得分≤</w:t>
      </w:r>
      <w:r>
        <w:rPr>
          <w:rFonts w:hint="eastAsia" w:ascii="宋体" w:hAnsi="宋体" w:eastAsia="宋体" w:cs="宋体"/>
          <w:b/>
          <w:color w:val="auto"/>
          <w:sz w:val="24"/>
          <w:szCs w:val="24"/>
          <w:lang w:val="en-US" w:eastAsia="zh-CN"/>
        </w:rPr>
        <w:t>89</w:t>
      </w:r>
      <w:r>
        <w:rPr>
          <w:rFonts w:hint="eastAsia" w:ascii="宋体" w:hAnsi="宋体" w:eastAsia="宋体" w:cs="宋体"/>
          <w:b/>
          <w:color w:val="auto"/>
          <w:sz w:val="24"/>
          <w:szCs w:val="24"/>
        </w:rPr>
        <w:t>：</w:t>
      </w:r>
    </w:p>
    <w:p w14:paraId="4F5250B3">
      <w:pPr>
        <w:spacing w:line="30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按比例</w:t>
      </w:r>
      <w:r>
        <w:rPr>
          <w:rFonts w:hint="eastAsia" w:ascii="宋体" w:hAnsi="宋体" w:eastAsia="宋体" w:cs="宋体"/>
          <w:color w:val="auto"/>
          <w:sz w:val="24"/>
          <w:szCs w:val="24"/>
        </w:rPr>
        <w:t>支付</w:t>
      </w:r>
      <w:r>
        <w:rPr>
          <w:rFonts w:hint="eastAsia" w:ascii="宋体" w:hAnsi="宋体" w:eastAsia="宋体" w:cs="宋体"/>
          <w:color w:val="auto"/>
          <w:sz w:val="24"/>
          <w:szCs w:val="24"/>
          <w:lang w:eastAsia="zh-CN"/>
        </w:rPr>
        <w:t>受</w:t>
      </w:r>
      <w:r>
        <w:rPr>
          <w:rFonts w:hint="eastAsia" w:ascii="宋体" w:hAnsi="宋体" w:eastAsia="宋体" w:cs="宋体"/>
          <w:color w:val="auto"/>
          <w:sz w:val="24"/>
          <w:szCs w:val="24"/>
        </w:rPr>
        <w:t>绩效考核费用；即:当季度实际支付的绩效考核费用（F）=</w:t>
      </w:r>
      <w:r>
        <w:rPr>
          <w:rFonts w:hint="eastAsia" w:ascii="宋体" w:hAnsi="宋体" w:eastAsia="宋体" w:cs="宋体"/>
          <w:color w:val="auto"/>
          <w:sz w:val="24"/>
          <w:szCs w:val="24"/>
          <w:lang w:eastAsia="zh-CN"/>
        </w:rPr>
        <w:t>厂区、配套污水管网、泵站</w:t>
      </w:r>
      <w:r>
        <w:rPr>
          <w:rFonts w:hint="eastAsia" w:ascii="宋体" w:hAnsi="宋体" w:eastAsia="宋体" w:cs="宋体"/>
          <w:color w:val="auto"/>
          <w:sz w:val="24"/>
          <w:szCs w:val="24"/>
        </w:rPr>
        <w:t>当季度绩效考核费用（G）×（季度考核得分N/100）</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z w:val="24"/>
          <w:szCs w:val="24"/>
          <w:lang w:val="en-US" w:eastAsia="zh-CN"/>
        </w:rPr>
        <w:t>13.6565</w:t>
      </w:r>
      <w:r>
        <w:rPr>
          <w:rFonts w:hint="eastAsia" w:ascii="宋体" w:hAnsi="宋体" w:eastAsia="宋体" w:cs="宋体"/>
          <w:color w:val="auto"/>
          <w:spacing w:val="0"/>
          <w:w w:val="100"/>
          <w:sz w:val="24"/>
          <w:szCs w:val="24"/>
          <w:lang w:eastAsia="zh-CN"/>
        </w:rPr>
        <w:t>万元</w:t>
      </w:r>
      <w:r>
        <w:rPr>
          <w:rFonts w:hint="eastAsia" w:ascii="宋体" w:hAnsi="宋体" w:eastAsia="宋体" w:cs="宋体"/>
          <w:color w:val="auto"/>
          <w:spacing w:val="0"/>
          <w:w w:val="100"/>
          <w:sz w:val="24"/>
          <w:szCs w:val="24"/>
          <w:lang w:val="en-US" w:eastAsia="zh-CN"/>
        </w:rPr>
        <w:t>×N%</w:t>
      </w:r>
      <w:r>
        <w:rPr>
          <w:rFonts w:hint="eastAsia" w:ascii="宋体" w:hAnsi="宋体" w:eastAsia="宋体" w:cs="宋体"/>
          <w:color w:val="auto"/>
          <w:sz w:val="24"/>
          <w:szCs w:val="24"/>
        </w:rPr>
        <w:t>；</w:t>
      </w:r>
    </w:p>
    <w:p w14:paraId="3B5D403E">
      <w:pPr>
        <w:spacing w:line="300" w:lineRule="auto"/>
        <w:ind w:firstLine="643"/>
        <w:jc w:val="both"/>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③</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运营期当季度绩效考核得分&lt;</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0</w:t>
      </w:r>
    </w:p>
    <w:p w14:paraId="17A349D3">
      <w:pPr>
        <w:spacing w:line="30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rPr>
        <w:t>运营绩效考核不合格，当季度不支付绩效考核费用，责令乙方限期整改合格。对于乙方怠于或延误整改时限的，可根据整改事项作出相应的处罚金额。</w:t>
      </w:r>
    </w:p>
    <w:p w14:paraId="5989518C">
      <w:pPr>
        <w:widowControl/>
        <w:jc w:val="left"/>
        <w:rPr>
          <w:rFonts w:ascii="黑体" w:hAnsi="黑体" w:eastAsia="黑体" w:cs="黑体"/>
          <w:color w:val="auto"/>
          <w:sz w:val="32"/>
          <w:szCs w:val="32"/>
        </w:rPr>
      </w:pPr>
    </w:p>
    <w:p w14:paraId="0513BF35">
      <w:pPr>
        <w:rPr>
          <w:rFonts w:ascii="宋体" w:hAnsi="宋体" w:cs="宋体"/>
          <w:color w:val="auto"/>
          <w:sz w:val="20"/>
          <w:szCs w:val="20"/>
        </w:rPr>
      </w:pPr>
      <w:r>
        <w:rPr>
          <w:rFonts w:ascii="宋体" w:hAnsi="宋体" w:cs="宋体"/>
          <w:color w:val="auto"/>
          <w:sz w:val="20"/>
          <w:szCs w:val="20"/>
        </w:rPr>
        <w:br w:type="page"/>
      </w:r>
    </w:p>
    <w:p w14:paraId="373D8527">
      <w:pPr>
        <w:widowControl/>
        <w:jc w:val="left"/>
        <w:rPr>
          <w:rFonts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w:t>
      </w:r>
    </w:p>
    <w:p w14:paraId="4E29F8AB">
      <w:pPr>
        <w:pStyle w:val="16"/>
        <w:jc w:val="center"/>
        <w:rPr>
          <w:b/>
          <w:color w:val="auto"/>
          <w:sz w:val="28"/>
          <w:szCs w:val="28"/>
        </w:rPr>
      </w:pPr>
      <w:r>
        <w:rPr>
          <w:rFonts w:hint="eastAsia"/>
          <w:b/>
          <w:color w:val="auto"/>
          <w:sz w:val="28"/>
          <w:szCs w:val="28"/>
        </w:rPr>
        <w:t>中小企业划型标准规定</w:t>
      </w:r>
    </w:p>
    <w:p w14:paraId="3B35873F">
      <w:pPr>
        <w:pStyle w:val="16"/>
        <w:jc w:val="center"/>
        <w:rPr>
          <w:rFonts w:ascii="宋体" w:hAnsi="宋体"/>
          <w:color w:val="auto"/>
          <w:sz w:val="21"/>
          <w:szCs w:val="21"/>
        </w:rPr>
      </w:pPr>
      <w:r>
        <w:rPr>
          <w:rFonts w:hint="eastAsia" w:ascii="宋体" w:hAnsi="宋体"/>
          <w:color w:val="auto"/>
          <w:szCs w:val="21"/>
        </w:rPr>
        <w:t>工信部联企业〔2011〕300号</w:t>
      </w:r>
    </w:p>
    <w:p w14:paraId="0F924E89">
      <w:pPr>
        <w:pStyle w:val="16"/>
        <w:rPr>
          <w:color w:val="auto"/>
          <w:szCs w:val="21"/>
        </w:rPr>
      </w:pPr>
    </w:p>
    <w:p w14:paraId="7ADB9EA7">
      <w:pPr>
        <w:pStyle w:val="16"/>
        <w:rPr>
          <w:color w:val="auto"/>
          <w:szCs w:val="21"/>
        </w:rPr>
      </w:pPr>
      <w:r>
        <w:rPr>
          <w:rFonts w:hint="eastAsia"/>
          <w:color w:val="auto"/>
          <w:szCs w:val="21"/>
        </w:rPr>
        <w:t>　　一、根据《中华人民共和国中小企业促进法》和《国务院关于进一步促进中小企业发展的若干意见》</w:t>
      </w:r>
      <w:r>
        <w:rPr>
          <w:color w:val="auto"/>
          <w:szCs w:val="21"/>
        </w:rPr>
        <w:t>(</w:t>
      </w:r>
      <w:r>
        <w:rPr>
          <w:rFonts w:hint="eastAsia"/>
          <w:color w:val="auto"/>
          <w:szCs w:val="21"/>
        </w:rPr>
        <w:t>国发〔2009〕36号</w:t>
      </w:r>
      <w:r>
        <w:rPr>
          <w:color w:val="auto"/>
          <w:szCs w:val="21"/>
        </w:rPr>
        <w:t>)</w:t>
      </w:r>
      <w:r>
        <w:rPr>
          <w:rFonts w:hint="eastAsia"/>
          <w:color w:val="auto"/>
          <w:szCs w:val="21"/>
        </w:rPr>
        <w:t>，制定本规定。</w:t>
      </w:r>
    </w:p>
    <w:p w14:paraId="56627868">
      <w:pPr>
        <w:pStyle w:val="16"/>
        <w:rPr>
          <w:color w:val="auto"/>
          <w:szCs w:val="21"/>
        </w:rPr>
      </w:pPr>
      <w:r>
        <w:rPr>
          <w:rFonts w:hint="eastAsia"/>
          <w:color w:val="auto"/>
          <w:szCs w:val="21"/>
        </w:rPr>
        <w:t>　　二、中小企业划分为中型、小型、微型三种类型，具体标准根据企业从业人员、营业收入、资产总额等指标，结合行业特点制定。</w:t>
      </w:r>
    </w:p>
    <w:p w14:paraId="1AB224D8">
      <w:pPr>
        <w:pStyle w:val="16"/>
        <w:rPr>
          <w:color w:val="auto"/>
          <w:szCs w:val="21"/>
        </w:rPr>
      </w:pPr>
      <w:r>
        <w:rPr>
          <w:rFonts w:hint="eastAsia"/>
          <w:color w:val="auto"/>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F3C3DFF">
      <w:pPr>
        <w:pStyle w:val="16"/>
        <w:rPr>
          <w:color w:val="auto"/>
          <w:szCs w:val="21"/>
        </w:rPr>
      </w:pPr>
      <w:r>
        <w:rPr>
          <w:rFonts w:hint="eastAsia"/>
          <w:color w:val="auto"/>
          <w:szCs w:val="21"/>
        </w:rPr>
        <w:t>　　四、各行业划型标准为：</w:t>
      </w:r>
    </w:p>
    <w:p w14:paraId="05233D14">
      <w:pPr>
        <w:pStyle w:val="16"/>
        <w:rPr>
          <w:color w:val="auto"/>
          <w:szCs w:val="21"/>
        </w:rPr>
      </w:pPr>
      <w:r>
        <w:rPr>
          <w:rFonts w:hint="eastAsia"/>
          <w:color w:val="auto"/>
          <w:szCs w:val="21"/>
        </w:rPr>
        <w:t>　　（一）农、林、牧、渔业。营业收入</w:t>
      </w:r>
      <w:r>
        <w:rPr>
          <w:color w:val="auto"/>
          <w:szCs w:val="21"/>
        </w:rPr>
        <w:t>20000</w:t>
      </w:r>
      <w:r>
        <w:rPr>
          <w:rFonts w:hint="eastAsia"/>
          <w:color w:val="auto"/>
          <w:szCs w:val="21"/>
        </w:rPr>
        <w:t>万元以下的为中小微型企业。其中，营业收入</w:t>
      </w:r>
      <w:r>
        <w:rPr>
          <w:color w:val="auto"/>
          <w:szCs w:val="21"/>
        </w:rPr>
        <w:t>500</w:t>
      </w:r>
      <w:r>
        <w:rPr>
          <w:rFonts w:hint="eastAsia"/>
          <w:color w:val="auto"/>
          <w:szCs w:val="21"/>
        </w:rPr>
        <w:t>万元及以上的为中型企业，营业收入</w:t>
      </w:r>
      <w:r>
        <w:rPr>
          <w:color w:val="auto"/>
          <w:szCs w:val="21"/>
        </w:rPr>
        <w:t>50</w:t>
      </w:r>
      <w:r>
        <w:rPr>
          <w:rFonts w:hint="eastAsia"/>
          <w:color w:val="auto"/>
          <w:szCs w:val="21"/>
        </w:rPr>
        <w:t>万元及以上的为小型企业，营业收入</w:t>
      </w:r>
      <w:r>
        <w:rPr>
          <w:color w:val="auto"/>
          <w:szCs w:val="21"/>
        </w:rPr>
        <w:t>50</w:t>
      </w:r>
      <w:r>
        <w:rPr>
          <w:rFonts w:hint="eastAsia"/>
          <w:color w:val="auto"/>
          <w:szCs w:val="21"/>
        </w:rPr>
        <w:t>万元以下的为微型企业。</w:t>
      </w:r>
    </w:p>
    <w:p w14:paraId="33EAC8C9">
      <w:pPr>
        <w:pStyle w:val="16"/>
        <w:rPr>
          <w:color w:val="auto"/>
          <w:szCs w:val="21"/>
        </w:rPr>
      </w:pPr>
      <w:r>
        <w:rPr>
          <w:rFonts w:hint="eastAsia"/>
          <w:color w:val="auto"/>
          <w:szCs w:val="21"/>
        </w:rPr>
        <w:t>　　（二）工业。从业人员</w:t>
      </w:r>
      <w:r>
        <w:rPr>
          <w:color w:val="auto"/>
          <w:szCs w:val="21"/>
        </w:rPr>
        <w:t>1000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300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300</w:t>
      </w:r>
      <w:r>
        <w:rPr>
          <w:rFonts w:hint="eastAsia"/>
          <w:color w:val="auto"/>
          <w:szCs w:val="21"/>
        </w:rPr>
        <w:t>万元以下的为微型企业。</w:t>
      </w:r>
    </w:p>
    <w:p w14:paraId="51259A6A">
      <w:pPr>
        <w:pStyle w:val="16"/>
        <w:rPr>
          <w:color w:val="auto"/>
          <w:szCs w:val="21"/>
        </w:rPr>
      </w:pPr>
      <w:r>
        <w:rPr>
          <w:rFonts w:hint="eastAsia"/>
          <w:color w:val="auto"/>
          <w:szCs w:val="21"/>
        </w:rPr>
        <w:t>　　（三）建筑业。营业收入</w:t>
      </w:r>
      <w:r>
        <w:rPr>
          <w:color w:val="auto"/>
          <w:szCs w:val="21"/>
        </w:rPr>
        <w:t>80000</w:t>
      </w:r>
      <w:r>
        <w:rPr>
          <w:rFonts w:hint="eastAsia"/>
          <w:color w:val="auto"/>
          <w:szCs w:val="21"/>
        </w:rPr>
        <w:t>万元以下或资产总额</w:t>
      </w:r>
      <w:r>
        <w:rPr>
          <w:color w:val="auto"/>
          <w:szCs w:val="21"/>
        </w:rPr>
        <w:t>80000</w:t>
      </w:r>
      <w:r>
        <w:rPr>
          <w:rFonts w:hint="eastAsia"/>
          <w:color w:val="auto"/>
          <w:szCs w:val="21"/>
        </w:rPr>
        <w:t>万元以下的为中小微型企业。其中，营业收入</w:t>
      </w:r>
      <w:r>
        <w:rPr>
          <w:color w:val="auto"/>
          <w:szCs w:val="21"/>
        </w:rPr>
        <w:t>6000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300</w:t>
      </w:r>
      <w:r>
        <w:rPr>
          <w:rFonts w:hint="eastAsia"/>
          <w:color w:val="auto"/>
          <w:szCs w:val="21"/>
        </w:rPr>
        <w:t>万元及以上，且资产总额</w:t>
      </w:r>
      <w:r>
        <w:rPr>
          <w:color w:val="auto"/>
          <w:szCs w:val="21"/>
        </w:rPr>
        <w:t>300</w:t>
      </w:r>
      <w:r>
        <w:rPr>
          <w:rFonts w:hint="eastAsia"/>
          <w:color w:val="auto"/>
          <w:szCs w:val="21"/>
        </w:rPr>
        <w:t>万元及以上的为小型企业；营业收入</w:t>
      </w:r>
      <w:r>
        <w:rPr>
          <w:color w:val="auto"/>
          <w:szCs w:val="21"/>
        </w:rPr>
        <w:t>300</w:t>
      </w:r>
      <w:r>
        <w:rPr>
          <w:rFonts w:hint="eastAsia"/>
          <w:color w:val="auto"/>
          <w:szCs w:val="21"/>
        </w:rPr>
        <w:t>万元以下或资产总额</w:t>
      </w:r>
      <w:r>
        <w:rPr>
          <w:color w:val="auto"/>
          <w:szCs w:val="21"/>
        </w:rPr>
        <w:t>300</w:t>
      </w:r>
      <w:r>
        <w:rPr>
          <w:rFonts w:hint="eastAsia"/>
          <w:color w:val="auto"/>
          <w:szCs w:val="21"/>
        </w:rPr>
        <w:t>万元以下的为微型企业。</w:t>
      </w:r>
    </w:p>
    <w:p w14:paraId="2AA1B4B8">
      <w:pPr>
        <w:pStyle w:val="16"/>
        <w:rPr>
          <w:color w:val="auto"/>
          <w:szCs w:val="21"/>
        </w:rPr>
      </w:pPr>
      <w:r>
        <w:rPr>
          <w:rFonts w:hint="eastAsia"/>
          <w:color w:val="auto"/>
          <w:szCs w:val="21"/>
        </w:rPr>
        <w:t>　　（四）批发业。从业人员</w:t>
      </w:r>
      <w:r>
        <w:rPr>
          <w:color w:val="auto"/>
          <w:szCs w:val="21"/>
        </w:rPr>
        <w:t>200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20</w:t>
      </w:r>
      <w:r>
        <w:rPr>
          <w:rFonts w:hint="eastAsia"/>
          <w:color w:val="auto"/>
          <w:szCs w:val="21"/>
        </w:rPr>
        <w:t>人及以上，且营业收入</w:t>
      </w:r>
      <w:r>
        <w:rPr>
          <w:color w:val="auto"/>
          <w:szCs w:val="21"/>
        </w:rPr>
        <w:t>5000</w:t>
      </w:r>
      <w:r>
        <w:rPr>
          <w:rFonts w:hint="eastAsia"/>
          <w:color w:val="auto"/>
          <w:szCs w:val="21"/>
        </w:rPr>
        <w:t>万元及以上的为中型企业；从业人员</w:t>
      </w:r>
      <w:r>
        <w:rPr>
          <w:color w:val="auto"/>
          <w:szCs w:val="21"/>
        </w:rPr>
        <w:t>5</w:t>
      </w:r>
      <w:r>
        <w:rPr>
          <w:rFonts w:hint="eastAsia"/>
          <w:color w:val="auto"/>
          <w:szCs w:val="21"/>
        </w:rPr>
        <w:t>人及以上，且营业收入</w:t>
      </w:r>
      <w:r>
        <w:rPr>
          <w:color w:val="auto"/>
          <w:szCs w:val="21"/>
        </w:rPr>
        <w:t>1000</w:t>
      </w:r>
      <w:r>
        <w:rPr>
          <w:rFonts w:hint="eastAsia"/>
          <w:color w:val="auto"/>
          <w:szCs w:val="21"/>
        </w:rPr>
        <w:t>万元及以上的为小型企业；从业人员</w:t>
      </w:r>
      <w:r>
        <w:rPr>
          <w:color w:val="auto"/>
          <w:szCs w:val="21"/>
        </w:rPr>
        <w:t>5</w:t>
      </w:r>
      <w:r>
        <w:rPr>
          <w:rFonts w:hint="eastAsia"/>
          <w:color w:val="auto"/>
          <w:szCs w:val="21"/>
        </w:rPr>
        <w:t>人以下或营业收入</w:t>
      </w:r>
      <w:r>
        <w:rPr>
          <w:color w:val="auto"/>
          <w:szCs w:val="21"/>
        </w:rPr>
        <w:t>1000</w:t>
      </w:r>
      <w:r>
        <w:rPr>
          <w:rFonts w:hint="eastAsia"/>
          <w:color w:val="auto"/>
          <w:szCs w:val="21"/>
        </w:rPr>
        <w:t>万元以下的为微型企业。</w:t>
      </w:r>
    </w:p>
    <w:p w14:paraId="189EB304">
      <w:pPr>
        <w:pStyle w:val="16"/>
        <w:rPr>
          <w:color w:val="auto"/>
          <w:szCs w:val="21"/>
        </w:rPr>
      </w:pPr>
      <w:r>
        <w:rPr>
          <w:rFonts w:hint="eastAsia"/>
          <w:color w:val="auto"/>
          <w:szCs w:val="21"/>
        </w:rPr>
        <w:t>　　（五）零售业。从业人员</w:t>
      </w:r>
      <w:r>
        <w:rPr>
          <w:color w:val="auto"/>
          <w:szCs w:val="21"/>
        </w:rPr>
        <w:t>300</w:t>
      </w:r>
      <w:r>
        <w:rPr>
          <w:rFonts w:hint="eastAsia"/>
          <w:color w:val="auto"/>
          <w:szCs w:val="21"/>
        </w:rPr>
        <w:t>人以下或营业收入</w:t>
      </w:r>
      <w:r>
        <w:rPr>
          <w:color w:val="auto"/>
          <w:szCs w:val="21"/>
        </w:rPr>
        <w:t>20000</w:t>
      </w:r>
      <w:r>
        <w:rPr>
          <w:rFonts w:hint="eastAsia"/>
          <w:color w:val="auto"/>
          <w:szCs w:val="21"/>
        </w:rPr>
        <w:t>万元以下的为中小微型企业。其中，从业人员</w:t>
      </w:r>
      <w:r>
        <w:rPr>
          <w:color w:val="auto"/>
          <w:szCs w:val="21"/>
        </w:rPr>
        <w:t>50</w:t>
      </w:r>
      <w:r>
        <w:rPr>
          <w:rFonts w:hint="eastAsia"/>
          <w:color w:val="auto"/>
          <w:szCs w:val="21"/>
        </w:rPr>
        <w:t>人及以上，且营业收入</w:t>
      </w:r>
      <w:r>
        <w:rPr>
          <w:color w:val="auto"/>
          <w:szCs w:val="21"/>
        </w:rPr>
        <w:t>500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1B464E76">
      <w:pPr>
        <w:pStyle w:val="16"/>
        <w:rPr>
          <w:color w:val="auto"/>
          <w:szCs w:val="21"/>
        </w:rPr>
      </w:pPr>
      <w:r>
        <w:rPr>
          <w:rFonts w:hint="eastAsia"/>
          <w:color w:val="auto"/>
          <w:szCs w:val="21"/>
        </w:rPr>
        <w:t>　　（六）交通运输业。从业人员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3000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200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200</w:t>
      </w:r>
      <w:r>
        <w:rPr>
          <w:rFonts w:hint="eastAsia"/>
          <w:color w:val="auto"/>
          <w:szCs w:val="21"/>
        </w:rPr>
        <w:t>万元以下的为微型企业。</w:t>
      </w:r>
    </w:p>
    <w:p w14:paraId="733CCC92">
      <w:pPr>
        <w:pStyle w:val="16"/>
        <w:rPr>
          <w:color w:val="auto"/>
          <w:szCs w:val="21"/>
        </w:rPr>
      </w:pPr>
      <w:r>
        <w:rPr>
          <w:rFonts w:hint="eastAsia"/>
          <w:color w:val="auto"/>
          <w:szCs w:val="21"/>
        </w:rPr>
        <w:t>　　（七）仓储业。从业人员</w:t>
      </w:r>
      <w:r>
        <w:rPr>
          <w:color w:val="auto"/>
          <w:szCs w:val="21"/>
        </w:rPr>
        <w:t>200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7E80F6B8">
      <w:pPr>
        <w:pStyle w:val="16"/>
        <w:rPr>
          <w:color w:val="auto"/>
          <w:szCs w:val="21"/>
        </w:rPr>
      </w:pPr>
      <w:r>
        <w:rPr>
          <w:rFonts w:hint="eastAsia"/>
          <w:color w:val="auto"/>
          <w:szCs w:val="21"/>
        </w:rPr>
        <w:t>　　（八）邮政业。从业人员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3485F073">
      <w:pPr>
        <w:pStyle w:val="16"/>
        <w:rPr>
          <w:color w:val="auto"/>
          <w:szCs w:val="21"/>
        </w:rPr>
      </w:pPr>
      <w:r>
        <w:rPr>
          <w:rFonts w:hint="eastAsia"/>
          <w:color w:val="auto"/>
          <w:szCs w:val="21"/>
        </w:rPr>
        <w:t>　　（九）住宿业。从业人员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11662C25">
      <w:pPr>
        <w:pStyle w:val="16"/>
        <w:rPr>
          <w:color w:val="auto"/>
          <w:szCs w:val="21"/>
        </w:rPr>
      </w:pPr>
      <w:r>
        <w:rPr>
          <w:rFonts w:hint="eastAsia"/>
          <w:color w:val="auto"/>
          <w:szCs w:val="21"/>
        </w:rPr>
        <w:t>　　（十）餐饮业。从业人员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17B83C0B">
      <w:pPr>
        <w:pStyle w:val="16"/>
        <w:rPr>
          <w:color w:val="auto"/>
          <w:szCs w:val="21"/>
        </w:rPr>
      </w:pPr>
      <w:r>
        <w:rPr>
          <w:rFonts w:hint="eastAsia"/>
          <w:color w:val="auto"/>
          <w:szCs w:val="21"/>
        </w:rPr>
        <w:t>　　（十一）信息传输业。从业人员</w:t>
      </w:r>
      <w:r>
        <w:rPr>
          <w:color w:val="auto"/>
          <w:szCs w:val="21"/>
        </w:rPr>
        <w:t>2000</w:t>
      </w:r>
      <w:r>
        <w:rPr>
          <w:rFonts w:hint="eastAsia"/>
          <w:color w:val="auto"/>
          <w:szCs w:val="21"/>
        </w:rPr>
        <w:t>人以下或营业收入</w:t>
      </w:r>
      <w:r>
        <w:rPr>
          <w:color w:val="auto"/>
          <w:szCs w:val="21"/>
        </w:rPr>
        <w:t>100000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11E4391B">
      <w:pPr>
        <w:pStyle w:val="16"/>
        <w:rPr>
          <w:color w:val="auto"/>
          <w:szCs w:val="21"/>
        </w:rPr>
      </w:pPr>
      <w:r>
        <w:rPr>
          <w:rFonts w:hint="eastAsia"/>
          <w:color w:val="auto"/>
          <w:szCs w:val="21"/>
        </w:rPr>
        <w:t>　　（十二）软件和信息技术服务业。从业人员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50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50</w:t>
      </w:r>
      <w:r>
        <w:rPr>
          <w:rFonts w:hint="eastAsia"/>
          <w:color w:val="auto"/>
          <w:szCs w:val="21"/>
        </w:rPr>
        <w:t>万元以下的为微型企业。</w:t>
      </w:r>
    </w:p>
    <w:p w14:paraId="7B6F82BE">
      <w:pPr>
        <w:pStyle w:val="16"/>
        <w:rPr>
          <w:color w:val="auto"/>
          <w:szCs w:val="21"/>
        </w:rPr>
      </w:pPr>
      <w:r>
        <w:rPr>
          <w:rFonts w:hint="eastAsia"/>
          <w:color w:val="auto"/>
          <w:szCs w:val="21"/>
        </w:rPr>
        <w:t>　　（十三）房地产开发经营。营业收入</w:t>
      </w:r>
      <w:r>
        <w:rPr>
          <w:color w:val="auto"/>
          <w:szCs w:val="21"/>
        </w:rPr>
        <w:t>200000</w:t>
      </w:r>
      <w:r>
        <w:rPr>
          <w:rFonts w:hint="eastAsia"/>
          <w:color w:val="auto"/>
          <w:szCs w:val="21"/>
        </w:rPr>
        <w:t>万元以下或资产总额</w:t>
      </w:r>
      <w:r>
        <w:rPr>
          <w:color w:val="auto"/>
          <w:szCs w:val="21"/>
        </w:rPr>
        <w:t>10000</w:t>
      </w:r>
      <w:r>
        <w:rPr>
          <w:rFonts w:hint="eastAsia"/>
          <w:color w:val="auto"/>
          <w:szCs w:val="21"/>
        </w:rPr>
        <w:t>万元以下的为中小微型企业。其中，营业收入</w:t>
      </w:r>
      <w:r>
        <w:rPr>
          <w:color w:val="auto"/>
          <w:szCs w:val="21"/>
        </w:rPr>
        <w:t>1000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100</w:t>
      </w:r>
      <w:r>
        <w:rPr>
          <w:rFonts w:hint="eastAsia"/>
          <w:color w:val="auto"/>
          <w:szCs w:val="21"/>
        </w:rPr>
        <w:t>万元及以上，且资产总额</w:t>
      </w:r>
      <w:r>
        <w:rPr>
          <w:color w:val="auto"/>
          <w:szCs w:val="21"/>
        </w:rPr>
        <w:t>2000</w:t>
      </w:r>
      <w:r>
        <w:rPr>
          <w:rFonts w:hint="eastAsia"/>
          <w:color w:val="auto"/>
          <w:szCs w:val="21"/>
        </w:rPr>
        <w:t>万元及以上的为小型企业；营业收入</w:t>
      </w:r>
      <w:r>
        <w:rPr>
          <w:color w:val="auto"/>
          <w:szCs w:val="21"/>
        </w:rPr>
        <w:t>100</w:t>
      </w:r>
      <w:r>
        <w:rPr>
          <w:rFonts w:hint="eastAsia"/>
          <w:color w:val="auto"/>
          <w:szCs w:val="21"/>
        </w:rPr>
        <w:t>万元以下或资产总额</w:t>
      </w:r>
      <w:r>
        <w:rPr>
          <w:color w:val="auto"/>
          <w:szCs w:val="21"/>
        </w:rPr>
        <w:t>2000</w:t>
      </w:r>
      <w:r>
        <w:rPr>
          <w:rFonts w:hint="eastAsia"/>
          <w:color w:val="auto"/>
          <w:szCs w:val="21"/>
        </w:rPr>
        <w:t>万元以下的为微型企业。</w:t>
      </w:r>
    </w:p>
    <w:p w14:paraId="7FF7AD3A">
      <w:pPr>
        <w:pStyle w:val="16"/>
        <w:rPr>
          <w:color w:val="auto"/>
          <w:szCs w:val="21"/>
        </w:rPr>
      </w:pPr>
      <w:r>
        <w:rPr>
          <w:rFonts w:hint="eastAsia"/>
          <w:color w:val="auto"/>
          <w:szCs w:val="21"/>
        </w:rPr>
        <w:t>　　（十四）物业管理。从业人员</w:t>
      </w:r>
      <w:r>
        <w:rPr>
          <w:color w:val="auto"/>
          <w:szCs w:val="21"/>
        </w:rPr>
        <w:t>1000</w:t>
      </w:r>
      <w:r>
        <w:rPr>
          <w:rFonts w:hint="eastAsia"/>
          <w:color w:val="auto"/>
          <w:szCs w:val="21"/>
        </w:rPr>
        <w:t>人以下或营业收入</w:t>
      </w:r>
      <w:r>
        <w:rPr>
          <w:color w:val="auto"/>
          <w:szCs w:val="21"/>
        </w:rPr>
        <w:t>5000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100</w:t>
      </w:r>
      <w:r>
        <w:rPr>
          <w:rFonts w:hint="eastAsia"/>
          <w:color w:val="auto"/>
          <w:szCs w:val="21"/>
        </w:rPr>
        <w:t>人及以上，且营业收入</w:t>
      </w:r>
      <w:r>
        <w:rPr>
          <w:color w:val="auto"/>
          <w:szCs w:val="21"/>
        </w:rPr>
        <w:t>500</w:t>
      </w:r>
      <w:r>
        <w:rPr>
          <w:rFonts w:hint="eastAsia"/>
          <w:color w:val="auto"/>
          <w:szCs w:val="21"/>
        </w:rPr>
        <w:t>万元及以上的为小型企业；从业人员</w:t>
      </w:r>
      <w:r>
        <w:rPr>
          <w:color w:val="auto"/>
          <w:szCs w:val="21"/>
        </w:rPr>
        <w:t>100</w:t>
      </w:r>
      <w:r>
        <w:rPr>
          <w:rFonts w:hint="eastAsia"/>
          <w:color w:val="auto"/>
          <w:szCs w:val="21"/>
        </w:rPr>
        <w:t>人以下或营业收入</w:t>
      </w:r>
      <w:r>
        <w:rPr>
          <w:color w:val="auto"/>
          <w:szCs w:val="21"/>
        </w:rPr>
        <w:t>500</w:t>
      </w:r>
      <w:r>
        <w:rPr>
          <w:rFonts w:hint="eastAsia"/>
          <w:color w:val="auto"/>
          <w:szCs w:val="21"/>
        </w:rPr>
        <w:t>万元以下的为微型企业。</w:t>
      </w:r>
    </w:p>
    <w:p w14:paraId="5BBD9429">
      <w:pPr>
        <w:pStyle w:val="16"/>
        <w:rPr>
          <w:color w:val="auto"/>
          <w:szCs w:val="21"/>
        </w:rPr>
      </w:pPr>
      <w:r>
        <w:rPr>
          <w:rFonts w:hint="eastAsia"/>
          <w:color w:val="auto"/>
          <w:szCs w:val="21"/>
        </w:rPr>
        <w:t>　　（十五）租赁和商务服务业。从业人员</w:t>
      </w:r>
      <w:r>
        <w:rPr>
          <w:color w:val="auto"/>
          <w:szCs w:val="21"/>
        </w:rPr>
        <w:t>300</w:t>
      </w:r>
      <w:r>
        <w:rPr>
          <w:rFonts w:hint="eastAsia"/>
          <w:color w:val="auto"/>
          <w:szCs w:val="21"/>
        </w:rPr>
        <w:t>人以下或资产总额</w:t>
      </w:r>
      <w:r>
        <w:rPr>
          <w:color w:val="auto"/>
          <w:szCs w:val="21"/>
        </w:rPr>
        <w:t>120000</w:t>
      </w:r>
      <w:r>
        <w:rPr>
          <w:rFonts w:hint="eastAsia"/>
          <w:color w:val="auto"/>
          <w:szCs w:val="21"/>
        </w:rPr>
        <w:t>万元以下的为中小微型企业。其中，从业人员</w:t>
      </w:r>
      <w:r>
        <w:rPr>
          <w:color w:val="auto"/>
          <w:szCs w:val="21"/>
        </w:rPr>
        <w:t>100</w:t>
      </w:r>
      <w:r>
        <w:rPr>
          <w:rFonts w:hint="eastAsia"/>
          <w:color w:val="auto"/>
          <w:szCs w:val="21"/>
        </w:rPr>
        <w:t>人及以上，且资产总额</w:t>
      </w:r>
      <w:r>
        <w:rPr>
          <w:color w:val="auto"/>
          <w:szCs w:val="21"/>
        </w:rPr>
        <w:t>8000</w:t>
      </w:r>
      <w:r>
        <w:rPr>
          <w:rFonts w:hint="eastAsia"/>
          <w:color w:val="auto"/>
          <w:szCs w:val="21"/>
        </w:rPr>
        <w:t>万元及以上的为中型企业；从业人员</w:t>
      </w:r>
      <w:r>
        <w:rPr>
          <w:color w:val="auto"/>
          <w:szCs w:val="21"/>
        </w:rPr>
        <w:t>10</w:t>
      </w:r>
      <w:r>
        <w:rPr>
          <w:rFonts w:hint="eastAsia"/>
          <w:color w:val="auto"/>
          <w:szCs w:val="21"/>
        </w:rPr>
        <w:t>人及以上，且资产总额</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人以下或资产总额</w:t>
      </w:r>
      <w:r>
        <w:rPr>
          <w:color w:val="auto"/>
          <w:szCs w:val="21"/>
        </w:rPr>
        <w:t>100</w:t>
      </w:r>
      <w:r>
        <w:rPr>
          <w:rFonts w:hint="eastAsia"/>
          <w:color w:val="auto"/>
          <w:szCs w:val="21"/>
        </w:rPr>
        <w:t>万元以下的为微型企业。</w:t>
      </w:r>
    </w:p>
    <w:p w14:paraId="12E9E01C">
      <w:pPr>
        <w:pStyle w:val="16"/>
        <w:rPr>
          <w:color w:val="auto"/>
          <w:szCs w:val="21"/>
        </w:rPr>
      </w:pPr>
      <w:r>
        <w:rPr>
          <w:rFonts w:hint="eastAsia"/>
          <w:color w:val="auto"/>
          <w:szCs w:val="21"/>
        </w:rPr>
        <w:t>　　（十六）其他未列明行业。从业人员</w:t>
      </w:r>
      <w:r>
        <w:rPr>
          <w:color w:val="auto"/>
          <w:szCs w:val="21"/>
        </w:rPr>
        <w:t>300</w:t>
      </w:r>
      <w:r>
        <w:rPr>
          <w:rFonts w:hint="eastAsia"/>
          <w:color w:val="auto"/>
          <w:szCs w:val="21"/>
        </w:rPr>
        <w:t>人以下的为中小微型企业。其中，从业人员</w:t>
      </w:r>
      <w:r>
        <w:rPr>
          <w:color w:val="auto"/>
          <w:szCs w:val="21"/>
        </w:rPr>
        <w:t>100</w:t>
      </w:r>
      <w:r>
        <w:rPr>
          <w:rFonts w:hint="eastAsia"/>
          <w:color w:val="auto"/>
          <w:szCs w:val="21"/>
        </w:rPr>
        <w:t>人及以上的为中型企业；从业人员</w:t>
      </w:r>
      <w:r>
        <w:rPr>
          <w:color w:val="auto"/>
          <w:szCs w:val="21"/>
        </w:rPr>
        <w:t>10</w:t>
      </w:r>
      <w:r>
        <w:rPr>
          <w:rFonts w:hint="eastAsia"/>
          <w:color w:val="auto"/>
          <w:szCs w:val="21"/>
        </w:rPr>
        <w:t>人及以上的为小型企业；从业人员</w:t>
      </w:r>
      <w:r>
        <w:rPr>
          <w:color w:val="auto"/>
          <w:szCs w:val="21"/>
        </w:rPr>
        <w:t>10</w:t>
      </w:r>
      <w:r>
        <w:rPr>
          <w:rFonts w:hint="eastAsia"/>
          <w:color w:val="auto"/>
          <w:szCs w:val="21"/>
        </w:rPr>
        <w:t>人以下的为微型企业。</w:t>
      </w:r>
    </w:p>
    <w:p w14:paraId="31474546">
      <w:pPr>
        <w:pStyle w:val="16"/>
        <w:rPr>
          <w:color w:val="auto"/>
          <w:szCs w:val="21"/>
        </w:rPr>
      </w:pPr>
      <w:r>
        <w:rPr>
          <w:rFonts w:hint="eastAsia"/>
          <w:color w:val="auto"/>
          <w:szCs w:val="21"/>
        </w:rPr>
        <w:t>　　五、企业类型的划分以统计部门的统计数据为依据。</w:t>
      </w:r>
    </w:p>
    <w:p w14:paraId="163963A0">
      <w:pPr>
        <w:pStyle w:val="16"/>
        <w:rPr>
          <w:color w:val="auto"/>
          <w:szCs w:val="21"/>
        </w:rPr>
      </w:pPr>
      <w:r>
        <w:rPr>
          <w:rFonts w:hint="eastAsia"/>
          <w:color w:val="auto"/>
          <w:szCs w:val="21"/>
        </w:rPr>
        <w:t>　　六、本规定适用于在中华人民共和国境内依法设立的各类所有制和各种组织形式的企业。个体工商户和本规定以外的行业，参照本规定进行划型。</w:t>
      </w:r>
    </w:p>
    <w:p w14:paraId="32AFB8C2">
      <w:pPr>
        <w:pStyle w:val="16"/>
        <w:rPr>
          <w:color w:val="auto"/>
          <w:szCs w:val="21"/>
        </w:rPr>
      </w:pPr>
      <w:r>
        <w:rPr>
          <w:rFonts w:hint="eastAsia"/>
          <w:color w:val="auto"/>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1A4FB6D5">
      <w:pPr>
        <w:pStyle w:val="16"/>
        <w:rPr>
          <w:color w:val="auto"/>
          <w:szCs w:val="21"/>
        </w:rPr>
      </w:pPr>
      <w:r>
        <w:rPr>
          <w:rFonts w:hint="eastAsia"/>
          <w:color w:val="auto"/>
          <w:szCs w:val="21"/>
        </w:rPr>
        <w:t>　　八、本规定由工业和信息化部、国家统计局会同有关部门根据《国民经济行业分类》修订情况和企业发展变化情况适时修订。</w:t>
      </w:r>
    </w:p>
    <w:p w14:paraId="7F25C05F">
      <w:pPr>
        <w:pStyle w:val="16"/>
        <w:rPr>
          <w:color w:val="auto"/>
          <w:szCs w:val="21"/>
        </w:rPr>
      </w:pPr>
      <w:r>
        <w:rPr>
          <w:rFonts w:hint="eastAsia"/>
          <w:color w:val="auto"/>
          <w:szCs w:val="21"/>
        </w:rPr>
        <w:t>　　九、本规定由工业和信息化部、国家统计局会同有关部门负责解释。</w:t>
      </w:r>
    </w:p>
    <w:p w14:paraId="66520926">
      <w:pPr>
        <w:pStyle w:val="16"/>
        <w:ind w:firstLine="420"/>
        <w:rPr>
          <w:color w:val="auto"/>
          <w:szCs w:val="21"/>
        </w:rPr>
      </w:pPr>
      <w:r>
        <w:rPr>
          <w:rFonts w:hint="eastAsia"/>
          <w:color w:val="auto"/>
          <w:szCs w:val="21"/>
        </w:rPr>
        <w:t>十、本规定自发布之日起执行，原国家经贸委、原国家计委、财政部和国家统计局</w:t>
      </w:r>
      <w:r>
        <w:rPr>
          <w:color w:val="auto"/>
          <w:szCs w:val="21"/>
        </w:rPr>
        <w:t>2003</w:t>
      </w:r>
      <w:r>
        <w:rPr>
          <w:rFonts w:hint="eastAsia"/>
          <w:color w:val="auto"/>
          <w:szCs w:val="21"/>
        </w:rPr>
        <w:t>年颁布的《中小企业标准暂行规定》同时废止。</w:t>
      </w:r>
    </w:p>
    <w:p w14:paraId="7435F4C2">
      <w:pPr>
        <w:rPr>
          <w:rFonts w:ascii="宋体" w:hAnsi="宋体" w:cs="宋体"/>
          <w:color w:val="auto"/>
          <w:sz w:val="20"/>
          <w:szCs w:val="20"/>
        </w:rPr>
      </w:pPr>
    </w:p>
    <w:p w14:paraId="54FB9D47">
      <w:pPr>
        <w:spacing w:before="3"/>
        <w:rPr>
          <w:rFonts w:ascii="宋体" w:hAnsi="宋体" w:cs="宋体"/>
          <w:color w:val="auto"/>
          <w:sz w:val="15"/>
          <w:szCs w:val="15"/>
        </w:rPr>
      </w:pPr>
    </w:p>
    <w:p w14:paraId="53CD8EB9">
      <w:pPr>
        <w:widowControl/>
        <w:rPr>
          <w:rFonts w:ascii="宋体" w:hAnsi="宋体" w:cs="宋体"/>
          <w:color w:val="auto"/>
          <w:sz w:val="20"/>
          <w:szCs w:val="20"/>
        </w:rPr>
        <w:sectPr>
          <w:footerReference r:id="rId7" w:type="first"/>
          <w:footerReference r:id="rId6" w:type="default"/>
          <w:pgSz w:w="11910" w:h="16840"/>
          <w:pgMar w:top="1520" w:right="1500" w:bottom="280" w:left="1680" w:header="720" w:footer="720" w:gutter="0"/>
          <w:pgNumType w:start="1"/>
          <w:cols w:space="720" w:num="1"/>
          <w:titlePg/>
          <w:docGrid w:linePitch="286" w:charSpace="0"/>
        </w:sectPr>
      </w:pPr>
    </w:p>
    <w:p w14:paraId="0FE9388F">
      <w:pPr>
        <w:pStyle w:val="2"/>
        <w:keepNext w:val="0"/>
        <w:keepLines w:val="0"/>
        <w:tabs>
          <w:tab w:val="left" w:pos="0"/>
          <w:tab w:val="left" w:pos="3165"/>
          <w:tab w:val="center" w:pos="4153"/>
        </w:tabs>
        <w:autoSpaceDE w:val="0"/>
        <w:autoSpaceDN w:val="0"/>
        <w:adjustRightInd w:val="0"/>
        <w:spacing w:before="0" w:after="0" w:line="360" w:lineRule="auto"/>
        <w:jc w:val="center"/>
        <w:rPr>
          <w:color w:val="auto"/>
        </w:rPr>
      </w:pPr>
      <w:bookmarkStart w:id="40" w:name="_Toc25688"/>
      <w:r>
        <w:rPr>
          <w:rFonts w:hint="eastAsia"/>
          <w:color w:val="auto"/>
        </w:rPr>
        <w:t>第三章  投标人须知</w:t>
      </w:r>
      <w:bookmarkEnd w:id="40"/>
    </w:p>
    <w:p w14:paraId="012B8844">
      <w:pPr>
        <w:jc w:val="center"/>
        <w:rPr>
          <w:color w:val="auto"/>
          <w:sz w:val="36"/>
          <w:szCs w:val="36"/>
        </w:rPr>
      </w:pPr>
      <w:bookmarkStart w:id="41" w:name="_Toc254970667"/>
      <w:bookmarkStart w:id="42" w:name="_Toc254970526"/>
      <w:r>
        <w:rPr>
          <w:rFonts w:hint="eastAsia"/>
          <w:color w:val="auto"/>
          <w:sz w:val="36"/>
          <w:szCs w:val="36"/>
        </w:rPr>
        <w:t>投标人须知前附表</w:t>
      </w:r>
      <w:bookmarkEnd w:id="41"/>
      <w:bookmarkEnd w:id="42"/>
    </w:p>
    <w:tbl>
      <w:tblPr>
        <w:tblStyle w:val="43"/>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10C0D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E1742A9">
            <w:pPr>
              <w:snapToGrid w:val="0"/>
              <w:spacing w:line="360" w:lineRule="auto"/>
              <w:jc w:val="left"/>
              <w:rPr>
                <w:rFonts w:ascii="宋体" w:hAnsi="宋体"/>
                <w:color w:val="auto"/>
                <w:szCs w:val="21"/>
              </w:rPr>
            </w:pPr>
            <w:r>
              <w:rPr>
                <w:rFonts w:hint="eastAsia" w:ascii="宋体" w:hAnsi="宋体"/>
                <w:color w:val="auto"/>
                <w:szCs w:val="21"/>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5D6542CF">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6070D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0F16AB3">
            <w:pPr>
              <w:spacing w:line="360" w:lineRule="auto"/>
              <w:jc w:val="center"/>
              <w:rPr>
                <w:rFonts w:ascii="宋体" w:hAnsi="宋体"/>
                <w:color w:val="auto"/>
                <w:szCs w:val="21"/>
              </w:rPr>
            </w:pPr>
            <w:r>
              <w:rPr>
                <w:rFonts w:hint="eastAsia" w:ascii="宋体" w:hAnsi="宋体"/>
                <w:color w:val="auto"/>
                <w:szCs w:val="21"/>
              </w:rPr>
              <w:t>3</w:t>
            </w:r>
          </w:p>
        </w:tc>
        <w:tc>
          <w:tcPr>
            <w:tcW w:w="8175" w:type="dxa"/>
            <w:tcBorders>
              <w:top w:val="single" w:color="auto" w:sz="4" w:space="0"/>
              <w:left w:val="single" w:color="auto" w:sz="4" w:space="0"/>
              <w:bottom w:val="single" w:color="auto" w:sz="4" w:space="0"/>
              <w:right w:val="single" w:color="auto" w:sz="4" w:space="0"/>
            </w:tcBorders>
            <w:vAlign w:val="center"/>
          </w:tcPr>
          <w:p w14:paraId="58974771">
            <w:pPr>
              <w:snapToGrid w:val="0"/>
              <w:spacing w:line="360" w:lineRule="auto"/>
              <w:jc w:val="left"/>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投标人的资格要求详见招标公告。</w:t>
            </w:r>
          </w:p>
          <w:p w14:paraId="3E9CA1E7">
            <w:pPr>
              <w:snapToGrid w:val="0"/>
              <w:spacing w:line="360" w:lineRule="auto"/>
              <w:jc w:val="left"/>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投标人出现下列情形之一的，不得参加政府采购活动：</w:t>
            </w:r>
          </w:p>
          <w:p w14:paraId="19FBEB52">
            <w:pPr>
              <w:snapToGrid w:val="0"/>
              <w:spacing w:line="360" w:lineRule="auto"/>
              <w:jc w:val="left"/>
              <w:rPr>
                <w:rFonts w:ascii="宋体" w:hAnsi="宋体"/>
                <w:color w:val="auto"/>
                <w:szCs w:val="21"/>
              </w:rPr>
            </w:pPr>
            <w:r>
              <w:rPr>
                <w:rFonts w:ascii="宋体" w:hAnsi="宋体"/>
                <w:color w:val="auto"/>
                <w:szCs w:val="21"/>
              </w:rPr>
              <w:t>2.1</w:t>
            </w:r>
            <w:r>
              <w:rPr>
                <w:rFonts w:hint="eastAsia" w:ascii="宋体" w:hAnsi="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7F5871">
            <w:pPr>
              <w:snapToGrid w:val="0"/>
              <w:spacing w:line="360" w:lineRule="auto"/>
              <w:jc w:val="left"/>
              <w:rPr>
                <w:rFonts w:ascii="宋体" w:hAnsi="宋体"/>
                <w:color w:val="auto"/>
                <w:szCs w:val="21"/>
              </w:rPr>
            </w:pPr>
            <w:r>
              <w:rPr>
                <w:rFonts w:ascii="宋体" w:hAnsi="宋体"/>
                <w:color w:val="auto"/>
                <w:szCs w:val="21"/>
              </w:rPr>
              <w:t>2.2</w:t>
            </w:r>
            <w:r>
              <w:rPr>
                <w:rFonts w:hint="eastAsia" w:ascii="宋体" w:hAnsi="宋体"/>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D298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3A719EA">
            <w:pPr>
              <w:spacing w:line="360" w:lineRule="auto"/>
              <w:jc w:val="center"/>
              <w:rPr>
                <w:rFonts w:ascii="宋体" w:hAnsi="宋体"/>
                <w:color w:val="auto"/>
                <w:szCs w:val="21"/>
              </w:rPr>
            </w:pPr>
            <w:bookmarkStart w:id="43" w:name="_9.2"/>
            <w:bookmarkEnd w:id="43"/>
            <w:bookmarkStart w:id="44" w:name="_8.1"/>
            <w:bookmarkEnd w:id="44"/>
            <w:bookmarkStart w:id="45" w:name="_5"/>
            <w:bookmarkEnd w:id="45"/>
            <w:r>
              <w:rPr>
                <w:rFonts w:hint="eastAsia" w:ascii="宋体" w:hAnsi="宋体"/>
                <w:color w:val="auto"/>
                <w:szCs w:val="21"/>
              </w:rPr>
              <w:t>6.1</w:t>
            </w:r>
          </w:p>
        </w:tc>
        <w:tc>
          <w:tcPr>
            <w:tcW w:w="8175" w:type="dxa"/>
            <w:tcBorders>
              <w:top w:val="single" w:color="auto" w:sz="4" w:space="0"/>
              <w:left w:val="single" w:color="auto" w:sz="4" w:space="0"/>
              <w:bottom w:val="single" w:color="auto" w:sz="4" w:space="0"/>
              <w:right w:val="single" w:color="auto" w:sz="4" w:space="0"/>
            </w:tcBorders>
            <w:vAlign w:val="center"/>
          </w:tcPr>
          <w:p w14:paraId="1C9A0E76">
            <w:pPr>
              <w:pStyle w:val="14"/>
              <w:spacing w:line="360" w:lineRule="auto"/>
              <w:rPr>
                <w:rFonts w:ascii="宋体" w:hAnsi="宋体"/>
                <w:color w:val="auto"/>
                <w:szCs w:val="21"/>
              </w:rPr>
            </w:pPr>
            <w:r>
              <w:rPr>
                <w:rFonts w:hint="eastAsia" w:ascii="宋体" w:hAnsi="宋体"/>
                <w:color w:val="auto"/>
                <w:szCs w:val="21"/>
              </w:rPr>
              <w:t>本项目是否接受联合体投标：详见招标公告。</w:t>
            </w:r>
          </w:p>
        </w:tc>
      </w:tr>
      <w:tr w14:paraId="4092F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DC09250">
            <w:pPr>
              <w:spacing w:line="360" w:lineRule="auto"/>
              <w:jc w:val="center"/>
              <w:rPr>
                <w:rFonts w:ascii="宋体" w:hAnsi="宋体"/>
                <w:color w:val="auto"/>
                <w:szCs w:val="21"/>
              </w:rPr>
            </w:pPr>
            <w:r>
              <w:rPr>
                <w:rFonts w:hint="eastAsia" w:ascii="宋体" w:hAnsi="宋体"/>
                <w:color w:val="auto"/>
                <w:szCs w:val="21"/>
              </w:rPr>
              <w:t>7.2</w:t>
            </w:r>
          </w:p>
        </w:tc>
        <w:tc>
          <w:tcPr>
            <w:tcW w:w="8175" w:type="dxa"/>
            <w:tcBorders>
              <w:top w:val="single" w:color="auto" w:sz="4" w:space="0"/>
              <w:left w:val="single" w:color="auto" w:sz="4" w:space="0"/>
              <w:bottom w:val="single" w:color="auto" w:sz="4" w:space="0"/>
              <w:right w:val="single" w:color="auto" w:sz="4" w:space="0"/>
            </w:tcBorders>
            <w:vAlign w:val="center"/>
          </w:tcPr>
          <w:p w14:paraId="2FB9CA33">
            <w:pPr>
              <w:pStyle w:val="14"/>
              <w:spacing w:line="360" w:lineRule="auto"/>
              <w:rPr>
                <w:rFonts w:ascii="宋体" w:hAnsi="宋体"/>
                <w:color w:val="auto"/>
                <w:szCs w:val="21"/>
              </w:rPr>
            </w:pPr>
            <w:r>
              <w:rPr>
                <w:rFonts w:hint="eastAsia" w:ascii="宋体" w:hAnsi="宋体"/>
                <w:color w:val="auto"/>
                <w:szCs w:val="21"/>
              </w:rPr>
              <w:t>√不允许分包</w:t>
            </w:r>
          </w:p>
          <w:p w14:paraId="058ED6C8">
            <w:pPr>
              <w:pStyle w:val="14"/>
              <w:spacing w:line="360" w:lineRule="auto"/>
              <w:rPr>
                <w:rFonts w:ascii="宋体" w:hAnsi="宋体"/>
                <w:color w:val="auto"/>
                <w:szCs w:val="21"/>
              </w:rPr>
            </w:pPr>
            <w:r>
              <w:rPr>
                <w:rFonts w:hint="eastAsia" w:ascii="宋体" w:hAnsi="宋体"/>
                <w:color w:val="auto"/>
                <w:szCs w:val="21"/>
              </w:rPr>
              <w:t>□允许分包</w:t>
            </w:r>
          </w:p>
          <w:p w14:paraId="53D25860">
            <w:pPr>
              <w:pStyle w:val="14"/>
              <w:spacing w:line="360" w:lineRule="auto"/>
              <w:rPr>
                <w:rFonts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xml:space="preserve">                    /                 。</w:t>
            </w:r>
          </w:p>
          <w:p w14:paraId="47952AAC">
            <w:pPr>
              <w:pStyle w:val="14"/>
              <w:spacing w:line="360" w:lineRule="auto"/>
              <w:jc w:val="both"/>
              <w:rPr>
                <w:rFonts w:ascii="宋体" w:hAnsi="宋体"/>
                <w:color w:val="auto"/>
                <w:szCs w:val="21"/>
                <w:u w:val="single"/>
              </w:rPr>
            </w:pPr>
            <w:r>
              <w:rPr>
                <w:rFonts w:hint="eastAsia" w:ascii="宋体" w:hAnsi="宋体"/>
                <w:color w:val="auto"/>
                <w:szCs w:val="21"/>
              </w:rPr>
              <w:t>分包金额或者比例：</w:t>
            </w:r>
            <w:r>
              <w:rPr>
                <w:rFonts w:hint="eastAsia" w:ascii="宋体" w:hAnsi="宋体"/>
                <w:color w:val="auto"/>
                <w:szCs w:val="21"/>
                <w:u w:val="single"/>
              </w:rPr>
              <w:t xml:space="preserve">              /                       。</w:t>
            </w:r>
          </w:p>
        </w:tc>
      </w:tr>
      <w:tr w14:paraId="24BD7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60939E35">
            <w:pPr>
              <w:spacing w:line="360" w:lineRule="auto"/>
              <w:jc w:val="center"/>
              <w:rPr>
                <w:rFonts w:ascii="宋体" w:hAnsi="宋体"/>
                <w:color w:val="auto"/>
                <w:szCs w:val="21"/>
              </w:rPr>
            </w:pPr>
            <w:r>
              <w:rPr>
                <w:rFonts w:hint="eastAsia" w:ascii="宋体" w:hAnsi="宋体"/>
                <w:color w:val="auto"/>
                <w:szCs w:val="21"/>
              </w:rPr>
              <w:t>1</w:t>
            </w:r>
            <w:r>
              <w:rPr>
                <w:rFonts w:ascii="宋体" w:hAnsi="宋体"/>
                <w:color w:val="auto"/>
                <w:szCs w:val="21"/>
              </w:rPr>
              <w:t>1.2</w:t>
            </w:r>
          </w:p>
        </w:tc>
        <w:tc>
          <w:tcPr>
            <w:tcW w:w="8175" w:type="dxa"/>
            <w:tcBorders>
              <w:top w:val="single" w:color="auto" w:sz="4" w:space="0"/>
              <w:left w:val="single" w:color="auto" w:sz="4" w:space="0"/>
              <w:bottom w:val="single" w:color="auto" w:sz="4" w:space="0"/>
              <w:right w:val="single" w:color="auto" w:sz="4" w:space="0"/>
            </w:tcBorders>
            <w:vAlign w:val="center"/>
          </w:tcPr>
          <w:p w14:paraId="1A294002">
            <w:pPr>
              <w:snapToGrid w:val="0"/>
              <w:spacing w:line="360" w:lineRule="auto"/>
              <w:rPr>
                <w:rFonts w:ascii="宋体" w:hAnsi="宋体"/>
                <w:color w:val="auto"/>
                <w:szCs w:val="21"/>
              </w:rPr>
            </w:pPr>
            <w:r>
              <w:rPr>
                <w:rFonts w:hint="eastAsia" w:ascii="宋体" w:hAnsi="宋体"/>
                <w:color w:val="auto"/>
                <w:szCs w:val="21"/>
              </w:rPr>
              <w:t>√不组织现场考察</w:t>
            </w:r>
          </w:p>
          <w:p w14:paraId="3B893DA8">
            <w:pPr>
              <w:snapToGrid w:val="0"/>
              <w:spacing w:line="360" w:lineRule="auto"/>
              <w:rPr>
                <w:rFonts w:ascii="宋体" w:hAnsi="宋体"/>
                <w:color w:val="auto"/>
                <w:szCs w:val="21"/>
              </w:rPr>
            </w:pPr>
            <w:r>
              <w:rPr>
                <w:rFonts w:hint="eastAsia" w:ascii="宋体" w:hAnsi="宋体"/>
                <w:color w:val="auto"/>
                <w:szCs w:val="21"/>
              </w:rPr>
              <w:t>□组织现场考察：</w:t>
            </w:r>
          </w:p>
          <w:p w14:paraId="1B0F20F6">
            <w:pPr>
              <w:snapToGrid w:val="0"/>
              <w:spacing w:line="360" w:lineRule="auto"/>
              <w:rPr>
                <w:rFonts w:ascii="宋体" w:hAnsi="宋体"/>
                <w:color w:val="auto"/>
                <w:szCs w:val="21"/>
                <w:u w:val="single"/>
              </w:rPr>
            </w:pPr>
            <w:r>
              <w:rPr>
                <w:rFonts w:hint="eastAsia" w:ascii="宋体" w:hAnsi="宋体"/>
                <w:color w:val="auto"/>
                <w:szCs w:val="21"/>
              </w:rPr>
              <w:t>集中时间：</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 xml:space="preserve">日 </w:t>
            </w:r>
            <w:r>
              <w:rPr>
                <w:rFonts w:hint="eastAsia" w:ascii="宋体" w:hAnsi="宋体"/>
                <w:color w:val="auto"/>
                <w:szCs w:val="21"/>
                <w:u w:val="single"/>
              </w:rPr>
              <w:t xml:space="preserve"> / </w:t>
            </w:r>
            <w:r>
              <w:rPr>
                <w:rFonts w:hint="eastAsia" w:ascii="宋体" w:hAnsi="宋体"/>
                <w:color w:val="auto"/>
                <w:szCs w:val="21"/>
              </w:rPr>
              <w:t>时</w:t>
            </w:r>
            <w:r>
              <w:rPr>
                <w:rFonts w:hint="eastAsia" w:ascii="宋体" w:hAnsi="宋体"/>
                <w:color w:val="auto"/>
                <w:szCs w:val="21"/>
                <w:u w:val="single"/>
              </w:rPr>
              <w:t xml:space="preserve">  / 分</w:t>
            </w:r>
            <w:r>
              <w:rPr>
                <w:rFonts w:hint="eastAsia" w:ascii="宋体" w:hAnsi="宋体"/>
                <w:color w:val="auto"/>
                <w:szCs w:val="21"/>
              </w:rPr>
              <w:t>，逾期后果自负。集中地点：</w:t>
            </w:r>
            <w:r>
              <w:rPr>
                <w:rFonts w:hint="eastAsia" w:ascii="宋体" w:hAnsi="宋体"/>
                <w:color w:val="auto"/>
                <w:szCs w:val="21"/>
                <w:u w:val="single"/>
              </w:rPr>
              <w:t xml:space="preserve"> / </w:t>
            </w:r>
            <w:r>
              <w:rPr>
                <w:rFonts w:ascii="宋体" w:hAnsi="宋体"/>
                <w:color w:val="auto"/>
                <w:szCs w:val="21"/>
                <w:u w:val="single"/>
              </w:rPr>
              <w:t xml:space="preserve">      </w:t>
            </w:r>
          </w:p>
          <w:p w14:paraId="2E70496C">
            <w:pPr>
              <w:snapToGrid w:val="0"/>
              <w:spacing w:line="360" w:lineRule="auto"/>
              <w:rPr>
                <w:rFonts w:ascii="宋体" w:hAnsi="宋体"/>
                <w:color w:val="auto"/>
                <w:szCs w:val="21"/>
              </w:rPr>
            </w:pPr>
            <w:r>
              <w:rPr>
                <w:rFonts w:hint="eastAsia" w:ascii="宋体" w:hAnsi="宋体"/>
                <w:color w:val="auto"/>
                <w:szCs w:val="21"/>
              </w:rPr>
              <w:t>联系人：</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ascii="宋体" w:hAnsi="宋体"/>
                <w:color w:val="auto"/>
                <w:szCs w:val="21"/>
                <w:u w:val="single"/>
              </w:rPr>
              <w:t xml:space="preserve">          </w:t>
            </w:r>
            <w:r>
              <w:rPr>
                <w:rFonts w:hint="eastAsia" w:ascii="宋体" w:hAnsi="宋体"/>
                <w:color w:val="auto"/>
                <w:szCs w:val="21"/>
              </w:rPr>
              <w:t>；联系电话：</w:t>
            </w:r>
            <w:r>
              <w:rPr>
                <w:rFonts w:ascii="宋体" w:hAnsi="宋体"/>
                <w:color w:val="auto"/>
                <w:szCs w:val="21"/>
                <w:u w:val="single"/>
              </w:rPr>
              <w:t xml:space="preserve">    </w:t>
            </w:r>
            <w:r>
              <w:rPr>
                <w:rFonts w:hint="eastAsia" w:ascii="宋体" w:hAnsi="宋体"/>
                <w:color w:val="auto"/>
                <w:szCs w:val="21"/>
                <w:u w:val="single"/>
              </w:rPr>
              <w:t xml:space="preserve"> / </w:t>
            </w:r>
            <w:r>
              <w:rPr>
                <w:rFonts w:ascii="宋体" w:hAnsi="宋体"/>
                <w:color w:val="auto"/>
                <w:szCs w:val="21"/>
                <w:u w:val="single"/>
              </w:rPr>
              <w:t xml:space="preserve">            </w:t>
            </w:r>
          </w:p>
        </w:tc>
      </w:tr>
      <w:tr w14:paraId="0F458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135A0A9C">
            <w:pPr>
              <w:spacing w:line="360" w:lineRule="auto"/>
              <w:jc w:val="center"/>
              <w:rPr>
                <w:rFonts w:ascii="宋体" w:hAnsi="宋体"/>
                <w:color w:val="auto"/>
                <w:szCs w:val="21"/>
              </w:rPr>
            </w:pPr>
          </w:p>
        </w:tc>
        <w:tc>
          <w:tcPr>
            <w:tcW w:w="8175" w:type="dxa"/>
            <w:tcBorders>
              <w:top w:val="single" w:color="auto" w:sz="4" w:space="0"/>
              <w:left w:val="single" w:color="auto" w:sz="4" w:space="0"/>
              <w:bottom w:val="single" w:color="auto" w:sz="4" w:space="0"/>
              <w:right w:val="single" w:color="auto" w:sz="4" w:space="0"/>
            </w:tcBorders>
            <w:vAlign w:val="center"/>
          </w:tcPr>
          <w:p w14:paraId="0055B255">
            <w:pPr>
              <w:snapToGrid w:val="0"/>
              <w:spacing w:line="360" w:lineRule="auto"/>
              <w:rPr>
                <w:rFonts w:ascii="宋体" w:hAnsi="宋体"/>
                <w:color w:val="auto"/>
                <w:szCs w:val="21"/>
              </w:rPr>
            </w:pPr>
            <w:r>
              <w:rPr>
                <w:rFonts w:hint="eastAsia" w:ascii="宋体" w:hAnsi="宋体"/>
                <w:color w:val="auto"/>
                <w:szCs w:val="21"/>
              </w:rPr>
              <w:t>√不组织召开开标前答疑会</w:t>
            </w:r>
          </w:p>
          <w:p w14:paraId="72A70812">
            <w:pPr>
              <w:snapToGrid w:val="0"/>
              <w:spacing w:line="360" w:lineRule="auto"/>
              <w:rPr>
                <w:rFonts w:ascii="宋体" w:hAnsi="宋体"/>
                <w:color w:val="auto"/>
                <w:szCs w:val="21"/>
              </w:rPr>
            </w:pPr>
            <w:r>
              <w:rPr>
                <w:rFonts w:hint="eastAsia" w:ascii="宋体" w:hAnsi="宋体"/>
                <w:color w:val="auto"/>
                <w:szCs w:val="21"/>
              </w:rPr>
              <w:t>□组织召开开标前答疑会</w:t>
            </w:r>
          </w:p>
          <w:p w14:paraId="0CED864A">
            <w:pPr>
              <w:snapToGrid w:val="0"/>
              <w:spacing w:line="360" w:lineRule="auto"/>
              <w:rPr>
                <w:rFonts w:ascii="宋体" w:hAnsi="宋体"/>
                <w:color w:val="auto"/>
                <w:szCs w:val="21"/>
              </w:rPr>
            </w:pPr>
            <w:r>
              <w:rPr>
                <w:rFonts w:hint="eastAsia" w:ascii="宋体" w:hAnsi="宋体"/>
                <w:color w:val="auto"/>
                <w:szCs w:val="21"/>
              </w:rPr>
              <w:t>会议开始时间：</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 xml:space="preserve">日 </w:t>
            </w:r>
            <w:r>
              <w:rPr>
                <w:rFonts w:hint="eastAsia" w:ascii="宋体" w:hAnsi="宋体"/>
                <w:color w:val="auto"/>
                <w:szCs w:val="21"/>
                <w:u w:val="single"/>
              </w:rPr>
              <w:t xml:space="preserve"> / </w:t>
            </w:r>
            <w:r>
              <w:rPr>
                <w:rFonts w:hint="eastAsia" w:ascii="宋体" w:hAnsi="宋体"/>
                <w:color w:val="auto"/>
                <w:szCs w:val="21"/>
              </w:rPr>
              <w:t>时</w:t>
            </w:r>
            <w:r>
              <w:rPr>
                <w:rFonts w:hint="eastAsia" w:ascii="宋体" w:hAnsi="宋体"/>
                <w:color w:val="auto"/>
                <w:szCs w:val="21"/>
                <w:u w:val="single"/>
              </w:rPr>
              <w:t xml:space="preserve"> / 分</w:t>
            </w:r>
            <w:r>
              <w:rPr>
                <w:rFonts w:hint="eastAsia" w:ascii="宋体" w:hAnsi="宋体"/>
                <w:color w:val="auto"/>
                <w:szCs w:val="21"/>
              </w:rPr>
              <w:t>，逾期后果自负。会议地点：</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p>
        </w:tc>
      </w:tr>
      <w:tr w14:paraId="52C86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7A744D12">
            <w:pPr>
              <w:spacing w:line="360" w:lineRule="auto"/>
              <w:jc w:val="center"/>
              <w:rPr>
                <w:rFonts w:ascii="宋体" w:hAnsi="宋体"/>
                <w:color w:val="auto"/>
                <w:szCs w:val="21"/>
              </w:rPr>
            </w:pPr>
            <w:bookmarkStart w:id="46" w:name="_13.1"/>
            <w:bookmarkEnd w:id="46"/>
            <w:r>
              <w:rPr>
                <w:rFonts w:hint="eastAsia" w:ascii="宋体" w:hAnsi="宋体"/>
                <w:color w:val="auto"/>
                <w:szCs w:val="21"/>
              </w:rPr>
              <w:t>13</w:t>
            </w:r>
          </w:p>
        </w:tc>
        <w:tc>
          <w:tcPr>
            <w:tcW w:w="8175" w:type="dxa"/>
            <w:tcBorders>
              <w:top w:val="single" w:color="auto" w:sz="4" w:space="0"/>
              <w:left w:val="single" w:color="auto" w:sz="4" w:space="0"/>
              <w:bottom w:val="single" w:color="auto" w:sz="4" w:space="0"/>
              <w:right w:val="single" w:color="auto" w:sz="4" w:space="0"/>
            </w:tcBorders>
            <w:vAlign w:val="center"/>
          </w:tcPr>
          <w:p w14:paraId="5ABD94F6">
            <w:pPr>
              <w:snapToGrid w:val="0"/>
              <w:spacing w:line="360" w:lineRule="auto"/>
              <w:jc w:val="left"/>
              <w:rPr>
                <w:rFonts w:ascii="宋体" w:hAnsi="宋体" w:cs="Courier New"/>
                <w:b/>
                <w:color w:val="auto"/>
                <w:szCs w:val="21"/>
              </w:rPr>
            </w:pPr>
            <w:r>
              <w:rPr>
                <w:rFonts w:hint="eastAsia" w:ascii="宋体" w:hAnsi="宋体" w:cs="Courier New"/>
                <w:b/>
                <w:color w:val="auto"/>
                <w:szCs w:val="21"/>
              </w:rPr>
              <w:t>报价文件：</w:t>
            </w:r>
          </w:p>
          <w:p w14:paraId="36089116">
            <w:pPr>
              <w:tabs>
                <w:tab w:val="left" w:pos="15"/>
              </w:tabs>
              <w:snapToGrid w:val="0"/>
              <w:spacing w:line="360" w:lineRule="auto"/>
              <w:ind w:left="15" w:firstLine="401" w:firstLineChars="191"/>
              <w:jc w:val="left"/>
              <w:rPr>
                <w:rFonts w:ascii="宋体" w:hAnsi="宋体"/>
                <w:b/>
                <w:bCs/>
                <w:color w:val="auto"/>
                <w:szCs w:val="21"/>
              </w:rPr>
            </w:pPr>
            <w:r>
              <w:rPr>
                <w:rFonts w:hint="eastAsia" w:ascii="宋体" w:hAnsi="宋体"/>
                <w:color w:val="auto"/>
                <w:szCs w:val="21"/>
              </w:rPr>
              <w:t>1.投标函（格式后附）；</w:t>
            </w:r>
            <w:r>
              <w:rPr>
                <w:rFonts w:hint="eastAsia" w:ascii="宋体" w:hAnsi="宋体"/>
                <w:b/>
                <w:bCs/>
                <w:color w:val="auto"/>
                <w:szCs w:val="21"/>
              </w:rPr>
              <w:t>（必须提供，否则按无效投标处理）</w:t>
            </w:r>
          </w:p>
          <w:p w14:paraId="01B2CC2B">
            <w:pPr>
              <w:tabs>
                <w:tab w:val="left" w:pos="15"/>
              </w:tabs>
              <w:snapToGrid w:val="0"/>
              <w:spacing w:line="360" w:lineRule="auto"/>
              <w:ind w:left="15" w:firstLine="401" w:firstLineChars="191"/>
              <w:jc w:val="left"/>
              <w:rPr>
                <w:rFonts w:ascii="宋体" w:hAnsi="宋体"/>
                <w:b/>
                <w:bCs/>
                <w:color w:val="auto"/>
                <w:szCs w:val="21"/>
              </w:rPr>
            </w:pPr>
            <w:r>
              <w:rPr>
                <w:rFonts w:hint="eastAsia" w:ascii="宋体" w:hAnsi="宋体"/>
                <w:color w:val="auto"/>
                <w:szCs w:val="21"/>
              </w:rPr>
              <w:t>2.开标一览表（格式后附）；</w:t>
            </w:r>
            <w:r>
              <w:rPr>
                <w:rFonts w:hint="eastAsia" w:ascii="宋体" w:hAnsi="宋体"/>
                <w:b/>
                <w:bCs/>
                <w:color w:val="auto"/>
                <w:szCs w:val="21"/>
              </w:rPr>
              <w:t xml:space="preserve"> （必须提供，否则按无效投标处理）</w:t>
            </w:r>
          </w:p>
          <w:p w14:paraId="434F3290">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3.供应商享受中小企业扶持政策的材料（供应商根据自身响应情况，提供以下任意一项材料以证明自身可享受中小企业扶持政策）：</w:t>
            </w:r>
          </w:p>
          <w:p w14:paraId="505386D8">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（1）《中小企业声明函》（格式后附）；</w:t>
            </w:r>
          </w:p>
          <w:p w14:paraId="2F68F6B8">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（2）《残疾人福利性单位声明函》（格式后附）</w:t>
            </w:r>
          </w:p>
          <w:p w14:paraId="68CDBA0C">
            <w:pPr>
              <w:tabs>
                <w:tab w:val="left" w:pos="459"/>
              </w:tabs>
              <w:snapToGrid w:val="0"/>
              <w:spacing w:line="360" w:lineRule="auto"/>
              <w:ind w:left="420"/>
              <w:jc w:val="left"/>
              <w:rPr>
                <w:rFonts w:ascii="宋体" w:hAnsi="宋体"/>
                <w:i/>
                <w:color w:val="auto"/>
                <w:szCs w:val="21"/>
              </w:rPr>
            </w:pPr>
            <w:r>
              <w:rPr>
                <w:rFonts w:hint="eastAsia" w:ascii="宋体" w:hAnsi="宋体"/>
                <w:color w:val="auto"/>
                <w:szCs w:val="21"/>
              </w:rPr>
              <w:t xml:space="preserve">（3）省级以上监狱管理局、戒毒管理局(含新疆生产建设兵团)出具的属于监狱企业的证明文件； </w:t>
            </w:r>
          </w:p>
          <w:p w14:paraId="376749F5">
            <w:pPr>
              <w:tabs>
                <w:tab w:val="left" w:pos="459"/>
              </w:tabs>
              <w:snapToGrid w:val="0"/>
              <w:spacing w:line="360" w:lineRule="auto"/>
              <w:ind w:left="420"/>
              <w:jc w:val="left"/>
              <w:rPr>
                <w:rFonts w:ascii="宋体" w:hAnsi="宋体"/>
                <w:color w:val="auto"/>
                <w:szCs w:val="21"/>
              </w:rPr>
            </w:pPr>
            <w:r>
              <w:rPr>
                <w:rFonts w:ascii="宋体" w:hAnsi="宋体"/>
                <w:color w:val="auto"/>
                <w:szCs w:val="21"/>
              </w:rPr>
              <w:t>4</w:t>
            </w:r>
            <w:r>
              <w:rPr>
                <w:rFonts w:hint="eastAsia" w:ascii="宋体" w:hAnsi="宋体"/>
                <w:color w:val="auto"/>
                <w:szCs w:val="21"/>
              </w:rPr>
              <w:t>.《关于符合本国产品标准的声明函》或者财政部会同有关部门规定的有关证明文件；（供应商根据自身响应情况出具）</w:t>
            </w:r>
          </w:p>
          <w:p w14:paraId="108D0F8D">
            <w:pPr>
              <w:tabs>
                <w:tab w:val="left" w:pos="15"/>
              </w:tabs>
              <w:snapToGrid w:val="0"/>
              <w:spacing w:line="360" w:lineRule="auto"/>
              <w:ind w:left="15" w:firstLine="401" w:firstLineChars="191"/>
              <w:jc w:val="left"/>
              <w:rPr>
                <w:rFonts w:ascii="宋体" w:hAnsi="宋体"/>
                <w:color w:val="auto"/>
                <w:szCs w:val="21"/>
              </w:rPr>
            </w:pPr>
            <w:r>
              <w:rPr>
                <w:rFonts w:hint="eastAsia" w:ascii="宋体" w:hAnsi="宋体"/>
                <w:color w:val="auto"/>
                <w:szCs w:val="21"/>
              </w:rPr>
              <w:t>5.投标人针对报价需要说明的其他文件和说明（格式自拟）。</w:t>
            </w:r>
          </w:p>
          <w:p w14:paraId="0E9A5C02">
            <w:pPr>
              <w:tabs>
                <w:tab w:val="left" w:pos="15"/>
              </w:tabs>
              <w:snapToGrid w:val="0"/>
              <w:spacing w:line="360" w:lineRule="auto"/>
              <w:ind w:left="15" w:firstLine="403" w:firstLineChars="191"/>
              <w:jc w:val="left"/>
              <w:rPr>
                <w:rFonts w:ascii="宋体" w:hAnsi="宋体"/>
                <w:color w:val="auto"/>
                <w:szCs w:val="21"/>
              </w:rPr>
            </w:pPr>
            <w:r>
              <w:rPr>
                <w:rFonts w:hint="eastAsia" w:ascii="宋体" w:hAnsi="宋体"/>
                <w:b/>
                <w:bCs/>
                <w:color w:val="auto"/>
                <w:szCs w:val="21"/>
              </w:rPr>
              <w:t>注：以上标明“必须提供”的材料，格式中有要求法定代表人或者委托代理人签字的，必须按要求签字并加盖投标人电子签章，否则按无效投标处理。</w:t>
            </w:r>
          </w:p>
        </w:tc>
      </w:tr>
      <w:tr w14:paraId="13568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6DFD17C9">
            <w:pPr>
              <w:spacing w:line="360" w:lineRule="auto"/>
              <w:rPr>
                <w:rFonts w:ascii="宋体" w:hAnsi="宋体"/>
                <w:color w:val="auto"/>
                <w:szCs w:val="21"/>
              </w:rPr>
            </w:pPr>
            <w:bookmarkStart w:id="47" w:name="_13.2"/>
            <w:bookmarkEnd w:id="47"/>
          </w:p>
        </w:tc>
        <w:tc>
          <w:tcPr>
            <w:tcW w:w="8175" w:type="dxa"/>
            <w:tcBorders>
              <w:top w:val="single" w:color="auto" w:sz="4" w:space="0"/>
              <w:left w:val="single" w:color="auto" w:sz="4" w:space="0"/>
              <w:bottom w:val="single" w:color="auto" w:sz="4" w:space="0"/>
              <w:right w:val="single" w:color="auto" w:sz="4" w:space="0"/>
            </w:tcBorders>
            <w:vAlign w:val="center"/>
          </w:tcPr>
          <w:p w14:paraId="2186610C">
            <w:pPr>
              <w:adjustRightInd w:val="0"/>
              <w:snapToGrid w:val="0"/>
              <w:spacing w:line="360" w:lineRule="auto"/>
              <w:jc w:val="left"/>
              <w:rPr>
                <w:rFonts w:ascii="宋体" w:hAnsi="宋体" w:cs="Courier New"/>
                <w:b/>
                <w:color w:val="auto"/>
                <w:szCs w:val="21"/>
              </w:rPr>
            </w:pPr>
            <w:r>
              <w:rPr>
                <w:rFonts w:hint="eastAsia" w:ascii="宋体" w:hAnsi="宋体" w:cs="Courier New"/>
                <w:b/>
                <w:color w:val="auto"/>
                <w:szCs w:val="21"/>
              </w:rPr>
              <w:t>资格证明文件</w:t>
            </w:r>
          </w:p>
          <w:p w14:paraId="3B45D9E8">
            <w:pPr>
              <w:adjustRightInd w:val="0"/>
              <w:snapToGrid w:val="0"/>
              <w:spacing w:line="440" w:lineRule="exact"/>
              <w:ind w:firstLine="420" w:firstLineChars="200"/>
              <w:jc w:val="left"/>
              <w:rPr>
                <w:rFonts w:ascii="宋体" w:hAnsi="宋体" w:cs="Courier New"/>
                <w:b/>
                <w:color w:val="auto"/>
                <w:szCs w:val="21"/>
              </w:rPr>
            </w:pPr>
            <w:r>
              <w:rPr>
                <w:rFonts w:hint="eastAsia" w:ascii="宋体" w:hAnsi="宋体"/>
                <w:color w:val="auto"/>
                <w:szCs w:val="21"/>
              </w:rPr>
              <w:t>1.投标人为法人或者其他组织的，提供营业执照等证明文件</w:t>
            </w:r>
            <w:r>
              <w:rPr>
                <w:rFonts w:hint="eastAsia" w:ascii="宋体" w:hAnsi="宋体" w:cs="宋体"/>
                <w:color w:val="auto"/>
                <w:szCs w:val="21"/>
              </w:rPr>
              <w:t>（如营业执照或者事业单位法人证书或者</w:t>
            </w:r>
            <w:r>
              <w:rPr>
                <w:rStyle w:val="83"/>
                <w:color w:val="auto"/>
                <w:sz w:val="21"/>
                <w:szCs w:val="21"/>
              </w:rPr>
              <w:t>执业许可证</w:t>
            </w:r>
            <w:r>
              <w:rPr>
                <w:rFonts w:hint="eastAsia" w:ascii="宋体" w:hAnsi="宋体" w:cs="宋体"/>
                <w:color w:val="auto"/>
                <w:szCs w:val="21"/>
              </w:rPr>
              <w:t>或者登记证书等）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01C57D3D">
            <w:pPr>
              <w:adjustRightInd w:val="0"/>
              <w:snapToGrid w:val="0"/>
              <w:spacing w:line="440" w:lineRule="exact"/>
              <w:ind w:firstLine="420" w:firstLineChars="200"/>
              <w:jc w:val="left"/>
              <w:rPr>
                <w:rFonts w:ascii="宋体" w:hAnsi="宋体" w:cs="Courier New"/>
                <w:b/>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9</w:t>
            </w:r>
            <w:r>
              <w:rPr>
                <w:rFonts w:hint="eastAsia" w:ascii="宋体" w:hAnsi="宋体" w:cs="宋体"/>
                <w:color w:val="auto"/>
                <w:szCs w:val="21"/>
              </w:rPr>
              <w:t>月至</w:t>
            </w:r>
            <w:r>
              <w:rPr>
                <w:rFonts w:hint="eastAsia" w:ascii="宋体" w:hAnsi="宋体" w:cs="宋体"/>
                <w:color w:val="auto"/>
                <w:szCs w:val="21"/>
                <w:u w:val="single"/>
              </w:rPr>
              <w:t>2026</w:t>
            </w:r>
            <w:r>
              <w:rPr>
                <w:rFonts w:hint="eastAsia" w:ascii="宋体" w:hAnsi="宋体" w:cs="宋体"/>
                <w:color w:val="auto"/>
                <w:szCs w:val="21"/>
              </w:rPr>
              <w:t>年</w:t>
            </w:r>
            <w:r>
              <w:rPr>
                <w:rFonts w:hint="eastAsia" w:ascii="宋体" w:hAnsi="宋体" w:cs="宋体"/>
                <w:color w:val="auto"/>
                <w:szCs w:val="21"/>
                <w:u w:val="single"/>
              </w:rPr>
              <w:t>2</w:t>
            </w:r>
            <w:r>
              <w:rPr>
                <w:rFonts w:hint="eastAsia" w:ascii="宋体" w:hAnsi="宋体" w:cs="宋体"/>
                <w:color w:val="auto"/>
                <w:szCs w:val="21"/>
              </w:rPr>
              <w:t>月内连续</w:t>
            </w:r>
            <w:r>
              <w:rPr>
                <w:rFonts w:hint="eastAsia" w:ascii="宋体" w:hAnsi="宋体" w:cs="宋体"/>
                <w:color w:val="auto"/>
                <w:szCs w:val="21"/>
                <w:u w:val="single"/>
              </w:rPr>
              <w:t>3</w:t>
            </w:r>
            <w:r>
              <w:rPr>
                <w:rFonts w:hint="eastAsia" w:ascii="宋体" w:hAnsi="宋体" w:cs="宋体"/>
                <w:color w:val="auto"/>
                <w:szCs w:val="21"/>
              </w:rPr>
              <w:t>个月的依法缴纳税收的</w:t>
            </w:r>
            <w:r>
              <w:rPr>
                <w:rFonts w:hint="eastAsia"/>
                <w:color w:val="auto"/>
                <w:szCs w:val="21"/>
              </w:rPr>
              <w:t>证明材料</w:t>
            </w:r>
            <w:r>
              <w:rPr>
                <w:rFonts w:hint="eastAsia" w:ascii="宋体" w:hAnsi="宋体" w:cs="宋体"/>
                <w:color w:val="auto"/>
                <w:szCs w:val="21"/>
              </w:rPr>
              <w:t>复印件；</w:t>
            </w:r>
            <w:r>
              <w:rPr>
                <w:rFonts w:hint="eastAsia" w:ascii="宋体" w:hAnsi="宋体"/>
                <w:color w:val="auto"/>
                <w:szCs w:val="21"/>
              </w:rPr>
              <w:t>依法免税的供应商，</w:t>
            </w:r>
            <w:r>
              <w:rPr>
                <w:rFonts w:hint="eastAsia"/>
                <w:color w:val="auto"/>
                <w:szCs w:val="21"/>
              </w:rPr>
              <w:t>必须提供符合免税条件的证明材料</w:t>
            </w:r>
            <w:r>
              <w:rPr>
                <w:rFonts w:hint="eastAsia" w:ascii="宋体" w:hAnsi="宋体"/>
                <w:color w:val="auto"/>
                <w:szCs w:val="21"/>
              </w:rPr>
              <w:t>。</w:t>
            </w:r>
            <w:r>
              <w:rPr>
                <w:rFonts w:hint="eastAsia" w:ascii="宋体" w:hAnsi="宋体" w:cs="宋体"/>
                <w:color w:val="auto"/>
                <w:szCs w:val="21"/>
              </w:rPr>
              <w:t>从</w:t>
            </w:r>
            <w:r>
              <w:rPr>
                <w:rFonts w:hint="eastAsia"/>
                <w:color w:val="auto"/>
                <w:szCs w:val="21"/>
              </w:rPr>
              <w:t>成立之日</w:t>
            </w:r>
            <w:r>
              <w:rPr>
                <w:rFonts w:hint="eastAsia" w:ascii="宋体" w:hAnsi="宋体" w:cs="宋体"/>
                <w:color w:val="auto"/>
                <w:szCs w:val="21"/>
              </w:rPr>
              <w:t>起到投标文件提交截止时间止不足要求月数的，只需提供从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10624C7A">
            <w:pPr>
              <w:adjustRightInd w:val="0"/>
              <w:snapToGrid w:val="0"/>
              <w:spacing w:line="440" w:lineRule="exact"/>
              <w:ind w:firstLine="420" w:firstLineChars="200"/>
              <w:jc w:val="left"/>
              <w:rPr>
                <w:rFonts w:ascii="宋体" w:hAnsi="宋体" w:cs="Courier New"/>
                <w:b/>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9</w:t>
            </w:r>
            <w:r>
              <w:rPr>
                <w:rFonts w:hint="eastAsia" w:ascii="宋体" w:hAnsi="宋体" w:cs="宋体"/>
                <w:color w:val="auto"/>
                <w:szCs w:val="21"/>
              </w:rPr>
              <w:t>月至</w:t>
            </w:r>
            <w:r>
              <w:rPr>
                <w:rFonts w:hint="eastAsia" w:ascii="宋体" w:hAnsi="宋体" w:cs="宋体"/>
                <w:color w:val="auto"/>
                <w:szCs w:val="21"/>
                <w:u w:val="single"/>
              </w:rPr>
              <w:t>2026</w:t>
            </w:r>
            <w:r>
              <w:rPr>
                <w:rFonts w:hint="eastAsia" w:ascii="宋体" w:hAnsi="宋体" w:cs="宋体"/>
                <w:color w:val="auto"/>
                <w:szCs w:val="21"/>
              </w:rPr>
              <w:t>年</w:t>
            </w:r>
            <w:r>
              <w:rPr>
                <w:rFonts w:hint="eastAsia" w:ascii="宋体" w:hAnsi="宋体" w:cs="宋体"/>
                <w:color w:val="auto"/>
                <w:szCs w:val="21"/>
                <w:u w:val="single"/>
              </w:rPr>
              <w:t>2</w:t>
            </w:r>
            <w:r>
              <w:rPr>
                <w:rFonts w:hint="eastAsia" w:ascii="宋体" w:hAnsi="宋体" w:cs="宋体"/>
                <w:color w:val="auto"/>
                <w:szCs w:val="21"/>
              </w:rPr>
              <w:t>月内连续</w:t>
            </w:r>
            <w:r>
              <w:rPr>
                <w:rFonts w:hint="eastAsia" w:ascii="宋体" w:hAnsi="宋体" w:cs="宋体"/>
                <w:color w:val="auto"/>
                <w:szCs w:val="21"/>
                <w:u w:val="single"/>
              </w:rPr>
              <w:t>3</w:t>
            </w:r>
            <w:r>
              <w:rPr>
                <w:rFonts w:hint="eastAsia" w:ascii="宋体" w:hAnsi="宋体" w:cs="宋体"/>
                <w:color w:val="auto"/>
                <w:szCs w:val="21"/>
              </w:rPr>
              <w:t>个月的依法缴纳社会保障资金的缴费</w:t>
            </w:r>
            <w:r>
              <w:rPr>
                <w:rFonts w:hint="eastAsia"/>
                <w:color w:val="auto"/>
                <w:szCs w:val="21"/>
              </w:rPr>
              <w:t>证明材料</w:t>
            </w:r>
            <w:r>
              <w:rPr>
                <w:rFonts w:hint="eastAsia" w:ascii="宋体" w:hAnsi="宋体" w:cs="宋体"/>
                <w:color w:val="auto"/>
                <w:szCs w:val="21"/>
              </w:rPr>
              <w:t>（</w:t>
            </w:r>
            <w:r>
              <w:rPr>
                <w:rFonts w:hint="eastAsia"/>
                <w:color w:val="auto"/>
                <w:szCs w:val="21"/>
              </w:rPr>
              <w:t>如：</w:t>
            </w:r>
            <w:r>
              <w:rPr>
                <w:rFonts w:hint="eastAsia" w:ascii="宋体" w:hAnsi="宋体" w:cs="宋体"/>
                <w:color w:val="auto"/>
                <w:szCs w:val="21"/>
              </w:rPr>
              <w:t>专用收据、社会保险缴纳清单或者社保部门的证明）复印件；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w:t>
            </w:r>
            <w:r>
              <w:rPr>
                <w:rFonts w:hint="eastAsia"/>
                <w:color w:val="auto"/>
                <w:szCs w:val="21"/>
              </w:rPr>
              <w:t>成立之日起</w:t>
            </w:r>
            <w:r>
              <w:rPr>
                <w:rFonts w:hint="eastAsia" w:ascii="宋体" w:hAnsi="宋体" w:cs="宋体"/>
                <w:color w:val="auto"/>
                <w:szCs w:val="21"/>
              </w:rPr>
              <w:t>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261CAA75">
            <w:pPr>
              <w:adjustRightInd w:val="0"/>
              <w:snapToGrid w:val="0"/>
              <w:spacing w:line="440" w:lineRule="exact"/>
              <w:ind w:firstLine="420" w:firstLineChars="200"/>
              <w:jc w:val="left"/>
              <w:rPr>
                <w:rFonts w:ascii="宋体" w:hAnsi="宋体" w:cs="Courier New"/>
                <w:b/>
                <w:color w:val="auto"/>
                <w:szCs w:val="21"/>
              </w:rPr>
            </w:pPr>
            <w:r>
              <w:rPr>
                <w:rFonts w:hint="eastAsia" w:ascii="宋体" w:hAnsi="宋体" w:cs="宋体"/>
                <w:color w:val="auto"/>
                <w:szCs w:val="21"/>
              </w:rPr>
              <w:t>4.投标人</w:t>
            </w:r>
            <w:r>
              <w:rPr>
                <w:rFonts w:hint="eastAsia"/>
                <w:color w:val="auto"/>
                <w:szCs w:val="21"/>
              </w:rPr>
              <w:t>财务状况报告（</w:t>
            </w:r>
            <w:r>
              <w:rPr>
                <w:rFonts w:hint="eastAsia" w:ascii="宋体" w:hAnsi="宋体"/>
                <w:color w:val="auto"/>
                <w:szCs w:val="21"/>
                <w:u w:val="single"/>
              </w:rPr>
              <w:t>2024年</w:t>
            </w:r>
            <w:r>
              <w:rPr>
                <w:rFonts w:hint="eastAsia"/>
                <w:color w:val="auto"/>
                <w:szCs w:val="21"/>
              </w:rPr>
              <w:t>或</w:t>
            </w:r>
            <w:r>
              <w:rPr>
                <w:rFonts w:hint="eastAsia" w:ascii="宋体" w:hAnsi="宋体"/>
                <w:color w:val="auto"/>
                <w:szCs w:val="21"/>
                <w:u w:val="single"/>
              </w:rPr>
              <w:t>2025</w:t>
            </w:r>
            <w:r>
              <w:rPr>
                <w:rFonts w:hint="eastAsia"/>
                <w:color w:val="auto"/>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color w:val="auto"/>
                <w:szCs w:val="21"/>
              </w:rPr>
              <w:t>投标人属于成立时间在规定年度之后的法人或其他组织，</w:t>
            </w:r>
            <w:r>
              <w:rPr>
                <w:rFonts w:hint="eastAsia"/>
                <w:color w:val="auto"/>
                <w:szCs w:val="21"/>
              </w:rPr>
              <w:t>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34C41595">
            <w:pPr>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5.投标人直接控股信息表（格式后附）；（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617CCF1E">
            <w:pPr>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rPr>
              <w:t>6.投标人直接管理关系信息表（格式后附）；（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0C229183">
            <w:pPr>
              <w:adjustRightInd w:val="0"/>
              <w:snapToGrid w:val="0"/>
              <w:spacing w:line="440" w:lineRule="exact"/>
              <w:ind w:firstLine="420" w:firstLineChars="200"/>
              <w:jc w:val="left"/>
              <w:rPr>
                <w:rFonts w:hint="eastAsia" w:ascii="宋体" w:hAnsi="宋体"/>
                <w:color w:val="auto"/>
                <w:szCs w:val="21"/>
              </w:rPr>
            </w:pPr>
            <w:r>
              <w:rPr>
                <w:rFonts w:hint="eastAsia" w:ascii="宋体" w:hAnsi="宋体"/>
                <w:color w:val="auto"/>
                <w:szCs w:val="21"/>
              </w:rPr>
              <w:t>7.投标声明（格式后附）；（</w:t>
            </w:r>
            <w:r>
              <w:rPr>
                <w:rFonts w:hint="eastAsia" w:ascii="宋体" w:hAnsi="宋体"/>
                <w:b/>
                <w:color w:val="auto"/>
                <w:szCs w:val="21"/>
              </w:rPr>
              <w:t>必须提供，否则按无效投标处理</w:t>
            </w:r>
            <w:r>
              <w:rPr>
                <w:rFonts w:hint="eastAsia" w:ascii="宋体" w:hAnsi="宋体"/>
                <w:color w:val="auto"/>
                <w:szCs w:val="21"/>
              </w:rPr>
              <w:t>）</w:t>
            </w:r>
          </w:p>
          <w:p w14:paraId="327D92C2">
            <w:pPr>
              <w:adjustRightInd w:val="0"/>
              <w:snapToGrid w:val="0"/>
              <w:spacing w:line="440" w:lineRule="exact"/>
              <w:ind w:firstLine="420" w:firstLineChars="200"/>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SA"/>
              </w:rPr>
              <w:t>8.无违法违纪记录承诺</w:t>
            </w:r>
            <w:r>
              <w:rPr>
                <w:rFonts w:hint="eastAsia" w:ascii="宋体" w:hAnsi="宋体" w:cs="Times New Roman"/>
                <w:color w:val="auto"/>
                <w:kern w:val="2"/>
                <w:sz w:val="21"/>
                <w:szCs w:val="21"/>
                <w:lang w:val="en-US" w:eastAsia="zh-CN" w:bidi="ar-SA"/>
              </w:rPr>
              <w:t>函</w:t>
            </w:r>
            <w:r>
              <w:rPr>
                <w:rFonts w:hint="eastAsia" w:ascii="宋体" w:hAnsi="宋体"/>
                <w:color w:val="auto"/>
                <w:szCs w:val="21"/>
              </w:rPr>
              <w:t>（格式后附）；（</w:t>
            </w:r>
            <w:r>
              <w:rPr>
                <w:rFonts w:hint="eastAsia" w:ascii="宋体" w:hAnsi="宋体"/>
                <w:b/>
                <w:color w:val="auto"/>
                <w:szCs w:val="21"/>
              </w:rPr>
              <w:t>必须提供，否则按无效投标处理</w:t>
            </w:r>
            <w:r>
              <w:rPr>
                <w:rFonts w:hint="eastAsia" w:ascii="宋体" w:hAnsi="宋体"/>
                <w:color w:val="auto"/>
                <w:szCs w:val="21"/>
              </w:rPr>
              <w:t>）</w:t>
            </w:r>
          </w:p>
          <w:p w14:paraId="2534F960">
            <w:pPr>
              <w:adjustRightInd w:val="0"/>
              <w:snapToGrid w:val="0"/>
              <w:spacing w:line="440" w:lineRule="exact"/>
              <w:ind w:firstLine="420" w:firstLineChars="200"/>
              <w:jc w:val="left"/>
              <w:rPr>
                <w:rFonts w:ascii="宋体" w:hAnsi="宋体" w:cs="Courier New"/>
                <w:b/>
                <w:color w:val="auto"/>
                <w:szCs w:val="21"/>
              </w:rPr>
            </w:pPr>
            <w:r>
              <w:rPr>
                <w:rFonts w:hint="eastAsia" w:ascii="宋体" w:hAnsi="宋体"/>
                <w:color w:val="auto"/>
                <w:szCs w:val="21"/>
                <w:lang w:val="en-US" w:eastAsia="zh-CN"/>
              </w:rPr>
              <w:t>9</w:t>
            </w:r>
            <w:r>
              <w:rPr>
                <w:rFonts w:hint="eastAsia" w:ascii="宋体" w:hAnsi="宋体"/>
                <w:color w:val="auto"/>
                <w:szCs w:val="21"/>
              </w:rPr>
              <w:t>.联合体协议书（格式后附）；（</w:t>
            </w:r>
            <w:r>
              <w:rPr>
                <w:rFonts w:hint="eastAsia" w:ascii="宋体" w:hAnsi="宋体"/>
                <w:b/>
                <w:color w:val="auto"/>
                <w:szCs w:val="21"/>
              </w:rPr>
              <w:t>联合体投标时必须提供，否则按无效投标处理</w:t>
            </w:r>
            <w:r>
              <w:rPr>
                <w:rFonts w:hint="eastAsia" w:ascii="宋体" w:hAnsi="宋体"/>
                <w:color w:val="auto"/>
                <w:szCs w:val="21"/>
              </w:rPr>
              <w:t>）</w:t>
            </w:r>
          </w:p>
          <w:p w14:paraId="7C4FA6D9">
            <w:pPr>
              <w:adjustRightInd w:val="0"/>
              <w:snapToGrid w:val="0"/>
              <w:spacing w:line="440" w:lineRule="exact"/>
              <w:ind w:firstLine="420" w:firstLineChars="200"/>
              <w:jc w:val="left"/>
              <w:rPr>
                <w:rFonts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供应商为中小微企业或者监狱企业或者残疾人福利性单位的资格证明材料[供应商为中小微企业的应提供《中小企业声明函》；供应商为残疾人福利性单位的应提供《残疾人福利性单位声明函》；供应商为监狱企业的应当提供由省级以上监狱管理局、戒毒管理局（含新疆生产建设兵团）出具的属于监狱企业的证明文件]（声明函格式后附）（</w:t>
            </w:r>
            <w:r>
              <w:rPr>
                <w:rFonts w:hint="eastAsia" w:ascii="宋体" w:hAnsi="宋体"/>
                <w:b/>
                <w:color w:val="auto"/>
                <w:szCs w:val="21"/>
              </w:rPr>
              <w:t>必须提供，否则按无效投标处理</w:t>
            </w:r>
            <w:r>
              <w:rPr>
                <w:rFonts w:hint="eastAsia" w:ascii="宋体" w:hAnsi="宋体"/>
                <w:color w:val="auto"/>
                <w:szCs w:val="21"/>
              </w:rPr>
              <w:t>）</w:t>
            </w:r>
          </w:p>
          <w:p w14:paraId="7B42367C">
            <w:pPr>
              <w:adjustRightInd w:val="0"/>
              <w:snapToGrid w:val="0"/>
              <w:spacing w:line="440" w:lineRule="exact"/>
              <w:ind w:firstLine="420" w:firstLineChars="200"/>
              <w:jc w:val="left"/>
              <w:rPr>
                <w:rFonts w:ascii="宋体" w:hAnsi="宋体" w:cs="Courier New"/>
                <w:b/>
                <w:color w:val="auto"/>
                <w:szCs w:val="21"/>
              </w:rPr>
            </w:pPr>
            <w:r>
              <w:rPr>
                <w:rFonts w:hint="eastAsia" w:ascii="宋体" w:hAnsi="宋体"/>
                <w:color w:val="auto"/>
                <w:szCs w:val="21"/>
                <w:lang w:val="en-US" w:eastAsia="zh-CN"/>
              </w:rPr>
              <w:t>11</w:t>
            </w:r>
            <w:r>
              <w:rPr>
                <w:rFonts w:hint="eastAsia" w:ascii="宋体" w:hAnsi="宋体"/>
                <w:color w:val="auto"/>
                <w:szCs w:val="21"/>
              </w:rPr>
              <w:t>.除招标文件规定必须提供以外，投标人认为需要提供的其他证明材料。</w:t>
            </w:r>
          </w:p>
          <w:p w14:paraId="36311EA5">
            <w:pPr>
              <w:adjustRightInd w:val="0"/>
              <w:snapToGrid w:val="0"/>
              <w:spacing w:line="360" w:lineRule="auto"/>
              <w:ind w:left="413" w:firstLine="420" w:firstLineChars="200"/>
              <w:jc w:val="left"/>
              <w:rPr>
                <w:rFonts w:ascii="宋体" w:hAnsi="宋体"/>
                <w:color w:val="auto"/>
                <w:szCs w:val="21"/>
              </w:rPr>
            </w:pPr>
          </w:p>
          <w:p w14:paraId="1571737D">
            <w:pPr>
              <w:adjustRightInd w:val="0"/>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注：</w:t>
            </w:r>
          </w:p>
          <w:p w14:paraId="3C684A31">
            <w:pPr>
              <w:adjustRightInd w:val="0"/>
              <w:snapToGrid w:val="0"/>
              <w:spacing w:line="360" w:lineRule="auto"/>
              <w:ind w:firstLine="422" w:firstLineChars="200"/>
              <w:jc w:val="left"/>
              <w:rPr>
                <w:rFonts w:ascii="宋体" w:hAnsi="宋体" w:cs="Courier New"/>
                <w:b/>
                <w:color w:val="auto"/>
                <w:szCs w:val="21"/>
              </w:rPr>
            </w:pPr>
            <w:r>
              <w:rPr>
                <w:rFonts w:hint="eastAsia" w:ascii="宋体" w:hAnsi="宋体"/>
                <w:b/>
                <w:bCs/>
                <w:color w:val="auto"/>
                <w:szCs w:val="21"/>
              </w:rPr>
              <w:t>1.以上标明“必须提供”的材料，格式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p w14:paraId="07F31418">
            <w:pPr>
              <w:adjustRightInd w:val="0"/>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2.联合体投标时，第1-6项资格证明文件联合体各方均必须分别提供，</w:t>
            </w:r>
            <w:r>
              <w:rPr>
                <w:rFonts w:hint="eastAsia"/>
                <w:b/>
                <w:color w:val="auto"/>
                <w:szCs w:val="21"/>
              </w:rPr>
              <w:t>并由</w:t>
            </w:r>
            <w:r>
              <w:rPr>
                <w:rFonts w:hint="eastAsia" w:ascii="宋体" w:hAnsi="宋体" w:cs="宋体"/>
                <w:b/>
                <w:color w:val="auto"/>
                <w:szCs w:val="21"/>
              </w:rPr>
              <w:t>联合体</w:t>
            </w:r>
            <w:r>
              <w:rPr>
                <w:rFonts w:hint="eastAsia"/>
                <w:b/>
                <w:color w:val="auto"/>
                <w:szCs w:val="21"/>
              </w:rPr>
              <w:t>牵头人加盖电子签章</w:t>
            </w:r>
            <w:r>
              <w:rPr>
                <w:rFonts w:hint="eastAsia" w:ascii="宋体" w:hAnsi="宋体" w:cs="宋体"/>
                <w:b/>
                <w:color w:val="auto"/>
                <w:szCs w:val="21"/>
              </w:rPr>
              <w:t>，</w:t>
            </w:r>
            <w:r>
              <w:rPr>
                <w:rFonts w:hint="eastAsia"/>
                <w:b/>
                <w:color w:val="auto"/>
                <w:szCs w:val="21"/>
              </w:rPr>
              <w:t>规定签字</w:t>
            </w:r>
            <w:r>
              <w:rPr>
                <w:rFonts w:hint="eastAsia" w:ascii="宋体" w:hAnsi="宋体" w:cs="宋体"/>
                <w:b/>
                <w:color w:val="auto"/>
                <w:szCs w:val="21"/>
              </w:rPr>
              <w:t>处签字</w:t>
            </w:r>
            <w:r>
              <w:rPr>
                <w:rFonts w:hint="eastAsia" w:ascii="宋体" w:hAnsi="宋体"/>
                <w:b/>
                <w:bCs/>
                <w:color w:val="auto"/>
                <w:szCs w:val="21"/>
              </w:rPr>
              <w:t>（或者电子签名），否则按无效投标</w:t>
            </w:r>
            <w:r>
              <w:rPr>
                <w:rFonts w:hint="eastAsia" w:ascii="宋体" w:hAnsi="宋体" w:cs="Courier New"/>
                <w:b/>
                <w:color w:val="auto"/>
                <w:szCs w:val="21"/>
              </w:rPr>
              <w:t>处理</w:t>
            </w:r>
            <w:r>
              <w:rPr>
                <w:rFonts w:hint="eastAsia" w:ascii="宋体" w:hAnsi="宋体"/>
                <w:b/>
                <w:bCs/>
                <w:color w:val="auto"/>
                <w:szCs w:val="21"/>
              </w:rPr>
              <w:t>。</w:t>
            </w:r>
          </w:p>
        </w:tc>
      </w:tr>
      <w:tr w14:paraId="3D1D2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7A3187FB">
            <w:pPr>
              <w:spacing w:line="360" w:lineRule="auto"/>
              <w:rPr>
                <w:rFonts w:ascii="宋体" w:hAnsi="宋体"/>
                <w:color w:val="auto"/>
                <w:szCs w:val="21"/>
              </w:rPr>
            </w:pPr>
            <w:bookmarkStart w:id="48" w:name="_13.3"/>
            <w:bookmarkEnd w:id="48"/>
          </w:p>
        </w:tc>
        <w:tc>
          <w:tcPr>
            <w:tcW w:w="8175" w:type="dxa"/>
            <w:tcBorders>
              <w:top w:val="single" w:color="auto" w:sz="4" w:space="0"/>
              <w:left w:val="single" w:color="auto" w:sz="4" w:space="0"/>
              <w:bottom w:val="single" w:color="auto" w:sz="4" w:space="0"/>
              <w:right w:val="single" w:color="auto" w:sz="4" w:space="0"/>
            </w:tcBorders>
            <w:vAlign w:val="center"/>
          </w:tcPr>
          <w:p w14:paraId="593A9F05">
            <w:pPr>
              <w:snapToGrid w:val="0"/>
              <w:spacing w:line="360" w:lineRule="auto"/>
              <w:jc w:val="left"/>
              <w:rPr>
                <w:rFonts w:ascii="宋体" w:hAnsi="宋体" w:cs="Courier New"/>
                <w:b/>
                <w:color w:val="auto"/>
                <w:szCs w:val="21"/>
              </w:rPr>
            </w:pPr>
            <w:r>
              <w:rPr>
                <w:rFonts w:hint="eastAsia"/>
                <w:b/>
                <w:color w:val="auto"/>
                <w:kern w:val="0"/>
                <w:u w:val="single"/>
              </w:rPr>
              <w:t>商务及技术文件</w:t>
            </w:r>
            <w:r>
              <w:rPr>
                <w:rFonts w:hint="eastAsia" w:ascii="宋体" w:hAnsi="宋体" w:cs="Courier New"/>
                <w:b/>
                <w:color w:val="auto"/>
                <w:szCs w:val="21"/>
              </w:rPr>
              <w:t>：</w:t>
            </w:r>
          </w:p>
          <w:p w14:paraId="38F35FF4">
            <w:pPr>
              <w:snapToGrid w:val="0"/>
              <w:spacing w:line="360" w:lineRule="auto"/>
              <w:ind w:left="413"/>
              <w:jc w:val="left"/>
              <w:rPr>
                <w:rFonts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必须提供，否则按无效投标处理</w:t>
            </w:r>
            <w:r>
              <w:rPr>
                <w:rFonts w:hint="eastAsia" w:ascii="宋体" w:hAnsi="宋体"/>
                <w:color w:val="auto"/>
                <w:szCs w:val="21"/>
              </w:rPr>
              <w:t>）</w:t>
            </w:r>
          </w:p>
          <w:p w14:paraId="6BB4E503">
            <w:pPr>
              <w:snapToGrid w:val="0"/>
              <w:spacing w:line="360" w:lineRule="auto"/>
              <w:ind w:left="413"/>
              <w:jc w:val="left"/>
              <w:rPr>
                <w:rFonts w:ascii="宋体" w:hAnsi="宋体"/>
                <w:color w:val="auto"/>
                <w:szCs w:val="21"/>
              </w:rPr>
            </w:pPr>
            <w:r>
              <w:rPr>
                <w:rFonts w:hint="eastAsia" w:ascii="宋体" w:hAnsi="宋体"/>
                <w:color w:val="auto"/>
                <w:szCs w:val="21"/>
              </w:rPr>
              <w:t>2.投标保证金提交凭证；（</w:t>
            </w:r>
            <w:r>
              <w:rPr>
                <w:rFonts w:hint="eastAsia"/>
                <w:b/>
                <w:bCs/>
                <w:color w:val="auto"/>
              </w:rPr>
              <w:t>如要求提交投标保证金的则必须提供</w:t>
            </w:r>
            <w:r>
              <w:rPr>
                <w:rFonts w:hint="eastAsia" w:ascii="宋体" w:hAnsi="宋体"/>
                <w:b/>
                <w:color w:val="auto"/>
                <w:szCs w:val="21"/>
              </w:rPr>
              <w:t>，否则按无效投标处理</w:t>
            </w:r>
            <w:r>
              <w:rPr>
                <w:rFonts w:hint="eastAsia" w:ascii="宋体" w:hAnsi="宋体"/>
                <w:color w:val="auto"/>
                <w:szCs w:val="21"/>
              </w:rPr>
              <w:t>）</w:t>
            </w:r>
          </w:p>
          <w:p w14:paraId="15C287F9">
            <w:pPr>
              <w:snapToGrid w:val="0"/>
              <w:spacing w:line="360" w:lineRule="auto"/>
              <w:ind w:left="413"/>
              <w:jc w:val="left"/>
              <w:rPr>
                <w:rFonts w:ascii="宋体" w:hAnsi="宋体"/>
                <w:color w:val="auto"/>
                <w:szCs w:val="21"/>
              </w:rPr>
            </w:pPr>
            <w:r>
              <w:rPr>
                <w:rFonts w:hint="eastAsia" w:ascii="宋体" w:hAnsi="宋体"/>
                <w:color w:val="auto"/>
                <w:szCs w:val="21"/>
              </w:rPr>
              <w:t>3.法定代表人身份证明及法定代表人有效身份证正反面复印件（格式后附）；（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必须提供，否则按无效投标处理</w:t>
            </w:r>
            <w:r>
              <w:rPr>
                <w:rFonts w:hint="eastAsia" w:ascii="宋体" w:hAnsi="宋体"/>
                <w:color w:val="auto"/>
                <w:szCs w:val="21"/>
              </w:rPr>
              <w:t>）</w:t>
            </w:r>
          </w:p>
          <w:p w14:paraId="62E713E0">
            <w:pPr>
              <w:snapToGrid w:val="0"/>
              <w:spacing w:line="360" w:lineRule="auto"/>
              <w:ind w:left="413"/>
              <w:jc w:val="left"/>
              <w:rPr>
                <w:rFonts w:ascii="宋体" w:hAnsi="宋体"/>
                <w:color w:val="auto"/>
                <w:szCs w:val="21"/>
              </w:rPr>
            </w:pPr>
            <w:r>
              <w:rPr>
                <w:rFonts w:hint="eastAsia" w:ascii="宋体" w:hAnsi="宋体"/>
                <w:color w:val="auto"/>
                <w:szCs w:val="21"/>
              </w:rPr>
              <w:t>4.授权委托书及委托代理人有效身份证正反面复印件（格式后附）；（</w:t>
            </w:r>
            <w:r>
              <w:rPr>
                <w:rFonts w:hint="eastAsia" w:ascii="宋体" w:hAnsi="宋体"/>
                <w:b/>
                <w:color w:val="auto"/>
                <w:szCs w:val="21"/>
              </w:rPr>
              <w:t>委托时必须提供，否则按无效投标处理</w:t>
            </w:r>
            <w:r>
              <w:rPr>
                <w:rFonts w:hint="eastAsia" w:ascii="宋体" w:hAnsi="宋体"/>
                <w:color w:val="auto"/>
                <w:szCs w:val="21"/>
              </w:rPr>
              <w:t>）</w:t>
            </w:r>
          </w:p>
          <w:p w14:paraId="55F26FF6">
            <w:pPr>
              <w:snapToGrid w:val="0"/>
              <w:spacing w:line="360" w:lineRule="auto"/>
              <w:ind w:left="413"/>
              <w:jc w:val="left"/>
              <w:rPr>
                <w:rFonts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商务要求偏离表（格式后附）；（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50BE064F">
            <w:pPr>
              <w:snapToGrid w:val="0"/>
              <w:spacing w:line="360" w:lineRule="auto"/>
              <w:ind w:left="413"/>
              <w:jc w:val="left"/>
              <w:rPr>
                <w:rFonts w:ascii="宋体" w:hAnsi="宋体"/>
                <w:color w:val="auto"/>
                <w:szCs w:val="21"/>
              </w:rPr>
            </w:pPr>
            <w:r>
              <w:rPr>
                <w:rFonts w:ascii="宋体" w:hAnsi="宋体"/>
                <w:color w:val="auto"/>
                <w:szCs w:val="21"/>
              </w:rPr>
              <w:t>6</w:t>
            </w:r>
            <w:r>
              <w:rPr>
                <w:rFonts w:hint="eastAsia" w:ascii="宋体" w:hAnsi="宋体"/>
                <w:color w:val="auto"/>
                <w:szCs w:val="21"/>
              </w:rPr>
              <w:t>.售后服务承诺（格式自拟）；（</w:t>
            </w:r>
            <w:r>
              <w:rPr>
                <w:rFonts w:hint="eastAsia" w:ascii="宋体" w:hAnsi="宋体"/>
                <w:b/>
                <w:color w:val="auto"/>
                <w:szCs w:val="21"/>
              </w:rPr>
              <w:t>必须提供，否则按无效投标处理</w:t>
            </w:r>
            <w:r>
              <w:rPr>
                <w:rFonts w:hint="eastAsia" w:ascii="宋体" w:hAnsi="宋体"/>
                <w:color w:val="auto"/>
                <w:szCs w:val="21"/>
              </w:rPr>
              <w:t>）</w:t>
            </w:r>
          </w:p>
          <w:p w14:paraId="2504EBA7">
            <w:pPr>
              <w:snapToGrid w:val="0"/>
              <w:spacing w:line="360" w:lineRule="auto"/>
              <w:ind w:left="413"/>
              <w:jc w:val="left"/>
              <w:rPr>
                <w:rFonts w:ascii="宋体" w:hAnsi="宋体"/>
                <w:color w:val="auto"/>
                <w:szCs w:val="21"/>
              </w:rPr>
            </w:pPr>
            <w:r>
              <w:rPr>
                <w:rFonts w:ascii="宋体" w:hAnsi="宋体"/>
                <w:color w:val="auto"/>
                <w:szCs w:val="21"/>
              </w:rPr>
              <w:t>7</w:t>
            </w:r>
            <w:r>
              <w:rPr>
                <w:rFonts w:hint="eastAsia" w:ascii="宋体" w:hAnsi="宋体"/>
                <w:color w:val="auto"/>
                <w:szCs w:val="21"/>
              </w:rPr>
              <w:t>.投标人情况介绍（格式自拟）；</w:t>
            </w:r>
          </w:p>
          <w:p w14:paraId="1C0B8C18">
            <w:pPr>
              <w:snapToGrid w:val="0"/>
              <w:spacing w:line="360" w:lineRule="auto"/>
              <w:ind w:left="413"/>
              <w:jc w:val="left"/>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.代理服务费承诺书（格式后附）；</w:t>
            </w:r>
          </w:p>
          <w:p w14:paraId="020A37C9">
            <w:pPr>
              <w:snapToGrid w:val="0"/>
              <w:spacing w:line="360" w:lineRule="auto"/>
              <w:ind w:left="420"/>
              <w:jc w:val="left"/>
              <w:rPr>
                <w:rFonts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.技术要求偏离表（格式后附）；（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5D0ABCEF">
            <w:pPr>
              <w:snapToGrid w:val="0"/>
              <w:spacing w:line="360" w:lineRule="auto"/>
              <w:ind w:left="420"/>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0</w:t>
            </w:r>
            <w:r>
              <w:rPr>
                <w:rFonts w:hint="eastAsia" w:ascii="宋体" w:hAnsi="宋体"/>
                <w:color w:val="auto"/>
                <w:szCs w:val="21"/>
              </w:rPr>
              <w:t>.服务方案（格式自拟）【内容不限，可以是日常维保服务方案、备件供应方案等】；</w:t>
            </w:r>
          </w:p>
          <w:p w14:paraId="7FFF0F63">
            <w:pPr>
              <w:snapToGrid w:val="0"/>
              <w:spacing w:line="360" w:lineRule="auto"/>
              <w:ind w:left="420"/>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1</w:t>
            </w:r>
            <w:r>
              <w:rPr>
                <w:rFonts w:hint="eastAsia" w:ascii="宋体" w:hAnsi="宋体"/>
                <w:color w:val="auto"/>
                <w:szCs w:val="21"/>
              </w:rPr>
              <w:t>.项目实施人员一览表（格式后附）；</w:t>
            </w:r>
          </w:p>
          <w:p w14:paraId="76FE55C1">
            <w:pPr>
              <w:snapToGrid w:val="0"/>
              <w:spacing w:line="360" w:lineRule="auto"/>
              <w:ind w:left="420"/>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.投标人对本项目的合理化建议和改进措施（格式自拟）；</w:t>
            </w:r>
          </w:p>
          <w:p w14:paraId="162CB2A5">
            <w:pPr>
              <w:snapToGrid w:val="0"/>
              <w:spacing w:line="360" w:lineRule="auto"/>
              <w:ind w:left="413"/>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.除招标文件规定必须提供以外，投标人认为需要提供的其他证明材料（格式自拟）。（投标人根据“第二章 采购需求”及“第四章 评标方法及评标标准”提供有关证明材料）。</w:t>
            </w:r>
          </w:p>
          <w:p w14:paraId="4BCE1C36">
            <w:pPr>
              <w:snapToGrid w:val="0"/>
              <w:spacing w:line="360" w:lineRule="auto"/>
              <w:jc w:val="left"/>
              <w:rPr>
                <w:rFonts w:ascii="宋体" w:hAnsi="宋体" w:cs="Courier New"/>
                <w:b/>
                <w:color w:val="auto"/>
                <w:szCs w:val="21"/>
              </w:rPr>
            </w:pPr>
            <w:r>
              <w:rPr>
                <w:rFonts w:hint="eastAsia" w:ascii="宋体" w:hAnsi="宋体"/>
                <w:b/>
                <w:bCs/>
                <w:color w:val="auto"/>
                <w:szCs w:val="21"/>
              </w:rPr>
              <w:t>注：以上标明“必须提供”的材料，格式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tc>
      </w:tr>
      <w:tr w14:paraId="42175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35E67E4">
            <w:pPr>
              <w:spacing w:line="360" w:lineRule="auto"/>
              <w:rPr>
                <w:rFonts w:ascii="宋体" w:hAnsi="宋体"/>
                <w:color w:val="auto"/>
                <w:szCs w:val="21"/>
              </w:rPr>
            </w:pPr>
            <w:bookmarkStart w:id="49" w:name="_16.2"/>
            <w:bookmarkEnd w:id="49"/>
            <w:bookmarkStart w:id="50" w:name="_13.5"/>
            <w:bookmarkEnd w:id="50"/>
            <w:bookmarkStart w:id="51" w:name="_13.4"/>
            <w:bookmarkEnd w:id="51"/>
            <w:r>
              <w:rPr>
                <w:rFonts w:hint="eastAsia" w:ascii="宋体" w:hAnsi="宋体"/>
                <w:color w:val="auto"/>
                <w:szCs w:val="21"/>
              </w:rPr>
              <w:t>16</w:t>
            </w:r>
            <w:bookmarkStart w:id="52" w:name="_Hlt19194066"/>
            <w:bookmarkStart w:id="53" w:name="_Hlt19194067"/>
            <w:bookmarkStart w:id="54" w:name="_Hlt19693758"/>
            <w:bookmarkStart w:id="55" w:name="_Hlt19693759"/>
            <w:r>
              <w:rPr>
                <w:rFonts w:hint="eastAsia" w:ascii="宋体" w:hAnsi="宋体"/>
                <w:color w:val="auto"/>
                <w:szCs w:val="21"/>
              </w:rPr>
              <w:t>.</w:t>
            </w:r>
            <w:bookmarkEnd w:id="52"/>
            <w:bookmarkEnd w:id="53"/>
            <w:bookmarkEnd w:id="54"/>
            <w:bookmarkEnd w:id="55"/>
            <w:r>
              <w:rPr>
                <w:rFonts w:hint="eastAsia" w:ascii="宋体" w:hAnsi="宋体"/>
                <w:color w:val="auto"/>
                <w:szCs w:val="21"/>
              </w:rPr>
              <w:t>2</w:t>
            </w:r>
          </w:p>
        </w:tc>
        <w:tc>
          <w:tcPr>
            <w:tcW w:w="8175" w:type="dxa"/>
            <w:tcBorders>
              <w:top w:val="single" w:color="auto" w:sz="4" w:space="0"/>
              <w:left w:val="single" w:color="auto" w:sz="4" w:space="0"/>
              <w:bottom w:val="single" w:color="auto" w:sz="4" w:space="0"/>
              <w:right w:val="single" w:color="auto" w:sz="4" w:space="0"/>
            </w:tcBorders>
            <w:vAlign w:val="center"/>
          </w:tcPr>
          <w:p w14:paraId="77C455AA">
            <w:pPr>
              <w:snapToGrid w:val="0"/>
              <w:spacing w:line="360" w:lineRule="auto"/>
              <w:rPr>
                <w:rFonts w:ascii="宋体" w:hAnsi="宋体"/>
                <w:b/>
                <w:i/>
                <w:color w:val="auto"/>
                <w:szCs w:val="21"/>
              </w:rPr>
            </w:pPr>
            <w:r>
              <w:rPr>
                <w:rFonts w:hint="eastAsia" w:ascii="宋体" w:hAnsi="宋体"/>
                <w:color w:val="auto"/>
                <w:szCs w:val="21"/>
              </w:rPr>
              <w:t>投标报价是履行合同的最终价格，</w:t>
            </w:r>
            <w:r>
              <w:rPr>
                <w:rFonts w:hint="eastAsia" w:ascii="宋体" w:hAnsi="宋体" w:cs="宋体"/>
                <w:color w:val="auto"/>
                <w:szCs w:val="21"/>
              </w:rPr>
              <w:t>即满足全部采购需求所应提供的服务，以及伴随的货物和工程（如有）的价格；包括投标服务、货物、工程的成本、运输（含保险）、安装（如有）、调试、检验、技术服务、培训、税费等所有费用。</w:t>
            </w:r>
            <w:r>
              <w:rPr>
                <w:rFonts w:hint="eastAsia" w:ascii="宋体" w:hAnsi="宋体"/>
                <w:b/>
                <w:color w:val="auto"/>
                <w:szCs w:val="21"/>
              </w:rPr>
              <w:t>（采购需求另有约定的，从其约定）</w:t>
            </w:r>
          </w:p>
        </w:tc>
      </w:tr>
      <w:tr w14:paraId="35C3C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3A4F127">
            <w:pPr>
              <w:spacing w:line="360" w:lineRule="auto"/>
              <w:rPr>
                <w:rFonts w:ascii="宋体" w:hAnsi="宋体"/>
                <w:color w:val="auto"/>
                <w:szCs w:val="21"/>
              </w:rPr>
            </w:pPr>
            <w:bookmarkStart w:id="56" w:name="_17.1"/>
            <w:bookmarkEnd w:id="56"/>
            <w:r>
              <w:rPr>
                <w:rFonts w:hint="eastAsia" w:ascii="宋体" w:hAnsi="宋体"/>
                <w:color w:val="auto"/>
                <w:szCs w:val="21"/>
              </w:rPr>
              <w:t>17.</w:t>
            </w:r>
            <w:r>
              <w:rPr>
                <w:rFonts w:ascii="宋体" w:hAnsi="宋体"/>
                <w:color w:val="auto"/>
                <w:szCs w:val="21"/>
              </w:rPr>
              <w:t>2</w:t>
            </w:r>
          </w:p>
        </w:tc>
        <w:tc>
          <w:tcPr>
            <w:tcW w:w="8175" w:type="dxa"/>
            <w:tcBorders>
              <w:top w:val="single" w:color="auto" w:sz="4" w:space="0"/>
              <w:left w:val="single" w:color="auto" w:sz="4" w:space="0"/>
              <w:bottom w:val="single" w:color="auto" w:sz="4" w:space="0"/>
              <w:right w:val="single" w:color="auto" w:sz="4" w:space="0"/>
            </w:tcBorders>
            <w:vAlign w:val="center"/>
          </w:tcPr>
          <w:p w14:paraId="39C42B74">
            <w:pPr>
              <w:snapToGrid w:val="0"/>
              <w:spacing w:line="360" w:lineRule="auto"/>
              <w:rPr>
                <w:rFonts w:ascii="宋体" w:hAnsi="宋体"/>
                <w:color w:val="auto"/>
                <w:szCs w:val="21"/>
              </w:rPr>
            </w:pPr>
            <w:r>
              <w:rPr>
                <w:rFonts w:hint="eastAsia" w:ascii="宋体" w:hAnsi="宋体"/>
                <w:color w:val="auto"/>
                <w:szCs w:val="21"/>
              </w:rPr>
              <w:t>投标有效期：自投标截止之日起</w:t>
            </w:r>
            <w:r>
              <w:rPr>
                <w:rFonts w:hint="eastAsia" w:ascii="宋体" w:hAnsi="宋体"/>
                <w:color w:val="auto"/>
                <w:szCs w:val="21"/>
                <w:u w:val="single"/>
              </w:rPr>
              <w:t>120</w:t>
            </w:r>
            <w:r>
              <w:rPr>
                <w:rFonts w:hint="eastAsia" w:ascii="宋体" w:hAnsi="宋体"/>
                <w:color w:val="auto"/>
                <w:szCs w:val="21"/>
              </w:rPr>
              <w:t>日。</w:t>
            </w:r>
          </w:p>
        </w:tc>
      </w:tr>
      <w:tr w14:paraId="03CB6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22289FB">
            <w:pPr>
              <w:spacing w:line="360" w:lineRule="auto"/>
              <w:rPr>
                <w:rFonts w:ascii="宋体" w:hAnsi="宋体"/>
                <w:color w:val="auto"/>
                <w:szCs w:val="21"/>
              </w:rPr>
            </w:pPr>
            <w:bookmarkStart w:id="57" w:name="_18"/>
            <w:bookmarkEnd w:id="57"/>
            <w:r>
              <w:rPr>
                <w:rFonts w:hint="eastAsia" w:ascii="宋体" w:hAnsi="宋体"/>
                <w:color w:val="auto"/>
                <w:szCs w:val="21"/>
              </w:rPr>
              <w:t>18</w:t>
            </w:r>
            <w:r>
              <w:rPr>
                <w:rFonts w:ascii="宋体" w:hAnsi="宋体"/>
                <w:color w:val="auto"/>
                <w:szCs w:val="21"/>
              </w:rPr>
              <w:t>.1</w:t>
            </w:r>
          </w:p>
        </w:tc>
        <w:tc>
          <w:tcPr>
            <w:tcW w:w="8175" w:type="dxa"/>
            <w:tcBorders>
              <w:top w:val="single" w:color="auto" w:sz="4" w:space="0"/>
              <w:left w:val="single" w:color="auto" w:sz="4" w:space="0"/>
              <w:bottom w:val="single" w:color="auto" w:sz="4" w:space="0"/>
              <w:right w:val="single" w:color="auto" w:sz="4" w:space="0"/>
            </w:tcBorders>
            <w:vAlign w:val="center"/>
          </w:tcPr>
          <w:p w14:paraId="721441B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本项目不收取投标保证金。</w:t>
            </w:r>
          </w:p>
          <w:p w14:paraId="0E29FA07">
            <w:pPr>
              <w:snapToGrid w:val="0"/>
              <w:spacing w:line="360" w:lineRule="auto"/>
              <w:rPr>
                <w:rFonts w:ascii="宋体" w:hAnsi="宋体"/>
                <w:color w:val="auto"/>
                <w:szCs w:val="21"/>
              </w:rPr>
            </w:pPr>
            <w:r>
              <w:rPr>
                <w:rFonts w:hint="eastAsia" w:ascii="宋体" w:hAnsi="宋体"/>
                <w:color w:val="auto"/>
                <w:szCs w:val="21"/>
              </w:rPr>
              <w:t>□本项目收取投标保证金，具体规定如下：</w:t>
            </w:r>
          </w:p>
          <w:p w14:paraId="7B698B6C">
            <w:pPr>
              <w:snapToGrid w:val="0"/>
              <w:spacing w:line="360" w:lineRule="auto"/>
              <w:rPr>
                <w:rFonts w:ascii="宋体" w:hAnsi="宋体" w:cs="宋体"/>
                <w:color w:val="auto"/>
                <w:kern w:val="0"/>
                <w:szCs w:val="21"/>
              </w:rPr>
            </w:pPr>
            <w:r>
              <w:rPr>
                <w:rFonts w:hint="eastAsia" w:ascii="宋体" w:hAnsi="宋体" w:cs="宋体"/>
                <w:color w:val="auto"/>
                <w:kern w:val="0"/>
                <w:szCs w:val="21"/>
              </w:rPr>
              <w:t>投标保证金人民币</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元。</w:t>
            </w:r>
          </w:p>
          <w:p w14:paraId="1B16A6DF">
            <w:pPr>
              <w:snapToGrid w:val="0"/>
              <w:spacing w:line="360" w:lineRule="auto"/>
              <w:rPr>
                <w:rFonts w:ascii="宋体" w:hAnsi="宋体"/>
                <w:color w:val="auto"/>
                <w:szCs w:val="21"/>
              </w:rPr>
            </w:pPr>
            <w:r>
              <w:rPr>
                <w:rFonts w:hint="eastAsia" w:ascii="宋体" w:hAnsi="宋体" w:cs="宋体"/>
                <w:color w:val="auto"/>
                <w:kern w:val="0"/>
                <w:szCs w:val="21"/>
              </w:rPr>
              <w:t>投标保证金的</w:t>
            </w:r>
            <w:r>
              <w:rPr>
                <w:rFonts w:hint="eastAsia" w:ascii="宋体" w:hAnsi="宋体" w:cs="宋体"/>
                <w:color w:val="auto"/>
                <w:kern w:val="0"/>
                <w:szCs w:val="21"/>
                <w:lang w:eastAsia="zh-CN"/>
              </w:rPr>
              <w:t>缴纳</w:t>
            </w:r>
            <w:r>
              <w:rPr>
                <w:rFonts w:hint="eastAsia" w:ascii="宋体" w:hAnsi="宋体" w:cs="宋体"/>
                <w:color w:val="auto"/>
                <w:kern w:val="0"/>
                <w:szCs w:val="21"/>
              </w:rPr>
              <w:t>方式：银行转账、支票、汇票、本票或者银行、保险机构出具的保函</w:t>
            </w:r>
            <w:r>
              <w:rPr>
                <w:color w:val="auto"/>
              </w:rPr>
              <w:t>（包含电子保函）</w:t>
            </w:r>
            <w:r>
              <w:rPr>
                <w:rFonts w:hint="eastAsia" w:ascii="宋体" w:hAnsi="宋体" w:cs="宋体"/>
                <w:color w:val="auto"/>
                <w:kern w:val="0"/>
                <w:szCs w:val="21"/>
              </w:rPr>
              <w:t>，禁止采用现钞方式。采用银行转账方式的，在投标截止时间前</w:t>
            </w:r>
            <w:r>
              <w:rPr>
                <w:rFonts w:hint="eastAsia"/>
                <w:color w:val="auto"/>
              </w:rPr>
              <w:t>从投标人账户</w:t>
            </w:r>
            <w:r>
              <w:rPr>
                <w:rFonts w:hint="eastAsia" w:ascii="宋体" w:hAnsi="宋体" w:cs="宋体"/>
                <w:color w:val="auto"/>
                <w:kern w:val="0"/>
                <w:szCs w:val="21"/>
              </w:rPr>
              <w:t>交至指定账户并且到账（开户银行：</w:t>
            </w:r>
            <w:r>
              <w:rPr>
                <w:rFonts w:hint="eastAsia" w:ascii="宋体" w:hAnsi="宋体" w:cs="宋体"/>
                <w:color w:val="auto"/>
                <w:kern w:val="0"/>
                <w:szCs w:val="21"/>
                <w:u w:val="single"/>
              </w:rPr>
              <w:t xml:space="preserve">            </w:t>
            </w:r>
            <w:r>
              <w:rPr>
                <w:rFonts w:hint="eastAsia" w:ascii="宋体" w:hAnsi="宋体" w:cs="宋体"/>
                <w:color w:val="auto"/>
                <w:kern w:val="0"/>
                <w:szCs w:val="21"/>
              </w:rPr>
              <w:t>，开户名称：</w:t>
            </w:r>
            <w:r>
              <w:rPr>
                <w:rFonts w:hint="eastAsia" w:ascii="宋体" w:hAnsi="宋体" w:cs="宋体"/>
                <w:color w:val="auto"/>
                <w:kern w:val="0"/>
                <w:szCs w:val="21"/>
                <w:u w:val="single"/>
              </w:rPr>
              <w:t xml:space="preserve">            </w:t>
            </w:r>
            <w:r>
              <w:rPr>
                <w:rFonts w:hint="eastAsia" w:ascii="宋体" w:hAnsi="宋体" w:cs="宋体"/>
                <w:color w:val="auto"/>
                <w:kern w:val="0"/>
                <w:szCs w:val="21"/>
              </w:rPr>
              <w:t>，银行账号：</w:t>
            </w:r>
            <w:r>
              <w:rPr>
                <w:rFonts w:hint="eastAsia" w:ascii="宋体" w:hAnsi="宋体" w:cs="宋体"/>
                <w:color w:val="auto"/>
                <w:kern w:val="0"/>
                <w:szCs w:val="21"/>
                <w:u w:val="single"/>
              </w:rPr>
              <w:t xml:space="preserve">            </w:t>
            </w:r>
            <w:r>
              <w:rPr>
                <w:rFonts w:hint="eastAsia" w:ascii="宋体" w:hAnsi="宋体" w:cs="宋体"/>
                <w:color w:val="auto"/>
                <w:kern w:val="0"/>
                <w:szCs w:val="21"/>
              </w:rPr>
              <w:t>）；采用支票、汇票、本票或者保函等方式的，在投标截止时间前，投标人必须递交单独密封的支票、汇票、本票或者保函原件。</w:t>
            </w:r>
            <w:r>
              <w:rPr>
                <w:rFonts w:hint="eastAsia" w:ascii="宋体" w:hAnsi="宋体" w:cs="宋体"/>
                <w:b/>
                <w:color w:val="auto"/>
                <w:kern w:val="0"/>
                <w:szCs w:val="21"/>
              </w:rPr>
              <w:t>否则视为无效投标保证金。</w:t>
            </w:r>
          </w:p>
          <w:p w14:paraId="4F0C7D92">
            <w:pPr>
              <w:snapToGrid w:val="0"/>
              <w:spacing w:line="360" w:lineRule="auto"/>
              <w:rPr>
                <w:rFonts w:ascii="宋体" w:hAnsi="宋体"/>
                <w:color w:val="auto"/>
                <w:szCs w:val="21"/>
              </w:rPr>
            </w:pPr>
            <w:r>
              <w:rPr>
                <w:rFonts w:hint="eastAsia" w:ascii="宋体" w:hAnsi="宋体"/>
                <w:color w:val="auto"/>
                <w:szCs w:val="21"/>
              </w:rPr>
              <w:t>相关要求：</w:t>
            </w:r>
          </w:p>
          <w:p w14:paraId="2D3A2B99">
            <w:pPr>
              <w:pStyle w:val="14"/>
              <w:spacing w:line="360" w:lineRule="auto"/>
              <w:rPr>
                <w:rFonts w:ascii="宋体" w:hAnsi="宋体"/>
                <w:color w:val="auto"/>
                <w:szCs w:val="21"/>
              </w:rPr>
            </w:pPr>
            <w:r>
              <w:rPr>
                <w:rFonts w:hint="eastAsia" w:ascii="宋体" w:hAnsi="宋体"/>
                <w:color w:val="auto"/>
                <w:szCs w:val="21"/>
              </w:rPr>
              <w:t>1.投标保证金采用银行转账交纳方式，在投标截止时间前交至指定账户并且到账，投标人应将银行转账底单的复印件作为投标保证金提交凭证，</w:t>
            </w:r>
            <w:r>
              <w:rPr>
                <w:rFonts w:ascii="宋体" w:hAnsi="宋体"/>
                <w:color w:val="auto"/>
                <w:szCs w:val="21"/>
              </w:rPr>
              <w:t>放置于</w:t>
            </w:r>
            <w:r>
              <w:rPr>
                <w:rFonts w:hint="eastAsia" w:ascii="宋体" w:hAnsi="宋体"/>
                <w:color w:val="auto"/>
                <w:szCs w:val="21"/>
              </w:rPr>
              <w:t>商务及技术文件</w:t>
            </w:r>
            <w:r>
              <w:rPr>
                <w:rFonts w:ascii="宋体" w:hAnsi="宋体"/>
                <w:color w:val="auto"/>
                <w:szCs w:val="21"/>
              </w:rPr>
              <w:t>中</w:t>
            </w:r>
            <w:r>
              <w:rPr>
                <w:rFonts w:hint="eastAsia" w:ascii="宋体" w:hAnsi="宋体"/>
                <w:color w:val="auto"/>
                <w:szCs w:val="21"/>
              </w:rPr>
              <w:t>，</w:t>
            </w:r>
            <w:r>
              <w:rPr>
                <w:rFonts w:hint="eastAsia" w:ascii="宋体" w:hAnsi="宋体"/>
                <w:b/>
                <w:color w:val="auto"/>
                <w:szCs w:val="21"/>
              </w:rPr>
              <w:t>否则投标无效</w:t>
            </w:r>
            <w:r>
              <w:rPr>
                <w:rFonts w:hint="eastAsia" w:ascii="宋体" w:hAnsi="宋体"/>
                <w:color w:val="auto"/>
                <w:szCs w:val="21"/>
              </w:rPr>
              <w:t>。</w:t>
            </w:r>
          </w:p>
          <w:p w14:paraId="2BA75317">
            <w:pPr>
              <w:snapToGrid w:val="0"/>
              <w:spacing w:line="360" w:lineRule="auto"/>
              <w:rPr>
                <w:rFonts w:ascii="宋体" w:hAnsi="宋体"/>
                <w:color w:val="auto"/>
                <w:szCs w:val="21"/>
              </w:rPr>
            </w:pPr>
            <w:r>
              <w:rPr>
                <w:rFonts w:hint="eastAsia" w:ascii="宋体" w:hAnsi="宋体"/>
                <w:color w:val="auto"/>
                <w:szCs w:val="21"/>
              </w:rPr>
              <w:t>2.投标保证金采用支票、汇票、本票或者银行、保险机构出具的保函</w:t>
            </w:r>
            <w:r>
              <w:rPr>
                <w:color w:val="auto"/>
              </w:rPr>
              <w:t>（包含电子保函）</w:t>
            </w:r>
            <w:r>
              <w:rPr>
                <w:rFonts w:hint="eastAsia" w:ascii="宋体" w:hAnsi="宋体"/>
                <w:color w:val="auto"/>
                <w:szCs w:val="21"/>
              </w:rPr>
              <w:t>交纳方式的，投标人应将支票、汇票、本票或者银行、保险机构出具的保函</w:t>
            </w:r>
            <w:r>
              <w:rPr>
                <w:color w:val="auto"/>
              </w:rPr>
              <w:t>（包含电子保函）</w:t>
            </w:r>
            <w:r>
              <w:rPr>
                <w:rFonts w:hint="eastAsia" w:ascii="宋体" w:hAnsi="宋体"/>
                <w:color w:val="auto"/>
                <w:szCs w:val="21"/>
              </w:rPr>
              <w:t>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。投标人必须</w:t>
            </w:r>
            <w:r>
              <w:rPr>
                <w:rFonts w:hint="eastAsia"/>
                <w:color w:val="auto"/>
              </w:rPr>
              <w:t>在投标截止时间前采用现场或邮寄方式（现场提交地址：</w:t>
            </w:r>
            <w:r>
              <w:rPr>
                <w:rFonts w:hint="eastAsia"/>
                <w:color w:val="auto"/>
                <w:u w:val="single"/>
              </w:rPr>
              <w:t xml:space="preserve">      </w:t>
            </w:r>
            <w:r>
              <w:rPr>
                <w:rFonts w:hint="eastAsia"/>
                <w:color w:val="auto"/>
              </w:rPr>
              <w:t>；邮寄地址：</w:t>
            </w:r>
            <w:r>
              <w:rPr>
                <w:rFonts w:hint="eastAsia"/>
                <w:color w:val="auto"/>
                <w:u w:val="single"/>
              </w:rPr>
              <w:t xml:space="preserve">      </w:t>
            </w:r>
            <w:r>
              <w:rPr>
                <w:rFonts w:hint="eastAsia"/>
                <w:color w:val="auto"/>
              </w:rPr>
              <w:t>，收件人：</w:t>
            </w:r>
            <w:r>
              <w:rPr>
                <w:rFonts w:hint="eastAsia"/>
                <w:color w:val="auto"/>
                <w:u w:val="single"/>
              </w:rPr>
              <w:t xml:space="preserve">      </w:t>
            </w:r>
            <w:r>
              <w:rPr>
                <w:rFonts w:hint="eastAsia"/>
                <w:color w:val="auto"/>
              </w:rPr>
              <w:t>，联系方式：</w:t>
            </w:r>
            <w:r>
              <w:rPr>
                <w:rFonts w:hint="eastAsia"/>
                <w:color w:val="auto"/>
                <w:u w:val="single"/>
              </w:rPr>
              <w:t xml:space="preserve">      </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支票、汇票、本票或者银行、保险机构出具的保函原件提交给采购人或者采购代理机构，未按时提交的</w:t>
            </w:r>
            <w:r>
              <w:rPr>
                <w:rFonts w:hint="eastAsia" w:ascii="宋体" w:hAnsi="宋体"/>
                <w:b/>
                <w:color w:val="auto"/>
                <w:szCs w:val="21"/>
              </w:rPr>
              <w:t>，投标无效</w:t>
            </w:r>
            <w:r>
              <w:rPr>
                <w:rFonts w:hint="eastAsia" w:ascii="宋体" w:hAnsi="宋体"/>
                <w:color w:val="auto"/>
                <w:szCs w:val="21"/>
              </w:rPr>
              <w:t>，由采购人或者采购代理机构向投标人出具回执（邮寄方式的除外），并妥善保管。</w:t>
            </w:r>
          </w:p>
          <w:p w14:paraId="4D2B7046">
            <w:pPr>
              <w:snapToGrid w:val="0"/>
              <w:spacing w:line="360" w:lineRule="auto"/>
              <w:rPr>
                <w:rFonts w:ascii="宋体" w:hAnsi="宋体" w:cs="宋体"/>
                <w:color w:val="auto"/>
                <w:szCs w:val="21"/>
              </w:rPr>
            </w:pPr>
            <w:r>
              <w:rPr>
                <w:rFonts w:hint="eastAsia" w:ascii="宋体" w:hAnsi="宋体"/>
                <w:color w:val="auto"/>
                <w:szCs w:val="21"/>
              </w:rPr>
              <w:t>3</w:t>
            </w:r>
            <w:r>
              <w:rPr>
                <w:rFonts w:hint="eastAsia" w:ascii="宋体" w:hAnsi="宋体" w:cs="宋体"/>
                <w:color w:val="auto"/>
                <w:szCs w:val="21"/>
              </w:rPr>
              <w:t>.投标人为联合体的，可以由联合体中的一方或者多方共同交纳投标保证金，其交纳的保证金对联合体各方均具有约束力。</w:t>
            </w:r>
          </w:p>
          <w:p w14:paraId="167EFBE2">
            <w:pPr>
              <w:snapToGrid w:val="0"/>
              <w:spacing w:line="360" w:lineRule="auto"/>
              <w:rPr>
                <w:rFonts w:ascii="宋体" w:hAnsi="宋体"/>
                <w:color w:val="auto"/>
                <w:szCs w:val="21"/>
              </w:rPr>
            </w:pPr>
          </w:p>
          <w:p w14:paraId="2091C766">
            <w:pPr>
              <w:snapToGrid w:val="0"/>
              <w:spacing w:line="360" w:lineRule="auto"/>
              <w:rPr>
                <w:rFonts w:ascii="宋体" w:hAnsi="宋体"/>
                <w:b/>
                <w:color w:val="auto"/>
                <w:szCs w:val="21"/>
              </w:rPr>
            </w:pPr>
            <w:r>
              <w:rPr>
                <w:rFonts w:hint="eastAsia" w:ascii="宋体" w:hAnsi="宋体"/>
                <w:b/>
                <w:color w:val="auto"/>
                <w:szCs w:val="21"/>
              </w:rPr>
              <w:t xml:space="preserve">备注： </w:t>
            </w:r>
          </w:p>
          <w:p w14:paraId="139B53AC">
            <w:pPr>
              <w:snapToGrid w:val="0"/>
              <w:spacing w:line="360" w:lineRule="auto"/>
              <w:rPr>
                <w:rFonts w:ascii="宋体" w:hAnsi="宋体"/>
                <w:b/>
                <w:color w:val="auto"/>
                <w:szCs w:val="21"/>
              </w:rPr>
            </w:pPr>
            <w:r>
              <w:rPr>
                <w:rFonts w:hint="eastAsia" w:ascii="宋体" w:hAnsi="宋体"/>
                <w:b/>
                <w:color w:val="auto"/>
                <w:szCs w:val="21"/>
              </w:rPr>
              <w:t>1. 投标保证金在投标截止时间后提交的，或者不按规定交纳方式交纳的，或者未足额交纳的（包含保函额度不足的），视为无效投标保证金。</w:t>
            </w:r>
          </w:p>
          <w:p w14:paraId="48E5A921">
            <w:pPr>
              <w:snapToGrid w:val="0"/>
              <w:spacing w:line="360" w:lineRule="auto"/>
              <w:rPr>
                <w:rFonts w:ascii="宋体" w:hAnsi="宋体"/>
                <w:b/>
                <w:color w:val="auto"/>
                <w:szCs w:val="21"/>
              </w:rPr>
            </w:pPr>
            <w:r>
              <w:rPr>
                <w:rFonts w:hint="eastAsia" w:ascii="宋体" w:hAnsi="宋体"/>
                <w:b/>
                <w:color w:val="auto"/>
                <w:szCs w:val="21"/>
              </w:rPr>
              <w:t>2.投标人采用现钞方式或者从个人账户（自然人投标除外）转出的投标保证金，视为无效投标保证金。</w:t>
            </w:r>
          </w:p>
          <w:p w14:paraId="2D9620F2">
            <w:pPr>
              <w:snapToGrid w:val="0"/>
              <w:spacing w:line="360" w:lineRule="auto"/>
              <w:rPr>
                <w:rFonts w:ascii="宋体" w:hAnsi="宋体"/>
                <w:b/>
                <w:color w:val="auto"/>
                <w:szCs w:val="21"/>
              </w:rPr>
            </w:pPr>
            <w:r>
              <w:rPr>
                <w:rFonts w:hint="eastAsia" w:ascii="宋体" w:hAnsi="宋体"/>
                <w:b/>
                <w:color w:val="auto"/>
                <w:szCs w:val="21"/>
              </w:rPr>
              <w:t>3.支票、汇票或者本票出现无效或者背书情形的，视为无效投标保证金。</w:t>
            </w:r>
          </w:p>
          <w:p w14:paraId="737AA21A">
            <w:pPr>
              <w:snapToGrid w:val="0"/>
              <w:spacing w:line="360" w:lineRule="auto"/>
              <w:rPr>
                <w:rFonts w:ascii="宋体" w:hAnsi="宋体"/>
                <w:b/>
                <w:color w:val="auto"/>
                <w:szCs w:val="21"/>
              </w:rPr>
            </w:pPr>
            <w:r>
              <w:rPr>
                <w:rFonts w:hint="eastAsia" w:ascii="宋体" w:hAnsi="宋体"/>
                <w:b/>
                <w:color w:val="auto"/>
                <w:szCs w:val="21"/>
              </w:rPr>
              <w:t>4.保函有效期低于投标有效期的，视为无效投标保证金。</w:t>
            </w:r>
          </w:p>
          <w:p w14:paraId="42A9B682">
            <w:pPr>
              <w:snapToGrid w:val="0"/>
              <w:spacing w:line="360" w:lineRule="auto"/>
              <w:rPr>
                <w:rFonts w:ascii="宋体" w:hAnsi="宋体"/>
                <w:b/>
                <w:color w:val="auto"/>
                <w:szCs w:val="21"/>
              </w:rPr>
            </w:pPr>
            <w:r>
              <w:rPr>
                <w:rFonts w:hint="eastAsia" w:ascii="宋体" w:hAnsi="宋体"/>
                <w:b/>
                <w:color w:val="auto"/>
                <w:szCs w:val="21"/>
              </w:rPr>
              <w:t>5.采用银行、保险机构出具保函的，必须为无条件保函，否则视为无效投标保证金。</w:t>
            </w:r>
          </w:p>
        </w:tc>
      </w:tr>
      <w:tr w14:paraId="2BF93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2CE7FD6C">
            <w:pPr>
              <w:spacing w:line="360" w:lineRule="auto"/>
              <w:jc w:val="center"/>
              <w:rPr>
                <w:rFonts w:ascii="宋体" w:hAnsi="宋体"/>
                <w:color w:val="auto"/>
                <w:szCs w:val="21"/>
              </w:rPr>
            </w:pPr>
            <w:bookmarkStart w:id="58" w:name="_21.1"/>
            <w:bookmarkEnd w:id="58"/>
            <w:bookmarkStart w:id="59" w:name="_19.2"/>
            <w:bookmarkEnd w:id="59"/>
            <w:r>
              <w:rPr>
                <w:rFonts w:hint="eastAsia" w:ascii="宋体" w:hAnsi="宋体"/>
                <w:color w:val="auto"/>
                <w:szCs w:val="21"/>
              </w:rPr>
              <w:t>20</w:t>
            </w:r>
          </w:p>
        </w:tc>
        <w:tc>
          <w:tcPr>
            <w:tcW w:w="8175" w:type="dxa"/>
            <w:tcBorders>
              <w:top w:val="single" w:color="auto" w:sz="4" w:space="0"/>
              <w:left w:val="single" w:color="auto" w:sz="4" w:space="0"/>
              <w:bottom w:val="single" w:color="auto" w:sz="4" w:space="0"/>
              <w:right w:val="single" w:color="auto" w:sz="4" w:space="0"/>
            </w:tcBorders>
            <w:vAlign w:val="center"/>
          </w:tcPr>
          <w:p w14:paraId="5AF1DAFF">
            <w:pPr>
              <w:autoSpaceDE w:val="0"/>
              <w:autoSpaceDN w:val="0"/>
              <w:adjustRightInd w:val="0"/>
              <w:spacing w:line="360" w:lineRule="auto"/>
              <w:textAlignment w:val="bottom"/>
              <w:rPr>
                <w:rFonts w:ascii="宋体" w:hAnsi="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备份投标文件；</w:t>
            </w:r>
          </w:p>
          <w:p w14:paraId="0B6B3C69">
            <w:pPr>
              <w:autoSpaceDE w:val="0"/>
              <w:autoSpaceDN w:val="0"/>
              <w:adjustRightInd w:val="0"/>
              <w:spacing w:line="360" w:lineRule="auto"/>
              <w:textAlignment w:val="bottom"/>
              <w:rPr>
                <w:rFonts w:ascii="宋体" w:hAnsi="宋体"/>
                <w:color w:val="auto"/>
                <w:szCs w:val="21"/>
              </w:rPr>
            </w:pPr>
            <w:r>
              <w:rPr>
                <w:rFonts w:hint="eastAsia" w:ascii="宋体" w:hAnsi="宋体"/>
                <w:color w:val="auto"/>
                <w:szCs w:val="21"/>
              </w:rPr>
              <w:t>□</w:t>
            </w:r>
            <w:r>
              <w:rPr>
                <w:rFonts w:hint="eastAsia"/>
                <w:color w:val="auto"/>
              </w:rPr>
              <w:t>本项目接受电子备份投标文件。</w:t>
            </w:r>
          </w:p>
        </w:tc>
      </w:tr>
      <w:tr w14:paraId="750AE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13DE4F86">
            <w:pPr>
              <w:spacing w:line="360" w:lineRule="auto"/>
              <w:jc w:val="center"/>
              <w:rPr>
                <w:rFonts w:ascii="宋体" w:hAnsi="宋体"/>
                <w:color w:val="auto"/>
                <w:szCs w:val="21"/>
              </w:rPr>
            </w:pPr>
            <w:r>
              <w:rPr>
                <w:rFonts w:hint="eastAsia" w:ascii="宋体" w:hAnsi="宋体"/>
                <w:color w:val="auto"/>
                <w:szCs w:val="21"/>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529D778F">
            <w:pPr>
              <w:snapToGrid w:val="0"/>
              <w:spacing w:line="360" w:lineRule="auto"/>
              <w:rPr>
                <w:rFonts w:ascii="宋体" w:hAnsi="宋体"/>
                <w:color w:val="auto"/>
                <w:szCs w:val="21"/>
                <w:u w:val="single"/>
              </w:rPr>
            </w:pPr>
            <w:r>
              <w:rPr>
                <w:rFonts w:hint="eastAsia" w:ascii="宋体" w:hAnsi="宋体"/>
                <w:color w:val="auto"/>
                <w:szCs w:val="21"/>
              </w:rPr>
              <w:t>1. 提交投标文件截止时间：详见招标公告</w:t>
            </w:r>
          </w:p>
          <w:p w14:paraId="7E008568">
            <w:pPr>
              <w:snapToGrid w:val="0"/>
              <w:spacing w:line="360" w:lineRule="auto"/>
              <w:rPr>
                <w:rFonts w:ascii="宋体" w:hAnsi="宋体"/>
                <w:color w:val="auto"/>
                <w:szCs w:val="21"/>
              </w:rPr>
            </w:pPr>
            <w:r>
              <w:rPr>
                <w:rFonts w:hint="eastAsia" w:ascii="宋体" w:hAnsi="宋体"/>
                <w:color w:val="auto"/>
                <w:szCs w:val="21"/>
              </w:rPr>
              <w:t>2.投标地点：详见招标公告</w:t>
            </w:r>
          </w:p>
        </w:tc>
      </w:tr>
      <w:tr w14:paraId="6ABB4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F20D9B9">
            <w:pPr>
              <w:spacing w:line="360" w:lineRule="auto"/>
              <w:jc w:val="center"/>
              <w:rPr>
                <w:rFonts w:ascii="宋体" w:hAnsi="宋体"/>
                <w:color w:val="auto"/>
                <w:szCs w:val="21"/>
              </w:rPr>
            </w:pPr>
            <w:bookmarkStart w:id="60" w:name="_23"/>
            <w:bookmarkEnd w:id="60"/>
            <w:r>
              <w:rPr>
                <w:rFonts w:hint="eastAsia" w:ascii="宋体" w:hAnsi="宋体"/>
                <w:color w:val="auto"/>
                <w:szCs w:val="21"/>
              </w:rPr>
              <w:t>23</w:t>
            </w:r>
          </w:p>
        </w:tc>
        <w:tc>
          <w:tcPr>
            <w:tcW w:w="8175" w:type="dxa"/>
            <w:tcBorders>
              <w:top w:val="single" w:color="auto" w:sz="4" w:space="0"/>
              <w:left w:val="single" w:color="auto" w:sz="4" w:space="0"/>
              <w:bottom w:val="single" w:color="auto" w:sz="4" w:space="0"/>
              <w:right w:val="single" w:color="auto" w:sz="4" w:space="0"/>
            </w:tcBorders>
            <w:vAlign w:val="center"/>
          </w:tcPr>
          <w:p w14:paraId="6A4D7096">
            <w:pPr>
              <w:snapToGrid w:val="0"/>
              <w:spacing w:line="360" w:lineRule="auto"/>
              <w:rPr>
                <w:rFonts w:ascii="宋体" w:hAnsi="宋体"/>
                <w:color w:val="auto"/>
                <w:szCs w:val="21"/>
              </w:rPr>
            </w:pPr>
            <w:r>
              <w:rPr>
                <w:rFonts w:hint="eastAsia" w:ascii="宋体" w:hAnsi="宋体"/>
                <w:color w:val="auto"/>
                <w:szCs w:val="21"/>
              </w:rPr>
              <w:t>1.开标时间：详见招标公告</w:t>
            </w:r>
          </w:p>
          <w:p w14:paraId="37E5174A">
            <w:pPr>
              <w:snapToGrid w:val="0"/>
              <w:spacing w:line="360" w:lineRule="auto"/>
              <w:rPr>
                <w:rFonts w:ascii="宋体" w:hAnsi="宋体"/>
                <w:color w:val="auto"/>
                <w:szCs w:val="21"/>
              </w:rPr>
            </w:pPr>
            <w:r>
              <w:rPr>
                <w:rFonts w:hint="eastAsia" w:ascii="宋体" w:hAnsi="宋体"/>
                <w:color w:val="auto"/>
                <w:szCs w:val="21"/>
              </w:rPr>
              <w:t>2.开标地点：详见招标公告</w:t>
            </w:r>
          </w:p>
        </w:tc>
      </w:tr>
      <w:tr w14:paraId="211FE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CD95AF4">
            <w:pPr>
              <w:spacing w:line="360" w:lineRule="auto"/>
              <w:jc w:val="center"/>
              <w:rPr>
                <w:rFonts w:ascii="宋体" w:hAnsi="宋体"/>
                <w:color w:val="auto"/>
                <w:szCs w:val="21"/>
              </w:rPr>
            </w:pPr>
            <w:r>
              <w:rPr>
                <w:rFonts w:hint="eastAsia" w:ascii="宋体" w:hAnsi="宋体"/>
                <w:color w:val="auto"/>
                <w:szCs w:val="21"/>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2982FC90">
            <w:pPr>
              <w:snapToGrid w:val="0"/>
              <w:spacing w:line="360" w:lineRule="auto"/>
              <w:rPr>
                <w:rFonts w:ascii="宋体" w:hAnsi="宋体"/>
                <w:color w:val="auto"/>
                <w:szCs w:val="21"/>
              </w:rPr>
            </w:pPr>
            <w:r>
              <w:rPr>
                <w:rFonts w:hint="eastAsia" w:hAnsi="宋体"/>
                <w:color w:val="auto"/>
              </w:rPr>
              <w:t>电子投标文件解密时间：</w:t>
            </w:r>
            <w:r>
              <w:rPr>
                <w:rFonts w:hint="eastAsia" w:hAnsi="宋体"/>
                <w:color w:val="auto"/>
                <w:u w:val="single"/>
              </w:rPr>
              <w:t xml:space="preserve">  30   </w:t>
            </w:r>
            <w:r>
              <w:rPr>
                <w:rFonts w:hint="eastAsia" w:hAnsi="宋体"/>
                <w:color w:val="auto"/>
              </w:rPr>
              <w:t>分钟</w:t>
            </w:r>
          </w:p>
        </w:tc>
      </w:tr>
      <w:tr w14:paraId="6AB40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F658306">
            <w:pPr>
              <w:spacing w:line="360" w:lineRule="auto"/>
              <w:jc w:val="center"/>
              <w:rPr>
                <w:rFonts w:ascii="宋体" w:hAnsi="宋体"/>
                <w:color w:val="auto"/>
                <w:szCs w:val="21"/>
              </w:rPr>
            </w:pPr>
            <w:bookmarkStart w:id="61" w:name="_25.3"/>
            <w:bookmarkEnd w:id="61"/>
            <w:r>
              <w:rPr>
                <w:rFonts w:hint="eastAsia" w:ascii="宋体" w:hAnsi="宋体"/>
                <w:color w:val="auto"/>
                <w:szCs w:val="21"/>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54606BA0">
            <w:pPr>
              <w:snapToGrid w:val="0"/>
              <w:spacing w:line="360" w:lineRule="auto"/>
              <w:rPr>
                <w:rFonts w:ascii="宋体" w:hAnsi="宋体"/>
                <w:color w:val="auto"/>
                <w:szCs w:val="21"/>
              </w:rPr>
            </w:pPr>
            <w:r>
              <w:rPr>
                <w:rFonts w:hint="eastAsia" w:ascii="宋体" w:hAnsi="宋体"/>
                <w:color w:val="auto"/>
                <w:szCs w:val="21"/>
              </w:rPr>
              <w:t>采购人或者采购代理机构在资格审查结束前，对投标人进行信用查询。</w:t>
            </w:r>
          </w:p>
          <w:p w14:paraId="120DA8ED">
            <w:pPr>
              <w:snapToGrid w:val="0"/>
              <w:spacing w:line="360" w:lineRule="auto"/>
              <w:rPr>
                <w:rFonts w:ascii="宋体" w:hAnsi="宋体"/>
                <w:color w:val="auto"/>
                <w:szCs w:val="21"/>
              </w:rPr>
            </w:pPr>
            <w:r>
              <w:rPr>
                <w:rFonts w:hint="eastAsia" w:ascii="宋体" w:hAnsi="宋体"/>
                <w:color w:val="auto"/>
                <w:szCs w:val="21"/>
              </w:rPr>
              <w:t>查询渠道：“信用中国”网站（www.creditchina.gov.cn） 、中国政府采购网（www.ccgp.gov.cn）。</w:t>
            </w:r>
          </w:p>
          <w:p w14:paraId="311650BC">
            <w:pPr>
              <w:snapToGrid w:val="0"/>
              <w:spacing w:line="360" w:lineRule="auto"/>
              <w:rPr>
                <w:rFonts w:ascii="宋体" w:hAnsi="宋体"/>
                <w:color w:val="auto"/>
                <w:szCs w:val="21"/>
              </w:rPr>
            </w:pPr>
            <w:r>
              <w:rPr>
                <w:rFonts w:hint="eastAsia" w:ascii="宋体" w:hAnsi="宋体"/>
                <w:color w:val="auto"/>
                <w:szCs w:val="21"/>
              </w:rPr>
              <w:t>信用查询截止时点：资格审查结束前</w:t>
            </w:r>
          </w:p>
          <w:p w14:paraId="4023FE75">
            <w:pPr>
              <w:snapToGrid w:val="0"/>
              <w:spacing w:line="360" w:lineRule="auto"/>
              <w:rPr>
                <w:rFonts w:ascii="宋体" w:hAnsi="宋体"/>
                <w:color w:val="auto"/>
                <w:szCs w:val="21"/>
              </w:rPr>
            </w:pPr>
            <w:r>
              <w:rPr>
                <w:rFonts w:hint="eastAsia" w:ascii="宋体" w:hAnsi="宋体"/>
                <w:color w:val="auto"/>
                <w:szCs w:val="21"/>
              </w:rPr>
              <w:t>查询记录和证据留存方式：在查询网站中直接截图查询记录，截图作为在广西政府采购云平台（</w:t>
            </w:r>
            <w:r>
              <w:rPr>
                <w:rFonts w:hint="eastAsia" w:ascii="宋体" w:hAnsi="宋体"/>
                <w:bCs/>
                <w:color w:val="auto"/>
                <w:szCs w:val="21"/>
              </w:rPr>
              <w:t>https://www.gcy.zfcg.gxzf.gov.cn/</w:t>
            </w:r>
            <w:r>
              <w:rPr>
                <w:rFonts w:hint="eastAsia" w:ascii="宋体" w:hAnsi="宋体"/>
                <w:color w:val="auto"/>
                <w:szCs w:val="21"/>
              </w:rPr>
              <w:t>）作为附件上传保存。</w:t>
            </w:r>
          </w:p>
          <w:p w14:paraId="3FE5B741">
            <w:pPr>
              <w:snapToGrid w:val="0"/>
              <w:spacing w:line="360" w:lineRule="auto"/>
              <w:rPr>
                <w:rFonts w:ascii="宋体" w:hAnsi="宋体"/>
                <w:b/>
                <w:color w:val="auto"/>
                <w:szCs w:val="21"/>
              </w:rPr>
            </w:pPr>
            <w:r>
              <w:rPr>
                <w:rFonts w:hint="eastAsia" w:ascii="宋体" w:hAnsi="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F959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8D30236">
            <w:pPr>
              <w:spacing w:line="360" w:lineRule="auto"/>
              <w:jc w:val="center"/>
              <w:rPr>
                <w:rFonts w:ascii="宋体" w:hAnsi="宋体"/>
                <w:color w:val="auto"/>
                <w:szCs w:val="21"/>
              </w:rPr>
            </w:pPr>
            <w:bookmarkStart w:id="62" w:name="_26"/>
            <w:bookmarkEnd w:id="62"/>
            <w:r>
              <w:rPr>
                <w:rFonts w:hint="eastAsia" w:ascii="宋体" w:hAnsi="宋体"/>
                <w:color w:val="auto"/>
                <w:szCs w:val="21"/>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72089DAB">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 xml:space="preserve"> 5  </w:t>
            </w:r>
            <w:r>
              <w:rPr>
                <w:rFonts w:hint="eastAsia" w:ascii="宋体" w:hAnsi="宋体"/>
                <w:color w:val="auto"/>
                <w:szCs w:val="21"/>
              </w:rPr>
              <w:t>人</w:t>
            </w:r>
          </w:p>
        </w:tc>
      </w:tr>
      <w:tr w14:paraId="401B6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7E77101">
            <w:pPr>
              <w:spacing w:line="360" w:lineRule="auto"/>
              <w:jc w:val="center"/>
              <w:rPr>
                <w:rFonts w:ascii="宋体" w:hAnsi="宋体"/>
                <w:color w:val="auto"/>
                <w:szCs w:val="21"/>
              </w:rPr>
            </w:pPr>
            <w:bookmarkStart w:id="63" w:name="_28.3"/>
            <w:bookmarkEnd w:id="63"/>
            <w:r>
              <w:rPr>
                <w:rFonts w:ascii="宋体" w:hAnsi="宋体"/>
                <w:color w:val="auto"/>
                <w:szCs w:val="21"/>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44E71751">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评标方法：</w:t>
            </w:r>
          </w:p>
          <w:p w14:paraId="7076641A">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√综合评分法</w:t>
            </w:r>
          </w:p>
          <w:p w14:paraId="08EB25F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□最低评标价法</w:t>
            </w:r>
          </w:p>
        </w:tc>
      </w:tr>
      <w:tr w14:paraId="513E5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769794F6">
            <w:pPr>
              <w:spacing w:line="360" w:lineRule="auto"/>
              <w:jc w:val="center"/>
              <w:rPr>
                <w:rFonts w:ascii="宋体" w:hAnsi="宋体"/>
                <w:color w:val="auto"/>
                <w:szCs w:val="21"/>
              </w:rPr>
            </w:pPr>
            <w:bookmarkStart w:id="64" w:name="_29.2.2（2）"/>
            <w:bookmarkEnd w:id="64"/>
            <w:r>
              <w:rPr>
                <w:rFonts w:hint="eastAsia" w:ascii="宋体" w:hAnsi="宋体"/>
                <w:color w:val="auto"/>
                <w:szCs w:val="21"/>
              </w:rPr>
              <w:t>29</w:t>
            </w:r>
            <w:r>
              <w:rPr>
                <w:rFonts w:ascii="宋体" w:hAnsi="宋体"/>
                <w:color w:val="auto"/>
                <w:szCs w:val="21"/>
              </w:rPr>
              <w:t>.2</w:t>
            </w:r>
          </w:p>
        </w:tc>
        <w:tc>
          <w:tcPr>
            <w:tcW w:w="8175" w:type="dxa"/>
            <w:tcBorders>
              <w:top w:val="single" w:color="auto" w:sz="4" w:space="0"/>
              <w:left w:val="single" w:color="auto" w:sz="4" w:space="0"/>
              <w:right w:val="single" w:color="auto" w:sz="4" w:space="0"/>
            </w:tcBorders>
            <w:vAlign w:val="center"/>
          </w:tcPr>
          <w:p w14:paraId="303AA684">
            <w:pPr>
              <w:snapToGrid w:val="0"/>
              <w:spacing w:line="360" w:lineRule="auto"/>
              <w:rPr>
                <w:rFonts w:ascii="宋体" w:hAnsi="宋体"/>
                <w:color w:val="auto"/>
                <w:szCs w:val="21"/>
              </w:rPr>
            </w:pPr>
            <w:r>
              <w:rPr>
                <w:rFonts w:hint="eastAsia" w:ascii="宋体" w:hAnsi="宋体" w:cs="宋体"/>
                <w:color w:val="auto"/>
                <w:szCs w:val="21"/>
              </w:rPr>
              <w:t>商务要求</w:t>
            </w:r>
            <w:r>
              <w:rPr>
                <w:rFonts w:hint="eastAsia" w:ascii="宋体" w:hAnsi="宋体"/>
                <w:color w:val="auto"/>
                <w:szCs w:val="21"/>
              </w:rPr>
              <w:t>评审中允许负偏离的条款数为</w:t>
            </w:r>
            <w:r>
              <w:rPr>
                <w:rFonts w:hint="eastAsia" w:ascii="宋体" w:hAnsi="宋体"/>
                <w:color w:val="auto"/>
                <w:szCs w:val="21"/>
                <w:u w:val="single"/>
              </w:rPr>
              <w:t xml:space="preserve"> 0 </w:t>
            </w:r>
            <w:r>
              <w:rPr>
                <w:rFonts w:hint="eastAsia" w:ascii="宋体" w:hAnsi="宋体"/>
                <w:color w:val="auto"/>
                <w:szCs w:val="21"/>
              </w:rPr>
              <w:t>项。</w:t>
            </w:r>
          </w:p>
          <w:p w14:paraId="5512E740">
            <w:pPr>
              <w:snapToGrid w:val="0"/>
              <w:spacing w:line="360" w:lineRule="auto"/>
              <w:rPr>
                <w:rFonts w:ascii="宋体" w:hAnsi="宋体"/>
                <w:color w:val="auto"/>
                <w:szCs w:val="21"/>
              </w:rPr>
            </w:pPr>
            <w:r>
              <w:rPr>
                <w:rFonts w:hint="eastAsia" w:ascii="宋体" w:hAnsi="宋体" w:cs="宋体"/>
                <w:color w:val="auto"/>
                <w:szCs w:val="21"/>
              </w:rPr>
              <w:t>技术要求</w:t>
            </w:r>
            <w:r>
              <w:rPr>
                <w:rFonts w:hint="eastAsia" w:ascii="宋体" w:hAnsi="宋体"/>
                <w:color w:val="auto"/>
                <w:szCs w:val="21"/>
              </w:rPr>
              <w:t>评审中允许负偏离的条款数</w:t>
            </w:r>
            <w:r>
              <w:rPr>
                <w:rFonts w:hint="eastAsia" w:ascii="宋体" w:hAnsi="宋体"/>
                <w:color w:val="auto"/>
                <w:szCs w:val="21"/>
                <w:u w:val="single"/>
              </w:rPr>
              <w:t>详见第二章 采购需求</w:t>
            </w:r>
            <w:r>
              <w:rPr>
                <w:rFonts w:hint="eastAsia" w:ascii="宋体" w:hAnsi="宋体"/>
                <w:color w:val="auto"/>
                <w:szCs w:val="21"/>
              </w:rPr>
              <w:t>。</w:t>
            </w:r>
          </w:p>
        </w:tc>
      </w:tr>
      <w:tr w14:paraId="66BDB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60D58AB9">
            <w:pPr>
              <w:spacing w:line="360" w:lineRule="auto"/>
              <w:jc w:val="center"/>
              <w:rPr>
                <w:rFonts w:ascii="宋体" w:hAnsi="宋体"/>
                <w:color w:val="auto"/>
                <w:szCs w:val="21"/>
              </w:rPr>
            </w:pPr>
            <w:r>
              <w:rPr>
                <w:rFonts w:hint="eastAsia" w:ascii="宋体" w:hAnsi="宋体"/>
                <w:color w:val="auto"/>
                <w:szCs w:val="21"/>
              </w:rPr>
              <w:t>29.3</w:t>
            </w:r>
          </w:p>
        </w:tc>
        <w:tc>
          <w:tcPr>
            <w:tcW w:w="8175" w:type="dxa"/>
            <w:tcBorders>
              <w:top w:val="single" w:color="auto" w:sz="4" w:space="0"/>
              <w:left w:val="single" w:color="auto" w:sz="4" w:space="0"/>
              <w:right w:val="single" w:color="auto" w:sz="4" w:space="0"/>
            </w:tcBorders>
            <w:vAlign w:val="center"/>
          </w:tcPr>
          <w:p w14:paraId="7B37CB72">
            <w:pPr>
              <w:snapToGrid w:val="0"/>
              <w:spacing w:line="360" w:lineRule="auto"/>
              <w:rPr>
                <w:rFonts w:hAnsi="宋体"/>
                <w:color w:val="auto"/>
              </w:rPr>
            </w:pPr>
            <w:r>
              <w:rPr>
                <w:rFonts w:hAnsi="宋体"/>
                <w:color w:val="auto"/>
              </w:rPr>
              <w:t>中标候选人推荐数量</w:t>
            </w:r>
            <w:r>
              <w:rPr>
                <w:rFonts w:hint="eastAsia" w:hAnsi="宋体"/>
                <w:color w:val="auto"/>
              </w:rPr>
              <w:t>：</w:t>
            </w:r>
          </w:p>
          <w:p w14:paraId="2684D85D">
            <w:pPr>
              <w:snapToGrid w:val="0"/>
              <w:spacing w:line="360" w:lineRule="auto"/>
              <w:rPr>
                <w:rFonts w:hAnsi="宋体"/>
                <w:color w:val="auto"/>
              </w:rPr>
            </w:pPr>
            <w:r>
              <w:rPr>
                <w:rFonts w:hint="eastAsia" w:ascii="宋体" w:hAnsi="宋体"/>
                <w:color w:val="auto"/>
                <w:szCs w:val="21"/>
              </w:rPr>
              <w:t>□</w:t>
            </w:r>
            <w:r>
              <w:rPr>
                <w:rFonts w:hint="eastAsia" w:hAnsi="宋体"/>
                <w:color w:val="auto"/>
                <w:u w:val="single"/>
              </w:rPr>
              <w:t xml:space="preserve"> </w:t>
            </w:r>
            <w:r>
              <w:rPr>
                <w:rFonts w:hAnsi="宋体"/>
                <w:color w:val="auto"/>
                <w:u w:val="single"/>
              </w:rPr>
              <w:t xml:space="preserve">   </w:t>
            </w:r>
            <w:r>
              <w:rPr>
                <w:rFonts w:hAnsi="宋体"/>
                <w:color w:val="auto"/>
              </w:rPr>
              <w:t>名</w:t>
            </w:r>
          </w:p>
          <w:p w14:paraId="516D3CAE">
            <w:pPr>
              <w:snapToGrid w:val="0"/>
              <w:spacing w:line="360" w:lineRule="auto"/>
              <w:rPr>
                <w:rFonts w:ascii="宋体" w:hAnsi="宋体" w:cs="宋体"/>
                <w:color w:val="auto"/>
                <w:szCs w:val="21"/>
              </w:rPr>
            </w:pPr>
            <w:r>
              <w:rPr>
                <w:rFonts w:hint="eastAsia" w:ascii="宋体" w:hAnsi="宋体"/>
                <w:color w:val="auto"/>
                <w:szCs w:val="21"/>
              </w:rPr>
              <w:t>√</w:t>
            </w:r>
            <w:r>
              <w:rPr>
                <w:rFonts w:hint="eastAsia" w:hAnsi="宋体"/>
                <w:color w:val="auto"/>
              </w:rPr>
              <w:t>根据[总得分由高到低</w:t>
            </w:r>
            <w:r>
              <w:rPr>
                <w:rFonts w:hAnsi="宋体"/>
                <w:color w:val="auto"/>
              </w:rPr>
              <w:t>]</w:t>
            </w:r>
            <w:r>
              <w:rPr>
                <w:rFonts w:hint="eastAsia" w:hAnsi="宋体"/>
                <w:color w:val="auto"/>
              </w:rPr>
              <w:t>排列次序并全部推荐为中标候选人</w:t>
            </w:r>
          </w:p>
        </w:tc>
      </w:tr>
      <w:tr w14:paraId="4196E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648E6B8">
            <w:pPr>
              <w:spacing w:line="360" w:lineRule="auto"/>
              <w:jc w:val="center"/>
              <w:rPr>
                <w:rFonts w:ascii="宋体" w:hAnsi="宋体"/>
                <w:color w:val="auto"/>
                <w:szCs w:val="21"/>
              </w:rPr>
            </w:pPr>
            <w:r>
              <w:rPr>
                <w:rFonts w:hint="eastAsia" w:ascii="宋体" w:hAnsi="宋体"/>
                <w:color w:val="auto"/>
                <w:szCs w:val="21"/>
              </w:rPr>
              <w:t>30</w:t>
            </w:r>
            <w:r>
              <w:rPr>
                <w:rFonts w:ascii="宋体" w:hAnsi="宋体"/>
                <w:color w:val="auto"/>
                <w:szCs w:val="21"/>
              </w:rPr>
              <w:t>.1</w:t>
            </w:r>
          </w:p>
        </w:tc>
        <w:tc>
          <w:tcPr>
            <w:tcW w:w="8175" w:type="dxa"/>
            <w:tcBorders>
              <w:top w:val="single" w:color="auto" w:sz="4" w:space="0"/>
              <w:left w:val="single" w:color="auto" w:sz="4" w:space="0"/>
              <w:bottom w:val="single" w:color="auto" w:sz="4" w:space="0"/>
              <w:right w:val="single" w:color="auto" w:sz="4" w:space="0"/>
            </w:tcBorders>
            <w:vAlign w:val="center"/>
          </w:tcPr>
          <w:p w14:paraId="05C7D659">
            <w:pPr>
              <w:autoSpaceDE w:val="0"/>
              <w:autoSpaceDN w:val="0"/>
              <w:snapToGrid w:val="0"/>
              <w:spacing w:line="360" w:lineRule="auto"/>
              <w:textAlignment w:val="bottom"/>
              <w:rPr>
                <w:rFonts w:ascii="宋体" w:hAnsi="宋体"/>
                <w:color w:val="auto"/>
                <w:szCs w:val="21"/>
              </w:rPr>
            </w:pPr>
            <w:r>
              <w:rPr>
                <w:rFonts w:hint="eastAsia" w:ascii="宋体" w:hAnsi="宋体"/>
                <w:color w:val="auto"/>
                <w:sz w:val="22"/>
                <w:szCs w:val="22"/>
              </w:rPr>
              <w:t>采用综合评分法的采购项目，</w:t>
            </w:r>
            <w:r>
              <w:rPr>
                <w:rFonts w:hint="eastAsia" w:ascii="宋体" w:hAnsi="宋体"/>
                <w:color w:val="auto"/>
                <w:szCs w:val="21"/>
              </w:rPr>
              <w:t>采购人确定中标人时，出现中标候选人并列的情形，采购人按以下的方式确定中标人：</w:t>
            </w:r>
          </w:p>
          <w:p w14:paraId="5E76BBF8">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√依次按投标报价低的优先、技术评分高的优先、商务评分高的优先顺序确定，通过上述方式依然无法确定中标供应商的，由采购人通过随机抽取的方式确定；</w:t>
            </w:r>
          </w:p>
          <w:p w14:paraId="0C15F64F">
            <w:pPr>
              <w:autoSpaceDE w:val="0"/>
              <w:autoSpaceDN w:val="0"/>
              <w:snapToGrid w:val="0"/>
              <w:spacing w:line="360" w:lineRule="auto"/>
              <w:textAlignment w:val="bottom"/>
              <w:rPr>
                <w:rFonts w:ascii="宋体" w:hAnsi="宋体"/>
                <w:b/>
                <w:color w:val="auto"/>
                <w:szCs w:val="21"/>
              </w:rPr>
            </w:pPr>
            <w:r>
              <w:rPr>
                <w:rFonts w:hint="eastAsia" w:ascii="宋体" w:hAnsi="宋体"/>
                <w:color w:val="auto"/>
                <w:szCs w:val="21"/>
              </w:rPr>
              <w:t>□随机抽取；</w:t>
            </w:r>
          </w:p>
        </w:tc>
      </w:tr>
      <w:tr w14:paraId="453EA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551C5A9B">
            <w:pPr>
              <w:spacing w:line="360" w:lineRule="auto"/>
              <w:jc w:val="center"/>
              <w:rPr>
                <w:rFonts w:ascii="宋体" w:hAnsi="宋体"/>
                <w:color w:val="auto"/>
                <w:szCs w:val="21"/>
              </w:rPr>
            </w:pPr>
            <w:bookmarkStart w:id="65" w:name="_39.1"/>
            <w:bookmarkEnd w:id="65"/>
            <w:r>
              <w:rPr>
                <w:rFonts w:hint="eastAsia" w:ascii="宋体" w:hAnsi="宋体"/>
                <w:color w:val="auto"/>
                <w:szCs w:val="21"/>
              </w:rPr>
              <w:t>35</w:t>
            </w:r>
          </w:p>
        </w:tc>
        <w:tc>
          <w:tcPr>
            <w:tcW w:w="8175" w:type="dxa"/>
            <w:tcBorders>
              <w:top w:val="single" w:color="auto" w:sz="4" w:space="0"/>
              <w:left w:val="single" w:color="auto" w:sz="4" w:space="0"/>
              <w:bottom w:val="single" w:color="auto" w:sz="4" w:space="0"/>
              <w:right w:val="single" w:color="auto" w:sz="4" w:space="0"/>
            </w:tcBorders>
            <w:vAlign w:val="center"/>
          </w:tcPr>
          <w:p w14:paraId="3B3D99B6">
            <w:pPr>
              <w:autoSpaceDE w:val="0"/>
              <w:autoSpaceDN w:val="0"/>
              <w:snapToGrid w:val="0"/>
              <w:spacing w:line="360" w:lineRule="auto"/>
              <w:textAlignment w:val="bottom"/>
              <w:rPr>
                <w:rFonts w:ascii="宋体" w:hAnsi="宋体" w:cs="宋体"/>
                <w:color w:val="auto"/>
                <w:kern w:val="0"/>
                <w:szCs w:val="21"/>
              </w:rPr>
            </w:pPr>
            <w:r>
              <w:rPr>
                <w:rFonts w:hint="eastAsia" w:ascii="宋体" w:hAnsi="宋体"/>
                <w:color w:val="auto"/>
                <w:szCs w:val="21"/>
                <w:lang w:eastAsia="zh-CN"/>
              </w:rPr>
              <w:t>☑</w:t>
            </w:r>
            <w:r>
              <w:rPr>
                <w:rFonts w:hint="eastAsia" w:ascii="宋体" w:hAnsi="宋体"/>
                <w:color w:val="auto"/>
                <w:szCs w:val="21"/>
              </w:rPr>
              <w:t>本项目不收取履约保证金。</w:t>
            </w:r>
          </w:p>
        </w:tc>
      </w:tr>
      <w:tr w14:paraId="547F4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071DB09">
            <w:pPr>
              <w:spacing w:line="360" w:lineRule="auto"/>
              <w:jc w:val="center"/>
              <w:rPr>
                <w:rFonts w:ascii="宋体" w:hAnsi="宋体"/>
                <w:color w:val="auto"/>
                <w:szCs w:val="21"/>
              </w:rPr>
            </w:pPr>
            <w:bookmarkStart w:id="66" w:name="_40.1"/>
            <w:bookmarkEnd w:id="66"/>
            <w:r>
              <w:rPr>
                <w:rFonts w:hint="eastAsia" w:ascii="宋体" w:hAnsi="宋体"/>
                <w:color w:val="auto"/>
                <w:szCs w:val="21"/>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7AEC985F">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619E65E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14B73BD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1643C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189DCEB">
            <w:pPr>
              <w:spacing w:line="360" w:lineRule="auto"/>
              <w:jc w:val="center"/>
              <w:rPr>
                <w:rFonts w:ascii="宋体" w:hAnsi="宋体"/>
                <w:color w:val="auto"/>
                <w:szCs w:val="21"/>
              </w:rPr>
            </w:pPr>
            <w:r>
              <w:rPr>
                <w:rFonts w:hint="eastAsia" w:ascii="宋体" w:hAnsi="宋体"/>
                <w:color w:val="auto"/>
                <w:szCs w:val="21"/>
              </w:rPr>
              <w:t>3</w:t>
            </w:r>
            <w:r>
              <w:rPr>
                <w:rFonts w:ascii="宋体" w:hAnsi="宋体"/>
                <w:color w:val="auto"/>
                <w:szCs w:val="21"/>
              </w:rPr>
              <w:t>8.2</w:t>
            </w:r>
          </w:p>
        </w:tc>
        <w:tc>
          <w:tcPr>
            <w:tcW w:w="8175" w:type="dxa"/>
            <w:tcBorders>
              <w:top w:val="single" w:color="auto" w:sz="4" w:space="0"/>
              <w:left w:val="single" w:color="auto" w:sz="4" w:space="0"/>
              <w:bottom w:val="single" w:color="auto" w:sz="4" w:space="0"/>
              <w:right w:val="single" w:color="auto" w:sz="4" w:space="0"/>
            </w:tcBorders>
            <w:vAlign w:val="center"/>
          </w:tcPr>
          <w:p w14:paraId="10ECF63F">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6DAF7E50">
            <w:pPr>
              <w:snapToGrid w:val="0"/>
              <w:spacing w:line="360" w:lineRule="auto"/>
              <w:rPr>
                <w:rFonts w:hint="eastAsia" w:ascii="宋体" w:hAnsi="宋体" w:eastAsia="宋体"/>
                <w:color w:val="auto"/>
                <w:szCs w:val="21"/>
                <w:lang w:eastAsia="zh-CN"/>
              </w:rPr>
            </w:pPr>
            <w:r>
              <w:rPr>
                <w:rFonts w:hint="eastAsia" w:ascii="宋体" w:hAnsi="宋体"/>
                <w:color w:val="auto"/>
                <w:szCs w:val="21"/>
              </w:rPr>
              <w:t>质疑联系部门及联系方式：</w:t>
            </w:r>
            <w:r>
              <w:rPr>
                <w:rFonts w:hint="eastAsia" w:ascii="宋体" w:hAnsi="宋体"/>
                <w:color w:val="auto"/>
                <w:szCs w:val="21"/>
                <w:lang w:eastAsia="zh-CN"/>
              </w:rPr>
              <w:t>广西亿正工程咨询有限公司</w:t>
            </w:r>
          </w:p>
          <w:p w14:paraId="008DC272">
            <w:pPr>
              <w:snapToGrid w:val="0"/>
              <w:spacing w:line="360" w:lineRule="auto"/>
              <w:rPr>
                <w:rFonts w:ascii="宋体" w:hAnsi="宋体"/>
                <w:color w:val="auto"/>
                <w:szCs w:val="21"/>
              </w:rPr>
            </w:pPr>
            <w:r>
              <w:rPr>
                <w:rFonts w:hint="eastAsia" w:ascii="宋体" w:hAnsi="宋体"/>
                <w:color w:val="auto"/>
                <w:szCs w:val="21"/>
              </w:rPr>
              <w:t>联系电话：</w:t>
            </w:r>
            <w:r>
              <w:rPr>
                <w:rFonts w:hint="eastAsia" w:ascii="宋体" w:hAnsi="宋体"/>
                <w:color w:val="auto"/>
                <w:szCs w:val="21"/>
                <w:lang w:eastAsia="zh-CN"/>
              </w:rPr>
              <w:t>0775-6251836</w:t>
            </w:r>
          </w:p>
          <w:p w14:paraId="59693ACC">
            <w:pPr>
              <w:snapToGrid w:val="0"/>
              <w:spacing w:line="360" w:lineRule="auto"/>
              <w:rPr>
                <w:rFonts w:hint="eastAsia" w:ascii="宋体" w:hAnsi="宋体" w:eastAsia="宋体"/>
                <w:color w:val="auto"/>
                <w:szCs w:val="21"/>
                <w:lang w:eastAsia="zh-CN"/>
              </w:rPr>
            </w:pPr>
            <w:r>
              <w:rPr>
                <w:rFonts w:hint="eastAsia" w:ascii="宋体" w:hAnsi="宋体"/>
                <w:color w:val="auto"/>
                <w:szCs w:val="21"/>
              </w:rPr>
              <w:t>通讯地址：</w:t>
            </w:r>
            <w:r>
              <w:rPr>
                <w:rFonts w:hint="eastAsia" w:ascii="宋体" w:hAnsi="宋体"/>
                <w:color w:val="auto"/>
                <w:szCs w:val="21"/>
                <w:lang w:eastAsia="zh-CN"/>
              </w:rPr>
              <w:t>北流市永顺路六区124号</w:t>
            </w:r>
          </w:p>
          <w:p w14:paraId="35018478">
            <w:pPr>
              <w:snapToGrid w:val="0"/>
              <w:spacing w:line="360" w:lineRule="auto"/>
              <w:rPr>
                <w:rFonts w:ascii="宋体" w:hAnsi="宋体"/>
                <w:color w:val="auto"/>
                <w:szCs w:val="21"/>
              </w:rPr>
            </w:pPr>
            <w:r>
              <w:rPr>
                <w:rFonts w:hint="eastAsia" w:hAnsi="宋体" w:cs="宋体"/>
                <w:color w:val="auto"/>
              </w:rPr>
              <w:t>业务时间：</w:t>
            </w:r>
            <w:r>
              <w:rPr>
                <w:rFonts w:hint="eastAsia" w:ascii="宋体" w:hAnsi="宋体"/>
                <w:color w:val="auto"/>
                <w:szCs w:val="21"/>
              </w:rPr>
              <w:t>工作日每天上午8时00分到12时00分，下午3时00分到6时00分。</w:t>
            </w:r>
          </w:p>
        </w:tc>
      </w:tr>
      <w:tr w14:paraId="21747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0EFA05E">
            <w:pPr>
              <w:spacing w:line="360" w:lineRule="auto"/>
              <w:jc w:val="center"/>
              <w:rPr>
                <w:rFonts w:ascii="宋体" w:hAnsi="宋体"/>
                <w:color w:val="auto"/>
                <w:szCs w:val="21"/>
              </w:rPr>
            </w:pPr>
            <w:bookmarkStart w:id="67" w:name="_42"/>
            <w:bookmarkEnd w:id="67"/>
            <w:bookmarkStart w:id="68" w:name="_41"/>
            <w:bookmarkEnd w:id="68"/>
            <w:bookmarkStart w:id="69" w:name="_Hlt17709148"/>
            <w:r>
              <w:rPr>
                <w:rFonts w:hint="eastAsia" w:ascii="宋体" w:hAnsi="宋体"/>
                <w:color w:val="auto"/>
                <w:szCs w:val="21"/>
              </w:rPr>
              <w:t>3</w:t>
            </w:r>
            <w:bookmarkEnd w:id="69"/>
            <w:r>
              <w:rPr>
                <w:rFonts w:ascii="宋体" w:hAnsi="宋体"/>
                <w:color w:val="auto"/>
                <w:szCs w:val="21"/>
              </w:rPr>
              <w:t>9.1</w:t>
            </w:r>
          </w:p>
        </w:tc>
        <w:tc>
          <w:tcPr>
            <w:tcW w:w="8175" w:type="dxa"/>
            <w:tcBorders>
              <w:top w:val="single" w:color="auto" w:sz="4" w:space="0"/>
              <w:left w:val="single" w:color="auto" w:sz="4" w:space="0"/>
              <w:bottom w:val="single" w:color="auto" w:sz="4" w:space="0"/>
              <w:right w:val="single" w:color="auto" w:sz="4" w:space="0"/>
            </w:tcBorders>
            <w:vAlign w:val="center"/>
          </w:tcPr>
          <w:p w14:paraId="43E81442">
            <w:pPr>
              <w:pStyle w:val="22"/>
              <w:snapToGrid w:val="0"/>
              <w:spacing w:line="360" w:lineRule="auto"/>
              <w:rPr>
                <w:rFonts w:hAnsi="宋体" w:cs="宋体"/>
                <w:color w:val="auto"/>
                <w:sz w:val="21"/>
              </w:rPr>
            </w:pPr>
            <w:r>
              <w:rPr>
                <w:rFonts w:hint="eastAsia" w:hAnsi="宋体" w:cs="宋体"/>
                <w:color w:val="auto"/>
                <w:sz w:val="21"/>
              </w:rPr>
              <w:t>1.采购代理费支付方式：</w:t>
            </w:r>
          </w:p>
          <w:p w14:paraId="395E0736">
            <w:pPr>
              <w:pStyle w:val="22"/>
              <w:snapToGrid w:val="0"/>
              <w:spacing w:line="360" w:lineRule="auto"/>
              <w:rPr>
                <w:rFonts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一次性向采购代理机构支付。</w:t>
            </w:r>
          </w:p>
          <w:p w14:paraId="67477749">
            <w:pPr>
              <w:pStyle w:val="22"/>
              <w:snapToGrid w:val="0"/>
              <w:spacing w:line="360" w:lineRule="auto"/>
              <w:rPr>
                <w:rFonts w:hAnsi="宋体" w:cs="宋体"/>
                <w:color w:val="auto"/>
                <w:sz w:val="21"/>
              </w:rPr>
            </w:pPr>
            <w:r>
              <w:rPr>
                <w:rFonts w:hint="eastAsia" w:hAnsi="宋体" w:cs="宋体"/>
                <w:color w:val="auto"/>
                <w:sz w:val="21"/>
              </w:rPr>
              <w:t>□采购人支付。</w:t>
            </w:r>
          </w:p>
          <w:p w14:paraId="3BB80F1A">
            <w:pPr>
              <w:pStyle w:val="22"/>
              <w:snapToGrid w:val="0"/>
              <w:spacing w:line="360" w:lineRule="auto"/>
              <w:rPr>
                <w:rFonts w:hAnsi="宋体" w:cs="宋体"/>
                <w:color w:val="auto"/>
                <w:sz w:val="21"/>
              </w:rPr>
            </w:pPr>
            <w:r>
              <w:rPr>
                <w:rFonts w:hint="eastAsia" w:hAnsi="宋体" w:cs="宋体"/>
                <w:color w:val="auto"/>
                <w:sz w:val="21"/>
              </w:rPr>
              <w:t>2.采购代理费收取标准：</w:t>
            </w:r>
          </w:p>
          <w:p w14:paraId="1F281B49">
            <w:pPr>
              <w:pStyle w:val="22"/>
              <w:snapToGrid w:val="0"/>
              <w:spacing w:line="360" w:lineRule="auto"/>
              <w:rPr>
                <w:rFonts w:hAnsi="宋体" w:cs="宋体"/>
                <w:color w:val="auto"/>
                <w:sz w:val="21"/>
              </w:rPr>
            </w:pPr>
            <w:r>
              <w:rPr>
                <w:rFonts w:hint="eastAsia" w:hAnsi="宋体" w:cs="宋体"/>
                <w:color w:val="auto"/>
                <w:sz w:val="21"/>
              </w:rPr>
              <w:t>√以分标（√中标金额/□采购预算/□暂定中标金额/□其他</w:t>
            </w:r>
            <w:r>
              <w:rPr>
                <w:rFonts w:hint="eastAsia" w:hAnsi="宋体" w:cs="宋体"/>
                <w:color w:val="auto"/>
                <w:sz w:val="21"/>
                <w:u w:val="single"/>
              </w:rPr>
              <w:t xml:space="preserve"> </w:t>
            </w:r>
            <w:r>
              <w:rPr>
                <w:rFonts w:hAnsi="宋体" w:cs="宋体"/>
                <w:color w:val="auto"/>
                <w:sz w:val="21"/>
                <w:u w:val="single"/>
              </w:rPr>
              <w:t xml:space="preserve">  </w:t>
            </w:r>
            <w:r>
              <w:rPr>
                <w:rFonts w:hint="eastAsia" w:hAnsi="宋体" w:cs="宋体"/>
                <w:color w:val="auto"/>
                <w:sz w:val="21"/>
              </w:rPr>
              <w:t>）为计费额，按本须知正文第</w:t>
            </w:r>
            <w:r>
              <w:rPr>
                <w:rFonts w:hAnsi="宋体" w:cs="宋体"/>
                <w:color w:val="auto"/>
                <w:sz w:val="21"/>
              </w:rPr>
              <w:t>39</w:t>
            </w:r>
            <w:r>
              <w:rPr>
                <w:rFonts w:hint="eastAsia" w:hAnsi="宋体" w:cs="宋体"/>
                <w:color w:val="auto"/>
                <w:sz w:val="21"/>
              </w:rPr>
              <w:t>.</w:t>
            </w:r>
            <w:r>
              <w:rPr>
                <w:rFonts w:hAnsi="宋体" w:cs="宋体"/>
                <w:color w:val="auto"/>
                <w:sz w:val="21"/>
              </w:rPr>
              <w:t>2</w:t>
            </w:r>
            <w:r>
              <w:rPr>
                <w:rFonts w:hint="eastAsia" w:hAnsi="宋体" w:cs="宋体"/>
                <w:color w:val="auto"/>
                <w:sz w:val="21"/>
              </w:rPr>
              <w:t>条规定的收费计算标准（□货物招标/√服务招标/□工程招标）采用差额定率累进法计算出收费基准价格，采购代理收费以（</w:t>
            </w:r>
            <w:r>
              <w:rPr>
                <w:rFonts w:hint="eastAsia" w:hAnsi="宋体" w:cs="宋体"/>
                <w:color w:val="auto"/>
                <w:sz w:val="21"/>
                <w:lang w:eastAsia="zh-CN"/>
              </w:rPr>
              <w:t>☑</w:t>
            </w:r>
            <w:r>
              <w:rPr>
                <w:rFonts w:hint="eastAsia" w:hAnsi="宋体" w:cs="宋体"/>
                <w:color w:val="auto"/>
                <w:sz w:val="21"/>
              </w:rPr>
              <w:t>收费基准价格/√收费基准价格下浮</w:t>
            </w:r>
            <w:r>
              <w:rPr>
                <w:rFonts w:hint="eastAsia" w:hAnsi="宋体" w:cs="宋体"/>
                <w:color w:val="auto"/>
                <w:sz w:val="21"/>
                <w:u w:val="single"/>
                <w:lang w:val="en-US" w:eastAsia="zh-CN"/>
              </w:rPr>
              <w:t xml:space="preserve">  </w:t>
            </w:r>
            <w:r>
              <w:rPr>
                <w:rFonts w:hAnsi="宋体" w:cs="宋体"/>
                <w:color w:val="auto"/>
                <w:sz w:val="21"/>
              </w:rPr>
              <w:t>/</w:t>
            </w:r>
            <w:r>
              <w:rPr>
                <w:rFonts w:hint="eastAsia" w:hAnsi="宋体" w:cs="宋体"/>
                <w:color w:val="auto"/>
                <w:sz w:val="21"/>
              </w:rPr>
              <w:t>□收费基准价格上浮</w:t>
            </w:r>
            <w:r>
              <w:rPr>
                <w:rFonts w:hint="eastAsia" w:hAnsi="宋体" w:cs="宋体"/>
                <w:color w:val="auto"/>
                <w:sz w:val="21"/>
                <w:u w:val="single"/>
              </w:rPr>
              <w:t xml:space="preserve"> </w:t>
            </w:r>
            <w:r>
              <w:rPr>
                <w:rFonts w:hAnsi="宋体" w:cs="宋体"/>
                <w:color w:val="auto"/>
                <w:sz w:val="21"/>
                <w:u w:val="single"/>
              </w:rPr>
              <w:t xml:space="preserve">  </w:t>
            </w:r>
            <w:r>
              <w:rPr>
                <w:rFonts w:hint="eastAsia" w:hAnsi="宋体" w:cs="宋体"/>
                <w:color w:val="auto"/>
                <w:sz w:val="21"/>
                <w:u w:val="single"/>
              </w:rPr>
              <w:t>%</w:t>
            </w:r>
            <w:r>
              <w:rPr>
                <w:rFonts w:hint="eastAsia" w:hAnsi="宋体" w:cs="宋体"/>
                <w:color w:val="auto"/>
                <w:sz w:val="21"/>
              </w:rPr>
              <w:t>）收取。</w:t>
            </w:r>
          </w:p>
          <w:p w14:paraId="60AB73E5">
            <w:pPr>
              <w:pStyle w:val="22"/>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2C89F0C2">
            <w:pPr>
              <w:pStyle w:val="22"/>
              <w:snapToGrid w:val="0"/>
              <w:spacing w:line="360" w:lineRule="auto"/>
              <w:rPr>
                <w:rFonts w:hAnsi="宋体" w:cs="宋体"/>
                <w:color w:val="auto"/>
                <w:sz w:val="21"/>
              </w:rPr>
            </w:pPr>
            <w:r>
              <w:rPr>
                <w:rFonts w:hint="eastAsia" w:hAnsi="宋体" w:cs="宋体"/>
                <w:color w:val="auto"/>
                <w:sz w:val="21"/>
              </w:rPr>
              <w:t>3</w:t>
            </w:r>
            <w:r>
              <w:rPr>
                <w:rFonts w:hAnsi="宋体" w:cs="宋体"/>
                <w:color w:val="auto"/>
                <w:sz w:val="21"/>
              </w:rPr>
              <w:t>.</w:t>
            </w:r>
            <w:r>
              <w:rPr>
                <w:rFonts w:hint="eastAsia" w:hAnsi="宋体" w:cs="宋体"/>
                <w:color w:val="auto"/>
                <w:sz w:val="21"/>
              </w:rPr>
              <w:t xml:space="preserve">账户名称： </w:t>
            </w:r>
          </w:p>
          <w:p w14:paraId="42E610C7">
            <w:pPr>
              <w:pStyle w:val="22"/>
              <w:snapToGrid w:val="0"/>
              <w:spacing w:line="360" w:lineRule="auto"/>
              <w:rPr>
                <w:rFonts w:hint="eastAsia" w:hAnsi="宋体" w:eastAsia="宋体" w:cs="宋体"/>
                <w:color w:val="auto"/>
                <w:sz w:val="21"/>
                <w:lang w:eastAsia="zh-CN"/>
              </w:rPr>
            </w:pPr>
            <w:r>
              <w:rPr>
                <w:rFonts w:hint="eastAsia" w:hAnsi="宋体" w:cs="宋体"/>
                <w:color w:val="auto"/>
                <w:sz w:val="21"/>
              </w:rPr>
              <w:t>开户名称：</w:t>
            </w:r>
            <w:r>
              <w:rPr>
                <w:rFonts w:hint="eastAsia" w:hAnsi="宋体" w:cs="宋体"/>
                <w:color w:val="auto"/>
                <w:sz w:val="21"/>
                <w:lang w:eastAsia="zh-CN"/>
              </w:rPr>
              <w:t>广西亿正工程咨询有限公司</w:t>
            </w:r>
          </w:p>
          <w:p w14:paraId="0F1E7504">
            <w:pPr>
              <w:pStyle w:val="22"/>
              <w:snapToGrid w:val="0"/>
              <w:spacing w:line="360" w:lineRule="auto"/>
              <w:rPr>
                <w:rFonts w:hAnsi="宋体" w:cs="宋体"/>
                <w:color w:val="auto"/>
                <w:sz w:val="21"/>
              </w:rPr>
            </w:pPr>
            <w:r>
              <w:rPr>
                <w:rFonts w:hint="eastAsia" w:hAnsi="宋体" w:cs="宋体"/>
                <w:color w:val="auto"/>
                <w:sz w:val="21"/>
              </w:rPr>
              <w:t>银行账号：85202500000000001417</w:t>
            </w:r>
          </w:p>
          <w:p w14:paraId="1E7BE250">
            <w:pPr>
              <w:pStyle w:val="22"/>
              <w:snapToGrid w:val="0"/>
              <w:spacing w:line="360" w:lineRule="auto"/>
              <w:rPr>
                <w:rFonts w:hint="eastAsia" w:hAnsi="宋体" w:eastAsia="宋体" w:cs="宋体"/>
                <w:color w:val="auto"/>
                <w:sz w:val="21"/>
                <w:lang w:eastAsia="zh-CN"/>
              </w:rPr>
            </w:pPr>
            <w:r>
              <w:rPr>
                <w:rFonts w:hint="eastAsia" w:hAnsi="宋体" w:cs="宋体"/>
                <w:color w:val="auto"/>
                <w:sz w:val="21"/>
              </w:rPr>
              <w:t>开户银行：</w:t>
            </w:r>
            <w:r>
              <w:rPr>
                <w:rFonts w:hint="eastAsia" w:hAnsi="宋体" w:cs="宋体"/>
                <w:color w:val="auto"/>
                <w:sz w:val="21"/>
                <w:lang w:eastAsia="zh-CN"/>
              </w:rPr>
              <w:t>柳州银行股份有限公司</w:t>
            </w:r>
            <w:r>
              <w:rPr>
                <w:rFonts w:hint="eastAsia" w:hAnsi="宋体" w:cs="宋体"/>
                <w:color w:val="auto"/>
                <w:sz w:val="21"/>
                <w:lang w:val="en-US" w:eastAsia="zh-CN"/>
              </w:rPr>
              <w:t>北流</w:t>
            </w:r>
            <w:r>
              <w:rPr>
                <w:rFonts w:hint="eastAsia" w:hAnsi="宋体" w:cs="宋体"/>
                <w:color w:val="auto"/>
                <w:sz w:val="21"/>
                <w:lang w:eastAsia="zh-CN"/>
              </w:rPr>
              <w:t>城南支行</w:t>
            </w:r>
          </w:p>
          <w:p w14:paraId="11A5D1F6">
            <w:pPr>
              <w:pStyle w:val="22"/>
              <w:snapToGrid w:val="0"/>
              <w:spacing w:line="360" w:lineRule="auto"/>
              <w:rPr>
                <w:rFonts w:hint="default" w:hAnsi="宋体" w:eastAsia="宋体" w:cs="宋体"/>
                <w:color w:val="auto"/>
                <w:sz w:val="21"/>
                <w:lang w:val="en-US" w:eastAsia="zh-CN"/>
              </w:rPr>
            </w:pPr>
            <w:r>
              <w:rPr>
                <w:rFonts w:hint="eastAsia" w:hAnsi="宋体" w:cs="宋体"/>
                <w:color w:val="auto"/>
                <w:sz w:val="21"/>
              </w:rPr>
              <w:t>开户行行号：</w:t>
            </w:r>
            <w:r>
              <w:rPr>
                <w:rFonts w:hint="eastAsia" w:hAnsi="宋体" w:cs="宋体"/>
                <w:color w:val="auto"/>
                <w:sz w:val="21"/>
                <w:lang w:val="en-US" w:eastAsia="zh-CN"/>
              </w:rPr>
              <w:t>313624652027</w:t>
            </w:r>
          </w:p>
        </w:tc>
      </w:tr>
      <w:tr w14:paraId="539F7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BB96868">
            <w:pPr>
              <w:snapToGrid w:val="0"/>
              <w:spacing w:line="360" w:lineRule="auto"/>
              <w:jc w:val="center"/>
              <w:rPr>
                <w:rFonts w:ascii="宋体" w:hAnsi="宋体"/>
                <w:color w:val="auto"/>
                <w:szCs w:val="21"/>
              </w:rPr>
            </w:pPr>
            <w:r>
              <w:rPr>
                <w:rFonts w:ascii="宋体" w:hAnsi="宋体"/>
                <w:color w:val="auto"/>
                <w:szCs w:val="21"/>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62E7045E">
            <w:pPr>
              <w:snapToGrid w:val="0"/>
              <w:spacing w:line="360" w:lineRule="auto"/>
              <w:rPr>
                <w:rFonts w:ascii="宋体" w:hAnsi="宋体"/>
                <w:color w:val="auto"/>
                <w:szCs w:val="21"/>
              </w:rPr>
            </w:pPr>
            <w:r>
              <w:rPr>
                <w:rFonts w:hint="eastAsia" w:ascii="宋体" w:hAnsi="宋体"/>
                <w:color w:val="auto"/>
                <w:szCs w:val="21"/>
              </w:rPr>
              <w:t>解释：</w:t>
            </w:r>
            <w:r>
              <w:rPr>
                <w:rFonts w:ascii="宋体" w:hAnsi="宋体"/>
                <w:color w:val="auto"/>
                <w:szCs w:val="21"/>
              </w:rPr>
              <w:t>构成本招标文件的各个组成文件应互为解释，互为说明；除招标文件中有特别规定外，仅适用于招标投标阶段的规定，按</w:t>
            </w:r>
            <w:r>
              <w:rPr>
                <w:rFonts w:hint="eastAsia" w:ascii="宋体" w:hAnsi="宋体"/>
                <w:color w:val="auto"/>
                <w:szCs w:val="21"/>
              </w:rPr>
              <w:t>更正公告（澄清公告）</w:t>
            </w:r>
            <w:r>
              <w:rPr>
                <w:rFonts w:ascii="宋体" w:hAnsi="宋体"/>
                <w:color w:val="auto"/>
                <w:szCs w:val="21"/>
              </w:rPr>
              <w:t>、招标公告、</w:t>
            </w:r>
            <w:r>
              <w:rPr>
                <w:rFonts w:hint="eastAsia" w:ascii="宋体" w:hAnsi="宋体"/>
                <w:color w:val="auto"/>
                <w:szCs w:val="21"/>
              </w:rPr>
              <w:t>采购需求、</w:t>
            </w:r>
            <w:r>
              <w:rPr>
                <w:rFonts w:ascii="宋体" w:hAnsi="宋体"/>
                <w:color w:val="auto"/>
                <w:szCs w:val="21"/>
              </w:rPr>
              <w:t>投标人须知、</w:t>
            </w:r>
            <w:r>
              <w:rPr>
                <w:rFonts w:hint="eastAsia" w:ascii="宋体" w:hAnsi="宋体"/>
                <w:color w:val="auto"/>
                <w:szCs w:val="21"/>
              </w:rPr>
              <w:t>评标方法及评标标准</w:t>
            </w:r>
            <w:r>
              <w:rPr>
                <w:rFonts w:ascii="宋体" w:hAnsi="宋体"/>
                <w:color w:val="auto"/>
                <w:szCs w:val="21"/>
              </w:rPr>
              <w:t>、</w:t>
            </w:r>
            <w:r>
              <w:rPr>
                <w:rFonts w:hint="eastAsia" w:ascii="宋体" w:hAnsi="宋体"/>
                <w:color w:val="auto"/>
                <w:szCs w:val="21"/>
              </w:rPr>
              <w:t>拟签订的合同文本、</w:t>
            </w:r>
            <w:r>
              <w:rPr>
                <w:rFonts w:ascii="宋体" w:hAnsi="宋体"/>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rPr>
              <w:t>更正公告（澄清公告）</w:t>
            </w:r>
            <w:r>
              <w:rPr>
                <w:rFonts w:ascii="宋体" w:hAnsi="宋体"/>
                <w:color w:val="auto"/>
                <w:szCs w:val="21"/>
              </w:rPr>
              <w:t>与同步更新的招标文件不一致时以</w:t>
            </w:r>
            <w:r>
              <w:rPr>
                <w:rFonts w:hint="eastAsia" w:ascii="宋体" w:hAnsi="宋体"/>
                <w:color w:val="auto"/>
                <w:szCs w:val="21"/>
              </w:rPr>
              <w:t>更正公告（澄清公告）</w:t>
            </w:r>
            <w:r>
              <w:rPr>
                <w:rFonts w:ascii="宋体" w:hAnsi="宋体"/>
                <w:color w:val="auto"/>
                <w:szCs w:val="21"/>
              </w:rPr>
              <w:t>为准。按本款前述规定仍不能形成结论的，由</w:t>
            </w:r>
            <w:r>
              <w:rPr>
                <w:rFonts w:hint="eastAsia" w:ascii="宋体" w:hAnsi="宋体"/>
                <w:color w:val="auto"/>
                <w:szCs w:val="21"/>
              </w:rPr>
              <w:t>采购</w:t>
            </w:r>
            <w:r>
              <w:rPr>
                <w:rFonts w:ascii="宋体" w:hAnsi="宋体"/>
                <w:color w:val="auto"/>
                <w:szCs w:val="21"/>
              </w:rPr>
              <w:t>人</w:t>
            </w:r>
            <w:r>
              <w:rPr>
                <w:rFonts w:hint="eastAsia" w:ascii="宋体" w:hAnsi="宋体"/>
                <w:color w:val="auto"/>
                <w:szCs w:val="21"/>
              </w:rPr>
              <w:t>或者采购代理机构</w:t>
            </w:r>
            <w:r>
              <w:rPr>
                <w:rFonts w:ascii="宋体" w:hAnsi="宋体"/>
                <w:color w:val="auto"/>
                <w:szCs w:val="21"/>
              </w:rPr>
              <w:t>负责解释。</w:t>
            </w:r>
          </w:p>
        </w:tc>
      </w:tr>
      <w:tr w14:paraId="3776C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7EDAE80">
            <w:pPr>
              <w:snapToGrid w:val="0"/>
              <w:spacing w:line="360" w:lineRule="auto"/>
              <w:jc w:val="center"/>
              <w:rPr>
                <w:rFonts w:ascii="宋体" w:hAnsi="宋体"/>
                <w:color w:val="auto"/>
                <w:szCs w:val="21"/>
              </w:rPr>
            </w:pPr>
            <w:r>
              <w:rPr>
                <w:rFonts w:ascii="宋体" w:hAnsi="宋体"/>
                <w:color w:val="auto"/>
                <w:szCs w:val="21"/>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644C3F03">
            <w:pPr>
              <w:pStyle w:val="22"/>
              <w:snapToGrid w:val="0"/>
              <w:spacing w:line="360" w:lineRule="auto"/>
              <w:rPr>
                <w:rFonts w:hAnsi="宋体" w:cs="宋体"/>
                <w:bCs/>
                <w:color w:val="auto"/>
                <w:sz w:val="21"/>
              </w:rPr>
            </w:pPr>
            <w:r>
              <w:rPr>
                <w:rFonts w:hint="eastAsia" w:hAnsi="宋体" w:cs="宋体"/>
                <w:bCs/>
                <w:color w:val="auto"/>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C1A401D">
            <w:pPr>
              <w:pStyle w:val="22"/>
              <w:snapToGrid w:val="0"/>
              <w:spacing w:line="360" w:lineRule="auto"/>
              <w:rPr>
                <w:rFonts w:hAnsi="宋体" w:cs="宋体"/>
                <w:bCs/>
                <w:color w:val="auto"/>
                <w:sz w:val="21"/>
              </w:rPr>
            </w:pPr>
            <w:r>
              <w:rPr>
                <w:rFonts w:hint="eastAsia" w:hAnsi="宋体" w:cs="宋体"/>
                <w:bCs/>
                <w:color w:val="auto"/>
                <w:sz w:val="21"/>
              </w:rPr>
              <w:t>2.本招标文件所称的“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761A7332">
            <w:pPr>
              <w:pStyle w:val="22"/>
              <w:snapToGrid w:val="0"/>
              <w:spacing w:line="360" w:lineRule="auto"/>
              <w:rPr>
                <w:rFonts w:hAnsi="宋体" w:cs="宋体"/>
                <w:bCs/>
                <w:color w:val="auto"/>
                <w:sz w:val="21"/>
              </w:rPr>
            </w:pPr>
            <w:r>
              <w:rPr>
                <w:rFonts w:hint="eastAsia" w:hAnsi="宋体" w:cs="宋体"/>
                <w:bCs/>
                <w:color w:val="auto"/>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FC23D1F">
            <w:pPr>
              <w:pStyle w:val="22"/>
              <w:snapToGrid w:val="0"/>
              <w:spacing w:line="360" w:lineRule="auto"/>
              <w:rPr>
                <w:rFonts w:hAnsi="宋体" w:cs="宋体"/>
                <w:bCs/>
                <w:color w:val="auto"/>
                <w:sz w:val="21"/>
              </w:rPr>
            </w:pPr>
            <w:r>
              <w:rPr>
                <w:rFonts w:hint="eastAsia" w:hAnsi="宋体" w:cs="宋体"/>
                <w:bCs/>
                <w:color w:val="auto"/>
                <w:sz w:val="21"/>
              </w:rPr>
              <w:t>4.本招标文件中描述投标人的“签字”是指投标人的法定代表人或者委托代理人亲自在文件规定签字处亲笔写上个人的名字的行为，私章、签字章、印鉴、影印等其他形式均不能代替亲笔签字。</w:t>
            </w:r>
          </w:p>
          <w:p w14:paraId="09AFC720">
            <w:pPr>
              <w:spacing w:line="360" w:lineRule="auto"/>
              <w:jc w:val="left"/>
              <w:rPr>
                <w:rFonts w:ascii="宋体" w:hAnsi="宋体"/>
                <w:color w:val="auto"/>
                <w:szCs w:val="21"/>
              </w:rPr>
            </w:pPr>
            <w:r>
              <w:rPr>
                <w:rFonts w:hint="eastAsia" w:hAnsi="宋体" w:cs="宋体"/>
                <w:bCs/>
                <w:color w:val="auto"/>
              </w:rPr>
              <w:t>5.</w:t>
            </w:r>
            <w:r>
              <w:rPr>
                <w:rFonts w:hint="eastAsia" w:ascii="宋体" w:hAnsi="宋体" w:cs="宋体"/>
                <w:bCs/>
                <w:color w:val="auto"/>
                <w:kern w:val="0"/>
                <w:szCs w:val="21"/>
              </w:rPr>
              <w:t>本招标文件所称的“以上”“以下”“以内”“届满”，包括本数；所称的“不满”“超过”“以外”，不包括本数。</w:t>
            </w:r>
          </w:p>
        </w:tc>
      </w:tr>
    </w:tbl>
    <w:p w14:paraId="6322D9E4">
      <w:pPr>
        <w:snapToGrid w:val="0"/>
        <w:rPr>
          <w:rFonts w:ascii="宋体" w:hAnsi="宋体"/>
          <w:color w:val="auto"/>
          <w:sz w:val="24"/>
          <w:szCs w:val="20"/>
        </w:rPr>
      </w:pPr>
    </w:p>
    <w:p w14:paraId="4B0DF1F2">
      <w:pPr>
        <w:pStyle w:val="4"/>
        <w:keepNext w:val="0"/>
        <w:keepLines w:val="0"/>
        <w:jc w:val="center"/>
        <w:rPr>
          <w:color w:val="auto"/>
        </w:rPr>
      </w:pPr>
      <w:r>
        <w:rPr>
          <w:color w:val="auto"/>
        </w:rPr>
        <w:br w:type="page"/>
      </w:r>
      <w:r>
        <w:rPr>
          <w:rFonts w:hint="eastAsia"/>
          <w:color w:val="auto"/>
        </w:rPr>
        <w:t>投标人须知正文</w:t>
      </w:r>
    </w:p>
    <w:p w14:paraId="71079CE4">
      <w:pPr>
        <w:pStyle w:val="4"/>
        <w:keepNext w:val="0"/>
        <w:keepLines w:val="0"/>
        <w:jc w:val="center"/>
        <w:rPr>
          <w:color w:val="auto"/>
        </w:rPr>
      </w:pPr>
      <w:r>
        <w:rPr>
          <w:rFonts w:hint="eastAsia"/>
          <w:color w:val="auto"/>
        </w:rPr>
        <w:t>一、总  则</w:t>
      </w:r>
    </w:p>
    <w:p w14:paraId="4C1AB7B6">
      <w:pPr>
        <w:pStyle w:val="5"/>
        <w:keepNext w:val="0"/>
        <w:keepLines w:val="0"/>
        <w:spacing w:before="0" w:after="0" w:line="360" w:lineRule="auto"/>
        <w:ind w:left="420" w:leftChars="200"/>
        <w:rPr>
          <w:rFonts w:ascii="黑体" w:hAnsi="黑体" w:eastAsia="黑体"/>
          <w:color w:val="auto"/>
          <w:sz w:val="24"/>
        </w:rPr>
      </w:pPr>
      <w:bookmarkStart w:id="70" w:name="_Toc254970527"/>
      <w:bookmarkStart w:id="71" w:name="_Toc254970668"/>
      <w:r>
        <w:rPr>
          <w:rFonts w:hint="eastAsia" w:ascii="黑体" w:hAnsi="黑体" w:eastAsia="黑体"/>
          <w:color w:val="auto"/>
          <w:sz w:val="24"/>
        </w:rPr>
        <w:t>1.适用范围</w:t>
      </w:r>
      <w:bookmarkEnd w:id="70"/>
      <w:bookmarkEnd w:id="71"/>
    </w:p>
    <w:p w14:paraId="380695B6">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6FAA43BA">
      <w:pPr>
        <w:snapToGrid w:val="0"/>
        <w:spacing w:line="360" w:lineRule="auto"/>
        <w:ind w:firstLine="420" w:firstLineChars="200"/>
        <w:jc w:val="left"/>
        <w:rPr>
          <w:rFonts w:ascii="宋体" w:hAnsi="宋体"/>
          <w:color w:val="auto"/>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71F523E3">
      <w:pPr>
        <w:pStyle w:val="5"/>
        <w:keepNext w:val="0"/>
        <w:keepLines w:val="0"/>
        <w:spacing w:before="0" w:after="0" w:line="360" w:lineRule="auto"/>
        <w:ind w:left="420" w:leftChars="200"/>
        <w:rPr>
          <w:rFonts w:ascii="黑体" w:hAnsi="黑体" w:eastAsia="黑体"/>
          <w:color w:val="auto"/>
          <w:sz w:val="24"/>
        </w:rPr>
      </w:pPr>
      <w:bookmarkStart w:id="72" w:name="_Toc254970669"/>
      <w:bookmarkStart w:id="73" w:name="_Toc254970528"/>
      <w:r>
        <w:rPr>
          <w:rFonts w:hint="eastAsia" w:ascii="黑体" w:hAnsi="黑体" w:eastAsia="黑体"/>
          <w:color w:val="auto"/>
          <w:sz w:val="24"/>
        </w:rPr>
        <w:t>2.定义</w:t>
      </w:r>
      <w:bookmarkEnd w:id="72"/>
      <w:bookmarkEnd w:id="73"/>
    </w:p>
    <w:p w14:paraId="646EBC4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07395FD6">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2.2“采购代理机构”是指政府采购集中采购机构和集中采购机构以外的采购代理机构。</w:t>
      </w:r>
    </w:p>
    <w:p w14:paraId="3F1E5422">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098E6975">
      <w:pPr>
        <w:pStyle w:val="6"/>
        <w:spacing w:line="360" w:lineRule="auto"/>
        <w:rPr>
          <w:rFonts w:ascii="宋体" w:hAnsi="宋体"/>
          <w:color w:val="auto"/>
          <w:szCs w:val="21"/>
        </w:rPr>
      </w:pPr>
      <w:r>
        <w:rPr>
          <w:rFonts w:hint="eastAsia" w:ascii="宋体" w:hAnsi="宋体"/>
          <w:color w:val="auto"/>
          <w:szCs w:val="21"/>
        </w:rPr>
        <w:t>2.4“投标人”是指响应招标、参加投标竞争的法人、其他组织或者自然人。</w:t>
      </w:r>
    </w:p>
    <w:p w14:paraId="37705D75">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2.5“服务”是指除货物和工程以外的其他政府采购对象。</w:t>
      </w:r>
    </w:p>
    <w:p w14:paraId="6CBE34EE">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2.</w:t>
      </w:r>
      <w:r>
        <w:rPr>
          <w:rFonts w:ascii="宋体" w:hAnsi="宋体"/>
          <w:b w:val="0"/>
          <w:color w:val="auto"/>
          <w:sz w:val="21"/>
          <w:szCs w:val="21"/>
        </w:rPr>
        <w:t>6</w:t>
      </w:r>
      <w:r>
        <w:rPr>
          <w:rFonts w:hint="eastAsia" w:ascii="宋体" w:hAnsi="宋体"/>
          <w:b w:val="0"/>
          <w:color w:val="auto"/>
          <w:sz w:val="21"/>
          <w:szCs w:val="21"/>
        </w:rPr>
        <w:t>“书面形式”是指合同书、信件和数据电文（包括电报、电传、传真、电子数据交换和电子邮件）等可以有形地表现所载内容的形式。</w:t>
      </w:r>
    </w:p>
    <w:p w14:paraId="58019016">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w:t>
      </w:r>
      <w:r>
        <w:rPr>
          <w:rFonts w:ascii="宋体" w:hAnsi="宋体"/>
          <w:b w:val="0"/>
          <w:color w:val="auto"/>
          <w:sz w:val="21"/>
          <w:szCs w:val="21"/>
        </w:rPr>
        <w:t>7</w:t>
      </w:r>
      <w:r>
        <w:rPr>
          <w:rFonts w:hint="eastAsia" w:ascii="宋体" w:hAnsi="宋体"/>
          <w:b w:val="0"/>
          <w:color w:val="auto"/>
          <w:sz w:val="21"/>
          <w:szCs w:val="21"/>
        </w:rPr>
        <w:t>“实质性要求”是指招标文件中已经指明不满足则投标无效的条款，或者不能负偏离的条款，或者采购需求中带“▲”的条款。</w:t>
      </w:r>
    </w:p>
    <w:p w14:paraId="4F017F1F">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8</w:t>
      </w:r>
      <w:r>
        <w:rPr>
          <w:rFonts w:hint="eastAsia" w:ascii="宋体" w:hAnsi="宋体" w:cs="宋体"/>
          <w:color w:val="auto"/>
          <w:szCs w:val="21"/>
        </w:rPr>
        <w:t>“正偏离”，是指投标文件对招标文件“采购需求”中有关条款作出的响应优于条款要求并有利于采购人的情形。</w:t>
      </w:r>
    </w:p>
    <w:p w14:paraId="0776AE05">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6EFE9C8D">
      <w:pPr>
        <w:snapToGrid w:val="0"/>
        <w:spacing w:line="360" w:lineRule="auto"/>
        <w:ind w:firstLine="420" w:firstLineChars="200"/>
        <w:jc w:val="left"/>
        <w:rPr>
          <w:rFonts w:ascii="宋体" w:hAnsi="宋体"/>
          <w:color w:val="auto"/>
          <w:szCs w:val="21"/>
        </w:rPr>
      </w:pPr>
      <w:r>
        <w:rPr>
          <w:rFonts w:hint="eastAsia" w:ascii="宋体" w:hAnsi="宋体"/>
          <w:color w:val="auto"/>
          <w:szCs w:val="21"/>
        </w:rPr>
        <w:t>2.1</w:t>
      </w:r>
      <w:r>
        <w:rPr>
          <w:rFonts w:ascii="宋体" w:hAnsi="宋体"/>
          <w:color w:val="auto"/>
          <w:szCs w:val="21"/>
        </w:rPr>
        <w:t>0</w:t>
      </w:r>
      <w:r>
        <w:rPr>
          <w:rFonts w:hint="eastAsia" w:ascii="宋体" w:hAnsi="宋体" w:cs="宋体"/>
          <w:color w:val="auto"/>
          <w:szCs w:val="21"/>
        </w:rPr>
        <w:t>“允许负偏离的条款”是指采购需求中的不属于“实质性要求”的条款。</w:t>
      </w:r>
      <w:bookmarkStart w:id="74" w:name="_Toc254970670"/>
      <w:bookmarkStart w:id="75" w:name="_Toc254970529"/>
    </w:p>
    <w:p w14:paraId="38C8C9E7">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bookmarkEnd w:id="74"/>
      <w:bookmarkEnd w:id="75"/>
      <w:r>
        <w:rPr>
          <w:rFonts w:hint="eastAsia" w:ascii="黑体" w:hAnsi="黑体" w:eastAsia="黑体"/>
          <w:color w:val="auto"/>
          <w:sz w:val="24"/>
        </w:rPr>
        <w:t>投标人的资格要求</w:t>
      </w:r>
    </w:p>
    <w:p w14:paraId="09F6865A">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投标人的资格要求详见“投标人须知前附表”。</w:t>
      </w:r>
    </w:p>
    <w:p w14:paraId="518CDF98">
      <w:pPr>
        <w:pStyle w:val="5"/>
        <w:keepNext w:val="0"/>
        <w:keepLines w:val="0"/>
        <w:spacing w:before="0" w:after="0" w:line="360" w:lineRule="auto"/>
        <w:ind w:left="420" w:leftChars="200"/>
        <w:rPr>
          <w:rFonts w:ascii="黑体" w:hAnsi="黑体" w:eastAsia="黑体"/>
          <w:color w:val="auto"/>
          <w:sz w:val="24"/>
        </w:rPr>
      </w:pPr>
      <w:bookmarkStart w:id="76" w:name="_Toc254970671"/>
      <w:bookmarkStart w:id="77" w:name="_Toc254970530"/>
      <w:r>
        <w:rPr>
          <w:rFonts w:hint="eastAsia" w:ascii="黑体" w:hAnsi="黑体" w:eastAsia="黑体"/>
          <w:color w:val="auto"/>
          <w:sz w:val="24"/>
        </w:rPr>
        <w:t>4.投标委托</w:t>
      </w:r>
      <w:bookmarkEnd w:id="76"/>
      <w:bookmarkEnd w:id="77"/>
    </w:p>
    <w:p w14:paraId="246AAD33">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投标人代表参加投标活动过程中必须携带个人有效身份证件。如投标人代表不是法定代表人，须持有授权委托书（按第六章要求格式填写）。</w:t>
      </w:r>
    </w:p>
    <w:p w14:paraId="2B835558">
      <w:pPr>
        <w:pStyle w:val="5"/>
        <w:keepNext w:val="0"/>
        <w:keepLines w:val="0"/>
        <w:spacing w:before="0" w:after="0" w:line="360" w:lineRule="auto"/>
        <w:ind w:left="420" w:leftChars="200"/>
        <w:rPr>
          <w:rFonts w:ascii="黑体" w:hAnsi="黑体" w:eastAsia="黑体"/>
          <w:color w:val="auto"/>
          <w:sz w:val="24"/>
        </w:rPr>
      </w:pPr>
      <w:bookmarkStart w:id="78" w:name="_5.投标费用"/>
      <w:bookmarkEnd w:id="78"/>
      <w:bookmarkStart w:id="79" w:name="_Toc254970531"/>
      <w:bookmarkStart w:id="80" w:name="_Toc254970672"/>
      <w:r>
        <w:rPr>
          <w:rFonts w:hint="eastAsia" w:ascii="黑体" w:hAnsi="黑体" w:eastAsia="黑体"/>
          <w:color w:val="auto"/>
          <w:sz w:val="24"/>
        </w:rPr>
        <w:t>5.投标费用</w:t>
      </w:r>
      <w:bookmarkEnd w:id="79"/>
      <w:bookmarkEnd w:id="80"/>
    </w:p>
    <w:p w14:paraId="686DE64F">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5B2960A1">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6.联合体投标</w:t>
      </w:r>
    </w:p>
    <w:p w14:paraId="5D6CEAF6">
      <w:pPr>
        <w:snapToGrid w:val="0"/>
        <w:spacing w:line="360" w:lineRule="auto"/>
        <w:ind w:firstLine="420" w:firstLineChars="200"/>
        <w:jc w:val="left"/>
        <w:rPr>
          <w:rFonts w:ascii="宋体" w:hAnsi="宋体"/>
          <w:color w:val="auto"/>
          <w:szCs w:val="21"/>
        </w:rPr>
      </w:pPr>
      <w:r>
        <w:rPr>
          <w:rFonts w:hint="eastAsia" w:ascii="宋体" w:hAnsi="宋体"/>
          <w:color w:val="auto"/>
          <w:szCs w:val="21"/>
        </w:rPr>
        <w:t>6.1本项目是否接受联合体投标，详见“投标人须知前附表”。</w:t>
      </w:r>
    </w:p>
    <w:p w14:paraId="3737D08E">
      <w:pPr>
        <w:snapToGrid w:val="0"/>
        <w:spacing w:line="360" w:lineRule="auto"/>
        <w:ind w:firstLine="420" w:firstLineChars="200"/>
        <w:jc w:val="left"/>
        <w:rPr>
          <w:rFonts w:ascii="宋体" w:hAnsi="宋体"/>
          <w:color w:val="auto"/>
          <w:szCs w:val="21"/>
        </w:rPr>
      </w:pPr>
      <w:r>
        <w:rPr>
          <w:rFonts w:hint="eastAsia" w:ascii="宋体" w:hAnsi="宋体"/>
          <w:bCs/>
          <w:color w:val="auto"/>
          <w:szCs w:val="21"/>
        </w:rPr>
        <w:t>6.</w:t>
      </w:r>
      <w:r>
        <w:rPr>
          <w:rFonts w:hint="eastAsia" w:ascii="宋体" w:hAnsi="宋体"/>
          <w:bCs/>
          <w:color w:val="auto"/>
          <w:szCs w:val="21"/>
          <w:lang w:val="en-US" w:eastAsia="zh-CN"/>
        </w:rPr>
        <w:t>2</w:t>
      </w:r>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348AC41">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 xml:space="preserve">7.转包与分包             </w:t>
      </w:r>
    </w:p>
    <w:p w14:paraId="46051D31">
      <w:pPr>
        <w:pStyle w:val="5"/>
        <w:keepNext w:val="0"/>
        <w:keepLines w:val="0"/>
        <w:spacing w:before="0" w:after="0" w:line="360" w:lineRule="auto"/>
        <w:ind w:left="420" w:leftChars="200"/>
        <w:rPr>
          <w:rFonts w:ascii="宋体" w:hAnsi="宋体"/>
          <w:b w:val="0"/>
          <w:color w:val="auto"/>
          <w:sz w:val="21"/>
          <w:szCs w:val="21"/>
        </w:rPr>
      </w:pPr>
      <w:bookmarkStart w:id="81" w:name="_Toc254970673"/>
      <w:bookmarkStart w:id="82" w:name="_Toc254970532"/>
      <w:r>
        <w:rPr>
          <w:rFonts w:hint="eastAsia" w:ascii="宋体" w:hAnsi="宋体"/>
          <w:b w:val="0"/>
          <w:color w:val="auto"/>
          <w:sz w:val="21"/>
          <w:szCs w:val="21"/>
        </w:rPr>
        <w:t>7.1本项目不允许转包。</w:t>
      </w:r>
    </w:p>
    <w:p w14:paraId="4D3DCA13">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14:paraId="567E1C9C">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F1C611E">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8.特别说明</w:t>
      </w:r>
      <w:bookmarkEnd w:id="81"/>
      <w:bookmarkEnd w:id="82"/>
    </w:p>
    <w:p w14:paraId="3EC68A93">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8.1如果本招标文件要求提供投标人或制造商的资格、信誉、荣誉、业绩与企业认证等材料的，资格、信誉、荣誉、业绩与企业认证等必须为投标人或者制造商所拥有或自身获得 。</w:t>
      </w:r>
    </w:p>
    <w:p w14:paraId="61BEF89A">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8.2投标人应仔细阅读招标文件的所有内容，按照招标文件的要求提交投标文件，并对所提供的全部资料的真实性承担法律责任。</w:t>
      </w:r>
    </w:p>
    <w:p w14:paraId="7654058E">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10662215">
      <w:pPr>
        <w:pStyle w:val="6"/>
        <w:spacing w:line="360" w:lineRule="auto"/>
        <w:rPr>
          <w:rFonts w:ascii="宋体" w:hAnsi="宋体"/>
          <w:color w:val="auto"/>
        </w:rPr>
      </w:pPr>
      <w:r>
        <w:rPr>
          <w:rFonts w:ascii="宋体" w:hAnsi="宋体"/>
          <w:color w:val="auto"/>
        </w:rPr>
        <w:t>8.4</w:t>
      </w:r>
      <w:r>
        <w:rPr>
          <w:rFonts w:hint="eastAsia" w:ascii="宋体" w:hAnsi="宋体"/>
          <w:color w:val="auto"/>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363F18">
      <w:pPr>
        <w:pStyle w:val="6"/>
        <w:spacing w:line="360" w:lineRule="auto"/>
        <w:rPr>
          <w:rFonts w:ascii="宋体" w:hAnsi="宋体"/>
          <w:color w:val="auto"/>
        </w:rPr>
      </w:pPr>
      <w:r>
        <w:rPr>
          <w:rFonts w:hint="eastAsia" w:ascii="宋体" w:hAnsi="宋体"/>
          <w:color w:val="auto"/>
        </w:rPr>
        <w:t>产品在中国境内生产的组件成本占比应当达到规定比例，计算公式为：</w:t>
      </w:r>
    </w:p>
    <w:p w14:paraId="711F4FC9">
      <w:pPr>
        <w:widowControl/>
        <w:shd w:val="clear" w:color="auto" w:fill="FFFFFF"/>
        <w:spacing w:before="30" w:after="30" w:line="360" w:lineRule="auto"/>
        <w:jc w:val="center"/>
        <w:rPr>
          <w:rFonts w:ascii="宋体" w:hAnsi="宋体" w:cs="宋体"/>
          <w:color w:val="auto"/>
          <w:kern w:val="0"/>
          <w:sz w:val="24"/>
        </w:rPr>
      </w:pPr>
      <w:r>
        <w:rPr>
          <w:rFonts w:ascii="宋体" w:hAnsi="宋体" w:cs="宋体"/>
          <w:color w:val="auto"/>
          <w:kern w:val="0"/>
          <w:sz w:val="24"/>
        </w:rPr>
        <w:drawing>
          <wp:inline distT="0" distB="0" distL="114300" distR="114300">
            <wp:extent cx="4827905" cy="762635"/>
            <wp:effectExtent l="0" t="0" r="10795" b="18415"/>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pic:cNvPicPr>
                  </pic:nvPicPr>
                  <pic:blipFill>
                    <a:blip r:embed="rId18" r:link="rId19"/>
                    <a:stretch>
                      <a:fillRect/>
                    </a:stretch>
                  </pic:blipFill>
                  <pic:spPr>
                    <a:xfrm>
                      <a:off x="0" y="0"/>
                      <a:ext cx="4827905" cy="762635"/>
                    </a:xfrm>
                    <a:prstGeom prst="rect">
                      <a:avLst/>
                    </a:prstGeom>
                    <a:noFill/>
                    <a:ln>
                      <a:noFill/>
                    </a:ln>
                  </pic:spPr>
                </pic:pic>
              </a:graphicData>
            </a:graphic>
          </wp:inline>
        </w:drawing>
      </w:r>
    </w:p>
    <w:p w14:paraId="5944CA94">
      <w:pPr>
        <w:pStyle w:val="6"/>
        <w:spacing w:line="360" w:lineRule="auto"/>
        <w:rPr>
          <w:rFonts w:ascii="宋体" w:hAnsi="宋体"/>
          <w:color w:val="auto"/>
        </w:rPr>
      </w:pPr>
      <w:r>
        <w:rPr>
          <w:rFonts w:hint="eastAsia" w:ascii="宋体" w:hAnsi="宋体"/>
          <w:color w:val="auto"/>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F1C73A5">
      <w:pPr>
        <w:pStyle w:val="6"/>
        <w:spacing w:line="360" w:lineRule="auto"/>
        <w:rPr>
          <w:rFonts w:ascii="宋体" w:hAnsi="宋体"/>
          <w:color w:val="auto"/>
        </w:rPr>
      </w:pPr>
      <w:r>
        <w:rPr>
          <w:rFonts w:hint="eastAsia" w:ascii="宋体" w:hAnsi="宋体"/>
          <w:color w:val="auto"/>
        </w:rPr>
        <w:t>政府采购活动中既有本国产品又有非本国产品参与竞争的，依法对本国产品给予价格评审优惠，对本国产品的报价给予20%的价格扣除，用扣除后的价格参与评审。</w:t>
      </w:r>
    </w:p>
    <w:p w14:paraId="418D5FA7">
      <w:pPr>
        <w:pStyle w:val="6"/>
        <w:spacing w:line="360" w:lineRule="auto"/>
        <w:rPr>
          <w:rFonts w:ascii="宋体" w:hAnsi="宋体"/>
          <w:color w:val="auto"/>
        </w:rPr>
      </w:pPr>
      <w:r>
        <w:rPr>
          <w:rFonts w:hint="eastAsia" w:ascii="宋体" w:hAnsi="宋体"/>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9B53EB">
      <w:pPr>
        <w:pStyle w:val="5"/>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4CEF5ECC">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9</w:t>
      </w:r>
      <w:r>
        <w:rPr>
          <w:rFonts w:ascii="宋体" w:hAnsi="宋体"/>
          <w:b w:val="0"/>
          <w:color w:val="auto"/>
          <w:sz w:val="21"/>
          <w:szCs w:val="21"/>
        </w:rPr>
        <w:t>.1在政府采购活动中，采购人员及相关人员与</w:t>
      </w:r>
      <w:r>
        <w:rPr>
          <w:rFonts w:hint="eastAsia" w:ascii="宋体" w:hAnsi="宋体"/>
          <w:b w:val="0"/>
          <w:color w:val="auto"/>
          <w:sz w:val="21"/>
          <w:szCs w:val="21"/>
        </w:rPr>
        <w:t>供应商</w:t>
      </w:r>
      <w:r>
        <w:rPr>
          <w:rFonts w:ascii="宋体" w:hAnsi="宋体"/>
          <w:b w:val="0"/>
          <w:color w:val="auto"/>
          <w:sz w:val="21"/>
          <w:szCs w:val="21"/>
        </w:rPr>
        <w:t>有下列利害关系之一的，应当回避：</w:t>
      </w:r>
    </w:p>
    <w:p w14:paraId="16149EB0">
      <w:pPr>
        <w:pStyle w:val="22"/>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1</w:t>
      </w:r>
      <w:r>
        <w:rPr>
          <w:rFonts w:hAnsi="宋体"/>
          <w:color w:val="auto"/>
          <w:kern w:val="2"/>
          <w:sz w:val="21"/>
        </w:rPr>
        <w:t>）参加采购活动前3年内与</w:t>
      </w:r>
      <w:r>
        <w:rPr>
          <w:rFonts w:hint="eastAsia" w:hAnsi="宋体"/>
          <w:color w:val="auto"/>
          <w:kern w:val="2"/>
          <w:sz w:val="21"/>
        </w:rPr>
        <w:t>供应商</w:t>
      </w:r>
      <w:r>
        <w:rPr>
          <w:rFonts w:hAnsi="宋体"/>
          <w:color w:val="auto"/>
          <w:kern w:val="2"/>
          <w:sz w:val="21"/>
        </w:rPr>
        <w:t>存在劳动关系；</w:t>
      </w:r>
    </w:p>
    <w:p w14:paraId="301892F7">
      <w:pPr>
        <w:pStyle w:val="22"/>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2</w:t>
      </w:r>
      <w:r>
        <w:rPr>
          <w:rFonts w:hAnsi="宋体"/>
          <w:color w:val="auto"/>
          <w:kern w:val="2"/>
          <w:sz w:val="21"/>
        </w:rPr>
        <w:t>）参加采购活动前3年内担任</w:t>
      </w:r>
      <w:r>
        <w:rPr>
          <w:rFonts w:hint="eastAsia" w:hAnsi="宋体"/>
          <w:color w:val="auto"/>
          <w:kern w:val="2"/>
          <w:sz w:val="21"/>
        </w:rPr>
        <w:t>供应商</w:t>
      </w:r>
      <w:r>
        <w:rPr>
          <w:rFonts w:hAnsi="宋体"/>
          <w:color w:val="auto"/>
          <w:kern w:val="2"/>
          <w:sz w:val="21"/>
        </w:rPr>
        <w:t>的董事、监事；</w:t>
      </w:r>
    </w:p>
    <w:p w14:paraId="39CADD15">
      <w:pPr>
        <w:pStyle w:val="22"/>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3</w:t>
      </w:r>
      <w:r>
        <w:rPr>
          <w:rFonts w:hAnsi="宋体"/>
          <w:color w:val="auto"/>
          <w:kern w:val="2"/>
          <w:sz w:val="21"/>
        </w:rPr>
        <w:t>）参加采购活动前3年内是</w:t>
      </w:r>
      <w:r>
        <w:rPr>
          <w:rFonts w:hint="eastAsia" w:hAnsi="宋体"/>
          <w:color w:val="auto"/>
          <w:kern w:val="2"/>
          <w:sz w:val="21"/>
        </w:rPr>
        <w:t>供应商</w:t>
      </w:r>
      <w:r>
        <w:rPr>
          <w:rFonts w:hAnsi="宋体"/>
          <w:color w:val="auto"/>
          <w:kern w:val="2"/>
          <w:sz w:val="21"/>
        </w:rPr>
        <w:t>的控股股东或者实际控制人；</w:t>
      </w:r>
    </w:p>
    <w:p w14:paraId="36902FD1">
      <w:pPr>
        <w:pStyle w:val="22"/>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4</w:t>
      </w:r>
      <w:r>
        <w:rPr>
          <w:rFonts w:hAnsi="宋体"/>
          <w:color w:val="auto"/>
          <w:kern w:val="2"/>
          <w:sz w:val="21"/>
        </w:rPr>
        <w:t>）与</w:t>
      </w:r>
      <w:r>
        <w:rPr>
          <w:rFonts w:hint="eastAsia" w:hAnsi="宋体"/>
          <w:color w:val="auto"/>
          <w:kern w:val="2"/>
          <w:sz w:val="21"/>
        </w:rPr>
        <w:t>供应商</w:t>
      </w:r>
      <w:r>
        <w:rPr>
          <w:rFonts w:hAnsi="宋体"/>
          <w:color w:val="auto"/>
          <w:kern w:val="2"/>
          <w:sz w:val="21"/>
        </w:rPr>
        <w:t>的法定代表人或者负责人有夫妻、直系血亲、三代以内旁系血亲或者近姻亲关系；</w:t>
      </w:r>
    </w:p>
    <w:p w14:paraId="54873FD0">
      <w:pPr>
        <w:pStyle w:val="22"/>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5</w:t>
      </w:r>
      <w:r>
        <w:rPr>
          <w:rFonts w:hAnsi="宋体"/>
          <w:color w:val="auto"/>
          <w:kern w:val="2"/>
          <w:sz w:val="21"/>
        </w:rPr>
        <w:t>）与</w:t>
      </w:r>
      <w:r>
        <w:rPr>
          <w:rFonts w:hint="eastAsia" w:hAnsi="宋体"/>
          <w:color w:val="auto"/>
          <w:kern w:val="2"/>
          <w:sz w:val="21"/>
        </w:rPr>
        <w:t>供应商</w:t>
      </w:r>
      <w:r>
        <w:rPr>
          <w:rFonts w:hAnsi="宋体"/>
          <w:color w:val="auto"/>
          <w:kern w:val="2"/>
          <w:sz w:val="21"/>
        </w:rPr>
        <w:t>有其他可能影响政府采购活动公平、公正进行的关系。</w:t>
      </w:r>
    </w:p>
    <w:p w14:paraId="63A7F510">
      <w:pPr>
        <w:pStyle w:val="22"/>
        <w:snapToGrid w:val="0"/>
        <w:spacing w:line="360" w:lineRule="auto"/>
        <w:ind w:left="2" w:leftChars="1" w:firstLine="420" w:firstLineChars="200"/>
        <w:rPr>
          <w:rFonts w:hAnsi="宋体"/>
          <w:color w:val="auto"/>
          <w:kern w:val="2"/>
          <w:sz w:val="21"/>
        </w:rPr>
      </w:pPr>
      <w:r>
        <w:rPr>
          <w:rFonts w:hint="eastAsia" w:hAnsi="宋体"/>
          <w:color w:val="auto"/>
          <w:kern w:val="2"/>
          <w:sz w:val="21"/>
        </w:rPr>
        <w:t>供应商</w:t>
      </w:r>
      <w:r>
        <w:rPr>
          <w:rFonts w:hAnsi="宋体"/>
          <w:color w:val="auto"/>
          <w:kern w:val="2"/>
          <w:sz w:val="21"/>
        </w:rPr>
        <w:t>认为采购人员及相关人员与其他</w:t>
      </w:r>
      <w:r>
        <w:rPr>
          <w:rFonts w:hint="eastAsia" w:hAnsi="宋体"/>
          <w:color w:val="auto"/>
          <w:kern w:val="2"/>
          <w:sz w:val="21"/>
        </w:rPr>
        <w:t>供应商</w:t>
      </w:r>
      <w:r>
        <w:rPr>
          <w:rFonts w:hAnsi="宋体"/>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3D71533C">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3F92F844">
      <w:pPr>
        <w:pStyle w:val="22"/>
        <w:snapToGrid w:val="0"/>
        <w:spacing w:line="360" w:lineRule="auto"/>
        <w:ind w:left="2" w:leftChars="1" w:firstLine="422" w:firstLineChars="200"/>
        <w:rPr>
          <w:rFonts w:hAnsi="宋体"/>
          <w:b/>
          <w:color w:val="auto"/>
          <w:kern w:val="2"/>
          <w:sz w:val="21"/>
        </w:rPr>
      </w:pPr>
      <w:r>
        <w:rPr>
          <w:rFonts w:hint="eastAsia" w:hAnsi="宋体"/>
          <w:b/>
          <w:color w:val="auto"/>
          <w:kern w:val="2"/>
          <w:sz w:val="21"/>
        </w:rPr>
        <w:t>（1）不同投标人的投标文件由同一单位或者个人编制；或不同投标人报名的IP地址一致的；</w:t>
      </w:r>
    </w:p>
    <w:p w14:paraId="044B2FE2">
      <w:pPr>
        <w:pStyle w:val="22"/>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（2）不同投标人委托同一单位或者个人办理投标事宜；</w:t>
      </w:r>
    </w:p>
    <w:p w14:paraId="5378A926">
      <w:pPr>
        <w:pStyle w:val="22"/>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（3）不同的投标人的投标文件载明的项目管理员为同一个人；</w:t>
      </w:r>
    </w:p>
    <w:p w14:paraId="56FDEB8C">
      <w:pPr>
        <w:pStyle w:val="22"/>
        <w:snapToGrid w:val="0"/>
        <w:spacing w:line="360" w:lineRule="auto"/>
        <w:ind w:left="2" w:leftChars="1" w:firstLine="422" w:firstLineChars="200"/>
        <w:rPr>
          <w:rFonts w:hAnsi="宋体"/>
          <w:b/>
          <w:color w:val="auto"/>
          <w:kern w:val="2"/>
          <w:sz w:val="21"/>
        </w:rPr>
      </w:pPr>
      <w:r>
        <w:rPr>
          <w:rFonts w:hint="eastAsia" w:hAnsi="宋体"/>
          <w:b/>
          <w:color w:val="auto"/>
          <w:kern w:val="2"/>
          <w:sz w:val="21"/>
        </w:rPr>
        <w:t>（4）不同投标人的投标文件异常一致或者投标报价呈规律性差异；</w:t>
      </w:r>
    </w:p>
    <w:p w14:paraId="66424468">
      <w:pPr>
        <w:pStyle w:val="22"/>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（5）不同投标人的投标文件相互混装；</w:t>
      </w:r>
    </w:p>
    <w:p w14:paraId="17472EDD">
      <w:pPr>
        <w:pStyle w:val="22"/>
        <w:snapToGrid w:val="0"/>
        <w:spacing w:line="360" w:lineRule="auto"/>
        <w:ind w:left="2" w:leftChars="1" w:firstLine="422" w:firstLineChars="200"/>
        <w:rPr>
          <w:rFonts w:hAnsi="宋体"/>
          <w:b/>
          <w:color w:val="auto"/>
          <w:kern w:val="2"/>
          <w:sz w:val="21"/>
        </w:rPr>
      </w:pPr>
      <w:r>
        <w:rPr>
          <w:rFonts w:hint="eastAsia" w:hAnsi="宋体"/>
          <w:b/>
          <w:color w:val="auto"/>
          <w:kern w:val="2"/>
          <w:sz w:val="21"/>
        </w:rPr>
        <w:t>（6）不同投标人的投标保证金从同一单位或者个人账户转出。</w:t>
      </w:r>
    </w:p>
    <w:p w14:paraId="20DD8909">
      <w:pPr>
        <w:pStyle w:val="5"/>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9.3</w:t>
      </w:r>
      <w:r>
        <w:rPr>
          <w:rFonts w:hint="eastAsia" w:ascii="宋体" w:hAnsi="宋体"/>
          <w:b w:val="0"/>
          <w:color w:val="auto"/>
          <w:sz w:val="21"/>
          <w:szCs w:val="21"/>
        </w:rPr>
        <w:t>供应商有下列情形之一的，属于恶意串通行为，将报同级监督管理部门：</w:t>
      </w:r>
    </w:p>
    <w:p w14:paraId="6DDEF350">
      <w:pPr>
        <w:pStyle w:val="22"/>
        <w:snapToGrid w:val="0"/>
        <w:spacing w:line="360" w:lineRule="auto"/>
        <w:ind w:left="2" w:leftChars="1" w:firstLine="420" w:firstLineChars="200"/>
        <w:rPr>
          <w:rFonts w:hAnsi="宋体"/>
          <w:color w:val="auto"/>
          <w:kern w:val="2"/>
          <w:sz w:val="21"/>
        </w:rPr>
      </w:pPr>
      <w:r>
        <w:rPr>
          <w:rFonts w:hint="eastAsia" w:hAnsi="宋体"/>
          <w:color w:val="auto"/>
          <w:kern w:val="2"/>
          <w:sz w:val="21"/>
        </w:rPr>
        <w:t>（1）供应商直接或者间接从采购人或者采购代理机构处获得其他供应商的相关信息并修改其投标文件或者响应文件；</w:t>
      </w:r>
    </w:p>
    <w:p w14:paraId="1D29241F">
      <w:pPr>
        <w:pStyle w:val="22"/>
        <w:snapToGrid w:val="0"/>
        <w:spacing w:line="360" w:lineRule="auto"/>
        <w:ind w:left="2" w:leftChars="1" w:firstLine="420" w:firstLineChars="200"/>
        <w:rPr>
          <w:rFonts w:hAnsi="宋体"/>
          <w:color w:val="auto"/>
          <w:kern w:val="2"/>
          <w:sz w:val="21"/>
        </w:rPr>
      </w:pPr>
      <w:r>
        <w:rPr>
          <w:rFonts w:hint="eastAsia" w:hAnsi="宋体"/>
          <w:color w:val="auto"/>
          <w:kern w:val="2"/>
          <w:sz w:val="21"/>
        </w:rPr>
        <w:t>（2）供应商按照采购人或者采购代理机构的授意撤换、修改投标文件或者响应文件；</w:t>
      </w:r>
    </w:p>
    <w:p w14:paraId="4E5B8E01">
      <w:pPr>
        <w:pStyle w:val="22"/>
        <w:snapToGrid w:val="0"/>
        <w:spacing w:line="360" w:lineRule="auto"/>
        <w:ind w:left="2" w:leftChars="1" w:firstLine="420" w:firstLineChars="200"/>
        <w:rPr>
          <w:rFonts w:hAnsi="宋体"/>
          <w:color w:val="auto"/>
          <w:kern w:val="2"/>
          <w:sz w:val="21"/>
        </w:rPr>
      </w:pPr>
      <w:r>
        <w:rPr>
          <w:rFonts w:hint="eastAsia" w:hAnsi="宋体"/>
          <w:color w:val="auto"/>
          <w:kern w:val="2"/>
          <w:sz w:val="21"/>
        </w:rPr>
        <w:t>（3）供应商之间协商报价、技术方案等投标文件或者响应文件的实质性内容；</w:t>
      </w:r>
    </w:p>
    <w:p w14:paraId="2963A6EA">
      <w:pPr>
        <w:pStyle w:val="22"/>
        <w:snapToGrid w:val="0"/>
        <w:spacing w:line="360" w:lineRule="auto"/>
        <w:ind w:left="2" w:leftChars="1" w:firstLine="420" w:firstLineChars="200"/>
        <w:rPr>
          <w:rFonts w:hAnsi="宋体"/>
          <w:color w:val="auto"/>
          <w:kern w:val="2"/>
          <w:sz w:val="21"/>
        </w:rPr>
      </w:pPr>
      <w:r>
        <w:rPr>
          <w:rFonts w:hint="eastAsia" w:hAnsi="宋体"/>
          <w:color w:val="auto"/>
          <w:kern w:val="2"/>
          <w:sz w:val="21"/>
        </w:rPr>
        <w:t>（4）属于同一集团、协会、商会等组织成员的供应商按照该组织要求协同参加政府采购活动；</w:t>
      </w:r>
    </w:p>
    <w:p w14:paraId="6F071DB8">
      <w:pPr>
        <w:pStyle w:val="22"/>
        <w:snapToGrid w:val="0"/>
        <w:spacing w:line="360" w:lineRule="auto"/>
        <w:ind w:left="2" w:leftChars="1" w:firstLine="420" w:firstLineChars="200"/>
        <w:rPr>
          <w:rFonts w:hAnsi="宋体"/>
          <w:color w:val="auto"/>
          <w:kern w:val="2"/>
          <w:sz w:val="21"/>
        </w:rPr>
      </w:pPr>
      <w:r>
        <w:rPr>
          <w:rFonts w:hint="eastAsia" w:hAnsi="宋体"/>
          <w:color w:val="auto"/>
          <w:kern w:val="2"/>
          <w:sz w:val="21"/>
        </w:rPr>
        <w:t>（5）供应商之间事先约定一致抬高或者压低投标报价，或者在招标项目中事先约定轮流以高价位或者低价位中标，或者事先约定由某一特定供应商中标，然后再参加投标；</w:t>
      </w:r>
    </w:p>
    <w:p w14:paraId="7F0C1D51">
      <w:pPr>
        <w:pStyle w:val="22"/>
        <w:snapToGrid w:val="0"/>
        <w:spacing w:line="360" w:lineRule="auto"/>
        <w:ind w:left="2" w:leftChars="1" w:firstLine="420" w:firstLineChars="200"/>
        <w:rPr>
          <w:rFonts w:hAnsi="宋体"/>
          <w:color w:val="auto"/>
          <w:kern w:val="2"/>
          <w:sz w:val="21"/>
        </w:rPr>
      </w:pPr>
      <w:r>
        <w:rPr>
          <w:rFonts w:hint="eastAsia" w:hAnsi="宋体"/>
          <w:color w:val="auto"/>
          <w:kern w:val="2"/>
          <w:sz w:val="21"/>
        </w:rPr>
        <w:t>（6）供应商之间商定部分供应商放弃参加政府采购活动或者放弃中标；</w:t>
      </w:r>
    </w:p>
    <w:p w14:paraId="0ECDA7D6">
      <w:pPr>
        <w:pStyle w:val="22"/>
        <w:snapToGrid w:val="0"/>
        <w:spacing w:line="360" w:lineRule="auto"/>
        <w:ind w:left="2" w:leftChars="1" w:firstLine="420" w:firstLineChars="200"/>
        <w:rPr>
          <w:rFonts w:hAnsi="宋体"/>
          <w:color w:val="auto"/>
          <w:kern w:val="2"/>
          <w:sz w:val="21"/>
        </w:rPr>
      </w:pPr>
      <w:r>
        <w:rPr>
          <w:rFonts w:hint="eastAsia" w:hAnsi="宋体"/>
          <w:color w:val="auto"/>
          <w:kern w:val="2"/>
          <w:sz w:val="21"/>
        </w:rPr>
        <w:t>（7）供应商与采购人或者采购代理机构之间、供应商相互之间，为谋求特定供应商中标或者排斥其他供应商的其他串通行为。</w:t>
      </w:r>
    </w:p>
    <w:p w14:paraId="02AC7684">
      <w:pPr>
        <w:pStyle w:val="22"/>
        <w:snapToGrid w:val="0"/>
        <w:spacing w:line="360" w:lineRule="auto"/>
        <w:ind w:left="2" w:leftChars="1" w:firstLine="422" w:firstLineChars="200"/>
        <w:rPr>
          <w:rFonts w:hAnsi="宋体"/>
          <w:b/>
          <w:color w:val="auto"/>
          <w:kern w:val="2"/>
          <w:sz w:val="21"/>
        </w:rPr>
      </w:pPr>
    </w:p>
    <w:p w14:paraId="2D4B5B27">
      <w:pPr>
        <w:pStyle w:val="4"/>
        <w:keepNext w:val="0"/>
        <w:keepLines w:val="0"/>
        <w:jc w:val="center"/>
        <w:rPr>
          <w:color w:val="auto"/>
        </w:rPr>
      </w:pPr>
      <w:bookmarkStart w:id="83" w:name="_Toc254970534"/>
      <w:bookmarkStart w:id="84" w:name="_Toc254970675"/>
      <w:r>
        <w:rPr>
          <w:rFonts w:hint="eastAsia"/>
          <w:color w:val="auto"/>
        </w:rPr>
        <w:t>二、招标文件</w:t>
      </w:r>
      <w:bookmarkEnd w:id="83"/>
      <w:bookmarkEnd w:id="84"/>
    </w:p>
    <w:p w14:paraId="3EF4BFA9">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10.招标文件的组成</w:t>
      </w:r>
    </w:p>
    <w:p w14:paraId="4E6994BB">
      <w:pPr>
        <w:snapToGrid w:val="0"/>
        <w:spacing w:line="360" w:lineRule="auto"/>
        <w:ind w:firstLine="420"/>
        <w:jc w:val="left"/>
        <w:rPr>
          <w:rFonts w:ascii="宋体" w:hAnsi="宋体"/>
          <w:color w:val="auto"/>
          <w:szCs w:val="21"/>
        </w:rPr>
      </w:pPr>
      <w:r>
        <w:rPr>
          <w:rFonts w:hint="eastAsia" w:ascii="宋体" w:hAnsi="宋体"/>
          <w:color w:val="auto"/>
          <w:szCs w:val="21"/>
        </w:rPr>
        <w:t>（1）招标公告；</w:t>
      </w:r>
    </w:p>
    <w:p w14:paraId="437B97B6">
      <w:pPr>
        <w:snapToGrid w:val="0"/>
        <w:spacing w:line="360" w:lineRule="auto"/>
        <w:ind w:firstLine="420"/>
        <w:jc w:val="left"/>
        <w:rPr>
          <w:rFonts w:ascii="宋体" w:hAnsi="宋体"/>
          <w:color w:val="auto"/>
          <w:szCs w:val="21"/>
        </w:rPr>
      </w:pPr>
      <w:r>
        <w:rPr>
          <w:rFonts w:hint="eastAsia" w:ascii="宋体" w:hAnsi="宋体"/>
          <w:color w:val="auto"/>
          <w:szCs w:val="21"/>
        </w:rPr>
        <w:t xml:space="preserve">（2）采购需求； </w:t>
      </w:r>
    </w:p>
    <w:p w14:paraId="7777E96C">
      <w:pPr>
        <w:snapToGrid w:val="0"/>
        <w:spacing w:line="360" w:lineRule="auto"/>
        <w:ind w:firstLine="420"/>
        <w:jc w:val="left"/>
        <w:rPr>
          <w:rFonts w:ascii="宋体" w:hAnsi="宋体"/>
          <w:color w:val="auto"/>
          <w:szCs w:val="21"/>
        </w:rPr>
      </w:pPr>
      <w:r>
        <w:rPr>
          <w:rFonts w:hint="eastAsia" w:ascii="宋体" w:hAnsi="宋体"/>
          <w:color w:val="auto"/>
          <w:szCs w:val="21"/>
        </w:rPr>
        <w:t>（3）投标人须知；</w:t>
      </w:r>
    </w:p>
    <w:p w14:paraId="4E42B8F0">
      <w:pPr>
        <w:snapToGrid w:val="0"/>
        <w:spacing w:line="360" w:lineRule="auto"/>
        <w:ind w:firstLine="420"/>
        <w:jc w:val="left"/>
        <w:rPr>
          <w:rFonts w:ascii="宋体" w:hAnsi="宋体"/>
          <w:color w:val="auto"/>
          <w:szCs w:val="21"/>
        </w:rPr>
      </w:pPr>
      <w:r>
        <w:rPr>
          <w:rFonts w:hint="eastAsia" w:ascii="宋体" w:hAnsi="宋体"/>
          <w:color w:val="auto"/>
          <w:szCs w:val="21"/>
        </w:rPr>
        <w:t>（4）评标方法及评标标准；</w:t>
      </w:r>
    </w:p>
    <w:p w14:paraId="70BDADD2">
      <w:pPr>
        <w:snapToGrid w:val="0"/>
        <w:spacing w:line="360" w:lineRule="auto"/>
        <w:ind w:firstLine="420"/>
        <w:jc w:val="left"/>
        <w:rPr>
          <w:rFonts w:ascii="宋体" w:hAnsi="宋体"/>
          <w:color w:val="auto"/>
          <w:szCs w:val="21"/>
        </w:rPr>
      </w:pPr>
      <w:r>
        <w:rPr>
          <w:rFonts w:hint="eastAsia" w:ascii="宋体" w:hAnsi="宋体"/>
          <w:color w:val="auto"/>
          <w:szCs w:val="21"/>
        </w:rPr>
        <w:t>（5）拟签订的合同文本；</w:t>
      </w:r>
    </w:p>
    <w:p w14:paraId="37C23AF0">
      <w:pPr>
        <w:snapToGrid w:val="0"/>
        <w:spacing w:line="360" w:lineRule="auto"/>
        <w:ind w:firstLine="420"/>
        <w:jc w:val="left"/>
        <w:rPr>
          <w:rFonts w:ascii="宋体" w:hAnsi="宋体"/>
          <w:color w:val="auto"/>
          <w:szCs w:val="21"/>
        </w:rPr>
      </w:pPr>
      <w:r>
        <w:rPr>
          <w:rFonts w:hint="eastAsia" w:ascii="宋体" w:hAnsi="宋体"/>
          <w:color w:val="auto"/>
          <w:szCs w:val="21"/>
        </w:rPr>
        <w:t>（6）投标文件格式。</w:t>
      </w:r>
    </w:p>
    <w:p w14:paraId="315BE786">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2DCDCD75">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B4FC9CF">
      <w:pPr>
        <w:pStyle w:val="22"/>
        <w:snapToGrid w:val="0"/>
        <w:spacing w:line="360" w:lineRule="auto"/>
        <w:ind w:firstLine="420" w:firstLineChars="200"/>
        <w:rPr>
          <w:rFonts w:hAnsi="宋体"/>
          <w:color w:val="auto"/>
          <w:sz w:val="21"/>
        </w:rPr>
      </w:pPr>
      <w:r>
        <w:rPr>
          <w:rFonts w:hint="eastAsia" w:hAnsi="宋体"/>
          <w:color w:val="auto"/>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EFDEEE7">
      <w:pPr>
        <w:pStyle w:val="22"/>
        <w:snapToGrid w:val="0"/>
        <w:spacing w:line="360" w:lineRule="auto"/>
        <w:ind w:firstLine="420" w:firstLineChars="200"/>
        <w:rPr>
          <w:rFonts w:hAnsi="宋体"/>
          <w:color w:val="auto"/>
          <w:sz w:val="21"/>
        </w:rPr>
      </w:pPr>
      <w:r>
        <w:rPr>
          <w:rFonts w:hint="eastAsia" w:hAnsi="宋体"/>
          <w:color w:val="auto"/>
          <w:sz w:val="21"/>
        </w:rPr>
        <w:t>1</w:t>
      </w:r>
      <w:r>
        <w:rPr>
          <w:rFonts w:hAnsi="宋体"/>
          <w:color w:val="auto"/>
          <w:sz w:val="21"/>
        </w:rPr>
        <w:t>1.2</w:t>
      </w:r>
      <w:bookmarkStart w:id="85" w:name="_Hlk53134511"/>
      <w:r>
        <w:rPr>
          <w:rFonts w:hint="eastAsia" w:hAnsi="宋体"/>
          <w:color w:val="auto"/>
          <w:sz w:val="21"/>
        </w:rPr>
        <w:t>采购人或者采购代理机构可以在招标文件提供期限截止后，组织已获取招标文件的潜在投标人现场考察或者召开开标前答疑会，具体详见“投标人须知前附表”。</w:t>
      </w:r>
    </w:p>
    <w:bookmarkEnd w:id="85"/>
    <w:p w14:paraId="7EC2F28D">
      <w:pPr>
        <w:pStyle w:val="4"/>
        <w:keepNext w:val="0"/>
        <w:keepLines w:val="0"/>
        <w:jc w:val="center"/>
        <w:rPr>
          <w:color w:val="auto"/>
        </w:rPr>
      </w:pPr>
      <w:bookmarkStart w:id="86" w:name="_Toc254970676"/>
      <w:bookmarkStart w:id="87" w:name="_Toc254970535"/>
      <w:r>
        <w:rPr>
          <w:rFonts w:hint="eastAsia"/>
          <w:color w:val="auto"/>
        </w:rPr>
        <w:t>三、投标文件的编制</w:t>
      </w:r>
      <w:bookmarkEnd w:id="86"/>
      <w:bookmarkEnd w:id="87"/>
    </w:p>
    <w:p w14:paraId="17DFF4E0">
      <w:pPr>
        <w:pStyle w:val="5"/>
        <w:keepNext w:val="0"/>
        <w:keepLines w:val="0"/>
        <w:spacing w:before="0" w:after="0" w:line="360" w:lineRule="auto"/>
        <w:ind w:left="420" w:leftChars="200"/>
        <w:rPr>
          <w:rFonts w:ascii="黑体" w:hAnsi="黑体" w:eastAsia="黑体"/>
          <w:color w:val="auto"/>
          <w:sz w:val="24"/>
        </w:rPr>
      </w:pPr>
      <w:bookmarkStart w:id="88" w:name="_Toc254970536"/>
      <w:bookmarkStart w:id="89" w:name="_Toc254970677"/>
      <w:r>
        <w:rPr>
          <w:rFonts w:hint="eastAsia" w:ascii="黑体" w:hAnsi="黑体" w:eastAsia="黑体"/>
          <w:color w:val="auto"/>
          <w:sz w:val="24"/>
        </w:rPr>
        <w:t>12.投标文件的编制原则</w:t>
      </w:r>
    </w:p>
    <w:p w14:paraId="05C1ED5A">
      <w:pPr>
        <w:snapToGrid w:val="0"/>
        <w:spacing w:line="360" w:lineRule="auto"/>
        <w:ind w:firstLine="420"/>
        <w:jc w:val="left"/>
        <w:rPr>
          <w:rFonts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7BBB3D1B">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13.投标文件的组成</w:t>
      </w:r>
      <w:bookmarkEnd w:id="88"/>
      <w:bookmarkEnd w:id="89"/>
    </w:p>
    <w:p w14:paraId="5924237A">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投标文件由报价文件、资格证明文件、商务及技术文件三部分组成。</w:t>
      </w:r>
    </w:p>
    <w:p w14:paraId="5A71E419">
      <w:pPr>
        <w:pStyle w:val="5"/>
        <w:keepNext w:val="0"/>
        <w:keepLines w:val="0"/>
        <w:spacing w:before="0" w:after="0" w:line="360" w:lineRule="auto"/>
        <w:ind w:left="420" w:leftChars="200"/>
        <w:rPr>
          <w:rFonts w:ascii="宋体" w:hAnsi="宋体"/>
          <w:b w:val="0"/>
          <w:color w:val="auto"/>
          <w:sz w:val="21"/>
          <w:szCs w:val="21"/>
        </w:rPr>
      </w:pPr>
      <w:bookmarkStart w:id="90" w:name="_13.1报价文件:_具体材料见“投标人须知前附表”。"/>
      <w:bookmarkEnd w:id="90"/>
      <w:r>
        <w:rPr>
          <w:rFonts w:hint="eastAsia" w:ascii="宋体" w:hAnsi="宋体"/>
          <w:b w:val="0"/>
          <w:color w:val="auto"/>
          <w:sz w:val="21"/>
          <w:szCs w:val="21"/>
        </w:rPr>
        <w:t>（1）报价文件：</w:t>
      </w:r>
      <w:r>
        <w:rPr>
          <w:rFonts w:ascii="宋体" w:hAnsi="宋体"/>
          <w:b w:val="0"/>
          <w:color w:val="auto"/>
          <w:sz w:val="21"/>
          <w:szCs w:val="21"/>
        </w:rPr>
        <w:t xml:space="preserve"> 具体材料见“投标人须知前附表”</w:t>
      </w:r>
      <w:r>
        <w:rPr>
          <w:rFonts w:hint="eastAsia" w:ascii="宋体" w:hAnsi="宋体"/>
          <w:b w:val="0"/>
          <w:color w:val="auto"/>
          <w:sz w:val="21"/>
          <w:szCs w:val="21"/>
        </w:rPr>
        <w:t>。</w:t>
      </w:r>
    </w:p>
    <w:p w14:paraId="5E4878AF">
      <w:pPr>
        <w:pStyle w:val="5"/>
        <w:keepNext w:val="0"/>
        <w:keepLines w:val="0"/>
        <w:spacing w:before="0" w:after="0" w:line="360" w:lineRule="auto"/>
        <w:ind w:left="420" w:leftChars="200"/>
        <w:rPr>
          <w:rFonts w:ascii="宋体" w:hAnsi="宋体"/>
          <w:b w:val="0"/>
          <w:color w:val="auto"/>
          <w:sz w:val="21"/>
          <w:szCs w:val="21"/>
        </w:rPr>
      </w:pPr>
      <w:bookmarkStart w:id="91" w:name="_13.2资格证明文件：具体材料见“投标人须知前附表”。"/>
      <w:bookmarkEnd w:id="91"/>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1D4AB71B">
      <w:pPr>
        <w:pStyle w:val="5"/>
        <w:keepNext w:val="0"/>
        <w:keepLines w:val="0"/>
        <w:spacing w:before="0" w:after="0" w:line="360" w:lineRule="auto"/>
        <w:ind w:left="420" w:leftChars="200"/>
        <w:rPr>
          <w:rFonts w:ascii="宋体" w:hAnsi="宋体"/>
          <w:b w:val="0"/>
          <w:color w:val="auto"/>
          <w:sz w:val="21"/>
          <w:szCs w:val="21"/>
        </w:rPr>
      </w:pPr>
      <w:bookmarkStart w:id="92" w:name="_13.3商务文件:_具体材料见“投标人须知前附表”。"/>
      <w:bookmarkEnd w:id="92"/>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）商务及技术文件：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565F3F01">
      <w:pPr>
        <w:pStyle w:val="5"/>
        <w:keepNext w:val="0"/>
        <w:keepLines w:val="0"/>
        <w:spacing w:before="0" w:after="0" w:line="360" w:lineRule="auto"/>
        <w:ind w:left="420" w:leftChars="200"/>
        <w:rPr>
          <w:rFonts w:ascii="黑体" w:hAnsi="黑体" w:eastAsia="黑体"/>
          <w:color w:val="auto"/>
          <w:sz w:val="24"/>
        </w:rPr>
      </w:pPr>
      <w:bookmarkStart w:id="93" w:name="_13.4技术文件：具体材料见“投标人须知前附表”。"/>
      <w:bookmarkEnd w:id="93"/>
      <w:bookmarkStart w:id="94" w:name="_13.5投标文件电子版：具体材料见“投标人须知前附表”。"/>
      <w:bookmarkEnd w:id="94"/>
      <w:bookmarkStart w:id="95" w:name="_Toc254970678"/>
      <w:bookmarkStart w:id="96" w:name="_Toc254970537"/>
      <w:r>
        <w:rPr>
          <w:rFonts w:hint="eastAsia" w:ascii="黑体" w:hAnsi="黑体" w:eastAsia="黑体"/>
          <w:color w:val="auto"/>
          <w:sz w:val="24"/>
        </w:rPr>
        <w:t>14.投标文件的语言及计量</w:t>
      </w:r>
      <w:bookmarkEnd w:id="95"/>
      <w:bookmarkEnd w:id="96"/>
    </w:p>
    <w:p w14:paraId="1F00EC0C">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14.1语言文字</w:t>
      </w:r>
    </w:p>
    <w:p w14:paraId="016C444E">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18523CD">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14.2投标计量单位</w:t>
      </w:r>
    </w:p>
    <w:p w14:paraId="5BBB438B">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rPr>
        <w:t>，否则视同未响应。</w:t>
      </w:r>
    </w:p>
    <w:p w14:paraId="3A1B0932">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15.投标的风险</w:t>
      </w:r>
    </w:p>
    <w:p w14:paraId="3A3C8F4B">
      <w:pPr>
        <w:pStyle w:val="22"/>
        <w:snapToGrid w:val="0"/>
        <w:spacing w:line="360" w:lineRule="auto"/>
        <w:ind w:firstLine="420" w:firstLineChars="200"/>
        <w:jc w:val="left"/>
        <w:rPr>
          <w:rFonts w:hAnsi="宋体"/>
          <w:color w:val="auto"/>
          <w:sz w:val="21"/>
        </w:rPr>
      </w:pPr>
      <w:r>
        <w:rPr>
          <w:rFonts w:hint="eastAsia" w:hAnsi="宋体"/>
          <w:color w:val="auto"/>
          <w:sz w:val="21"/>
        </w:rPr>
        <w:t>投标人没有按照招标文件要求提供全部资料，或者投标人没有对招标文件作出实质性响应是投标人的风险，并可能导致其投标被拒绝。</w:t>
      </w:r>
    </w:p>
    <w:p w14:paraId="4051F8B4">
      <w:pPr>
        <w:pStyle w:val="5"/>
        <w:keepNext w:val="0"/>
        <w:keepLines w:val="0"/>
        <w:spacing w:before="0" w:after="0" w:line="360" w:lineRule="auto"/>
        <w:ind w:left="420" w:leftChars="200"/>
        <w:rPr>
          <w:rFonts w:ascii="黑体" w:hAnsi="黑体" w:eastAsia="黑体"/>
          <w:color w:val="auto"/>
          <w:sz w:val="24"/>
        </w:rPr>
      </w:pPr>
      <w:bookmarkStart w:id="97" w:name="_Toc254970538"/>
      <w:bookmarkStart w:id="98" w:name="_Toc254970679"/>
      <w:r>
        <w:rPr>
          <w:rFonts w:hint="eastAsia" w:ascii="黑体" w:hAnsi="黑体" w:eastAsia="黑体"/>
          <w:color w:val="auto"/>
          <w:sz w:val="24"/>
        </w:rPr>
        <w:t>16.投标报价</w:t>
      </w:r>
      <w:bookmarkEnd w:id="97"/>
      <w:bookmarkEnd w:id="98"/>
    </w:p>
    <w:p w14:paraId="23BEDDAB">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6C4ABF83">
      <w:pPr>
        <w:pStyle w:val="5"/>
        <w:keepNext w:val="0"/>
        <w:keepLines w:val="0"/>
        <w:spacing w:before="0" w:after="0" w:line="360" w:lineRule="auto"/>
        <w:ind w:left="420" w:leftChars="200"/>
        <w:rPr>
          <w:rFonts w:ascii="宋体" w:hAnsi="宋体"/>
          <w:b w:val="0"/>
          <w:color w:val="auto"/>
          <w:sz w:val="21"/>
          <w:szCs w:val="21"/>
        </w:rPr>
      </w:pPr>
      <w:bookmarkStart w:id="99" w:name="_16.2投标报价具体定义见投标人须知前附表。"/>
      <w:bookmarkEnd w:id="99"/>
      <w:r>
        <w:rPr>
          <w:rFonts w:hint="eastAsia" w:ascii="宋体" w:hAnsi="宋体"/>
          <w:b w:val="0"/>
          <w:color w:val="auto"/>
          <w:sz w:val="21"/>
          <w:szCs w:val="21"/>
        </w:rPr>
        <w:t>16.2投标报价具体包括内容详见“投标人须知前附表”。</w:t>
      </w:r>
    </w:p>
    <w:p w14:paraId="0AA1EEFE">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16.3投标人必须就所投每个分标的全部内容分别作完整唯一总价报价，不得存在漏项报价；投标人必须就所投分标的单项内容作唯一报价。</w:t>
      </w:r>
    </w:p>
    <w:p w14:paraId="015A370E">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17.投标有效期</w:t>
      </w:r>
    </w:p>
    <w:p w14:paraId="7CFED113">
      <w:pPr>
        <w:pStyle w:val="5"/>
        <w:keepNext w:val="0"/>
        <w:keepLines w:val="0"/>
        <w:spacing w:before="0" w:after="0" w:line="360" w:lineRule="auto"/>
        <w:ind w:firstLine="420" w:firstLineChars="200"/>
        <w:rPr>
          <w:rFonts w:ascii="宋体" w:hAnsi="宋体"/>
          <w:b w:val="0"/>
          <w:color w:val="auto"/>
          <w:sz w:val="21"/>
          <w:szCs w:val="21"/>
        </w:rPr>
      </w:pPr>
      <w:bookmarkStart w:id="100" w:name="_17.1投标有效期应按“投标人须知中的前附表”规定的期限。"/>
      <w:bookmarkEnd w:id="100"/>
      <w:r>
        <w:rPr>
          <w:rFonts w:hint="eastAsia" w:ascii="宋体" w:hAnsi="宋体"/>
          <w:b w:val="0"/>
          <w:color w:val="auto"/>
          <w:sz w:val="21"/>
          <w:szCs w:val="21"/>
        </w:rPr>
        <w:t>17.1投标有效期是指为保证采购人有足够的时间在开标后完成评标、定标、合同签订等工作而要求投标人提交的投标文件在一定时间内保持有效的期限。</w:t>
      </w:r>
    </w:p>
    <w:p w14:paraId="56A7C08F">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17.2</w:t>
      </w:r>
      <w:bookmarkStart w:id="101" w:name="_Toc254970681"/>
      <w:bookmarkStart w:id="102" w:name="_Toc254970540"/>
      <w:r>
        <w:rPr>
          <w:rFonts w:hint="eastAsia" w:ascii="宋体" w:hAnsi="宋体"/>
          <w:b w:val="0"/>
          <w:color w:val="auto"/>
          <w:sz w:val="21"/>
          <w:szCs w:val="21"/>
        </w:rPr>
        <w:t xml:space="preserve"> 投标有效期应按招标文件规定的期限作出承诺，具体详见“投标人须知前附表”。</w:t>
      </w:r>
      <w:r>
        <w:rPr>
          <w:rFonts w:hint="eastAsia" w:ascii="宋体" w:hAnsi="宋体"/>
          <w:color w:val="auto"/>
          <w:sz w:val="21"/>
          <w:szCs w:val="21"/>
        </w:rPr>
        <w:t>承诺的投标有效期低于招标文件规定期限的，按无效投标处理。</w:t>
      </w:r>
    </w:p>
    <w:p w14:paraId="7C9320A9">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01"/>
      <w:bookmarkEnd w:id="102"/>
    </w:p>
    <w:p w14:paraId="3358F71F">
      <w:pPr>
        <w:pStyle w:val="5"/>
        <w:keepNext w:val="0"/>
        <w:keepLines w:val="0"/>
        <w:spacing w:before="0" w:after="0" w:line="360" w:lineRule="auto"/>
        <w:ind w:left="420" w:leftChars="200"/>
        <w:rPr>
          <w:rFonts w:ascii="黑体" w:hAnsi="黑体" w:eastAsia="黑体"/>
          <w:color w:val="auto"/>
          <w:sz w:val="24"/>
        </w:rPr>
      </w:pPr>
      <w:bookmarkStart w:id="103" w:name="_18.投标保证金"/>
      <w:bookmarkEnd w:id="103"/>
      <w:bookmarkStart w:id="104" w:name="_Toc254970541"/>
      <w:bookmarkStart w:id="105" w:name="_Toc254970682"/>
      <w:r>
        <w:rPr>
          <w:rFonts w:hint="eastAsia" w:ascii="黑体" w:hAnsi="黑体" w:eastAsia="黑体"/>
          <w:color w:val="auto"/>
          <w:sz w:val="24"/>
        </w:rPr>
        <w:t>18.投标保证金</w:t>
      </w:r>
      <w:bookmarkEnd w:id="104"/>
      <w:bookmarkEnd w:id="105"/>
    </w:p>
    <w:p w14:paraId="770D2053">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4D9DF59B">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18.2投标保证金的退还</w:t>
      </w:r>
    </w:p>
    <w:p w14:paraId="3FE4130D">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 xml:space="preserve">未中标人的投标保证金自中标通知书发出之日起5个工作日内退还；中标人的投标保证金自政府采购合同签订之日起5个工作日内退还。 </w:t>
      </w:r>
    </w:p>
    <w:p w14:paraId="2BBBA819">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592CA0C5">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 xml:space="preserve">18.4投标人有下列情形之一的，投标保证金将不予退还： </w:t>
      </w:r>
    </w:p>
    <w:p w14:paraId="20208FAB">
      <w:pPr>
        <w:snapToGrid w:val="0"/>
        <w:spacing w:line="360" w:lineRule="auto"/>
        <w:ind w:firstLine="411" w:firstLineChars="196"/>
        <w:jc w:val="left"/>
        <w:rPr>
          <w:rFonts w:ascii="宋体" w:hAnsi="宋体"/>
          <w:color w:val="auto"/>
          <w:szCs w:val="21"/>
        </w:rPr>
      </w:pPr>
      <w:r>
        <w:rPr>
          <w:rFonts w:hint="eastAsia" w:ascii="宋体" w:hAnsi="宋体"/>
          <w:color w:val="auto"/>
          <w:szCs w:val="21"/>
        </w:rPr>
        <w:t>（1）投标人在投标有效期内撤销投标文件的；</w:t>
      </w:r>
    </w:p>
    <w:p w14:paraId="1C344E64">
      <w:pPr>
        <w:snapToGrid w:val="0"/>
        <w:spacing w:line="360" w:lineRule="auto"/>
        <w:ind w:firstLine="411" w:firstLineChars="196"/>
        <w:jc w:val="left"/>
        <w:rPr>
          <w:rFonts w:ascii="宋体" w:hAnsi="宋体"/>
          <w:color w:val="auto"/>
          <w:szCs w:val="21"/>
        </w:rPr>
      </w:pPr>
      <w:r>
        <w:rPr>
          <w:rFonts w:hint="eastAsia" w:ascii="宋体" w:hAnsi="宋体"/>
          <w:color w:val="auto"/>
          <w:szCs w:val="21"/>
        </w:rPr>
        <w:t>（2）未按规定提交履约保证金的；</w:t>
      </w:r>
    </w:p>
    <w:p w14:paraId="1DB01FCE">
      <w:pPr>
        <w:snapToGrid w:val="0"/>
        <w:spacing w:line="360" w:lineRule="auto"/>
        <w:ind w:firstLine="411" w:firstLineChars="196"/>
        <w:jc w:val="left"/>
        <w:rPr>
          <w:rFonts w:ascii="宋体" w:hAnsi="宋体"/>
          <w:color w:val="auto"/>
          <w:szCs w:val="21"/>
        </w:rPr>
      </w:pPr>
      <w:r>
        <w:rPr>
          <w:rFonts w:hint="eastAsia" w:ascii="宋体" w:hAnsi="宋体"/>
          <w:color w:val="auto"/>
          <w:szCs w:val="21"/>
        </w:rPr>
        <w:t>（3）投标人在投标过程中弄虚作假，提供虚假材料的；</w:t>
      </w:r>
    </w:p>
    <w:p w14:paraId="08C0F4A3">
      <w:pPr>
        <w:snapToGrid w:val="0"/>
        <w:spacing w:line="360" w:lineRule="auto"/>
        <w:ind w:firstLine="411" w:firstLineChars="196"/>
        <w:rPr>
          <w:rFonts w:ascii="宋体" w:hAnsi="宋体"/>
          <w:color w:val="auto"/>
          <w:szCs w:val="21"/>
        </w:rPr>
      </w:pPr>
      <w:r>
        <w:rPr>
          <w:rFonts w:hint="eastAsia" w:ascii="宋体" w:hAnsi="宋体"/>
          <w:color w:val="auto"/>
          <w:szCs w:val="21"/>
        </w:rPr>
        <w:t>（4）中标人无正当理由不与采购人签订合同的；</w:t>
      </w:r>
    </w:p>
    <w:p w14:paraId="6D75B9AC">
      <w:pPr>
        <w:snapToGrid w:val="0"/>
        <w:spacing w:line="360" w:lineRule="auto"/>
        <w:ind w:firstLine="420" w:firstLineChars="200"/>
        <w:rPr>
          <w:rFonts w:ascii="宋体" w:hAnsi="宋体"/>
          <w:color w:val="auto"/>
          <w:szCs w:val="21"/>
        </w:rPr>
      </w:pPr>
      <w:bookmarkStart w:id="106" w:name="_Toc254970683"/>
      <w:bookmarkStart w:id="107" w:name="_Toc254970542"/>
      <w:r>
        <w:rPr>
          <w:rFonts w:hint="eastAsia" w:ascii="宋体" w:hAnsi="宋体"/>
          <w:color w:val="auto"/>
          <w:szCs w:val="21"/>
        </w:rPr>
        <w:t>（5）投标人出现本章第9.2、9.3情形的；</w:t>
      </w:r>
    </w:p>
    <w:p w14:paraId="5860FEFB">
      <w:pPr>
        <w:snapToGrid w:val="0"/>
        <w:spacing w:line="360" w:lineRule="auto"/>
        <w:ind w:firstLine="420" w:firstLineChars="200"/>
        <w:rPr>
          <w:rFonts w:ascii="宋体" w:hAnsi="宋体"/>
          <w:color w:val="auto"/>
          <w:szCs w:val="21"/>
        </w:rPr>
      </w:pPr>
      <w:r>
        <w:rPr>
          <w:rFonts w:hint="eastAsia" w:ascii="宋体" w:hAnsi="宋体"/>
          <w:color w:val="auto"/>
          <w:szCs w:val="21"/>
        </w:rPr>
        <w:t>（6）</w:t>
      </w:r>
      <w:r>
        <w:rPr>
          <w:rFonts w:hint="eastAsia" w:ascii="宋体" w:hAnsi="宋体" w:cs="宋体"/>
          <w:color w:val="auto"/>
          <w:szCs w:val="21"/>
        </w:rPr>
        <w:t>法律法规规定的其他情形</w:t>
      </w:r>
      <w:r>
        <w:rPr>
          <w:rFonts w:hint="eastAsia" w:ascii="宋体" w:hAnsi="宋体"/>
          <w:color w:val="auto"/>
          <w:szCs w:val="21"/>
        </w:rPr>
        <w:t>。</w:t>
      </w:r>
    </w:p>
    <w:bookmarkEnd w:id="106"/>
    <w:bookmarkEnd w:id="107"/>
    <w:p w14:paraId="1C22DAFF">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19.投标文件的编制</w:t>
      </w:r>
    </w:p>
    <w:p w14:paraId="00382D20">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0627D8DB">
      <w:pPr>
        <w:pStyle w:val="5"/>
        <w:keepNext w:val="0"/>
        <w:keepLines w:val="0"/>
        <w:spacing w:before="0" w:after="0" w:line="360" w:lineRule="auto"/>
        <w:ind w:firstLine="315" w:firstLineChars="150"/>
        <w:rPr>
          <w:rFonts w:ascii="宋体" w:hAnsi="宋体"/>
          <w:b w:val="0"/>
          <w:color w:val="auto"/>
          <w:sz w:val="21"/>
          <w:szCs w:val="21"/>
        </w:rPr>
      </w:pPr>
      <w:bookmarkStart w:id="108" w:name="_19.2投标文件应按报价文件、资格证明文件、商务文件、技术文件分别编制"/>
      <w:bookmarkEnd w:id="108"/>
      <w:r>
        <w:rPr>
          <w:rFonts w:hint="eastAsia" w:ascii="宋体" w:hAnsi="宋体"/>
          <w:b w:val="0"/>
          <w:color w:val="auto"/>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41B6EDD3">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p>
    <w:p w14:paraId="21CE9C92">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0E59435E">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17A14B7">
      <w:pPr>
        <w:spacing w:line="360" w:lineRule="auto"/>
        <w:ind w:firstLine="480" w:firstLineChars="200"/>
        <w:rPr>
          <w:rFonts w:ascii="黑体" w:hAnsi="黑体" w:eastAsia="黑体"/>
          <w:color w:val="auto"/>
          <w:sz w:val="24"/>
        </w:rPr>
      </w:pPr>
      <w:r>
        <w:rPr>
          <w:rFonts w:hint="eastAsia" w:ascii="黑体" w:hAnsi="黑体" w:eastAsia="黑体"/>
          <w:color w:val="auto"/>
          <w:sz w:val="24"/>
        </w:rPr>
        <w:t>20.电子备份投标文件</w:t>
      </w:r>
    </w:p>
    <w:p w14:paraId="1379605D">
      <w:pPr>
        <w:spacing w:line="360" w:lineRule="auto"/>
        <w:ind w:firstLine="420" w:firstLineChars="200"/>
        <w:rPr>
          <w:rFonts w:ascii="黑体" w:hAnsi="黑体" w:eastAsia="黑体"/>
          <w:color w:val="auto"/>
          <w:sz w:val="24"/>
        </w:rPr>
      </w:pPr>
      <w:r>
        <w:rPr>
          <w:rFonts w:hint="eastAsia"/>
          <w:color w:val="auto"/>
        </w:rPr>
        <w:t>电子备份投标文件是指通过在线编制生成且后缀名为“</w:t>
      </w:r>
      <w:r>
        <w:rPr>
          <w:color w:val="auto"/>
        </w:rPr>
        <w:t>bfbs</w:t>
      </w:r>
      <w:r>
        <w:rPr>
          <w:rFonts w:hint="eastAsia"/>
          <w:color w:val="auto"/>
        </w:rPr>
        <w:t>”的文件，是否接受电子备份投标文件详见</w:t>
      </w:r>
      <w:r>
        <w:rPr>
          <w:rFonts w:hint="eastAsia" w:hAnsi="宋体"/>
          <w:bCs/>
          <w:color w:val="auto"/>
          <w:szCs w:val="21"/>
        </w:rPr>
        <w:t>“投标人须知前附表”。</w:t>
      </w:r>
    </w:p>
    <w:p w14:paraId="327285E2">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21.投标文件的提交</w:t>
      </w:r>
    </w:p>
    <w:p w14:paraId="6E870E7C">
      <w:pPr>
        <w:spacing w:line="360" w:lineRule="auto"/>
        <w:ind w:firstLine="420" w:firstLineChars="200"/>
        <w:rPr>
          <w:rFonts w:hAnsi="宋体"/>
          <w:b/>
          <w:color w:val="auto"/>
        </w:rPr>
      </w:pPr>
      <w:bookmarkStart w:id="109" w:name="_21.1投标人必须在“投标人须知中的前附表”规定的投标文件接收时间和投"/>
      <w:bookmarkEnd w:id="109"/>
      <w:r>
        <w:rPr>
          <w:rFonts w:hint="eastAsia" w:hAnsi="宋体"/>
          <w:bCs/>
          <w:color w:val="auto"/>
          <w:szCs w:val="21"/>
        </w:rPr>
        <w:t>21.1投标人必须在“投标人须知前附表”规定的</w:t>
      </w:r>
      <w:r>
        <w:rPr>
          <w:rFonts w:hint="eastAsia" w:ascii="宋体" w:hAnsi="宋体"/>
          <w:color w:val="auto"/>
          <w:szCs w:val="21"/>
        </w:rPr>
        <w:t>提交投标文件截止时间前将</w:t>
      </w:r>
      <w:r>
        <w:rPr>
          <w:rFonts w:hint="eastAsia" w:hAnsi="宋体"/>
          <w:bCs/>
          <w:color w:val="auto"/>
          <w:szCs w:val="21"/>
        </w:rPr>
        <w:t>电子投标文件提交至投标地点。电子投标文件应在制作完成后，</w:t>
      </w:r>
      <w:r>
        <w:rPr>
          <w:rFonts w:hAnsi="宋体"/>
          <w:bCs/>
          <w:color w:val="auto"/>
          <w:szCs w:val="21"/>
        </w:rPr>
        <w:t>在投标截止时间前</w:t>
      </w:r>
      <w:r>
        <w:rPr>
          <w:rFonts w:hint="eastAsia" w:hAnsi="宋体"/>
          <w:bCs/>
          <w:color w:val="auto"/>
          <w:szCs w:val="21"/>
        </w:rPr>
        <w:t>通过有效数字证书（CA认证锁）进行电子签章、加密，然后通过网络将加密的电子投标文件递交至</w:t>
      </w:r>
      <w:r>
        <w:rPr>
          <w:rFonts w:hint="eastAsia" w:ascii="宋体" w:hAnsi="宋体"/>
          <w:b/>
          <w:color w:val="auto"/>
          <w:szCs w:val="21"/>
        </w:rPr>
        <w:t>广西政府采购云平台</w:t>
      </w:r>
      <w:r>
        <w:rPr>
          <w:rFonts w:hint="eastAsia" w:hAnsi="宋体"/>
          <w:bCs/>
          <w:color w:val="auto"/>
          <w:szCs w:val="21"/>
        </w:rPr>
        <w:t xml:space="preserve">。 </w:t>
      </w:r>
      <w:r>
        <w:rPr>
          <w:rFonts w:hint="eastAsia" w:hAnsi="宋体"/>
          <w:b/>
          <w:color w:val="auto"/>
        </w:rPr>
        <w:t xml:space="preserve"> </w:t>
      </w:r>
    </w:p>
    <w:p w14:paraId="4E438DA7">
      <w:pPr>
        <w:spacing w:line="360" w:lineRule="auto"/>
        <w:ind w:firstLine="422" w:firstLineChars="200"/>
        <w:rPr>
          <w:rFonts w:ascii="宋体" w:hAnsi="宋体"/>
          <w:b/>
          <w:color w:val="auto"/>
          <w:szCs w:val="20"/>
        </w:rPr>
      </w:pPr>
      <w:r>
        <w:rPr>
          <w:rFonts w:hint="eastAsia" w:ascii="宋体" w:hAnsi="宋体"/>
          <w:b/>
          <w:color w:val="auto"/>
          <w:szCs w:val="21"/>
        </w:rPr>
        <w:t>21.</w:t>
      </w:r>
      <w:r>
        <w:rPr>
          <w:rFonts w:ascii="宋体" w:hAnsi="宋体"/>
          <w:b/>
          <w:color w:val="auto"/>
          <w:szCs w:val="21"/>
        </w:rPr>
        <w:t>2</w:t>
      </w:r>
      <w:r>
        <w:rPr>
          <w:rFonts w:hint="eastAsia" w:ascii="宋体" w:hAnsi="宋体"/>
          <w:b/>
          <w:color w:val="auto"/>
          <w:szCs w:val="21"/>
        </w:rPr>
        <w:t>未在规定时间内提交或者未按照招标文件要求加密的电子投标文件，广西政府采购云平台将拒收。</w:t>
      </w:r>
    </w:p>
    <w:p w14:paraId="109E1B02">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22. 投标文件的补充、修改、撤回与退回</w:t>
      </w:r>
    </w:p>
    <w:p w14:paraId="1C7EDF50">
      <w:pPr>
        <w:snapToGrid w:val="0"/>
        <w:spacing w:line="360" w:lineRule="auto"/>
        <w:ind w:firstLine="420"/>
        <w:jc w:val="left"/>
        <w:rPr>
          <w:rFonts w:ascii="宋体" w:hAnsi="宋体"/>
          <w:color w:val="auto"/>
          <w:szCs w:val="21"/>
        </w:rPr>
      </w:pPr>
      <w:bookmarkStart w:id="110" w:name="_Toc254970684"/>
      <w:bookmarkStart w:id="111" w:name="_Toc254970543"/>
      <w:r>
        <w:rPr>
          <w:rFonts w:ascii="宋体" w:hAnsi="宋体" w:cs="宋体"/>
          <w:color w:val="auto"/>
          <w:szCs w:val="21"/>
        </w:rPr>
        <w:t>22</w:t>
      </w:r>
      <w:r>
        <w:rPr>
          <w:rFonts w:hint="eastAsia" w:ascii="宋体" w:hAnsi="宋体" w:cs="宋体"/>
          <w:color w:val="auto"/>
          <w:szCs w:val="21"/>
        </w:rPr>
        <w:t>.1</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依次进入“服务中心”中查看</w:t>
      </w:r>
      <w:r>
        <w:rPr>
          <w:rFonts w:hint="eastAsia" w:ascii="宋体" w:hAnsi="宋体" w:cs="宋体"/>
          <w:color w:val="auto"/>
          <w:szCs w:val="21"/>
        </w:rPr>
        <w:t xml:space="preserve"> “电子投标文件制作与投送教程”）</w:t>
      </w:r>
    </w:p>
    <w:bookmarkEnd w:id="110"/>
    <w:bookmarkEnd w:id="111"/>
    <w:p w14:paraId="4A49D3C2">
      <w:pPr>
        <w:pStyle w:val="111"/>
        <w:spacing w:before="0"/>
        <w:ind w:firstLine="420"/>
        <w:rPr>
          <w:rFonts w:ascii="宋体" w:hAnsi="宋体" w:cs="宋体"/>
          <w:color w:val="auto"/>
          <w:sz w:val="21"/>
          <w:szCs w:val="21"/>
        </w:rPr>
      </w:pPr>
      <w:r>
        <w:rPr>
          <w:rFonts w:ascii="宋体" w:hAnsi="宋体" w:cs="宋体"/>
          <w:color w:val="auto"/>
          <w:sz w:val="21"/>
          <w:szCs w:val="21"/>
        </w:rPr>
        <w:t>22.</w:t>
      </w:r>
      <w:r>
        <w:rPr>
          <w:rFonts w:hint="eastAsia" w:ascii="宋体" w:hAnsi="宋体" w:cs="宋体"/>
          <w:color w:val="auto"/>
          <w:sz w:val="21"/>
          <w:szCs w:val="21"/>
        </w:rPr>
        <w:t>2广西政府采购云平台收到投标文件后向供应商发出确认回执通知。在投标截止时间前，除供应商补充、修改或者撤回投标文件外，任何单位和个人不得解密或提取投标文件。</w:t>
      </w:r>
    </w:p>
    <w:p w14:paraId="0D4D8F33">
      <w:pPr>
        <w:spacing w:line="360" w:lineRule="auto"/>
        <w:ind w:firstLine="420" w:firstLineChars="200"/>
        <w:rPr>
          <w:rFonts w:ascii="宋体" w:hAnsi="宋体" w:cs="宋体"/>
          <w:color w:val="auto"/>
          <w:szCs w:val="21"/>
        </w:rPr>
      </w:pPr>
      <w:r>
        <w:rPr>
          <w:rFonts w:hint="eastAsia" w:ascii="宋体" w:hAnsi="宋体" w:cs="宋体"/>
          <w:color w:val="auto"/>
          <w:szCs w:val="21"/>
        </w:rPr>
        <w:t>22.</w:t>
      </w:r>
      <w:r>
        <w:rPr>
          <w:rFonts w:ascii="宋体" w:hAnsi="宋体" w:cs="宋体"/>
          <w:color w:val="auto"/>
          <w:szCs w:val="21"/>
        </w:rPr>
        <w:t>3</w:t>
      </w:r>
      <w:r>
        <w:rPr>
          <w:rFonts w:hint="eastAsia" w:ascii="宋体" w:hAnsi="宋体" w:cs="宋体"/>
          <w:color w:val="auto"/>
          <w:szCs w:val="21"/>
        </w:rPr>
        <w:t>在投标截止时间后，采购人和采购代理机构对已提交的投标文件概不退回。</w:t>
      </w:r>
    </w:p>
    <w:p w14:paraId="737B4335">
      <w:pPr>
        <w:pStyle w:val="4"/>
        <w:keepNext w:val="0"/>
        <w:keepLines w:val="0"/>
        <w:jc w:val="center"/>
        <w:rPr>
          <w:color w:val="auto"/>
        </w:rPr>
      </w:pPr>
      <w:bookmarkStart w:id="112" w:name="_Toc254970544"/>
      <w:bookmarkStart w:id="113" w:name="_Toc254970685"/>
      <w:r>
        <w:rPr>
          <w:rFonts w:hint="eastAsia"/>
          <w:color w:val="auto"/>
        </w:rPr>
        <w:t>四、开    标</w:t>
      </w:r>
      <w:bookmarkEnd w:id="112"/>
      <w:bookmarkEnd w:id="113"/>
    </w:p>
    <w:p w14:paraId="5ACE447C">
      <w:pPr>
        <w:pStyle w:val="5"/>
        <w:keepNext w:val="0"/>
        <w:keepLines w:val="0"/>
        <w:spacing w:before="0" w:after="0" w:line="360" w:lineRule="auto"/>
        <w:ind w:left="420" w:leftChars="200"/>
        <w:rPr>
          <w:rFonts w:ascii="黑体" w:hAnsi="黑体" w:eastAsia="黑体"/>
          <w:color w:val="auto"/>
          <w:sz w:val="24"/>
        </w:rPr>
      </w:pPr>
      <w:bookmarkStart w:id="114" w:name="_23.开标时间和地点"/>
      <w:bookmarkEnd w:id="114"/>
      <w:r>
        <w:rPr>
          <w:rFonts w:hint="eastAsia" w:ascii="黑体" w:hAnsi="黑体" w:eastAsia="黑体"/>
          <w:color w:val="auto"/>
          <w:sz w:val="24"/>
        </w:rPr>
        <w:t>23.开标时间和地点</w:t>
      </w:r>
    </w:p>
    <w:p w14:paraId="3626292E">
      <w:pPr>
        <w:spacing w:line="360" w:lineRule="auto"/>
        <w:ind w:firstLine="420" w:firstLineChars="200"/>
        <w:rPr>
          <w:rFonts w:hAnsi="宋体"/>
          <w:bCs/>
          <w:color w:val="auto"/>
        </w:rPr>
      </w:pPr>
      <w:r>
        <w:rPr>
          <w:rFonts w:hint="eastAsia" w:hAnsi="宋体"/>
          <w:bCs/>
          <w:color w:val="auto"/>
        </w:rPr>
        <w:t>开标时间及地点详见“投标人须知前附表”</w:t>
      </w:r>
    </w:p>
    <w:p w14:paraId="7106A545">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24.开标程序</w:t>
      </w:r>
    </w:p>
    <w:p w14:paraId="26FF46EC">
      <w:pPr>
        <w:pStyle w:val="6"/>
        <w:spacing w:line="360" w:lineRule="auto"/>
        <w:rPr>
          <w:color w:val="auto"/>
        </w:rPr>
      </w:pPr>
      <w:r>
        <w:rPr>
          <w:rFonts w:hint="eastAsia"/>
          <w:color w:val="auto"/>
        </w:rPr>
        <w:t>2</w:t>
      </w:r>
      <w:r>
        <w:rPr>
          <w:color w:val="auto"/>
        </w:rPr>
        <w:t>4.1</w:t>
      </w:r>
      <w:r>
        <w:rPr>
          <w:rFonts w:hint="eastAsia"/>
          <w:color w:val="auto"/>
        </w:rPr>
        <w:t>提交投标文件截止时间止，投标人不足3家的，不得开标。</w:t>
      </w:r>
    </w:p>
    <w:p w14:paraId="2A509325">
      <w:pPr>
        <w:pStyle w:val="6"/>
        <w:spacing w:line="360" w:lineRule="auto"/>
        <w:rPr>
          <w:color w:val="auto"/>
        </w:rPr>
      </w:pPr>
      <w:r>
        <w:rPr>
          <w:rFonts w:hint="eastAsia"/>
          <w:color w:val="auto"/>
        </w:rPr>
        <w:t>24.</w:t>
      </w:r>
      <w:r>
        <w:rPr>
          <w:color w:val="auto"/>
        </w:rPr>
        <w:t>2</w:t>
      </w:r>
      <w:r>
        <w:rPr>
          <w:rFonts w:hint="eastAsia"/>
          <w:color w:val="auto"/>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029A9E3">
      <w:pPr>
        <w:pStyle w:val="6"/>
        <w:spacing w:line="360" w:lineRule="auto"/>
        <w:rPr>
          <w:color w:val="auto"/>
        </w:rPr>
      </w:pPr>
      <w:r>
        <w:rPr>
          <w:rFonts w:hint="eastAsia"/>
          <w:color w:val="auto"/>
        </w:rPr>
        <w:t>24.</w:t>
      </w:r>
      <w:r>
        <w:rPr>
          <w:color w:val="auto"/>
        </w:rPr>
        <w:t>3</w:t>
      </w:r>
      <w:r>
        <w:rPr>
          <w:rFonts w:hint="eastAsia"/>
          <w:color w:val="auto"/>
        </w:rPr>
        <w:t>开标程序</w:t>
      </w:r>
    </w:p>
    <w:p w14:paraId="09675331">
      <w:pPr>
        <w:pStyle w:val="6"/>
        <w:spacing w:line="360" w:lineRule="auto"/>
        <w:rPr>
          <w:color w:val="auto"/>
        </w:rPr>
      </w:pPr>
      <w:r>
        <w:rPr>
          <w:rFonts w:hint="eastAsia"/>
          <w:color w:val="auto"/>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规定的时间内自行进行投标文件解密。投标人的法定代表人或其委托代理人须凭加密时所用的CA锁准时登录到广西政府采购云平台电子开标大厅签到并对电子投标文件解密。</w:t>
      </w:r>
      <w:r>
        <w:rPr>
          <w:b/>
          <w:color w:val="auto"/>
        </w:rPr>
        <w:t>投标人</w:t>
      </w:r>
      <w:r>
        <w:rPr>
          <w:rFonts w:hint="eastAsia"/>
          <w:b/>
          <w:color w:val="auto"/>
        </w:rPr>
        <w:t>未在</w:t>
      </w:r>
      <w:r>
        <w:rPr>
          <w:b/>
          <w:color w:val="auto"/>
        </w:rPr>
        <w:t>规定的时间内解密</w:t>
      </w:r>
      <w:r>
        <w:rPr>
          <w:rFonts w:hint="eastAsia"/>
          <w:b/>
          <w:color w:val="auto"/>
        </w:rPr>
        <w:t>投标文件</w:t>
      </w:r>
      <w:r>
        <w:rPr>
          <w:b/>
          <w:color w:val="auto"/>
        </w:rPr>
        <w:t>或</w:t>
      </w:r>
      <w:r>
        <w:rPr>
          <w:rFonts w:hint="eastAsia"/>
          <w:b/>
          <w:color w:val="auto"/>
        </w:rPr>
        <w:t>者</w:t>
      </w:r>
      <w:r>
        <w:rPr>
          <w:b/>
          <w:color w:val="auto"/>
        </w:rPr>
        <w:t>解密失败的</w:t>
      </w:r>
      <w:r>
        <w:rPr>
          <w:rFonts w:hint="eastAsia"/>
          <w:b/>
          <w:color w:val="auto"/>
        </w:rPr>
        <w:t>，</w:t>
      </w:r>
      <w:r>
        <w:rPr>
          <w:rFonts w:hint="eastAsia" w:ascii="宋体" w:hAnsi="宋体"/>
          <w:b/>
          <w:color w:val="auto"/>
          <w:szCs w:val="21"/>
        </w:rPr>
        <w:t>投标人的投标文件作无效处理</w:t>
      </w:r>
      <w:r>
        <w:rPr>
          <w:b/>
          <w:color w:val="auto"/>
        </w:rPr>
        <w:t>。</w:t>
      </w:r>
    </w:p>
    <w:p w14:paraId="5BEF3DAA">
      <w:pPr>
        <w:pStyle w:val="6"/>
        <w:spacing w:line="360" w:lineRule="auto"/>
        <w:rPr>
          <w:color w:val="auto"/>
        </w:rPr>
      </w:pPr>
      <w:r>
        <w:rPr>
          <w:rFonts w:hint="eastAsia"/>
          <w:color w:val="auto"/>
        </w:rPr>
        <w:t>（2）电子唱标。投标文件解密结束，宣布的内容均在广西政府采购云平台远程开标大厅展示，具体详见</w:t>
      </w:r>
      <w:r>
        <w:rPr>
          <w:rFonts w:hint="eastAsia" w:hAnsi="宋体"/>
          <w:bCs/>
          <w:color w:val="auto"/>
        </w:rPr>
        <w:t>“投标人须知前附表”</w:t>
      </w:r>
      <w:r>
        <w:rPr>
          <w:rFonts w:hint="eastAsia"/>
          <w:color w:val="auto"/>
        </w:rPr>
        <w:t>；</w:t>
      </w:r>
    </w:p>
    <w:p w14:paraId="041D8BD0">
      <w:pPr>
        <w:pStyle w:val="6"/>
        <w:spacing w:line="360" w:lineRule="auto"/>
        <w:rPr>
          <w:color w:val="auto"/>
        </w:rPr>
      </w:pPr>
      <w:r>
        <w:rPr>
          <w:rFonts w:hint="eastAsia"/>
          <w:color w:val="auto"/>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C8950FF">
      <w:pPr>
        <w:pStyle w:val="6"/>
        <w:spacing w:line="360" w:lineRule="auto"/>
        <w:rPr>
          <w:color w:val="auto"/>
        </w:rPr>
      </w:pPr>
      <w:r>
        <w:rPr>
          <w:rFonts w:hint="eastAsia"/>
          <w:color w:val="auto"/>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AF54DCF">
      <w:pPr>
        <w:pStyle w:val="6"/>
        <w:spacing w:line="360" w:lineRule="auto"/>
        <w:rPr>
          <w:color w:val="auto"/>
          <w:szCs w:val="21"/>
        </w:rPr>
      </w:pPr>
      <w:r>
        <w:rPr>
          <w:rFonts w:hint="eastAsia"/>
          <w:color w:val="auto"/>
          <w:szCs w:val="21"/>
        </w:rPr>
        <w:t>（5）开标结束。</w:t>
      </w:r>
    </w:p>
    <w:p w14:paraId="6FB6CBBF">
      <w:pPr>
        <w:pStyle w:val="22"/>
        <w:snapToGrid w:val="0"/>
        <w:spacing w:line="360" w:lineRule="auto"/>
        <w:ind w:firstLine="420" w:firstLineChars="200"/>
        <w:rPr>
          <w:rFonts w:hAnsi="宋体"/>
          <w:color w:val="auto"/>
          <w:sz w:val="21"/>
        </w:rPr>
      </w:pPr>
      <w:r>
        <w:rPr>
          <w:rFonts w:hint="eastAsia"/>
          <w:color w:val="auto"/>
          <w:sz w:val="21"/>
        </w:rPr>
        <w:t>特别说明：如遇广西政府采购云平台电子化开标或评审程序调整的，按调整后执行。</w:t>
      </w:r>
    </w:p>
    <w:p w14:paraId="52B35E83">
      <w:pPr>
        <w:pStyle w:val="22"/>
        <w:snapToGrid w:val="0"/>
        <w:spacing w:line="360" w:lineRule="auto"/>
        <w:ind w:left="689" w:leftChars="228" w:hanging="210" w:hangingChars="100"/>
        <w:rPr>
          <w:rFonts w:hAnsi="宋体"/>
          <w:color w:val="auto"/>
          <w:sz w:val="21"/>
        </w:rPr>
      </w:pPr>
    </w:p>
    <w:p w14:paraId="463DB8CE">
      <w:pPr>
        <w:pStyle w:val="4"/>
        <w:keepNext w:val="0"/>
        <w:keepLines w:val="0"/>
        <w:jc w:val="center"/>
        <w:rPr>
          <w:color w:val="auto"/>
        </w:rPr>
      </w:pPr>
      <w:r>
        <w:rPr>
          <w:rFonts w:hint="eastAsia"/>
          <w:color w:val="auto"/>
        </w:rPr>
        <w:t>五、资格审查</w:t>
      </w:r>
    </w:p>
    <w:p w14:paraId="48E7A248">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25.资格审查</w:t>
      </w:r>
    </w:p>
    <w:p w14:paraId="79499020">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162B1204">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0D5ED6A2">
      <w:pPr>
        <w:pStyle w:val="5"/>
        <w:keepNext w:val="0"/>
        <w:keepLines w:val="0"/>
        <w:numPr>
          <w:ilvl w:val="0"/>
          <w:numId w:val="0"/>
        </w:numPr>
        <w:spacing w:before="0" w:after="0" w:line="360" w:lineRule="auto"/>
        <w:ind w:firstLine="422" w:firstLineChars="200"/>
        <w:rPr>
          <w:rFonts w:ascii="宋体" w:hAnsi="宋体"/>
          <w:color w:val="auto"/>
          <w:sz w:val="21"/>
          <w:szCs w:val="21"/>
        </w:rPr>
      </w:pPr>
      <w:bookmarkStart w:id="115" w:name="_25.3_投标人有下列情形之一的，资格审查不通过而导致其投标无效："/>
      <w:bookmarkEnd w:id="115"/>
      <w:r>
        <w:rPr>
          <w:rFonts w:hint="eastAsia" w:ascii="宋体" w:hAnsi="宋体"/>
          <w:color w:val="auto"/>
          <w:sz w:val="21"/>
          <w:szCs w:val="21"/>
        </w:rPr>
        <w:t>25.3 投标人有下列情形之一的，资格审查不通过，作无效投标处理：</w:t>
      </w:r>
    </w:p>
    <w:p w14:paraId="0A5CBAA7">
      <w:pPr>
        <w:pStyle w:val="22"/>
        <w:snapToGrid w:val="0"/>
        <w:spacing w:line="360" w:lineRule="auto"/>
        <w:ind w:firstLine="422" w:firstLineChars="200"/>
        <w:rPr>
          <w:rFonts w:hAnsi="宋体"/>
          <w:b/>
          <w:color w:val="auto"/>
          <w:sz w:val="21"/>
        </w:rPr>
      </w:pPr>
      <w:r>
        <w:rPr>
          <w:rFonts w:hint="eastAsia" w:hAnsi="宋体"/>
          <w:b/>
          <w:color w:val="auto"/>
          <w:sz w:val="21"/>
        </w:rPr>
        <w:t>（1）不具备招标文件中规定的资格要求的；</w:t>
      </w:r>
    </w:p>
    <w:p w14:paraId="22715C2E">
      <w:pPr>
        <w:pStyle w:val="22"/>
        <w:snapToGrid w:val="0"/>
        <w:spacing w:line="360" w:lineRule="auto"/>
        <w:ind w:firstLine="422" w:firstLineChars="200"/>
        <w:rPr>
          <w:rFonts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71EA1D6F">
      <w:pPr>
        <w:pStyle w:val="22"/>
        <w:snapToGrid w:val="0"/>
        <w:spacing w:line="360" w:lineRule="auto"/>
        <w:ind w:firstLine="422" w:firstLineChars="200"/>
        <w:rPr>
          <w:rFonts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3D782B87">
      <w:pPr>
        <w:pStyle w:val="22"/>
        <w:snapToGrid w:val="0"/>
        <w:spacing w:line="360" w:lineRule="auto"/>
        <w:ind w:firstLine="422" w:firstLineChars="200"/>
        <w:rPr>
          <w:rFonts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462AABCA">
      <w:pPr>
        <w:pStyle w:val="22"/>
        <w:snapToGrid w:val="0"/>
        <w:spacing w:line="360" w:lineRule="auto"/>
        <w:ind w:firstLine="422" w:firstLineChars="200"/>
        <w:rPr>
          <w:rFonts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6E0D44BD">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color w:val="auto"/>
          <w:sz w:val="21"/>
          <w:szCs w:val="21"/>
        </w:rPr>
        <w:t>25.4</w:t>
      </w:r>
      <w:r>
        <w:rPr>
          <w:rFonts w:ascii="宋体" w:hAnsi="宋体"/>
          <w:color w:val="auto"/>
          <w:sz w:val="21"/>
          <w:szCs w:val="21"/>
        </w:rPr>
        <w:t>合格投标人不足3家的，不得评标。</w:t>
      </w:r>
    </w:p>
    <w:p w14:paraId="0E12F722">
      <w:pPr>
        <w:pStyle w:val="22"/>
        <w:snapToGrid w:val="0"/>
        <w:spacing w:line="360" w:lineRule="auto"/>
        <w:ind w:left="689" w:leftChars="228" w:hanging="210" w:hangingChars="100"/>
        <w:rPr>
          <w:rFonts w:hAnsi="宋体"/>
          <w:color w:val="auto"/>
          <w:sz w:val="21"/>
        </w:rPr>
      </w:pPr>
    </w:p>
    <w:p w14:paraId="089F7932">
      <w:pPr>
        <w:pStyle w:val="4"/>
        <w:keepNext w:val="0"/>
        <w:keepLines w:val="0"/>
        <w:jc w:val="center"/>
        <w:rPr>
          <w:color w:val="auto"/>
        </w:rPr>
      </w:pPr>
      <w:r>
        <w:rPr>
          <w:rFonts w:hint="eastAsia"/>
          <w:color w:val="auto"/>
        </w:rPr>
        <w:t>六、评   标</w:t>
      </w:r>
    </w:p>
    <w:p w14:paraId="68F91C39">
      <w:pPr>
        <w:pStyle w:val="5"/>
        <w:keepNext w:val="0"/>
        <w:keepLines w:val="0"/>
        <w:spacing w:before="0" w:after="0" w:line="360" w:lineRule="auto"/>
        <w:ind w:left="420" w:leftChars="200"/>
        <w:rPr>
          <w:rFonts w:ascii="黑体" w:hAnsi="黑体" w:eastAsia="黑体"/>
          <w:color w:val="auto"/>
          <w:sz w:val="24"/>
        </w:rPr>
      </w:pPr>
      <w:bookmarkStart w:id="116" w:name="_26.组建评标委员会"/>
      <w:bookmarkEnd w:id="116"/>
      <w:r>
        <w:rPr>
          <w:rFonts w:hint="eastAsia" w:ascii="黑体" w:hAnsi="黑体" w:eastAsia="黑体"/>
          <w:color w:val="auto"/>
          <w:sz w:val="24"/>
        </w:rPr>
        <w:t>26.组建评标委员会</w:t>
      </w:r>
    </w:p>
    <w:p w14:paraId="37BCA53A">
      <w:pPr>
        <w:pStyle w:val="22"/>
        <w:snapToGrid w:val="0"/>
        <w:spacing w:line="360" w:lineRule="auto"/>
        <w:ind w:firstLine="420" w:firstLineChars="200"/>
        <w:rPr>
          <w:rFonts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5B1B78D6">
      <w:pPr>
        <w:pStyle w:val="22"/>
        <w:snapToGrid w:val="0"/>
        <w:spacing w:line="360" w:lineRule="auto"/>
        <w:ind w:left="2" w:leftChars="1" w:firstLine="420" w:firstLineChars="200"/>
        <w:rPr>
          <w:rFonts w:hAnsi="宋体"/>
          <w:color w:val="auto"/>
          <w:sz w:val="21"/>
        </w:rPr>
      </w:pPr>
      <w:r>
        <w:rPr>
          <w:rFonts w:hint="eastAsia" w:hAnsi="宋体"/>
          <w:color w:val="auto"/>
          <w:sz w:val="21"/>
        </w:rPr>
        <w:t>26.2参加过采购项目前期咨询论证的专家，不得参加该采购项目的评审活动。</w:t>
      </w:r>
    </w:p>
    <w:p w14:paraId="47F7909E">
      <w:pPr>
        <w:pStyle w:val="22"/>
        <w:snapToGrid w:val="0"/>
        <w:spacing w:line="360" w:lineRule="auto"/>
        <w:ind w:left="2" w:leftChars="1" w:firstLine="420" w:firstLineChars="200"/>
        <w:rPr>
          <w:rFonts w:hAnsi="宋体"/>
          <w:color w:val="auto"/>
          <w:sz w:val="21"/>
        </w:rPr>
      </w:pPr>
      <w:r>
        <w:rPr>
          <w:rFonts w:hint="eastAsia" w:hAnsi="宋体"/>
          <w:color w:val="auto"/>
          <w:sz w:val="21"/>
        </w:rPr>
        <w:t>26.3</w:t>
      </w:r>
      <w:r>
        <w:rPr>
          <w:rFonts w:hint="eastAsia" w:hAnsi="宋体"/>
          <w:bCs/>
          <w:color w:val="auto"/>
          <w:sz w:val="21"/>
        </w:rPr>
        <w:t>采购代理机构应当基于广西政府采购云平台抽（选）取评审专家。</w:t>
      </w:r>
    </w:p>
    <w:p w14:paraId="7F73E64B">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27.评标的依据</w:t>
      </w:r>
    </w:p>
    <w:p w14:paraId="1C56D6D7">
      <w:pPr>
        <w:pStyle w:val="22"/>
        <w:snapToGrid w:val="0"/>
        <w:spacing w:line="360" w:lineRule="auto"/>
        <w:ind w:firstLine="420" w:firstLineChars="200"/>
        <w:rPr>
          <w:rFonts w:hAnsi="宋体"/>
          <w:color w:val="auto"/>
          <w:sz w:val="21"/>
        </w:rPr>
      </w:pPr>
      <w:r>
        <w:rPr>
          <w:rFonts w:hint="eastAsia" w:hAnsi="宋体"/>
          <w:color w:val="auto"/>
          <w:sz w:val="21"/>
        </w:rPr>
        <w:t>评标委员会以</w:t>
      </w:r>
      <w:r>
        <w:rPr>
          <w:rFonts w:hint="eastAsia" w:hAnsi="宋体" w:cs="宋体"/>
          <w:color w:val="auto"/>
          <w:sz w:val="21"/>
        </w:rPr>
        <w:t>“第四章 评标方法和评标标准”</w:t>
      </w:r>
      <w:r>
        <w:rPr>
          <w:rFonts w:hint="eastAsia" w:hAnsi="宋体"/>
          <w:color w:val="auto"/>
          <w:sz w:val="21"/>
        </w:rPr>
        <w:t>为依据对投标文件进行评审，</w:t>
      </w:r>
      <w:r>
        <w:rPr>
          <w:rFonts w:hAnsi="宋体"/>
          <w:color w:val="auto"/>
          <w:sz w:val="21"/>
        </w:rPr>
        <w:t>没有规定的方法、评审因素和标准，不作为评标依据。</w:t>
      </w:r>
    </w:p>
    <w:p w14:paraId="4A7CB8DE">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28.评标原则</w:t>
      </w:r>
    </w:p>
    <w:p w14:paraId="2DCCF06B">
      <w:pPr>
        <w:pStyle w:val="22"/>
        <w:snapToGrid w:val="0"/>
        <w:spacing w:line="360" w:lineRule="auto"/>
        <w:ind w:firstLine="420" w:firstLineChars="200"/>
        <w:rPr>
          <w:rFonts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A30158F">
      <w:pPr>
        <w:pStyle w:val="22"/>
        <w:snapToGrid w:val="0"/>
        <w:spacing w:line="360" w:lineRule="auto"/>
        <w:ind w:firstLine="420" w:firstLineChars="200"/>
        <w:rPr>
          <w:rFonts w:hAnsi="宋体"/>
          <w:color w:val="auto"/>
          <w:sz w:val="21"/>
        </w:rPr>
      </w:pPr>
      <w:r>
        <w:rPr>
          <w:rFonts w:hint="eastAsia" w:hAnsi="宋体"/>
          <w:color w:val="auto"/>
          <w:sz w:val="21"/>
        </w:rPr>
        <w:t>28.2</w:t>
      </w:r>
      <w:bookmarkStart w:id="117" w:name="_28.3评标方法。本项目将按须知前附表规定的评标办法进行评标，具体评标"/>
      <w:bookmarkEnd w:id="117"/>
      <w:r>
        <w:rPr>
          <w:rFonts w:hint="eastAsia" w:hAnsi="宋体"/>
          <w:color w:val="auto"/>
          <w:sz w:val="21"/>
        </w:rPr>
        <w:t>评委表决。评标委员会成员对需要共同认定的事项存在争议的，应当按照少数服从多数的原则作出结论。</w:t>
      </w:r>
    </w:p>
    <w:p w14:paraId="11B7DCE1">
      <w:pPr>
        <w:pStyle w:val="22"/>
        <w:snapToGrid w:val="0"/>
        <w:spacing w:line="360" w:lineRule="auto"/>
        <w:ind w:firstLine="420" w:firstLineChars="200"/>
        <w:rPr>
          <w:rFonts w:hAnsi="宋体"/>
          <w:color w:val="auto"/>
          <w:sz w:val="21"/>
        </w:rPr>
      </w:pPr>
      <w:r>
        <w:rPr>
          <w:rFonts w:hint="eastAsia" w:hAnsi="宋体"/>
          <w:color w:val="auto"/>
          <w:sz w:val="21"/>
        </w:rPr>
        <w:t>28.</w:t>
      </w:r>
      <w:r>
        <w:rPr>
          <w:rFonts w:hAnsi="宋体"/>
          <w:color w:val="auto"/>
          <w:sz w:val="21"/>
        </w:rPr>
        <w:t>3</w:t>
      </w:r>
      <w:r>
        <w:rPr>
          <w:rFonts w:hint="eastAsia" w:hAnsi="宋体"/>
          <w:color w:val="auto"/>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5A1539E">
      <w:pPr>
        <w:pStyle w:val="22"/>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8.4</w:t>
      </w:r>
      <w:r>
        <w:rPr>
          <w:rFonts w:hint="eastAsia" w:hAnsi="宋体"/>
          <w:color w:val="auto"/>
          <w:sz w:val="21"/>
        </w:rPr>
        <w:t>评标过程的监控。本项目电子评标过程实行网上留痕、全程录音、录像监控，</w:t>
      </w:r>
      <w:r>
        <w:rPr>
          <w:rFonts w:hint="eastAsia" w:hAnsi="宋体"/>
          <w:b/>
          <w:color w:val="auto"/>
          <w:sz w:val="21"/>
        </w:rPr>
        <w:t>投标人在评标过程中所进行的试图影响评标结果的不公正活动，可能导致其投标按无效处理。</w:t>
      </w:r>
    </w:p>
    <w:p w14:paraId="2911B0DD">
      <w:pPr>
        <w:pStyle w:val="5"/>
        <w:keepNext w:val="0"/>
        <w:keepLines w:val="0"/>
        <w:spacing w:before="0" w:after="0" w:line="360" w:lineRule="auto"/>
        <w:ind w:left="420" w:leftChars="200"/>
        <w:rPr>
          <w:rFonts w:ascii="黑体" w:hAnsi="黑体" w:eastAsia="黑体"/>
          <w:color w:val="auto"/>
          <w:sz w:val="21"/>
          <w:szCs w:val="21"/>
        </w:rPr>
      </w:pPr>
      <w:r>
        <w:rPr>
          <w:rFonts w:hint="eastAsia" w:ascii="黑体" w:hAnsi="黑体" w:eastAsia="黑体"/>
          <w:color w:val="auto"/>
          <w:sz w:val="21"/>
          <w:szCs w:val="21"/>
        </w:rPr>
        <w:t>29.评标方法及中标候选人推荐</w:t>
      </w:r>
    </w:p>
    <w:p w14:paraId="26BAC74F">
      <w:pPr>
        <w:pStyle w:val="22"/>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9.1</w:t>
      </w:r>
      <w:r>
        <w:rPr>
          <w:rFonts w:hint="eastAsia" w:hAnsi="宋体"/>
          <w:color w:val="auto"/>
          <w:sz w:val="21"/>
        </w:rPr>
        <w:t>本项目的评标方法详见“投标人须知前附表”。</w:t>
      </w:r>
    </w:p>
    <w:p w14:paraId="667CDDF1">
      <w:pPr>
        <w:pStyle w:val="22"/>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9.2</w:t>
      </w:r>
      <w:r>
        <w:rPr>
          <w:rFonts w:hAnsi="宋体" w:cs="宋体"/>
          <w:color w:val="auto"/>
          <w:sz w:val="21"/>
        </w:rPr>
        <w:t xml:space="preserve"> </w:t>
      </w:r>
      <w:r>
        <w:rPr>
          <w:rFonts w:hint="eastAsia" w:hAnsi="宋体" w:cs="宋体"/>
          <w:color w:val="auto"/>
          <w:sz w:val="21"/>
        </w:rPr>
        <w:t>商务/技术要求</w:t>
      </w:r>
      <w:r>
        <w:rPr>
          <w:rFonts w:hint="eastAsia" w:hAnsi="宋体"/>
          <w:color w:val="auto"/>
          <w:sz w:val="21"/>
        </w:rPr>
        <w:t>允许负偏离的条款数</w:t>
      </w:r>
      <w:r>
        <w:rPr>
          <w:rFonts w:hAnsi="宋体"/>
          <w:color w:val="auto"/>
          <w:sz w:val="21"/>
        </w:rPr>
        <w:t>详见</w:t>
      </w:r>
      <w:r>
        <w:rPr>
          <w:rFonts w:hint="eastAsia" w:hAnsi="宋体"/>
          <w:color w:val="auto"/>
          <w:sz w:val="21"/>
        </w:rPr>
        <w:t>“投标人须知前附表”。</w:t>
      </w:r>
    </w:p>
    <w:p w14:paraId="5F5B41E3">
      <w:pPr>
        <w:pStyle w:val="22"/>
        <w:snapToGrid w:val="0"/>
        <w:spacing w:line="360" w:lineRule="auto"/>
        <w:ind w:firstLine="420" w:firstLineChars="200"/>
        <w:rPr>
          <w:rFonts w:hAnsi="宋体" w:cs="宋体"/>
          <w:color w:val="auto"/>
          <w:sz w:val="21"/>
        </w:rPr>
      </w:pPr>
      <w:r>
        <w:rPr>
          <w:rFonts w:hint="eastAsia" w:hAnsi="宋体"/>
          <w:color w:val="auto"/>
          <w:sz w:val="21"/>
        </w:rPr>
        <w:t>2</w:t>
      </w:r>
      <w:r>
        <w:rPr>
          <w:rFonts w:hAnsi="宋体"/>
          <w:color w:val="auto"/>
          <w:sz w:val="21"/>
        </w:rPr>
        <w:t>9.3</w:t>
      </w:r>
      <w:r>
        <w:rPr>
          <w:rFonts w:hAnsi="宋体" w:cs="宋体"/>
          <w:color w:val="auto"/>
          <w:sz w:val="21"/>
        </w:rPr>
        <w:t xml:space="preserve"> </w:t>
      </w:r>
      <w:r>
        <w:rPr>
          <w:rFonts w:hAnsi="宋体"/>
          <w:color w:val="auto"/>
          <w:sz w:val="21"/>
        </w:rPr>
        <w:t>中标候选人推荐数量详见</w:t>
      </w:r>
      <w:r>
        <w:rPr>
          <w:rFonts w:hint="eastAsia" w:hAnsi="宋体"/>
          <w:color w:val="auto"/>
          <w:sz w:val="21"/>
        </w:rPr>
        <w:t>“投标人须知前附表”。</w:t>
      </w:r>
    </w:p>
    <w:p w14:paraId="4AFB8B6A">
      <w:pPr>
        <w:pStyle w:val="22"/>
        <w:snapToGrid w:val="0"/>
        <w:spacing w:line="360" w:lineRule="auto"/>
        <w:ind w:firstLine="420" w:firstLineChars="200"/>
        <w:rPr>
          <w:rFonts w:hAnsi="宋体"/>
          <w:color w:val="auto"/>
          <w:sz w:val="21"/>
        </w:rPr>
      </w:pPr>
      <w:r>
        <w:rPr>
          <w:rFonts w:hint="eastAsia" w:hAnsi="宋体"/>
          <w:color w:val="auto"/>
          <w:sz w:val="21"/>
        </w:rPr>
        <w:t>29.</w:t>
      </w:r>
      <w:r>
        <w:rPr>
          <w:rFonts w:hAnsi="宋体"/>
          <w:color w:val="auto"/>
          <w:sz w:val="21"/>
        </w:rPr>
        <w:t>4</w:t>
      </w:r>
      <w:r>
        <w:rPr>
          <w:rFonts w:hint="eastAsia" w:hAnsi="宋体"/>
          <w:color w:val="auto"/>
          <w:sz w:val="21"/>
        </w:rPr>
        <w:t xml:space="preserve"> 电子交易活动的中止。采购过程中出现以下情形，导致电子交易平台无法正常运行，或者无法保证电子交易的公平、公正和安全时，采购代理机构可以中止电子交易活动：</w:t>
      </w:r>
    </w:p>
    <w:p w14:paraId="2F203534">
      <w:pPr>
        <w:pStyle w:val="22"/>
        <w:snapToGrid w:val="0"/>
        <w:spacing w:line="360" w:lineRule="auto"/>
        <w:ind w:firstLine="420" w:firstLineChars="200"/>
        <w:rPr>
          <w:rFonts w:hAnsi="宋体"/>
          <w:color w:val="auto"/>
          <w:sz w:val="21"/>
        </w:rPr>
      </w:pPr>
      <w:r>
        <w:rPr>
          <w:rFonts w:hint="eastAsia" w:hAnsi="宋体"/>
          <w:color w:val="auto"/>
          <w:sz w:val="21"/>
        </w:rPr>
        <w:t xml:space="preserve">（1）电子交易平台发生故障而无法登录访问的； </w:t>
      </w:r>
    </w:p>
    <w:p w14:paraId="01A5E19D">
      <w:pPr>
        <w:pStyle w:val="22"/>
        <w:snapToGrid w:val="0"/>
        <w:spacing w:line="360" w:lineRule="auto"/>
        <w:ind w:firstLine="420" w:firstLineChars="200"/>
        <w:rPr>
          <w:rFonts w:hAnsi="宋体"/>
          <w:color w:val="auto"/>
          <w:sz w:val="21"/>
        </w:rPr>
      </w:pPr>
      <w:r>
        <w:rPr>
          <w:rFonts w:hint="eastAsia" w:hAnsi="宋体"/>
          <w:color w:val="auto"/>
          <w:sz w:val="21"/>
        </w:rPr>
        <w:t>（2）电子交易平台应用或数据库出现错误，不能进行正常操作的；</w:t>
      </w:r>
    </w:p>
    <w:p w14:paraId="53CCEFB8">
      <w:pPr>
        <w:pStyle w:val="22"/>
        <w:snapToGrid w:val="0"/>
        <w:spacing w:line="360" w:lineRule="auto"/>
        <w:ind w:firstLine="420" w:firstLineChars="200"/>
        <w:rPr>
          <w:rFonts w:hAnsi="宋体"/>
          <w:color w:val="auto"/>
          <w:sz w:val="21"/>
        </w:rPr>
      </w:pPr>
      <w:r>
        <w:rPr>
          <w:rFonts w:hint="eastAsia" w:hAnsi="宋体"/>
          <w:color w:val="auto"/>
          <w:sz w:val="21"/>
        </w:rPr>
        <w:t>（3）电子交易平台发现严重安全漏洞，有潜在泄密危险的；</w:t>
      </w:r>
    </w:p>
    <w:p w14:paraId="78153BB6">
      <w:pPr>
        <w:pStyle w:val="22"/>
        <w:snapToGrid w:val="0"/>
        <w:spacing w:line="360" w:lineRule="auto"/>
        <w:ind w:firstLine="420" w:firstLineChars="200"/>
        <w:rPr>
          <w:rFonts w:hAnsi="宋体"/>
          <w:color w:val="auto"/>
          <w:sz w:val="21"/>
        </w:rPr>
      </w:pPr>
      <w:r>
        <w:rPr>
          <w:rFonts w:hint="eastAsia" w:hAnsi="宋体"/>
          <w:color w:val="auto"/>
          <w:sz w:val="21"/>
        </w:rPr>
        <w:t xml:space="preserve">（4）病毒发作导致不能进行正常操作的； </w:t>
      </w:r>
    </w:p>
    <w:p w14:paraId="61A0A090">
      <w:pPr>
        <w:pStyle w:val="22"/>
        <w:snapToGrid w:val="0"/>
        <w:spacing w:line="360" w:lineRule="auto"/>
        <w:ind w:firstLine="420" w:firstLineChars="200"/>
        <w:rPr>
          <w:rFonts w:hAnsi="宋体"/>
          <w:color w:val="auto"/>
          <w:sz w:val="21"/>
        </w:rPr>
      </w:pPr>
      <w:r>
        <w:rPr>
          <w:rFonts w:hint="eastAsia" w:hAnsi="宋体"/>
          <w:color w:val="auto"/>
          <w:sz w:val="21"/>
        </w:rPr>
        <w:t>（5）其他无法保证电子交易的公平、公正和安全的情况。</w:t>
      </w:r>
    </w:p>
    <w:p w14:paraId="6A3CA06F">
      <w:pPr>
        <w:pStyle w:val="22"/>
        <w:snapToGrid w:val="0"/>
        <w:spacing w:line="360" w:lineRule="auto"/>
        <w:ind w:firstLine="420" w:firstLineChars="200"/>
        <w:rPr>
          <w:rFonts w:hAnsi="宋体"/>
          <w:color w:val="auto"/>
          <w:sz w:val="21"/>
        </w:rPr>
      </w:pPr>
      <w:r>
        <w:rPr>
          <w:rFonts w:hint="eastAsia" w:hAnsi="宋体"/>
          <w:color w:val="auto"/>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2E3A049">
      <w:pPr>
        <w:pStyle w:val="22"/>
        <w:snapToGrid w:val="0"/>
        <w:spacing w:line="360" w:lineRule="auto"/>
        <w:ind w:firstLine="420" w:firstLineChars="200"/>
        <w:rPr>
          <w:rFonts w:hAnsi="宋体"/>
          <w:color w:val="auto"/>
          <w:sz w:val="21"/>
        </w:rPr>
      </w:pPr>
      <w:r>
        <w:rPr>
          <w:rFonts w:hint="eastAsia" w:hAnsi="宋体"/>
          <w:color w:val="auto"/>
          <w:sz w:val="21"/>
        </w:rPr>
        <w:t>29.5出现下列情形之一的，应予废标：</w:t>
      </w:r>
    </w:p>
    <w:p w14:paraId="6188E1D1">
      <w:pPr>
        <w:pStyle w:val="22"/>
        <w:snapToGrid w:val="0"/>
        <w:spacing w:line="360" w:lineRule="auto"/>
        <w:ind w:firstLine="420" w:firstLineChars="200"/>
        <w:rPr>
          <w:rFonts w:hAnsi="宋体"/>
          <w:color w:val="auto"/>
          <w:sz w:val="21"/>
        </w:rPr>
      </w:pPr>
      <w:r>
        <w:rPr>
          <w:rFonts w:hint="eastAsia" w:hAnsi="宋体"/>
          <w:color w:val="auto"/>
          <w:sz w:val="21"/>
        </w:rPr>
        <w:t>（1）符合专业条件的供应商或者对招标文件作实质响应的供应商不足三家的；</w:t>
      </w:r>
    </w:p>
    <w:p w14:paraId="5B4BEBD6">
      <w:pPr>
        <w:pStyle w:val="22"/>
        <w:snapToGrid w:val="0"/>
        <w:spacing w:line="360" w:lineRule="auto"/>
        <w:ind w:firstLine="420" w:firstLineChars="200"/>
        <w:rPr>
          <w:rFonts w:hAnsi="宋体"/>
          <w:color w:val="auto"/>
          <w:sz w:val="21"/>
        </w:rPr>
      </w:pPr>
      <w:r>
        <w:rPr>
          <w:rFonts w:hint="eastAsia" w:hAnsi="宋体"/>
          <w:color w:val="auto"/>
          <w:sz w:val="21"/>
        </w:rPr>
        <w:t>（2）出现影响采购公正的违法、违规行为的；</w:t>
      </w:r>
    </w:p>
    <w:p w14:paraId="0AA35394">
      <w:pPr>
        <w:pStyle w:val="22"/>
        <w:snapToGrid w:val="0"/>
        <w:spacing w:line="360" w:lineRule="auto"/>
        <w:ind w:firstLine="420" w:firstLineChars="200"/>
        <w:rPr>
          <w:rFonts w:hAnsi="宋体"/>
          <w:color w:val="auto"/>
          <w:sz w:val="21"/>
        </w:rPr>
      </w:pPr>
      <w:r>
        <w:rPr>
          <w:rFonts w:hint="eastAsia" w:hAnsi="宋体"/>
          <w:color w:val="auto"/>
          <w:sz w:val="21"/>
        </w:rPr>
        <w:t>（3）投标人的报价均超过了采购预算，采购人不能支付的；</w:t>
      </w:r>
    </w:p>
    <w:p w14:paraId="36C9F848">
      <w:pPr>
        <w:pStyle w:val="22"/>
        <w:snapToGrid w:val="0"/>
        <w:spacing w:line="360" w:lineRule="auto"/>
        <w:ind w:firstLine="420" w:firstLineChars="200"/>
        <w:rPr>
          <w:rFonts w:hAnsi="宋体"/>
          <w:color w:val="auto"/>
          <w:sz w:val="21"/>
        </w:rPr>
      </w:pPr>
      <w:r>
        <w:rPr>
          <w:rFonts w:hint="eastAsia" w:hAnsi="宋体"/>
          <w:color w:val="auto"/>
          <w:sz w:val="21"/>
        </w:rPr>
        <w:t>（4）因重大变故，采购任务取消的。</w:t>
      </w:r>
    </w:p>
    <w:p w14:paraId="7D46BFBD">
      <w:pPr>
        <w:pStyle w:val="22"/>
        <w:snapToGrid w:val="0"/>
        <w:spacing w:line="360" w:lineRule="auto"/>
        <w:ind w:firstLine="420" w:firstLineChars="200"/>
        <w:rPr>
          <w:rFonts w:hAnsi="宋体"/>
          <w:color w:val="auto"/>
          <w:sz w:val="21"/>
        </w:rPr>
      </w:pPr>
      <w:r>
        <w:rPr>
          <w:rFonts w:hint="eastAsia" w:hAnsi="宋体"/>
          <w:color w:val="auto"/>
          <w:sz w:val="21"/>
        </w:rPr>
        <w:t>废标后，采购人应当将废标理由通知所有投标人。</w:t>
      </w:r>
    </w:p>
    <w:p w14:paraId="1E36B0D8">
      <w:pPr>
        <w:pStyle w:val="22"/>
        <w:snapToGrid w:val="0"/>
        <w:spacing w:line="360" w:lineRule="auto"/>
        <w:rPr>
          <w:rFonts w:hAnsi="宋体"/>
          <w:color w:val="auto"/>
          <w:sz w:val="21"/>
        </w:rPr>
      </w:pPr>
    </w:p>
    <w:p w14:paraId="332B199F">
      <w:pPr>
        <w:pStyle w:val="4"/>
        <w:keepNext w:val="0"/>
        <w:keepLines w:val="0"/>
        <w:jc w:val="center"/>
        <w:rPr>
          <w:color w:val="auto"/>
        </w:rPr>
      </w:pPr>
      <w:bookmarkStart w:id="118" w:name="_Toc254970546"/>
      <w:bookmarkStart w:id="119" w:name="_Toc254970687"/>
      <w:r>
        <w:rPr>
          <w:rFonts w:hint="eastAsia"/>
          <w:color w:val="auto"/>
        </w:rPr>
        <w:t>七、</w:t>
      </w:r>
      <w:bookmarkEnd w:id="118"/>
      <w:bookmarkEnd w:id="119"/>
      <w:r>
        <w:rPr>
          <w:rFonts w:hint="eastAsia"/>
          <w:color w:val="auto"/>
        </w:rPr>
        <w:t>中标和合同</w:t>
      </w:r>
    </w:p>
    <w:p w14:paraId="1782C9B9">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30</w:t>
      </w:r>
      <w:r>
        <w:rPr>
          <w:rFonts w:ascii="黑体" w:hAnsi="黑体" w:eastAsia="黑体"/>
          <w:color w:val="auto"/>
          <w:sz w:val="24"/>
        </w:rPr>
        <w:t xml:space="preserve"> </w:t>
      </w:r>
      <w:r>
        <w:rPr>
          <w:rFonts w:hint="eastAsia" w:ascii="黑体" w:hAnsi="黑体" w:eastAsia="黑体"/>
          <w:color w:val="auto"/>
          <w:sz w:val="24"/>
        </w:rPr>
        <w:t>确定中标人</w:t>
      </w:r>
    </w:p>
    <w:p w14:paraId="0F817356">
      <w:pPr>
        <w:pStyle w:val="5"/>
        <w:keepNext w:val="0"/>
        <w:keepLines w:val="0"/>
        <w:spacing w:before="0" w:after="0" w:line="360" w:lineRule="auto"/>
        <w:ind w:firstLine="420" w:firstLineChars="200"/>
        <w:rPr>
          <w:rFonts w:ascii="宋体" w:hAnsi="宋体"/>
          <w:b w:val="0"/>
          <w:color w:val="auto"/>
          <w:sz w:val="21"/>
          <w:szCs w:val="21"/>
        </w:rPr>
      </w:pPr>
      <w:r>
        <w:rPr>
          <w:rFonts w:ascii="宋体" w:hAnsi="宋体"/>
          <w:b w:val="0"/>
          <w:color w:val="auto"/>
          <w:sz w:val="21"/>
          <w:szCs w:val="21"/>
        </w:rPr>
        <w:t>30.1</w:t>
      </w:r>
      <w:r>
        <w:rPr>
          <w:rFonts w:hint="eastAsia" w:ascii="宋体" w:hAnsi="宋体"/>
          <w:b w:val="0"/>
          <w:color w:val="auto"/>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4325566">
      <w:pPr>
        <w:snapToGrid w:val="0"/>
        <w:spacing w:line="360" w:lineRule="auto"/>
        <w:ind w:firstLine="420" w:firstLineChars="200"/>
        <w:rPr>
          <w:rFonts w:ascii="宋体" w:hAnsi="宋体" w:cs="Courier New"/>
          <w:color w:val="auto"/>
          <w:szCs w:val="21"/>
        </w:rPr>
      </w:pPr>
      <w:r>
        <w:rPr>
          <w:rFonts w:ascii="宋体" w:hAnsi="宋体" w:cs="Courier New"/>
          <w:color w:val="auto"/>
          <w:szCs w:val="21"/>
        </w:rPr>
        <w:t>30.2</w:t>
      </w:r>
      <w:r>
        <w:rPr>
          <w:rFonts w:hint="eastAsia" w:ascii="宋体" w:hAnsi="宋体" w:cs="Courier New"/>
          <w:color w:val="auto"/>
          <w:szCs w:val="21"/>
        </w:rPr>
        <w:t>采购人在收到评标报告5个工作日内未按评标报告推荐的中标候选人顺序确定中标人，又不能说明合法理由的，视同按评标报告推荐的顺序确定排名第一的中标候选人为中标人。</w:t>
      </w:r>
    </w:p>
    <w:p w14:paraId="4A031BDF">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31. 结果公告</w:t>
      </w:r>
    </w:p>
    <w:p w14:paraId="7451108D">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1.1</w:t>
      </w:r>
      <w:r>
        <w:rPr>
          <w:rFonts w:hint="eastAsia" w:ascii="宋体" w:hAnsi="宋体"/>
          <w:b w:val="0"/>
          <w:color w:val="auto"/>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4F4E98E">
      <w:pPr>
        <w:snapToGrid w:val="0"/>
        <w:spacing w:line="360" w:lineRule="auto"/>
        <w:ind w:firstLine="420" w:firstLineChars="200"/>
        <w:rPr>
          <w:rFonts w:ascii="宋体" w:hAnsi="宋体"/>
          <w:color w:val="auto"/>
          <w:szCs w:val="21"/>
        </w:rPr>
      </w:pPr>
      <w:r>
        <w:rPr>
          <w:rFonts w:hint="eastAsia" w:ascii="宋体" w:hAnsi="宋体"/>
          <w:color w:val="auto"/>
          <w:szCs w:val="21"/>
        </w:rPr>
        <w:t>以上信息查询记录及相关证据与招标文件一并保存。</w:t>
      </w:r>
    </w:p>
    <w:p w14:paraId="22B0E200">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31.2中标供应商享受《政府采购促进中小企业发展管理办法》（财库〔2020〕46号）规定的中小企业扶持政策的，采购人、采购代理机构应当随中标结果公开中标供应商的《中小企业声明函》。</w:t>
      </w:r>
    </w:p>
    <w:p w14:paraId="76DAE5AD">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1.3</w:t>
      </w:r>
      <w:r>
        <w:rPr>
          <w:rFonts w:hint="eastAsia" w:ascii="宋体" w:hAnsi="宋体"/>
          <w:b w:val="0"/>
          <w:color w:val="auto"/>
          <w:sz w:val="21"/>
          <w:szCs w:val="21"/>
        </w:rPr>
        <w:t>采购人、采购代理机构应当随中标结果公开中标供应商的《关于符合本国产品标准的声明函》或有关证明文件。</w:t>
      </w:r>
    </w:p>
    <w:p w14:paraId="46AA0938">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32.发出中标通知书</w:t>
      </w:r>
    </w:p>
    <w:p w14:paraId="04308E6D">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 xml:space="preserve">   </w:t>
      </w:r>
      <w:r>
        <w:rPr>
          <w:rFonts w:hint="eastAsia" w:ascii="宋体" w:hAnsi="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5D4A059">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33. 无义务解释未中标原因</w:t>
      </w:r>
    </w:p>
    <w:p w14:paraId="59184B60">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采购代理机构无义务向未中标的投标人解释未中标原因。</w:t>
      </w:r>
    </w:p>
    <w:p w14:paraId="141081F0">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34.合同授予标准</w:t>
      </w:r>
    </w:p>
    <w:p w14:paraId="5855826B">
      <w:pPr>
        <w:snapToGrid w:val="0"/>
        <w:spacing w:line="360" w:lineRule="auto"/>
        <w:ind w:firstLine="420" w:firstLineChars="200"/>
        <w:rPr>
          <w:rFonts w:ascii="宋体" w:hAnsi="宋体"/>
          <w:color w:val="auto"/>
          <w:szCs w:val="21"/>
        </w:rPr>
      </w:pPr>
      <w:r>
        <w:rPr>
          <w:rFonts w:hint="eastAsia" w:ascii="宋体" w:hAnsi="宋体" w:cs="Courier New"/>
          <w:color w:val="auto"/>
          <w:szCs w:val="21"/>
        </w:rPr>
        <w:t>合同将授予被确定实质上响应招标文件要求，具备履行合同能力的中标人。</w:t>
      </w:r>
    </w:p>
    <w:p w14:paraId="63791F7B">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35.履约保证金</w:t>
      </w:r>
    </w:p>
    <w:p w14:paraId="4415C3BA">
      <w:pPr>
        <w:pStyle w:val="5"/>
        <w:keepNext w:val="0"/>
        <w:keepLines w:val="0"/>
        <w:spacing w:before="0" w:after="0" w:line="360" w:lineRule="auto"/>
        <w:ind w:firstLine="315" w:firstLineChars="150"/>
        <w:rPr>
          <w:rFonts w:ascii="宋体" w:hAnsi="宋体"/>
          <w:color w:val="auto"/>
          <w:sz w:val="21"/>
          <w:szCs w:val="21"/>
        </w:rPr>
      </w:pPr>
      <w:bookmarkStart w:id="120" w:name="_39.1中标人须于签订合同前按本须知前附表规定的金额转账或电汇到指定账"/>
      <w:bookmarkEnd w:id="120"/>
      <w:r>
        <w:rPr>
          <w:rFonts w:hint="eastAsia" w:ascii="宋体" w:hAnsi="宋体"/>
          <w:b w:val="0"/>
          <w:color w:val="auto"/>
          <w:sz w:val="21"/>
          <w:szCs w:val="21"/>
          <w:lang w:val="en-US" w:eastAsia="zh-CN"/>
        </w:rPr>
        <w:t xml:space="preserve"> 本项目不收取</w:t>
      </w:r>
      <w:r>
        <w:rPr>
          <w:rFonts w:hint="eastAsia" w:ascii="宋体" w:hAnsi="宋体"/>
          <w:b w:val="0"/>
          <w:color w:val="auto"/>
          <w:sz w:val="21"/>
          <w:szCs w:val="21"/>
        </w:rPr>
        <w:t>履约保证金</w:t>
      </w:r>
    </w:p>
    <w:p w14:paraId="120292A9">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36.签订合同</w:t>
      </w:r>
    </w:p>
    <w:p w14:paraId="07C119F1">
      <w:pPr>
        <w:pStyle w:val="5"/>
        <w:keepNext w:val="0"/>
        <w:keepLines w:val="0"/>
        <w:spacing w:before="0" w:after="0" w:line="360" w:lineRule="auto"/>
        <w:ind w:firstLine="315" w:firstLineChars="150"/>
        <w:rPr>
          <w:rFonts w:ascii="宋体" w:hAnsi="宋体"/>
          <w:b w:val="0"/>
          <w:color w:val="auto"/>
          <w:sz w:val="21"/>
          <w:szCs w:val="21"/>
        </w:rPr>
      </w:pPr>
      <w:bookmarkStart w:id="121" w:name="_40.1投标人接到中标通知书后，按须知前附表规定向采购人出示相关资格证"/>
      <w:bookmarkEnd w:id="121"/>
      <w:r>
        <w:rPr>
          <w:rFonts w:hint="eastAsia" w:ascii="宋体" w:hAnsi="宋体"/>
          <w:b w:val="0"/>
          <w:color w:val="auto"/>
          <w:sz w:val="21"/>
          <w:szCs w:val="21"/>
        </w:rPr>
        <w:t xml:space="preserve"> </w:t>
      </w:r>
      <w:r>
        <w:rPr>
          <w:rFonts w:hint="eastAsia" w:ascii="宋体" w:hAnsi="宋体"/>
          <w:color w:val="auto"/>
          <w:sz w:val="21"/>
          <w:szCs w:val="21"/>
        </w:rPr>
        <w:t>36.1签订电子采购合同：中标人领取电子中标通知书后，</w:t>
      </w:r>
      <w:r>
        <w:rPr>
          <w:rFonts w:hint="eastAsia" w:ascii="宋体" w:hAnsi="宋体"/>
          <w:color w:val="auto"/>
          <w:kern w:val="0"/>
          <w:sz w:val="21"/>
          <w:szCs w:val="21"/>
        </w:rPr>
        <w:t>在</w:t>
      </w:r>
      <w:r>
        <w:rPr>
          <w:rFonts w:hint="eastAsia" w:ascii="宋体" w:hAnsi="宋体"/>
          <w:color w:val="auto"/>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160CDD0A">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线下签订纸质合同：投标人领取中标通知书后，按“投标人须知前附表”规定向采购人出示相关证明材料，经采购人核验合格后方可签订合同。</w:t>
      </w:r>
    </w:p>
    <w:p w14:paraId="06887BBD">
      <w:pPr>
        <w:pStyle w:val="5"/>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36.2签订合同时间：按中标通知书规定的时间与采购人签订合同。</w:t>
      </w:r>
    </w:p>
    <w:p w14:paraId="3CFFB07E">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36.</w:t>
      </w:r>
      <w:r>
        <w:rPr>
          <w:rFonts w:ascii="宋体" w:hAnsi="宋体"/>
          <w:b w:val="0"/>
          <w:color w:val="auto"/>
          <w:sz w:val="21"/>
          <w:szCs w:val="21"/>
        </w:rPr>
        <w:t>3</w:t>
      </w:r>
      <w:r>
        <w:rPr>
          <w:rFonts w:hint="eastAsia" w:ascii="宋体" w:hAnsi="宋体"/>
          <w:b w:val="0"/>
          <w:color w:val="auto"/>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8229968">
      <w:pPr>
        <w:spacing w:line="360" w:lineRule="auto"/>
        <w:ind w:firstLine="420" w:firstLineChars="200"/>
        <w:rPr>
          <w:rFonts w:ascii="宋体" w:hAnsi="宋体"/>
          <w:color w:val="auto"/>
          <w:szCs w:val="21"/>
        </w:rPr>
      </w:pPr>
      <w:r>
        <w:rPr>
          <w:rFonts w:hint="eastAsia" w:ascii="宋体" w:hAnsi="宋体"/>
          <w:color w:val="auto"/>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263F723">
      <w:pPr>
        <w:spacing w:line="360" w:lineRule="auto"/>
        <w:ind w:firstLine="420" w:firstLineChars="200"/>
        <w:rPr>
          <w:rFonts w:ascii="宋体" w:hAnsi="宋体"/>
          <w:color w:val="auto"/>
          <w:szCs w:val="21"/>
        </w:rPr>
      </w:pPr>
      <w:r>
        <w:rPr>
          <w:rFonts w:hint="eastAsia" w:ascii="宋体" w:hAnsi="宋体"/>
          <w:color w:val="auto"/>
          <w:szCs w:val="21"/>
        </w:rPr>
        <w:t>36.5采购人或中标供应商不得单方面向合同另一方提出任何招标文件没有约定的条件或不合理的要求，作为签订合同的条件；也不得协商另行订立背离招标文件和合同实质性内容的协议。</w:t>
      </w:r>
    </w:p>
    <w:p w14:paraId="700CB0B6">
      <w:pPr>
        <w:spacing w:line="360" w:lineRule="auto"/>
        <w:ind w:firstLine="420" w:firstLineChars="200"/>
        <w:rPr>
          <w:rFonts w:ascii="宋体" w:hAnsi="宋体"/>
          <w:color w:val="auto"/>
          <w:szCs w:val="21"/>
        </w:rPr>
      </w:pPr>
      <w:r>
        <w:rPr>
          <w:rFonts w:hint="eastAsia" w:ascii="宋体" w:hAnsi="宋体"/>
          <w:color w:val="auto"/>
          <w:szCs w:val="21"/>
        </w:rPr>
        <w:t>36.6</w:t>
      </w:r>
      <w:r>
        <w:rPr>
          <w:rFonts w:hint="eastAsia" w:ascii="宋体" w:hAnsi="宋体" w:cs="仿宋_GB2312"/>
          <w:color w:val="auto"/>
          <w:szCs w:val="21"/>
        </w:rPr>
        <w:t>如签订合同并生效后，供应商无故拒绝或延期，除按照合同条款处理外，将承担相应的法律责任。</w:t>
      </w:r>
    </w:p>
    <w:p w14:paraId="31E41C65">
      <w:pPr>
        <w:spacing w:line="360" w:lineRule="auto"/>
        <w:ind w:firstLine="420" w:firstLineChars="200"/>
        <w:rPr>
          <w:rFonts w:ascii="宋体" w:hAnsi="宋体"/>
          <w:color w:val="auto"/>
          <w:szCs w:val="21"/>
        </w:rPr>
      </w:pPr>
      <w:r>
        <w:rPr>
          <w:rFonts w:hint="eastAsia" w:ascii="宋体" w:hAnsi="宋体"/>
          <w:color w:val="auto"/>
          <w:szCs w:val="21"/>
        </w:rPr>
        <w:t>36.7</w:t>
      </w:r>
      <w:r>
        <w:rPr>
          <w:rFonts w:hint="eastAsia" w:ascii="宋体" w:hAnsi="宋体" w:cs="宋体"/>
          <w:color w:val="auto"/>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17222649">
      <w:pPr>
        <w:pStyle w:val="5"/>
        <w:keepNext w:val="0"/>
        <w:keepLines w:val="0"/>
        <w:spacing w:before="0" w:after="0" w:line="360" w:lineRule="auto"/>
        <w:ind w:left="420" w:leftChars="200"/>
        <w:rPr>
          <w:rFonts w:ascii="黑体" w:hAnsi="黑体" w:eastAsia="黑体"/>
          <w:color w:val="auto"/>
          <w:sz w:val="24"/>
        </w:rPr>
      </w:pPr>
      <w:bookmarkStart w:id="122" w:name="_41.政府采购合同公告"/>
      <w:bookmarkEnd w:id="122"/>
      <w:r>
        <w:rPr>
          <w:rFonts w:hint="eastAsia" w:ascii="黑体" w:hAnsi="黑体" w:eastAsia="黑体"/>
          <w:color w:val="auto"/>
          <w:sz w:val="24"/>
        </w:rPr>
        <w:t>37.政府采购合同公告</w:t>
      </w:r>
    </w:p>
    <w:p w14:paraId="14237EF6">
      <w:pPr>
        <w:pStyle w:val="22"/>
        <w:snapToGrid w:val="0"/>
        <w:spacing w:line="360" w:lineRule="auto"/>
        <w:ind w:firstLine="420" w:firstLineChars="200"/>
        <w:rPr>
          <w:rFonts w:hAnsi="宋体"/>
          <w:color w:val="auto"/>
          <w:sz w:val="21"/>
        </w:rPr>
      </w:pPr>
      <w:r>
        <w:rPr>
          <w:rFonts w:hint="eastAsia" w:hAnsi="宋体"/>
          <w:color w:val="auto"/>
          <w:sz w:val="21"/>
        </w:rPr>
        <w:t>采购人或者受托采购代理机构应当自政府采购合同签订之日起2个工作日内，将政府采购合同在省级以上人民政府财政部门指定的媒体上公告，</w:t>
      </w:r>
      <w:r>
        <w:rPr>
          <w:rFonts w:hAnsi="宋体"/>
          <w:color w:val="auto"/>
          <w:sz w:val="21"/>
        </w:rPr>
        <w:t>但政府采购合同中涉及国家秘密、商业秘密的内容除外。</w:t>
      </w:r>
    </w:p>
    <w:p w14:paraId="30CA5EF0">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 xml:space="preserve"> 询问、质疑和投诉</w:t>
      </w:r>
    </w:p>
    <w:p w14:paraId="5EA8E02C">
      <w:pPr>
        <w:pStyle w:val="6"/>
        <w:spacing w:line="360" w:lineRule="auto"/>
        <w:rPr>
          <w:rFonts w:ascii="宋体" w:hAnsi="宋体"/>
          <w:color w:val="auto"/>
          <w:szCs w:val="21"/>
        </w:rPr>
      </w:pPr>
      <w:r>
        <w:rPr>
          <w:rFonts w:ascii="宋体" w:hAnsi="宋体"/>
          <w:color w:val="auto"/>
          <w:szCs w:val="21"/>
        </w:rPr>
        <w:t>38.1</w:t>
      </w:r>
      <w:r>
        <w:rPr>
          <w:rFonts w:hint="eastAsia" w:ascii="宋体" w:hAnsi="宋体"/>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0FACE0AA">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63383B7">
      <w:pPr>
        <w:pStyle w:val="22"/>
        <w:snapToGrid w:val="0"/>
        <w:spacing w:line="360" w:lineRule="auto"/>
        <w:ind w:firstLine="420" w:firstLineChars="200"/>
        <w:rPr>
          <w:rFonts w:hAnsi="宋体"/>
          <w:color w:val="auto"/>
          <w:sz w:val="21"/>
        </w:rPr>
      </w:pPr>
      <w:r>
        <w:rPr>
          <w:rFonts w:hAnsi="宋体"/>
          <w:color w:val="auto"/>
          <w:sz w:val="21"/>
        </w:rPr>
        <w:t>（</w:t>
      </w:r>
      <w:r>
        <w:rPr>
          <w:rFonts w:hint="eastAsia" w:hAnsi="宋体"/>
          <w:color w:val="auto"/>
          <w:sz w:val="21"/>
        </w:rPr>
        <w:t>1</w:t>
      </w:r>
      <w:r>
        <w:rPr>
          <w:rFonts w:hAnsi="宋体"/>
          <w:color w:val="auto"/>
          <w:sz w:val="21"/>
        </w:rPr>
        <w:t>）对可以质疑的</w:t>
      </w:r>
      <w:r>
        <w:rPr>
          <w:rFonts w:hint="eastAsia" w:hAnsi="宋体"/>
          <w:color w:val="auto"/>
          <w:sz w:val="21"/>
        </w:rPr>
        <w:t>招标</w:t>
      </w:r>
      <w:r>
        <w:rPr>
          <w:rFonts w:hAnsi="宋体"/>
          <w:color w:val="auto"/>
          <w:sz w:val="21"/>
        </w:rPr>
        <w:t>文件提出质疑的，为收到</w:t>
      </w:r>
      <w:r>
        <w:rPr>
          <w:rFonts w:hint="eastAsia" w:hAnsi="宋体"/>
          <w:color w:val="auto"/>
          <w:sz w:val="21"/>
        </w:rPr>
        <w:t>招标</w:t>
      </w:r>
      <w:r>
        <w:rPr>
          <w:rFonts w:hAnsi="宋体"/>
          <w:color w:val="auto"/>
          <w:sz w:val="21"/>
        </w:rPr>
        <w:t>文件之日</w:t>
      </w:r>
      <w:r>
        <w:rPr>
          <w:rFonts w:hint="eastAsia" w:hAnsi="宋体"/>
          <w:color w:val="auto"/>
          <w:sz w:val="21"/>
        </w:rPr>
        <w:t>或者招标文件公告期限届满之日</w:t>
      </w:r>
      <w:r>
        <w:rPr>
          <w:rFonts w:hAnsi="宋体"/>
          <w:color w:val="auto"/>
          <w:sz w:val="21"/>
        </w:rPr>
        <w:t>；</w:t>
      </w:r>
    </w:p>
    <w:p w14:paraId="3150F8E5">
      <w:pPr>
        <w:pStyle w:val="22"/>
        <w:snapToGrid w:val="0"/>
        <w:spacing w:line="360" w:lineRule="auto"/>
        <w:ind w:firstLine="420" w:firstLineChars="200"/>
        <w:rPr>
          <w:rFonts w:hAnsi="宋体"/>
          <w:color w:val="auto"/>
          <w:sz w:val="21"/>
        </w:rPr>
      </w:pPr>
      <w:r>
        <w:rPr>
          <w:rFonts w:hAnsi="宋体"/>
          <w:color w:val="auto"/>
          <w:sz w:val="21"/>
        </w:rPr>
        <w:t>（</w:t>
      </w:r>
      <w:r>
        <w:rPr>
          <w:rFonts w:hint="eastAsia" w:hAnsi="宋体"/>
          <w:color w:val="auto"/>
          <w:sz w:val="21"/>
        </w:rPr>
        <w:t>2</w:t>
      </w:r>
      <w:r>
        <w:rPr>
          <w:rFonts w:hAnsi="宋体"/>
          <w:color w:val="auto"/>
          <w:sz w:val="21"/>
        </w:rPr>
        <w:t>）对</w:t>
      </w:r>
      <w:r>
        <w:rPr>
          <w:rFonts w:hint="eastAsia" w:hAnsi="宋体"/>
          <w:color w:val="auto"/>
          <w:sz w:val="21"/>
        </w:rPr>
        <w:t>采购</w:t>
      </w:r>
      <w:r>
        <w:rPr>
          <w:rFonts w:hAnsi="宋体"/>
          <w:color w:val="auto"/>
          <w:sz w:val="21"/>
        </w:rPr>
        <w:t>过程提出质疑的，为各采购程序环节结束之日；</w:t>
      </w:r>
    </w:p>
    <w:p w14:paraId="0A6934F3">
      <w:pPr>
        <w:pStyle w:val="22"/>
        <w:snapToGrid w:val="0"/>
        <w:spacing w:line="360" w:lineRule="auto"/>
        <w:ind w:firstLine="420" w:firstLineChars="200"/>
        <w:rPr>
          <w:rFonts w:hAnsi="宋体"/>
          <w:bCs/>
          <w:color w:val="auto"/>
          <w:sz w:val="21"/>
        </w:rPr>
      </w:pPr>
      <w:r>
        <w:rPr>
          <w:rFonts w:hAnsi="宋体"/>
          <w:color w:val="auto"/>
          <w:sz w:val="21"/>
        </w:rPr>
        <w:t>（</w:t>
      </w:r>
      <w:r>
        <w:rPr>
          <w:rFonts w:hint="eastAsia" w:hAnsi="宋体"/>
          <w:color w:val="auto"/>
          <w:sz w:val="21"/>
        </w:rPr>
        <w:t>3</w:t>
      </w:r>
      <w:r>
        <w:rPr>
          <w:rFonts w:hAnsi="宋体"/>
          <w:color w:val="auto"/>
          <w:sz w:val="21"/>
        </w:rPr>
        <w:t>）对中标结果提出质疑的，为中标结果公告期限届满之日。</w:t>
      </w:r>
    </w:p>
    <w:p w14:paraId="0120F3E5">
      <w:pPr>
        <w:pStyle w:val="5"/>
        <w:keepNext w:val="0"/>
        <w:keepLines w:val="0"/>
        <w:spacing w:before="0" w:after="0" w:line="360" w:lineRule="auto"/>
        <w:ind w:firstLine="315" w:firstLineChars="150"/>
        <w:rPr>
          <w:rFonts w:ascii="宋体" w:hAnsi="宋体"/>
          <w:b w:val="0"/>
          <w:color w:val="auto"/>
          <w:sz w:val="21"/>
          <w:szCs w:val="21"/>
        </w:rPr>
      </w:pPr>
      <w:bookmarkStart w:id="123" w:name="_9.2质疑、投诉应当采用书面形式，质疑函、投诉书均应明确阐述招标文件、"/>
      <w:bookmarkEnd w:id="123"/>
      <w:r>
        <w:rPr>
          <w:rFonts w:hint="eastAsia" w:ascii="宋体" w:hAnsi="宋体"/>
          <w:b w:val="0"/>
          <w:color w:val="auto"/>
          <w:sz w:val="21"/>
          <w:szCs w:val="21"/>
        </w:rPr>
        <w:t xml:space="preserve"> </w:t>
      </w: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 xml:space="preserve"> </w:t>
      </w:r>
      <w:r>
        <w:rPr>
          <w:rFonts w:hAnsi="宋体"/>
          <w:b w:val="0"/>
          <w:bCs/>
          <w:color w:val="auto"/>
          <w:sz w:val="21"/>
        </w:rPr>
        <w:t>供应商提出质疑应当提交质疑函和必要的证明材料</w:t>
      </w:r>
      <w:r>
        <w:rPr>
          <w:rFonts w:hint="eastAsia" w:hAnsi="宋体"/>
          <w:b w:val="0"/>
          <w:bCs/>
          <w:color w:val="auto"/>
          <w:sz w:val="21"/>
        </w:rPr>
        <w:t>，</w:t>
      </w:r>
      <w:r>
        <w:rPr>
          <w:rFonts w:hAnsi="宋体"/>
          <w:b w:val="0"/>
          <w:bCs/>
          <w:color w:val="auto"/>
          <w:sz w:val="21"/>
        </w:rPr>
        <w:t>针对同一采购程序环节的质疑</w:t>
      </w:r>
      <w:r>
        <w:rPr>
          <w:rFonts w:hint="eastAsia" w:hAnsi="宋体"/>
          <w:b w:val="0"/>
          <w:bCs/>
          <w:color w:val="auto"/>
          <w:sz w:val="21"/>
        </w:rPr>
        <w:t>必须</w:t>
      </w:r>
      <w:r>
        <w:rPr>
          <w:rFonts w:hAnsi="宋体"/>
          <w:b w:val="0"/>
          <w:bCs/>
          <w:color w:val="auto"/>
          <w:sz w:val="21"/>
        </w:rPr>
        <w:t>在法定质疑期内一次性提出。质疑函应当包括下列内容</w:t>
      </w:r>
      <w:r>
        <w:rPr>
          <w:rFonts w:hint="eastAsia" w:hAnsi="宋体"/>
          <w:b w:val="0"/>
          <w:bCs/>
          <w:color w:val="auto"/>
          <w:sz w:val="21"/>
        </w:rPr>
        <w:t>（质疑函格式后附）</w:t>
      </w:r>
      <w:r>
        <w:rPr>
          <w:rFonts w:hAnsi="宋体"/>
          <w:b w:val="0"/>
          <w:bCs/>
          <w:color w:val="auto"/>
          <w:sz w:val="21"/>
        </w:rPr>
        <w:t>：</w:t>
      </w:r>
    </w:p>
    <w:p w14:paraId="683952B5">
      <w:pPr>
        <w:pStyle w:val="22"/>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1</w:t>
      </w:r>
      <w:r>
        <w:rPr>
          <w:rFonts w:hAnsi="宋体"/>
          <w:bCs/>
          <w:color w:val="auto"/>
          <w:sz w:val="21"/>
        </w:rPr>
        <w:t>）供应商的姓名或者名称、地址、邮编、联系人及联系电话；</w:t>
      </w:r>
    </w:p>
    <w:p w14:paraId="7A26E4A2">
      <w:pPr>
        <w:pStyle w:val="22"/>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2</w:t>
      </w:r>
      <w:r>
        <w:rPr>
          <w:rFonts w:hAnsi="宋体"/>
          <w:bCs/>
          <w:color w:val="auto"/>
          <w:sz w:val="21"/>
        </w:rPr>
        <w:t>）质疑项目的名称、编号；</w:t>
      </w:r>
    </w:p>
    <w:p w14:paraId="411E2252">
      <w:pPr>
        <w:pStyle w:val="22"/>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3</w:t>
      </w:r>
      <w:r>
        <w:rPr>
          <w:rFonts w:hAnsi="宋体"/>
          <w:bCs/>
          <w:color w:val="auto"/>
          <w:sz w:val="21"/>
        </w:rPr>
        <w:t>）具体、明确的质疑事项和与质疑事项相关的请求；</w:t>
      </w:r>
    </w:p>
    <w:p w14:paraId="3C178D37">
      <w:pPr>
        <w:pStyle w:val="22"/>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4</w:t>
      </w:r>
      <w:r>
        <w:rPr>
          <w:rFonts w:hAnsi="宋体"/>
          <w:bCs/>
          <w:color w:val="auto"/>
          <w:sz w:val="21"/>
        </w:rPr>
        <w:t>）事实依据；</w:t>
      </w:r>
    </w:p>
    <w:p w14:paraId="6E914042">
      <w:pPr>
        <w:pStyle w:val="22"/>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5</w:t>
      </w:r>
      <w:r>
        <w:rPr>
          <w:rFonts w:hAnsi="宋体"/>
          <w:bCs/>
          <w:color w:val="auto"/>
          <w:sz w:val="21"/>
        </w:rPr>
        <w:t>）必要的法律依据；</w:t>
      </w:r>
    </w:p>
    <w:p w14:paraId="555B168A">
      <w:pPr>
        <w:pStyle w:val="22"/>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6</w:t>
      </w:r>
      <w:r>
        <w:rPr>
          <w:rFonts w:hAnsi="宋体"/>
          <w:bCs/>
          <w:color w:val="auto"/>
          <w:sz w:val="21"/>
        </w:rPr>
        <w:t>）提出质疑的日期。</w:t>
      </w:r>
    </w:p>
    <w:p w14:paraId="227CA1FF">
      <w:pPr>
        <w:pStyle w:val="22"/>
        <w:snapToGrid w:val="0"/>
        <w:spacing w:line="360" w:lineRule="auto"/>
        <w:ind w:firstLine="420" w:firstLineChars="200"/>
        <w:rPr>
          <w:rFonts w:hAnsi="宋体"/>
          <w:bCs/>
          <w:color w:val="auto"/>
          <w:sz w:val="21"/>
        </w:rPr>
      </w:pPr>
      <w:r>
        <w:rPr>
          <w:rFonts w:hAnsi="宋体"/>
          <w:bCs/>
          <w:color w:val="auto"/>
          <w:sz w:val="21"/>
        </w:rPr>
        <w:t>供应商为自然人的，应当由本人签字；供应商为法人或者其他组织的，应当由法定代表人、主要负责人，或者其委托代理人签字或者盖章，并加盖公章</w:t>
      </w:r>
      <w:r>
        <w:rPr>
          <w:rFonts w:hint="eastAsia" w:hAnsi="宋体"/>
          <w:bCs/>
          <w:color w:val="auto"/>
          <w:sz w:val="21"/>
        </w:rPr>
        <w:t>。</w:t>
      </w:r>
    </w:p>
    <w:p w14:paraId="225F82C3">
      <w:pPr>
        <w:pStyle w:val="5"/>
        <w:keepNext w:val="0"/>
        <w:keepLines w:val="0"/>
        <w:snapToGrid w:val="0"/>
        <w:spacing w:before="0" w:after="0" w:line="360" w:lineRule="auto"/>
        <w:ind w:firstLine="420" w:firstLineChars="200"/>
        <w:rPr>
          <w:rFonts w:ascii="宋体" w:hAnsi="宋体"/>
          <w:b w:val="0"/>
          <w:bCs/>
          <w:color w:val="auto"/>
          <w:sz w:val="21"/>
          <w:szCs w:val="21"/>
        </w:rPr>
      </w:pPr>
      <w:r>
        <w:rPr>
          <w:rFonts w:ascii="宋体" w:hAnsi="宋体"/>
          <w:b w:val="0"/>
          <w:color w:val="auto"/>
          <w:sz w:val="21"/>
          <w:szCs w:val="21"/>
        </w:rPr>
        <w:t>3</w:t>
      </w:r>
      <w:r>
        <w:rPr>
          <w:rFonts w:ascii="宋体" w:hAnsi="宋体"/>
          <w:b w:val="0"/>
          <w:bCs/>
          <w:color w:val="auto"/>
          <w:sz w:val="21"/>
          <w:szCs w:val="21"/>
        </w:rPr>
        <w:t>8.4</w:t>
      </w:r>
      <w:r>
        <w:rPr>
          <w:rFonts w:hint="eastAsia" w:ascii="宋体" w:hAnsi="宋体"/>
          <w:b w:val="0"/>
          <w:bCs/>
          <w:color w:val="auto"/>
          <w:sz w:val="21"/>
          <w:szCs w:val="21"/>
        </w:rPr>
        <w:t>采购人、采购代理机构认为供应商质疑不成立，或者成立但未对中标结果构成影响的，继续开展采购活动；认为供应商质疑成立且影响或者可能影响中标结果的，按照下列情况处理：</w:t>
      </w:r>
    </w:p>
    <w:p w14:paraId="4528457C">
      <w:pPr>
        <w:pStyle w:val="22"/>
        <w:snapToGrid w:val="0"/>
        <w:spacing w:line="360" w:lineRule="auto"/>
        <w:rPr>
          <w:rFonts w:hAnsi="宋体"/>
          <w:bCs/>
          <w:color w:val="auto"/>
          <w:sz w:val="21"/>
        </w:rPr>
      </w:pPr>
      <w:r>
        <w:rPr>
          <w:rFonts w:hint="eastAsia" w:hAnsi="宋体"/>
          <w:bCs/>
          <w:color w:val="auto"/>
          <w:sz w:val="21"/>
        </w:rPr>
        <w:t>　　（一）对招标文件提出的质疑，依法通过澄清或者修改可以继续开展采购活动的，澄清或者修改招标文件后继续开展采购活动；否则应当修改招标文件后重新开展采购活动。</w:t>
      </w:r>
    </w:p>
    <w:p w14:paraId="34FE8D4D">
      <w:pPr>
        <w:pStyle w:val="22"/>
        <w:snapToGrid w:val="0"/>
        <w:spacing w:line="360" w:lineRule="auto"/>
        <w:rPr>
          <w:rFonts w:hAnsi="宋体"/>
          <w:bCs/>
          <w:color w:val="auto"/>
          <w:sz w:val="21"/>
        </w:rPr>
      </w:pPr>
      <w:r>
        <w:rPr>
          <w:rFonts w:hint="eastAsia" w:hAnsi="宋体"/>
          <w:bCs/>
          <w:color w:val="auto"/>
          <w:sz w:val="21"/>
        </w:rPr>
        <w:t>　　（二）对采购过程、中标结果提出的质疑，合格供应商符合法定数量时，可以从合格的中标候选人中另行确定中标供应商的，应当依法另行确定中标供应商；否则应当重新开展采购活动。</w:t>
      </w:r>
    </w:p>
    <w:p w14:paraId="247F81FD">
      <w:pPr>
        <w:pStyle w:val="22"/>
        <w:snapToGrid w:val="0"/>
        <w:spacing w:line="360" w:lineRule="auto"/>
        <w:ind w:firstLine="420"/>
        <w:rPr>
          <w:rFonts w:hAnsi="宋体"/>
          <w:bCs/>
          <w:color w:val="auto"/>
          <w:sz w:val="21"/>
        </w:rPr>
      </w:pPr>
      <w:r>
        <w:rPr>
          <w:rFonts w:hint="eastAsia" w:hAnsi="宋体"/>
          <w:bCs/>
          <w:color w:val="auto"/>
          <w:sz w:val="21"/>
        </w:rPr>
        <w:t>质疑答复导致中标结果改变的，采购人或者采购代理机构应当将有关情况书面报告本级财政部门。</w:t>
      </w:r>
    </w:p>
    <w:p w14:paraId="4AAA9788">
      <w:pPr>
        <w:pStyle w:val="22"/>
        <w:snapToGrid w:val="0"/>
        <w:spacing w:line="360" w:lineRule="auto"/>
        <w:ind w:firstLine="420" w:firstLineChars="200"/>
        <w:rPr>
          <w:rFonts w:hAnsi="宋体"/>
          <w:color w:val="auto"/>
          <w:sz w:val="21"/>
        </w:rPr>
      </w:pPr>
      <w:r>
        <w:rPr>
          <w:rFonts w:hAnsi="宋体"/>
          <w:color w:val="auto"/>
          <w:sz w:val="21"/>
        </w:rPr>
        <w:t>38</w:t>
      </w:r>
      <w:r>
        <w:rPr>
          <w:rFonts w:hint="eastAsia" w:hAnsi="宋体"/>
          <w:color w:val="auto"/>
          <w:sz w:val="21"/>
        </w:rPr>
        <w:t>.</w:t>
      </w:r>
      <w:r>
        <w:rPr>
          <w:rFonts w:hAnsi="宋体"/>
          <w:color w:val="auto"/>
          <w:sz w:val="21"/>
        </w:rPr>
        <w:t>5</w:t>
      </w:r>
      <w:r>
        <w:rPr>
          <w:rFonts w:hint="eastAsia" w:hAnsi="宋体"/>
          <w:color w:val="auto"/>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D842755">
      <w:pPr>
        <w:pStyle w:val="4"/>
        <w:keepNext w:val="0"/>
        <w:keepLines w:val="0"/>
        <w:spacing w:before="240" w:after="240" w:line="415" w:lineRule="auto"/>
        <w:jc w:val="center"/>
        <w:rPr>
          <w:color w:val="auto"/>
        </w:rPr>
      </w:pPr>
      <w:bookmarkStart w:id="124" w:name="_八、其他事项"/>
      <w:bookmarkEnd w:id="124"/>
      <w:r>
        <w:rPr>
          <w:rFonts w:hint="eastAsia"/>
          <w:color w:val="auto"/>
        </w:rPr>
        <w:t>八、其他事项</w:t>
      </w:r>
    </w:p>
    <w:p w14:paraId="21E5A313">
      <w:pPr>
        <w:pStyle w:val="5"/>
        <w:keepNext w:val="0"/>
        <w:keepLines w:val="0"/>
        <w:spacing w:before="0" w:after="0" w:line="360" w:lineRule="auto"/>
        <w:ind w:left="420" w:leftChars="200"/>
        <w:rPr>
          <w:rFonts w:ascii="黑体" w:hAnsi="黑体" w:eastAsia="黑体"/>
          <w:color w:val="auto"/>
          <w:sz w:val="24"/>
        </w:rPr>
      </w:pPr>
      <w:bookmarkStart w:id="125" w:name="_42.代理服务费"/>
      <w:bookmarkEnd w:id="125"/>
      <w:r>
        <w:rPr>
          <w:rFonts w:hint="eastAsia" w:ascii="黑体" w:hAnsi="黑体" w:eastAsia="黑体"/>
          <w:color w:val="auto"/>
          <w:sz w:val="24"/>
        </w:rPr>
        <w:t>3</w:t>
      </w:r>
      <w:r>
        <w:rPr>
          <w:rFonts w:ascii="黑体" w:hAnsi="黑体" w:eastAsia="黑体"/>
          <w:color w:val="auto"/>
          <w:sz w:val="24"/>
        </w:rPr>
        <w:t>9</w:t>
      </w:r>
      <w:r>
        <w:rPr>
          <w:rFonts w:hint="eastAsia" w:ascii="黑体" w:hAnsi="黑体" w:eastAsia="黑体"/>
          <w:color w:val="auto"/>
          <w:sz w:val="24"/>
        </w:rPr>
        <w:t>.代理服务费</w:t>
      </w:r>
    </w:p>
    <w:p w14:paraId="01ADD66A">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.1代理服务费收取标准及缴费账户详见“投标人须知前附表”，投标人为联合体的，可以由联合体中的一方或者多方共同交纳代理服务费。</w:t>
      </w:r>
    </w:p>
    <w:p w14:paraId="05075111">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.2代理服务收费标准：</w:t>
      </w:r>
    </w:p>
    <w:p w14:paraId="04BDA145">
      <w:pPr>
        <w:spacing w:line="360" w:lineRule="auto"/>
        <w:rPr>
          <w:rFonts w:ascii="宋体" w:hAnsi="宋体"/>
          <w:color w:val="auto"/>
          <w:szCs w:val="21"/>
        </w:rPr>
      </w:pPr>
    </w:p>
    <w:tbl>
      <w:tblPr>
        <w:tblStyle w:val="43"/>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E62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tcPr>
          <w:p w14:paraId="79E07EFD">
            <w:pPr>
              <w:spacing w:line="360" w:lineRule="auto"/>
              <w:rPr>
                <w:rFonts w:ascii="宋体" w:hAnsi="宋体"/>
                <w:color w:val="auto"/>
                <w:szCs w:val="21"/>
              </w:rPr>
            </w:pPr>
            <w:r>
              <w:rPr>
                <w:rFonts w:hint="eastAsia" w:ascii="宋体" w:hAnsi="宋体"/>
                <w:color w:val="auto"/>
                <w:szCs w:val="21"/>
              </w:rPr>
              <w:t xml:space="preserve">               费率</w:t>
            </w:r>
          </w:p>
          <w:p w14:paraId="3474A3EE">
            <w:pPr>
              <w:spacing w:line="360" w:lineRule="auto"/>
              <w:rPr>
                <w:rFonts w:ascii="宋体" w:hAnsi="宋体"/>
                <w:color w:val="auto"/>
                <w:szCs w:val="21"/>
              </w:rPr>
            </w:pPr>
            <w:r>
              <w:rPr>
                <w:rFonts w:hint="eastAsia" w:ascii="宋体" w:hAnsi="宋体"/>
                <w:color w:val="auto"/>
                <w:szCs w:val="21"/>
              </w:rPr>
              <w:t>中标金额</w:t>
            </w:r>
          </w:p>
        </w:tc>
        <w:tc>
          <w:tcPr>
            <w:tcW w:w="1659" w:type="dxa"/>
            <w:vAlign w:val="center"/>
          </w:tcPr>
          <w:p w14:paraId="79C1A352">
            <w:pPr>
              <w:spacing w:line="360" w:lineRule="auto"/>
              <w:ind w:firstLine="105" w:firstLineChars="50"/>
              <w:jc w:val="center"/>
              <w:rPr>
                <w:rFonts w:ascii="宋体" w:hAnsi="宋体"/>
                <w:color w:val="auto"/>
                <w:szCs w:val="21"/>
              </w:rPr>
            </w:pPr>
            <w:r>
              <w:rPr>
                <w:rFonts w:hint="eastAsia" w:ascii="宋体" w:hAnsi="宋体"/>
                <w:color w:val="auto"/>
                <w:szCs w:val="21"/>
              </w:rPr>
              <w:t>货物招标</w:t>
            </w:r>
          </w:p>
        </w:tc>
        <w:tc>
          <w:tcPr>
            <w:tcW w:w="1687" w:type="dxa"/>
            <w:vAlign w:val="center"/>
          </w:tcPr>
          <w:p w14:paraId="14A37408">
            <w:pPr>
              <w:spacing w:line="360" w:lineRule="auto"/>
              <w:jc w:val="center"/>
              <w:rPr>
                <w:rFonts w:ascii="宋体" w:hAnsi="宋体"/>
                <w:color w:val="auto"/>
                <w:szCs w:val="21"/>
              </w:rPr>
            </w:pPr>
            <w:r>
              <w:rPr>
                <w:rFonts w:hint="eastAsia" w:ascii="宋体" w:hAnsi="宋体"/>
                <w:color w:val="auto"/>
                <w:szCs w:val="21"/>
              </w:rPr>
              <w:t>服务招标</w:t>
            </w:r>
          </w:p>
        </w:tc>
        <w:tc>
          <w:tcPr>
            <w:tcW w:w="1659" w:type="dxa"/>
            <w:vAlign w:val="center"/>
          </w:tcPr>
          <w:p w14:paraId="5DA71878">
            <w:pPr>
              <w:spacing w:line="360" w:lineRule="auto"/>
              <w:jc w:val="center"/>
              <w:rPr>
                <w:rFonts w:ascii="宋体" w:hAnsi="宋体"/>
                <w:color w:val="auto"/>
                <w:szCs w:val="21"/>
              </w:rPr>
            </w:pPr>
            <w:r>
              <w:rPr>
                <w:rFonts w:hint="eastAsia" w:ascii="宋体" w:hAnsi="宋体"/>
                <w:color w:val="auto"/>
                <w:szCs w:val="21"/>
              </w:rPr>
              <w:t>工程招标</w:t>
            </w:r>
          </w:p>
        </w:tc>
      </w:tr>
      <w:tr w14:paraId="6D06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79D143">
            <w:pPr>
              <w:spacing w:line="360" w:lineRule="auto"/>
              <w:rPr>
                <w:rFonts w:ascii="宋体" w:hAnsi="宋体"/>
                <w:color w:val="auto"/>
                <w:szCs w:val="21"/>
              </w:rPr>
            </w:pPr>
            <w:r>
              <w:rPr>
                <w:rFonts w:hint="eastAsia" w:ascii="宋体" w:hAnsi="宋体"/>
                <w:color w:val="auto"/>
                <w:szCs w:val="21"/>
              </w:rPr>
              <w:t>100万元以下</w:t>
            </w:r>
          </w:p>
        </w:tc>
        <w:tc>
          <w:tcPr>
            <w:tcW w:w="1659" w:type="dxa"/>
          </w:tcPr>
          <w:p w14:paraId="3D5DE5B6">
            <w:pPr>
              <w:spacing w:line="360" w:lineRule="auto"/>
              <w:rPr>
                <w:rFonts w:ascii="宋体" w:hAnsi="宋体"/>
                <w:color w:val="auto"/>
                <w:szCs w:val="21"/>
              </w:rPr>
            </w:pPr>
            <w:r>
              <w:rPr>
                <w:rFonts w:hint="eastAsia" w:ascii="宋体" w:hAnsi="宋体" w:cs="宋体"/>
                <w:color w:val="auto"/>
                <w:kern w:val="0"/>
                <w:szCs w:val="21"/>
              </w:rPr>
              <w:t xml:space="preserve">  </w:t>
            </w:r>
            <w:r>
              <w:rPr>
                <w:rFonts w:ascii="宋体" w:hAnsi="宋体" w:cs="宋体"/>
                <w:color w:val="auto"/>
                <w:kern w:val="0"/>
                <w:szCs w:val="21"/>
              </w:rPr>
              <w:t xml:space="preserve">1.5% </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 xml:space="preserve">    </w:t>
            </w:r>
          </w:p>
        </w:tc>
        <w:tc>
          <w:tcPr>
            <w:tcW w:w="1687" w:type="dxa"/>
          </w:tcPr>
          <w:p w14:paraId="56423FF2">
            <w:pPr>
              <w:spacing w:line="360" w:lineRule="auto"/>
              <w:ind w:firstLine="210" w:firstLineChars="100"/>
              <w:rPr>
                <w:rFonts w:ascii="宋体" w:hAnsi="宋体"/>
                <w:color w:val="auto"/>
                <w:szCs w:val="21"/>
              </w:rPr>
            </w:pPr>
            <w:r>
              <w:rPr>
                <w:rFonts w:ascii="宋体" w:hAnsi="宋体" w:cs="宋体"/>
                <w:color w:val="auto"/>
                <w:kern w:val="0"/>
                <w:szCs w:val="21"/>
              </w:rPr>
              <w:t>1.5%</w:t>
            </w:r>
          </w:p>
        </w:tc>
        <w:tc>
          <w:tcPr>
            <w:tcW w:w="1659" w:type="dxa"/>
          </w:tcPr>
          <w:p w14:paraId="469C1608">
            <w:pPr>
              <w:spacing w:line="360" w:lineRule="auto"/>
              <w:ind w:firstLine="210" w:firstLineChars="100"/>
              <w:rPr>
                <w:rFonts w:ascii="宋体" w:hAnsi="宋体"/>
                <w:color w:val="auto"/>
                <w:szCs w:val="21"/>
              </w:rPr>
            </w:pPr>
            <w:r>
              <w:rPr>
                <w:rFonts w:ascii="宋体" w:hAnsi="宋体" w:cs="宋体"/>
                <w:color w:val="auto"/>
                <w:kern w:val="0"/>
                <w:szCs w:val="21"/>
              </w:rPr>
              <w:t xml:space="preserve">1.0% </w:t>
            </w:r>
          </w:p>
        </w:tc>
      </w:tr>
      <w:tr w14:paraId="1042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FC1A5C">
            <w:pPr>
              <w:spacing w:line="360" w:lineRule="auto"/>
              <w:rPr>
                <w:rFonts w:ascii="宋体" w:hAnsi="宋体"/>
                <w:color w:val="auto"/>
                <w:szCs w:val="21"/>
              </w:rPr>
            </w:pPr>
            <w:r>
              <w:rPr>
                <w:rFonts w:hint="eastAsia" w:ascii="宋体" w:hAnsi="宋体"/>
                <w:color w:val="auto"/>
                <w:szCs w:val="21"/>
              </w:rPr>
              <w:t>100万元～500万元</w:t>
            </w:r>
          </w:p>
        </w:tc>
        <w:tc>
          <w:tcPr>
            <w:tcW w:w="1659" w:type="dxa"/>
          </w:tcPr>
          <w:p w14:paraId="6B8C0107">
            <w:pPr>
              <w:spacing w:line="360" w:lineRule="auto"/>
              <w:ind w:firstLine="210" w:firstLineChars="100"/>
              <w:rPr>
                <w:rFonts w:ascii="宋体" w:hAnsi="宋体"/>
                <w:color w:val="auto"/>
                <w:szCs w:val="21"/>
              </w:rPr>
            </w:pPr>
            <w:r>
              <w:rPr>
                <w:rFonts w:ascii="宋体" w:hAnsi="宋体" w:cs="宋体"/>
                <w:color w:val="auto"/>
                <w:kern w:val="0"/>
                <w:szCs w:val="21"/>
              </w:rPr>
              <w:t xml:space="preserve">1.1% </w:t>
            </w:r>
            <w:r>
              <w:rPr>
                <w:rFonts w:hint="eastAsia" w:ascii="宋体" w:hAnsi="宋体" w:cs="宋体"/>
                <w:color w:val="auto"/>
                <w:kern w:val="0"/>
                <w:szCs w:val="21"/>
              </w:rPr>
              <w:t xml:space="preserve">                </w:t>
            </w:r>
          </w:p>
        </w:tc>
        <w:tc>
          <w:tcPr>
            <w:tcW w:w="1687" w:type="dxa"/>
          </w:tcPr>
          <w:p w14:paraId="75105FED">
            <w:pPr>
              <w:spacing w:line="360" w:lineRule="auto"/>
              <w:ind w:firstLine="210" w:firstLineChars="100"/>
              <w:rPr>
                <w:rFonts w:ascii="宋体" w:hAnsi="宋体"/>
                <w:color w:val="auto"/>
                <w:szCs w:val="21"/>
              </w:rPr>
            </w:pPr>
            <w:r>
              <w:rPr>
                <w:rFonts w:ascii="宋体" w:hAnsi="宋体" w:cs="宋体"/>
                <w:color w:val="auto"/>
                <w:kern w:val="0"/>
                <w:szCs w:val="21"/>
              </w:rPr>
              <w:t>0.8%</w:t>
            </w:r>
          </w:p>
        </w:tc>
        <w:tc>
          <w:tcPr>
            <w:tcW w:w="1659" w:type="dxa"/>
          </w:tcPr>
          <w:p w14:paraId="103D0701">
            <w:pPr>
              <w:spacing w:line="360" w:lineRule="auto"/>
              <w:ind w:firstLine="210" w:firstLineChars="100"/>
              <w:rPr>
                <w:rFonts w:ascii="宋体" w:hAnsi="宋体"/>
                <w:color w:val="auto"/>
                <w:szCs w:val="21"/>
              </w:rPr>
            </w:pPr>
            <w:r>
              <w:rPr>
                <w:rFonts w:ascii="宋体" w:hAnsi="宋体" w:cs="宋体"/>
                <w:color w:val="auto"/>
                <w:kern w:val="0"/>
                <w:szCs w:val="21"/>
              </w:rPr>
              <w:t xml:space="preserve">0.7% </w:t>
            </w:r>
          </w:p>
        </w:tc>
      </w:tr>
      <w:tr w14:paraId="5ACB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7F59A3">
            <w:pPr>
              <w:spacing w:line="360" w:lineRule="auto"/>
              <w:rPr>
                <w:rFonts w:ascii="宋体" w:hAnsi="宋体"/>
                <w:color w:val="auto"/>
                <w:szCs w:val="21"/>
              </w:rPr>
            </w:pPr>
            <w:r>
              <w:rPr>
                <w:rFonts w:hint="eastAsia" w:ascii="宋体" w:hAnsi="宋体"/>
                <w:color w:val="auto"/>
                <w:szCs w:val="21"/>
              </w:rPr>
              <w:t>500万元～1000万元</w:t>
            </w:r>
          </w:p>
        </w:tc>
        <w:tc>
          <w:tcPr>
            <w:tcW w:w="1659" w:type="dxa"/>
          </w:tcPr>
          <w:p w14:paraId="569EB12F">
            <w:pPr>
              <w:spacing w:line="360" w:lineRule="auto"/>
              <w:rPr>
                <w:rFonts w:ascii="宋体" w:hAnsi="宋体"/>
                <w:color w:val="auto"/>
                <w:szCs w:val="21"/>
              </w:rPr>
            </w:pPr>
            <w:r>
              <w:rPr>
                <w:rFonts w:hint="eastAsia" w:ascii="宋体" w:hAnsi="宋体" w:cs="宋体"/>
                <w:color w:val="auto"/>
                <w:kern w:val="0"/>
                <w:szCs w:val="21"/>
              </w:rPr>
              <w:t xml:space="preserve">  </w:t>
            </w:r>
            <w:r>
              <w:rPr>
                <w:rFonts w:ascii="宋体" w:hAnsi="宋体" w:cs="宋体"/>
                <w:color w:val="auto"/>
                <w:kern w:val="0"/>
                <w:szCs w:val="21"/>
              </w:rPr>
              <w:t xml:space="preserve">0.8% </w:t>
            </w:r>
            <w:r>
              <w:rPr>
                <w:rFonts w:hint="eastAsia" w:ascii="宋体" w:hAnsi="宋体" w:cs="宋体"/>
                <w:color w:val="auto"/>
                <w:kern w:val="0"/>
                <w:szCs w:val="21"/>
              </w:rPr>
              <w:t xml:space="preserve">               </w:t>
            </w:r>
          </w:p>
        </w:tc>
        <w:tc>
          <w:tcPr>
            <w:tcW w:w="1687" w:type="dxa"/>
          </w:tcPr>
          <w:p w14:paraId="2100324A">
            <w:pPr>
              <w:spacing w:line="360" w:lineRule="auto"/>
              <w:ind w:firstLine="210" w:firstLineChars="100"/>
              <w:rPr>
                <w:rFonts w:ascii="宋体" w:hAnsi="宋体"/>
                <w:color w:val="auto"/>
                <w:szCs w:val="21"/>
              </w:rPr>
            </w:pPr>
            <w:r>
              <w:rPr>
                <w:rFonts w:ascii="宋体" w:hAnsi="宋体" w:cs="宋体"/>
                <w:color w:val="auto"/>
                <w:kern w:val="0"/>
                <w:szCs w:val="21"/>
              </w:rPr>
              <w:t>0.45%</w:t>
            </w:r>
          </w:p>
        </w:tc>
        <w:tc>
          <w:tcPr>
            <w:tcW w:w="1659" w:type="dxa"/>
          </w:tcPr>
          <w:p w14:paraId="1F960F09">
            <w:pPr>
              <w:spacing w:line="360" w:lineRule="auto"/>
              <w:ind w:firstLine="210" w:firstLineChars="100"/>
              <w:rPr>
                <w:rFonts w:ascii="宋体" w:hAnsi="宋体"/>
                <w:color w:val="auto"/>
                <w:szCs w:val="21"/>
              </w:rPr>
            </w:pPr>
            <w:r>
              <w:rPr>
                <w:rFonts w:ascii="宋体" w:hAnsi="宋体" w:cs="宋体"/>
                <w:color w:val="auto"/>
                <w:kern w:val="0"/>
                <w:szCs w:val="21"/>
              </w:rPr>
              <w:t>0.55%</w:t>
            </w:r>
          </w:p>
        </w:tc>
      </w:tr>
      <w:tr w14:paraId="04A9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E88962F">
            <w:pPr>
              <w:spacing w:line="360" w:lineRule="auto"/>
              <w:rPr>
                <w:rFonts w:ascii="宋体" w:hAnsi="宋体"/>
                <w:color w:val="auto"/>
                <w:szCs w:val="21"/>
              </w:rPr>
            </w:pPr>
            <w:r>
              <w:rPr>
                <w:rFonts w:hint="eastAsia" w:ascii="宋体" w:hAnsi="宋体"/>
                <w:color w:val="auto"/>
                <w:szCs w:val="21"/>
              </w:rPr>
              <w:t>1000万元～5000万元</w:t>
            </w:r>
          </w:p>
        </w:tc>
        <w:tc>
          <w:tcPr>
            <w:tcW w:w="1659" w:type="dxa"/>
          </w:tcPr>
          <w:p w14:paraId="68F66994">
            <w:pPr>
              <w:spacing w:line="360" w:lineRule="auto"/>
              <w:ind w:firstLine="210" w:firstLineChars="100"/>
              <w:rPr>
                <w:rFonts w:ascii="宋体" w:hAnsi="宋体"/>
                <w:color w:val="auto"/>
                <w:szCs w:val="21"/>
              </w:rPr>
            </w:pPr>
            <w:r>
              <w:rPr>
                <w:rFonts w:ascii="宋体" w:hAnsi="宋体" w:cs="宋体"/>
                <w:color w:val="auto"/>
                <w:kern w:val="0"/>
                <w:szCs w:val="21"/>
              </w:rPr>
              <w:t xml:space="preserve">0.5% </w:t>
            </w:r>
            <w:r>
              <w:rPr>
                <w:rFonts w:hint="eastAsia" w:ascii="宋体" w:hAnsi="宋体" w:cs="宋体"/>
                <w:color w:val="auto"/>
                <w:kern w:val="0"/>
                <w:szCs w:val="21"/>
              </w:rPr>
              <w:t xml:space="preserve">               </w:t>
            </w:r>
          </w:p>
        </w:tc>
        <w:tc>
          <w:tcPr>
            <w:tcW w:w="1687" w:type="dxa"/>
          </w:tcPr>
          <w:p w14:paraId="503D512B">
            <w:pPr>
              <w:spacing w:line="360" w:lineRule="auto"/>
              <w:ind w:firstLine="210" w:firstLineChars="100"/>
              <w:rPr>
                <w:rFonts w:ascii="宋体" w:hAnsi="宋体"/>
                <w:color w:val="auto"/>
                <w:szCs w:val="21"/>
              </w:rPr>
            </w:pPr>
            <w:r>
              <w:rPr>
                <w:rFonts w:ascii="宋体" w:hAnsi="宋体" w:cs="宋体"/>
                <w:color w:val="auto"/>
                <w:kern w:val="0"/>
                <w:szCs w:val="21"/>
              </w:rPr>
              <w:t>0.25%</w:t>
            </w:r>
          </w:p>
        </w:tc>
        <w:tc>
          <w:tcPr>
            <w:tcW w:w="1659" w:type="dxa"/>
          </w:tcPr>
          <w:p w14:paraId="5B5FC8DE">
            <w:pPr>
              <w:spacing w:line="360" w:lineRule="auto"/>
              <w:ind w:firstLine="210" w:firstLineChars="100"/>
              <w:rPr>
                <w:rFonts w:ascii="宋体" w:hAnsi="宋体"/>
                <w:color w:val="auto"/>
                <w:szCs w:val="21"/>
              </w:rPr>
            </w:pPr>
            <w:r>
              <w:rPr>
                <w:rFonts w:ascii="宋体" w:hAnsi="宋体" w:cs="宋体"/>
                <w:color w:val="auto"/>
                <w:kern w:val="0"/>
                <w:szCs w:val="21"/>
              </w:rPr>
              <w:t xml:space="preserve">0.35% </w:t>
            </w:r>
          </w:p>
        </w:tc>
      </w:tr>
      <w:tr w14:paraId="061A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3721595">
            <w:pPr>
              <w:spacing w:line="360" w:lineRule="auto"/>
              <w:rPr>
                <w:rFonts w:ascii="宋体" w:hAnsi="宋体"/>
                <w:color w:val="auto"/>
                <w:szCs w:val="21"/>
              </w:rPr>
            </w:pPr>
            <w:r>
              <w:rPr>
                <w:rFonts w:hint="eastAsia" w:ascii="宋体" w:hAnsi="宋体"/>
                <w:color w:val="auto"/>
                <w:szCs w:val="21"/>
              </w:rPr>
              <w:t>5000万元～1亿元</w:t>
            </w:r>
          </w:p>
        </w:tc>
        <w:tc>
          <w:tcPr>
            <w:tcW w:w="1659" w:type="dxa"/>
          </w:tcPr>
          <w:p w14:paraId="4AB2A24F">
            <w:pPr>
              <w:spacing w:line="360" w:lineRule="auto"/>
              <w:ind w:firstLine="210" w:firstLineChars="100"/>
              <w:rPr>
                <w:rFonts w:ascii="宋体" w:hAnsi="宋体"/>
                <w:color w:val="auto"/>
                <w:szCs w:val="21"/>
              </w:rPr>
            </w:pPr>
            <w:r>
              <w:rPr>
                <w:rFonts w:ascii="宋体" w:hAnsi="宋体" w:cs="宋体"/>
                <w:color w:val="auto"/>
                <w:kern w:val="0"/>
                <w:szCs w:val="21"/>
              </w:rPr>
              <w:t xml:space="preserve">0.25% </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 xml:space="preserve">         </w:t>
            </w:r>
          </w:p>
        </w:tc>
        <w:tc>
          <w:tcPr>
            <w:tcW w:w="1687" w:type="dxa"/>
          </w:tcPr>
          <w:p w14:paraId="42099ED8">
            <w:pPr>
              <w:spacing w:line="360" w:lineRule="auto"/>
              <w:ind w:firstLine="210" w:firstLineChars="100"/>
              <w:rPr>
                <w:rFonts w:ascii="宋体" w:hAnsi="宋体"/>
                <w:color w:val="auto"/>
                <w:szCs w:val="21"/>
              </w:rPr>
            </w:pPr>
            <w:r>
              <w:rPr>
                <w:rFonts w:ascii="宋体" w:hAnsi="宋体" w:cs="宋体"/>
                <w:color w:val="auto"/>
                <w:kern w:val="0"/>
                <w:szCs w:val="21"/>
              </w:rPr>
              <w:t>0.1%</w:t>
            </w:r>
          </w:p>
        </w:tc>
        <w:tc>
          <w:tcPr>
            <w:tcW w:w="1659" w:type="dxa"/>
          </w:tcPr>
          <w:p w14:paraId="061F9EC3">
            <w:pPr>
              <w:spacing w:line="360" w:lineRule="auto"/>
              <w:ind w:firstLine="210" w:firstLineChars="100"/>
              <w:rPr>
                <w:rFonts w:ascii="宋体" w:hAnsi="宋体"/>
                <w:color w:val="auto"/>
                <w:szCs w:val="21"/>
              </w:rPr>
            </w:pPr>
            <w:r>
              <w:rPr>
                <w:rFonts w:ascii="宋体" w:hAnsi="宋体" w:cs="宋体"/>
                <w:color w:val="auto"/>
                <w:kern w:val="0"/>
                <w:szCs w:val="21"/>
              </w:rPr>
              <w:t>0.2%</w:t>
            </w:r>
          </w:p>
        </w:tc>
      </w:tr>
      <w:tr w14:paraId="0B14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A1FA73F">
            <w:pPr>
              <w:spacing w:line="360" w:lineRule="auto"/>
              <w:rPr>
                <w:rFonts w:ascii="宋体" w:hAnsi="宋体"/>
                <w:color w:val="auto"/>
                <w:szCs w:val="21"/>
              </w:rPr>
            </w:pPr>
            <w:r>
              <w:rPr>
                <w:rFonts w:hint="eastAsia" w:ascii="宋体" w:hAnsi="宋体"/>
                <w:color w:val="auto"/>
                <w:szCs w:val="21"/>
              </w:rPr>
              <w:t>1亿元～5亿元</w:t>
            </w:r>
          </w:p>
        </w:tc>
        <w:tc>
          <w:tcPr>
            <w:tcW w:w="1659" w:type="dxa"/>
          </w:tcPr>
          <w:p w14:paraId="6B5FEC5B">
            <w:pPr>
              <w:spacing w:line="360" w:lineRule="auto"/>
              <w:ind w:firstLine="210" w:firstLineChars="100"/>
              <w:rPr>
                <w:rFonts w:ascii="宋体" w:hAnsi="宋体"/>
                <w:color w:val="auto"/>
                <w:szCs w:val="21"/>
              </w:rPr>
            </w:pPr>
            <w:r>
              <w:rPr>
                <w:rFonts w:hint="eastAsia" w:ascii="宋体" w:hAnsi="宋体"/>
                <w:color w:val="auto"/>
                <w:szCs w:val="21"/>
              </w:rPr>
              <w:t>0.05%</w:t>
            </w:r>
          </w:p>
        </w:tc>
        <w:tc>
          <w:tcPr>
            <w:tcW w:w="1687" w:type="dxa"/>
          </w:tcPr>
          <w:p w14:paraId="59FB6268">
            <w:pPr>
              <w:spacing w:line="360" w:lineRule="auto"/>
              <w:rPr>
                <w:rFonts w:ascii="宋体" w:hAnsi="宋体"/>
                <w:color w:val="auto"/>
                <w:szCs w:val="21"/>
              </w:rPr>
            </w:pPr>
            <w:r>
              <w:rPr>
                <w:rFonts w:hint="eastAsia" w:ascii="宋体" w:hAnsi="宋体"/>
                <w:color w:val="auto"/>
                <w:szCs w:val="21"/>
              </w:rPr>
              <w:t xml:space="preserve">  0.05%</w:t>
            </w:r>
          </w:p>
        </w:tc>
        <w:tc>
          <w:tcPr>
            <w:tcW w:w="1659" w:type="dxa"/>
          </w:tcPr>
          <w:p w14:paraId="1BFB19A8">
            <w:pPr>
              <w:spacing w:line="360" w:lineRule="auto"/>
              <w:rPr>
                <w:rFonts w:ascii="宋体" w:hAnsi="宋体"/>
                <w:color w:val="auto"/>
                <w:szCs w:val="21"/>
              </w:rPr>
            </w:pPr>
            <w:r>
              <w:rPr>
                <w:rFonts w:hint="eastAsia" w:ascii="宋体" w:hAnsi="宋体"/>
                <w:color w:val="auto"/>
                <w:szCs w:val="21"/>
              </w:rPr>
              <w:t xml:space="preserve">  0.05%</w:t>
            </w:r>
          </w:p>
        </w:tc>
      </w:tr>
      <w:tr w14:paraId="761B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B870251">
            <w:pPr>
              <w:spacing w:line="360" w:lineRule="auto"/>
              <w:rPr>
                <w:rFonts w:ascii="宋体" w:hAnsi="宋体"/>
                <w:color w:val="auto"/>
                <w:szCs w:val="21"/>
              </w:rPr>
            </w:pPr>
            <w:r>
              <w:rPr>
                <w:rFonts w:hint="eastAsia" w:ascii="宋体" w:hAnsi="宋体"/>
                <w:color w:val="auto"/>
                <w:szCs w:val="21"/>
              </w:rPr>
              <w:t>5亿元～10亿元</w:t>
            </w:r>
          </w:p>
        </w:tc>
        <w:tc>
          <w:tcPr>
            <w:tcW w:w="1659" w:type="dxa"/>
          </w:tcPr>
          <w:p w14:paraId="2570AF19">
            <w:pPr>
              <w:spacing w:line="360" w:lineRule="auto"/>
              <w:ind w:firstLine="105" w:firstLineChars="50"/>
              <w:rPr>
                <w:rFonts w:ascii="宋体" w:hAnsi="宋体"/>
                <w:color w:val="auto"/>
                <w:szCs w:val="21"/>
              </w:rPr>
            </w:pPr>
            <w:r>
              <w:rPr>
                <w:rFonts w:hint="eastAsia" w:ascii="宋体" w:hAnsi="宋体"/>
                <w:color w:val="auto"/>
                <w:szCs w:val="21"/>
              </w:rPr>
              <w:t>0.035%</w:t>
            </w:r>
          </w:p>
        </w:tc>
        <w:tc>
          <w:tcPr>
            <w:tcW w:w="1687" w:type="dxa"/>
          </w:tcPr>
          <w:p w14:paraId="6EFA2B78">
            <w:pPr>
              <w:spacing w:line="360" w:lineRule="auto"/>
              <w:rPr>
                <w:rFonts w:ascii="宋体" w:hAnsi="宋体"/>
                <w:color w:val="auto"/>
                <w:szCs w:val="21"/>
              </w:rPr>
            </w:pPr>
            <w:r>
              <w:rPr>
                <w:rFonts w:hint="eastAsia" w:ascii="宋体" w:hAnsi="宋体"/>
                <w:color w:val="auto"/>
                <w:szCs w:val="21"/>
              </w:rPr>
              <w:t xml:space="preserve">  0.035%</w:t>
            </w:r>
          </w:p>
        </w:tc>
        <w:tc>
          <w:tcPr>
            <w:tcW w:w="1659" w:type="dxa"/>
          </w:tcPr>
          <w:p w14:paraId="0E628F2F">
            <w:pPr>
              <w:spacing w:line="360" w:lineRule="auto"/>
              <w:ind w:firstLine="105" w:firstLineChars="50"/>
              <w:rPr>
                <w:rFonts w:ascii="宋体" w:hAnsi="宋体"/>
                <w:color w:val="auto"/>
                <w:szCs w:val="21"/>
              </w:rPr>
            </w:pPr>
            <w:r>
              <w:rPr>
                <w:rFonts w:hint="eastAsia" w:ascii="宋体" w:hAnsi="宋体"/>
                <w:color w:val="auto"/>
                <w:szCs w:val="21"/>
              </w:rPr>
              <w:t>0.035%</w:t>
            </w:r>
          </w:p>
        </w:tc>
      </w:tr>
      <w:tr w14:paraId="2E3E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31A95FF">
            <w:pPr>
              <w:spacing w:line="360" w:lineRule="auto"/>
              <w:rPr>
                <w:rFonts w:ascii="宋体" w:hAnsi="宋体"/>
                <w:color w:val="auto"/>
                <w:szCs w:val="21"/>
              </w:rPr>
            </w:pPr>
            <w:r>
              <w:rPr>
                <w:rFonts w:hint="eastAsia" w:ascii="宋体" w:hAnsi="宋体"/>
                <w:color w:val="auto"/>
                <w:szCs w:val="21"/>
              </w:rPr>
              <w:t>10亿元～50亿元</w:t>
            </w:r>
          </w:p>
        </w:tc>
        <w:tc>
          <w:tcPr>
            <w:tcW w:w="1659" w:type="dxa"/>
          </w:tcPr>
          <w:p w14:paraId="4DF9124E">
            <w:pPr>
              <w:spacing w:line="360" w:lineRule="auto"/>
              <w:ind w:firstLine="105" w:firstLineChars="50"/>
              <w:rPr>
                <w:rFonts w:ascii="宋体" w:hAnsi="宋体"/>
                <w:color w:val="auto"/>
                <w:szCs w:val="21"/>
              </w:rPr>
            </w:pPr>
            <w:r>
              <w:rPr>
                <w:rFonts w:hint="eastAsia" w:ascii="宋体" w:hAnsi="宋体"/>
                <w:color w:val="auto"/>
                <w:szCs w:val="21"/>
              </w:rPr>
              <w:t>0.008%</w:t>
            </w:r>
          </w:p>
        </w:tc>
        <w:tc>
          <w:tcPr>
            <w:tcW w:w="1687" w:type="dxa"/>
          </w:tcPr>
          <w:p w14:paraId="67401CCA">
            <w:pPr>
              <w:spacing w:line="360" w:lineRule="auto"/>
              <w:ind w:firstLine="210" w:firstLineChars="100"/>
              <w:rPr>
                <w:rFonts w:ascii="宋体" w:hAnsi="宋体"/>
                <w:color w:val="auto"/>
                <w:szCs w:val="21"/>
              </w:rPr>
            </w:pPr>
            <w:r>
              <w:rPr>
                <w:rFonts w:hint="eastAsia" w:ascii="宋体" w:hAnsi="宋体"/>
                <w:color w:val="auto"/>
                <w:szCs w:val="21"/>
              </w:rPr>
              <w:t>0.008%</w:t>
            </w:r>
          </w:p>
        </w:tc>
        <w:tc>
          <w:tcPr>
            <w:tcW w:w="1659" w:type="dxa"/>
          </w:tcPr>
          <w:p w14:paraId="219D6526">
            <w:pPr>
              <w:spacing w:line="360" w:lineRule="auto"/>
              <w:ind w:firstLine="105" w:firstLineChars="50"/>
              <w:rPr>
                <w:rFonts w:ascii="宋体" w:hAnsi="宋体"/>
                <w:color w:val="auto"/>
                <w:szCs w:val="21"/>
              </w:rPr>
            </w:pPr>
            <w:r>
              <w:rPr>
                <w:rFonts w:hint="eastAsia" w:ascii="宋体" w:hAnsi="宋体"/>
                <w:color w:val="auto"/>
                <w:szCs w:val="21"/>
              </w:rPr>
              <w:t>0.008%</w:t>
            </w:r>
          </w:p>
        </w:tc>
      </w:tr>
      <w:tr w14:paraId="1BF6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8FCFCD">
            <w:pPr>
              <w:spacing w:line="360" w:lineRule="auto"/>
              <w:rPr>
                <w:rFonts w:ascii="宋体" w:hAnsi="宋体"/>
                <w:color w:val="auto"/>
                <w:szCs w:val="21"/>
              </w:rPr>
            </w:pPr>
            <w:r>
              <w:rPr>
                <w:rFonts w:hint="eastAsia" w:ascii="宋体" w:hAnsi="宋体"/>
                <w:color w:val="auto"/>
                <w:szCs w:val="21"/>
              </w:rPr>
              <w:t>50亿元～100亿元</w:t>
            </w:r>
          </w:p>
        </w:tc>
        <w:tc>
          <w:tcPr>
            <w:tcW w:w="1659" w:type="dxa"/>
          </w:tcPr>
          <w:p w14:paraId="0223A1E0">
            <w:pPr>
              <w:spacing w:line="360" w:lineRule="auto"/>
              <w:rPr>
                <w:rFonts w:ascii="宋体" w:hAnsi="宋体"/>
                <w:color w:val="auto"/>
                <w:szCs w:val="21"/>
              </w:rPr>
            </w:pPr>
            <w:r>
              <w:rPr>
                <w:rFonts w:hint="eastAsia" w:ascii="宋体" w:hAnsi="宋体"/>
                <w:color w:val="auto"/>
                <w:szCs w:val="21"/>
              </w:rPr>
              <w:t xml:space="preserve"> 0.006%</w:t>
            </w:r>
          </w:p>
        </w:tc>
        <w:tc>
          <w:tcPr>
            <w:tcW w:w="1687" w:type="dxa"/>
          </w:tcPr>
          <w:p w14:paraId="2C05BCE8">
            <w:pPr>
              <w:spacing w:line="360" w:lineRule="auto"/>
              <w:ind w:firstLine="210" w:firstLineChars="100"/>
              <w:rPr>
                <w:rFonts w:ascii="宋体" w:hAnsi="宋体"/>
                <w:color w:val="auto"/>
                <w:szCs w:val="21"/>
              </w:rPr>
            </w:pPr>
            <w:r>
              <w:rPr>
                <w:rFonts w:hint="eastAsia" w:ascii="宋体" w:hAnsi="宋体"/>
                <w:color w:val="auto"/>
                <w:szCs w:val="21"/>
              </w:rPr>
              <w:t>0.006%</w:t>
            </w:r>
          </w:p>
        </w:tc>
        <w:tc>
          <w:tcPr>
            <w:tcW w:w="1659" w:type="dxa"/>
          </w:tcPr>
          <w:p w14:paraId="732CE267">
            <w:pPr>
              <w:spacing w:line="360" w:lineRule="auto"/>
              <w:ind w:firstLine="105" w:firstLineChars="50"/>
              <w:rPr>
                <w:rFonts w:ascii="宋体" w:hAnsi="宋体"/>
                <w:color w:val="auto"/>
                <w:szCs w:val="21"/>
              </w:rPr>
            </w:pPr>
            <w:r>
              <w:rPr>
                <w:rFonts w:hint="eastAsia" w:ascii="宋体" w:hAnsi="宋体"/>
                <w:color w:val="auto"/>
                <w:szCs w:val="21"/>
              </w:rPr>
              <w:t>0.006%</w:t>
            </w:r>
          </w:p>
        </w:tc>
      </w:tr>
      <w:tr w14:paraId="1A14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301FEC">
            <w:pPr>
              <w:spacing w:line="360" w:lineRule="auto"/>
              <w:rPr>
                <w:rFonts w:ascii="宋体" w:hAnsi="宋体"/>
                <w:color w:val="auto"/>
                <w:szCs w:val="21"/>
              </w:rPr>
            </w:pPr>
            <w:r>
              <w:rPr>
                <w:rFonts w:hint="eastAsia" w:ascii="宋体" w:hAnsi="宋体"/>
                <w:color w:val="auto"/>
                <w:szCs w:val="21"/>
              </w:rPr>
              <w:t>100亿元以上</w:t>
            </w:r>
          </w:p>
        </w:tc>
        <w:tc>
          <w:tcPr>
            <w:tcW w:w="1659" w:type="dxa"/>
          </w:tcPr>
          <w:p w14:paraId="03457D80">
            <w:pPr>
              <w:spacing w:line="360" w:lineRule="auto"/>
              <w:rPr>
                <w:rFonts w:ascii="宋体" w:hAnsi="宋体"/>
                <w:color w:val="auto"/>
                <w:szCs w:val="21"/>
              </w:rPr>
            </w:pPr>
            <w:r>
              <w:rPr>
                <w:rFonts w:hint="eastAsia" w:ascii="宋体" w:hAnsi="宋体"/>
                <w:color w:val="auto"/>
                <w:szCs w:val="21"/>
              </w:rPr>
              <w:t xml:space="preserve"> 0.004%</w:t>
            </w:r>
          </w:p>
        </w:tc>
        <w:tc>
          <w:tcPr>
            <w:tcW w:w="1687" w:type="dxa"/>
          </w:tcPr>
          <w:p w14:paraId="1BEC4608">
            <w:pPr>
              <w:spacing w:line="360" w:lineRule="auto"/>
              <w:ind w:firstLine="210" w:firstLineChars="100"/>
              <w:rPr>
                <w:rFonts w:ascii="宋体" w:hAnsi="宋体"/>
                <w:color w:val="auto"/>
                <w:szCs w:val="21"/>
              </w:rPr>
            </w:pPr>
            <w:r>
              <w:rPr>
                <w:rFonts w:hint="eastAsia" w:ascii="宋体" w:hAnsi="宋体"/>
                <w:color w:val="auto"/>
                <w:szCs w:val="21"/>
              </w:rPr>
              <w:t>0.004%</w:t>
            </w:r>
          </w:p>
        </w:tc>
        <w:tc>
          <w:tcPr>
            <w:tcW w:w="1659" w:type="dxa"/>
          </w:tcPr>
          <w:p w14:paraId="52477307">
            <w:pPr>
              <w:spacing w:line="360" w:lineRule="auto"/>
              <w:ind w:firstLine="105" w:firstLineChars="50"/>
              <w:rPr>
                <w:rFonts w:ascii="宋体" w:hAnsi="宋体"/>
                <w:color w:val="auto"/>
                <w:szCs w:val="21"/>
              </w:rPr>
            </w:pPr>
            <w:r>
              <w:rPr>
                <w:rFonts w:hint="eastAsia" w:ascii="宋体" w:hAnsi="宋体"/>
                <w:color w:val="auto"/>
                <w:szCs w:val="21"/>
              </w:rPr>
              <w:t>0.004%</w:t>
            </w:r>
          </w:p>
        </w:tc>
      </w:tr>
    </w:tbl>
    <w:p w14:paraId="2A31CD66">
      <w:pPr>
        <w:spacing w:line="360" w:lineRule="auto"/>
        <w:ind w:firstLine="420" w:firstLineChars="200"/>
        <w:rPr>
          <w:rFonts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14:paraId="53A190E1">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14:paraId="783FE4DF">
      <w:pPr>
        <w:spacing w:line="360" w:lineRule="auto"/>
        <w:ind w:firstLine="420" w:firstLineChars="200"/>
        <w:rPr>
          <w:rFonts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14:paraId="463C36BF">
      <w:pPr>
        <w:spacing w:line="360" w:lineRule="auto"/>
        <w:ind w:firstLine="420" w:firstLineChars="200"/>
        <w:rPr>
          <w:rFonts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服务采购</w:t>
      </w:r>
      <w:r>
        <w:rPr>
          <w:rFonts w:ascii="宋体" w:hAnsi="宋体" w:cs="宋体"/>
          <w:color w:val="auto"/>
          <w:szCs w:val="21"/>
        </w:rPr>
        <w:t>代理业务</w:t>
      </w:r>
      <w:r>
        <w:rPr>
          <w:rFonts w:hint="eastAsia" w:ascii="宋体" w:hAnsi="宋体" w:cs="宋体"/>
          <w:color w:val="auto"/>
          <w:szCs w:val="21"/>
        </w:rPr>
        <w:t>中标</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为200万元，计算</w:t>
      </w:r>
      <w:r>
        <w:rPr>
          <w:rFonts w:hint="eastAsia" w:ascii="宋体" w:hAnsi="宋体" w:cs="宋体"/>
          <w:color w:val="auto"/>
          <w:szCs w:val="21"/>
        </w:rPr>
        <w:t>采购</w:t>
      </w:r>
      <w:r>
        <w:rPr>
          <w:rFonts w:ascii="宋体" w:hAnsi="宋体" w:cs="宋体"/>
          <w:color w:val="auto"/>
          <w:szCs w:val="21"/>
        </w:rPr>
        <w:t>代理收费额如下：</w:t>
      </w:r>
    </w:p>
    <w:p w14:paraId="0F0D216B">
      <w:pPr>
        <w:spacing w:line="360" w:lineRule="auto"/>
        <w:ind w:firstLine="420" w:firstLineChars="200"/>
        <w:rPr>
          <w:rFonts w:ascii="宋体" w:hAnsi="宋体" w:cs="宋体"/>
          <w:color w:val="auto"/>
          <w:szCs w:val="21"/>
        </w:rPr>
      </w:pPr>
      <w:r>
        <w:rPr>
          <w:rFonts w:ascii="宋体" w:hAnsi="宋体" w:cs="宋体"/>
          <w:color w:val="auto"/>
          <w:szCs w:val="21"/>
        </w:rPr>
        <w:t>100 万元×l.5 %＝ 1.5 万元</w:t>
      </w:r>
    </w:p>
    <w:p w14:paraId="05C7CC28">
      <w:pPr>
        <w:spacing w:line="360" w:lineRule="auto"/>
        <w:ind w:firstLine="420" w:firstLineChars="200"/>
        <w:rPr>
          <w:rFonts w:ascii="宋体" w:hAnsi="宋体" w:cs="宋体"/>
          <w:color w:val="auto"/>
          <w:szCs w:val="21"/>
        </w:rPr>
      </w:pPr>
      <w:r>
        <w:rPr>
          <w:rFonts w:ascii="宋体" w:hAnsi="宋体" w:cs="宋体"/>
          <w:color w:val="auto"/>
          <w:szCs w:val="21"/>
        </w:rPr>
        <w:t>（ 200 － 100 ）万元 ×0.8%＝0.8万元</w:t>
      </w:r>
    </w:p>
    <w:p w14:paraId="5CEFDC8B">
      <w:pPr>
        <w:pStyle w:val="22"/>
        <w:snapToGrid w:val="0"/>
        <w:spacing w:line="360" w:lineRule="auto"/>
        <w:ind w:firstLine="420" w:firstLineChars="200"/>
        <w:rPr>
          <w:rFonts w:hAnsi="宋体" w:cs="宋体"/>
          <w:color w:val="auto"/>
          <w:sz w:val="21"/>
        </w:rPr>
      </w:pPr>
      <w:r>
        <w:rPr>
          <w:rFonts w:hAnsi="宋体" w:cs="宋体"/>
          <w:color w:val="auto"/>
          <w:sz w:val="21"/>
        </w:rPr>
        <w:t>合计收费＝ 1.5</w:t>
      </w:r>
      <w:r>
        <w:rPr>
          <w:rFonts w:hint="eastAsia" w:hAnsi="宋体" w:cs="宋体"/>
          <w:color w:val="auto"/>
          <w:sz w:val="21"/>
        </w:rPr>
        <w:t>+</w:t>
      </w:r>
      <w:r>
        <w:rPr>
          <w:rFonts w:hAnsi="宋体" w:cs="宋体"/>
          <w:color w:val="auto"/>
          <w:sz w:val="21"/>
        </w:rPr>
        <w:t>0.8＝ 2.3（万元）</w:t>
      </w:r>
    </w:p>
    <w:p w14:paraId="78EC9B4E">
      <w:pPr>
        <w:pStyle w:val="5"/>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40. 需要补充的其他内容</w:t>
      </w:r>
    </w:p>
    <w:p w14:paraId="280F053C">
      <w:pPr>
        <w:pStyle w:val="22"/>
        <w:spacing w:line="360" w:lineRule="auto"/>
        <w:ind w:firstLine="420" w:firstLineChars="200"/>
        <w:rPr>
          <w:rFonts w:hAnsi="宋体" w:cs="宋体"/>
          <w:color w:val="auto"/>
          <w:sz w:val="21"/>
        </w:rPr>
      </w:pPr>
      <w:r>
        <w:rPr>
          <w:rFonts w:hint="eastAsia" w:hAnsi="宋体" w:cs="宋体"/>
          <w:color w:val="auto"/>
          <w:sz w:val="21"/>
        </w:rPr>
        <w:t>40.1本招标文件解释规则详见“投标人须知前附表”。</w:t>
      </w:r>
    </w:p>
    <w:p w14:paraId="6348990D">
      <w:pPr>
        <w:pStyle w:val="22"/>
        <w:spacing w:line="360" w:lineRule="auto"/>
        <w:ind w:firstLine="420" w:firstLineChars="200"/>
        <w:rPr>
          <w:rFonts w:hAnsi="宋体" w:cs="宋体"/>
          <w:color w:val="auto"/>
          <w:sz w:val="21"/>
        </w:rPr>
      </w:pPr>
      <w:r>
        <w:rPr>
          <w:rFonts w:hint="eastAsia" w:hAnsi="宋体" w:cs="宋体"/>
          <w:color w:val="auto"/>
          <w:sz w:val="21"/>
        </w:rPr>
        <w:t>40.2 其他事项详见“投标人须知前附表”。</w:t>
      </w:r>
    </w:p>
    <w:p w14:paraId="732461C9">
      <w:pPr>
        <w:pStyle w:val="22"/>
        <w:spacing w:line="360" w:lineRule="auto"/>
        <w:ind w:firstLine="420" w:firstLineChars="200"/>
        <w:rPr>
          <w:rFonts w:hAnsi="宋体" w:cs="宋体"/>
          <w:color w:val="auto"/>
          <w:sz w:val="21"/>
        </w:rPr>
      </w:pPr>
      <w:r>
        <w:rPr>
          <w:rFonts w:hint="eastAsia" w:hAnsi="宋体" w:cs="宋体"/>
          <w:color w:val="auto"/>
          <w:sz w:val="21"/>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5C84298">
      <w:pPr>
        <w:pStyle w:val="22"/>
        <w:spacing w:line="360" w:lineRule="auto"/>
        <w:ind w:firstLine="420" w:firstLineChars="200"/>
        <w:rPr>
          <w:rFonts w:hAnsi="宋体" w:cs="宋体"/>
          <w:color w:val="auto"/>
          <w:sz w:val="21"/>
        </w:rPr>
      </w:pPr>
      <w:r>
        <w:rPr>
          <w:rFonts w:hint="eastAsia" w:hAnsi="宋体" w:cs="宋体"/>
          <w:color w:val="auto"/>
          <w:sz w:val="21"/>
        </w:rPr>
        <w:t>（1）在货物采购项目中，货物由中小企业制造，即货物由中小企业生产且使用该中小企业商号或者注册商标，不对其中涉及的工程承建商和服务的承接商作出要求；</w:t>
      </w:r>
    </w:p>
    <w:p w14:paraId="7EAFB4AE">
      <w:pPr>
        <w:pStyle w:val="22"/>
        <w:spacing w:line="360" w:lineRule="auto"/>
        <w:ind w:firstLine="420" w:firstLineChars="200"/>
        <w:rPr>
          <w:rFonts w:hAnsi="宋体" w:cs="宋体"/>
          <w:color w:val="auto"/>
          <w:sz w:val="21"/>
        </w:rPr>
      </w:pPr>
      <w:r>
        <w:rPr>
          <w:rFonts w:hint="eastAsia" w:hAnsi="宋体" w:cs="宋体"/>
          <w:color w:val="auto"/>
          <w:sz w:val="21"/>
        </w:rPr>
        <w:t>（2）在工程采购项目中，工程由中小企业承建，即工程施工单位为中小企业，不对其中涉及的货物的制造商和服务的承接商作出要求；</w:t>
      </w:r>
    </w:p>
    <w:p w14:paraId="35B373E4">
      <w:pPr>
        <w:pStyle w:val="22"/>
        <w:spacing w:line="360" w:lineRule="auto"/>
        <w:ind w:firstLine="420" w:firstLineChars="200"/>
        <w:rPr>
          <w:rFonts w:hAnsi="宋体" w:cs="宋体"/>
          <w:color w:val="auto"/>
          <w:sz w:val="21"/>
        </w:rPr>
      </w:pPr>
      <w:r>
        <w:rPr>
          <w:rFonts w:hint="eastAsia" w:hAnsi="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4071D542">
      <w:pPr>
        <w:pStyle w:val="22"/>
        <w:spacing w:line="360" w:lineRule="auto"/>
        <w:ind w:firstLine="420" w:firstLineChars="200"/>
        <w:rPr>
          <w:rFonts w:hAnsi="宋体" w:cs="宋体"/>
          <w:color w:val="auto"/>
          <w:sz w:val="21"/>
        </w:rPr>
      </w:pPr>
      <w:r>
        <w:rPr>
          <w:rFonts w:hint="eastAsia" w:hAnsi="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A0F203D">
      <w:pPr>
        <w:pStyle w:val="22"/>
        <w:spacing w:line="360" w:lineRule="auto"/>
        <w:ind w:firstLine="420" w:firstLineChars="200"/>
        <w:rPr>
          <w:rFonts w:hAnsi="宋体"/>
          <w:color w:val="auto"/>
        </w:rPr>
      </w:pPr>
      <w:r>
        <w:rPr>
          <w:rFonts w:hint="eastAsia" w:hAnsi="宋体" w:cs="宋体"/>
          <w:color w:val="auto"/>
          <w:sz w:val="21"/>
        </w:rPr>
        <w:t>依据本招标文件规定享受扶持政策获得政府采购合同的，小微企业不得将合同分包给大中型企业，中型企业不得将合同分包给大型企业。</w:t>
      </w:r>
      <w:r>
        <w:rPr>
          <w:rFonts w:hAnsi="宋体"/>
          <w:color w:val="auto"/>
        </w:rPr>
        <w:br w:type="page"/>
      </w:r>
    </w:p>
    <w:p w14:paraId="6154A724">
      <w:pPr>
        <w:pStyle w:val="22"/>
        <w:snapToGrid w:val="0"/>
        <w:spacing w:before="120" w:after="120"/>
        <w:rPr>
          <w:rFonts w:hAnsi="宋体"/>
          <w:color w:val="auto"/>
        </w:rPr>
      </w:pPr>
    </w:p>
    <w:p w14:paraId="079CE7E6">
      <w:pPr>
        <w:pStyle w:val="22"/>
        <w:snapToGrid w:val="0"/>
        <w:spacing w:before="120" w:after="120"/>
        <w:rPr>
          <w:rFonts w:hAnsi="宋体"/>
          <w:color w:val="auto"/>
        </w:rPr>
      </w:pPr>
    </w:p>
    <w:p w14:paraId="29791189">
      <w:pPr>
        <w:pStyle w:val="22"/>
        <w:snapToGrid w:val="0"/>
        <w:spacing w:before="120" w:after="120"/>
        <w:rPr>
          <w:rFonts w:hAnsi="宋体"/>
          <w:color w:val="auto"/>
        </w:rPr>
      </w:pPr>
    </w:p>
    <w:p w14:paraId="24A28A57">
      <w:pPr>
        <w:pStyle w:val="22"/>
        <w:snapToGrid w:val="0"/>
        <w:spacing w:before="120" w:after="120"/>
        <w:rPr>
          <w:rFonts w:hAnsi="宋体"/>
          <w:color w:val="auto"/>
        </w:rPr>
      </w:pPr>
    </w:p>
    <w:p w14:paraId="0AA1EFB8">
      <w:pPr>
        <w:pStyle w:val="22"/>
        <w:snapToGrid w:val="0"/>
        <w:spacing w:before="120" w:after="120"/>
        <w:rPr>
          <w:rFonts w:hAnsi="宋体"/>
          <w:color w:val="auto"/>
        </w:rPr>
      </w:pPr>
    </w:p>
    <w:p w14:paraId="01761D98">
      <w:pPr>
        <w:pStyle w:val="22"/>
        <w:snapToGrid w:val="0"/>
        <w:spacing w:before="120" w:after="120"/>
        <w:rPr>
          <w:rFonts w:hAnsi="宋体"/>
          <w:color w:val="auto"/>
        </w:rPr>
      </w:pPr>
    </w:p>
    <w:p w14:paraId="2B5A0917">
      <w:pPr>
        <w:pStyle w:val="22"/>
        <w:snapToGrid w:val="0"/>
        <w:spacing w:before="120" w:after="120"/>
        <w:rPr>
          <w:rFonts w:hAnsi="宋体"/>
          <w:color w:val="auto"/>
        </w:rPr>
      </w:pPr>
    </w:p>
    <w:p w14:paraId="381B8C07">
      <w:pPr>
        <w:pStyle w:val="22"/>
        <w:snapToGrid w:val="0"/>
        <w:spacing w:before="120" w:after="120"/>
        <w:rPr>
          <w:rFonts w:hAnsi="宋体"/>
          <w:color w:val="auto"/>
        </w:rPr>
      </w:pPr>
    </w:p>
    <w:p w14:paraId="13D7B144">
      <w:pPr>
        <w:pStyle w:val="22"/>
        <w:snapToGrid w:val="0"/>
        <w:spacing w:before="120" w:after="120"/>
        <w:rPr>
          <w:rFonts w:hAnsi="宋体"/>
          <w:color w:val="auto"/>
        </w:rPr>
      </w:pPr>
    </w:p>
    <w:p w14:paraId="54B828DC">
      <w:pPr>
        <w:pStyle w:val="22"/>
        <w:snapToGrid w:val="0"/>
        <w:spacing w:before="120" w:after="120"/>
        <w:rPr>
          <w:rFonts w:hAnsi="宋体"/>
          <w:color w:val="auto"/>
        </w:rPr>
      </w:pPr>
    </w:p>
    <w:p w14:paraId="380471BD">
      <w:pPr>
        <w:pStyle w:val="22"/>
        <w:snapToGrid w:val="0"/>
        <w:spacing w:before="120" w:after="120"/>
        <w:rPr>
          <w:rFonts w:hAnsi="宋体"/>
          <w:color w:val="auto"/>
        </w:rPr>
      </w:pPr>
    </w:p>
    <w:p w14:paraId="1D8C3621">
      <w:pPr>
        <w:pStyle w:val="22"/>
        <w:snapToGrid w:val="0"/>
        <w:spacing w:before="120" w:after="120"/>
        <w:rPr>
          <w:rFonts w:hAnsi="宋体"/>
          <w:color w:val="auto"/>
        </w:rPr>
      </w:pPr>
    </w:p>
    <w:p w14:paraId="27055AFE">
      <w:pPr>
        <w:pStyle w:val="22"/>
        <w:snapToGrid w:val="0"/>
        <w:spacing w:before="120" w:after="120"/>
        <w:rPr>
          <w:rFonts w:hAnsi="宋体"/>
          <w:color w:val="auto"/>
        </w:rPr>
      </w:pPr>
    </w:p>
    <w:p w14:paraId="1380954C">
      <w:pPr>
        <w:pStyle w:val="2"/>
        <w:jc w:val="center"/>
        <w:rPr>
          <w:color w:val="auto"/>
        </w:rPr>
      </w:pPr>
      <w:bookmarkStart w:id="126" w:name="_Toc254970548"/>
      <w:bookmarkStart w:id="127" w:name="_Toc15687"/>
      <w:bookmarkStart w:id="128" w:name="_Toc254970689"/>
      <w:bookmarkStart w:id="129" w:name="_Toc330456896"/>
      <w:r>
        <w:rPr>
          <w:rFonts w:hint="eastAsia"/>
          <w:color w:val="auto"/>
        </w:rPr>
        <w:t>第四章  评标方法及评标标准</w:t>
      </w:r>
      <w:bookmarkEnd w:id="126"/>
      <w:bookmarkEnd w:id="127"/>
      <w:bookmarkEnd w:id="128"/>
      <w:bookmarkEnd w:id="129"/>
    </w:p>
    <w:p w14:paraId="46EC41FA">
      <w:pPr>
        <w:rPr>
          <w:color w:val="auto"/>
        </w:rPr>
      </w:pPr>
      <w:bookmarkStart w:id="130" w:name="_Toc254970690"/>
      <w:bookmarkStart w:id="131" w:name="_Toc254970549"/>
    </w:p>
    <w:bookmarkEnd w:id="130"/>
    <w:bookmarkEnd w:id="131"/>
    <w:p w14:paraId="70ABE497">
      <w:pPr>
        <w:rPr>
          <w:color w:val="auto"/>
        </w:rPr>
      </w:pPr>
    </w:p>
    <w:p w14:paraId="0D6D6DB8">
      <w:pPr>
        <w:rPr>
          <w:color w:val="auto"/>
        </w:rPr>
      </w:pPr>
    </w:p>
    <w:p w14:paraId="3A16DEDF">
      <w:pPr>
        <w:rPr>
          <w:color w:val="auto"/>
        </w:rPr>
      </w:pPr>
    </w:p>
    <w:p w14:paraId="1A70DF3D">
      <w:pPr>
        <w:rPr>
          <w:color w:val="auto"/>
        </w:rPr>
      </w:pPr>
    </w:p>
    <w:p w14:paraId="7730F2E9">
      <w:pPr>
        <w:rPr>
          <w:color w:val="auto"/>
        </w:rPr>
      </w:pPr>
    </w:p>
    <w:p w14:paraId="2BE3C6FD">
      <w:pPr>
        <w:rPr>
          <w:color w:val="auto"/>
        </w:rPr>
      </w:pPr>
    </w:p>
    <w:p w14:paraId="5C559294">
      <w:pPr>
        <w:rPr>
          <w:color w:val="auto"/>
        </w:rPr>
      </w:pPr>
    </w:p>
    <w:p w14:paraId="59E51A38">
      <w:pPr>
        <w:rPr>
          <w:color w:val="auto"/>
        </w:rPr>
      </w:pPr>
    </w:p>
    <w:p w14:paraId="452BCA1C">
      <w:pPr>
        <w:spacing w:before="120" w:beforeLines="50" w:after="120" w:afterLines="50" w:line="400" w:lineRule="exact"/>
        <w:rPr>
          <w:rFonts w:ascii="宋体" w:hAnsi="宋体"/>
          <w:b/>
          <w:color w:val="auto"/>
          <w:sz w:val="24"/>
        </w:rPr>
      </w:pPr>
    </w:p>
    <w:p w14:paraId="3BF56000">
      <w:pPr>
        <w:spacing w:before="120" w:beforeLines="50" w:after="120" w:afterLines="50" w:line="400" w:lineRule="exact"/>
        <w:rPr>
          <w:rFonts w:ascii="宋体" w:hAnsi="宋体"/>
          <w:b/>
          <w:color w:val="auto"/>
          <w:sz w:val="24"/>
        </w:rPr>
      </w:pPr>
    </w:p>
    <w:p w14:paraId="4F70B2F2">
      <w:pPr>
        <w:pStyle w:val="22"/>
        <w:spacing w:line="360" w:lineRule="exact"/>
        <w:rPr>
          <w:rFonts w:hAnsi="宋体"/>
          <w:b/>
          <w:color w:val="auto"/>
          <w:sz w:val="24"/>
        </w:rPr>
      </w:pPr>
    </w:p>
    <w:p w14:paraId="318DCAAD">
      <w:pPr>
        <w:pStyle w:val="22"/>
        <w:spacing w:line="360" w:lineRule="exact"/>
        <w:rPr>
          <w:rFonts w:hAnsi="宋体"/>
          <w:b/>
          <w:color w:val="auto"/>
          <w:sz w:val="24"/>
        </w:rPr>
      </w:pPr>
    </w:p>
    <w:p w14:paraId="27A523BE">
      <w:pPr>
        <w:pStyle w:val="22"/>
        <w:spacing w:line="360" w:lineRule="exact"/>
        <w:rPr>
          <w:rFonts w:hAnsi="宋体"/>
          <w:b/>
          <w:color w:val="auto"/>
          <w:sz w:val="24"/>
        </w:rPr>
      </w:pPr>
    </w:p>
    <w:p w14:paraId="05590226">
      <w:pPr>
        <w:pStyle w:val="22"/>
        <w:spacing w:line="360" w:lineRule="exact"/>
        <w:rPr>
          <w:rFonts w:hAnsi="宋体"/>
          <w:b/>
          <w:color w:val="auto"/>
          <w:sz w:val="24"/>
        </w:rPr>
      </w:pPr>
    </w:p>
    <w:p w14:paraId="42B42247">
      <w:pPr>
        <w:pStyle w:val="22"/>
        <w:spacing w:line="360" w:lineRule="exact"/>
        <w:rPr>
          <w:rFonts w:hAnsi="宋体"/>
          <w:b/>
          <w:color w:val="auto"/>
          <w:sz w:val="24"/>
        </w:rPr>
      </w:pPr>
    </w:p>
    <w:p w14:paraId="1393D9A8">
      <w:pPr>
        <w:pStyle w:val="22"/>
        <w:spacing w:line="360" w:lineRule="exact"/>
        <w:rPr>
          <w:rFonts w:hAnsi="宋体"/>
          <w:b/>
          <w:color w:val="auto"/>
          <w:sz w:val="24"/>
        </w:rPr>
      </w:pPr>
    </w:p>
    <w:p w14:paraId="2A11D009">
      <w:pPr>
        <w:pStyle w:val="22"/>
        <w:spacing w:line="360" w:lineRule="exact"/>
        <w:rPr>
          <w:rFonts w:hAnsi="宋体"/>
          <w:bCs/>
          <w:color w:val="auto"/>
        </w:rPr>
      </w:pPr>
      <w:r>
        <w:rPr>
          <w:rFonts w:hAnsi="宋体"/>
          <w:bCs/>
          <w:color w:val="auto"/>
        </w:rPr>
        <w:t xml:space="preserve"> </w:t>
      </w:r>
    </w:p>
    <w:p w14:paraId="0866A01F">
      <w:pPr>
        <w:pStyle w:val="4"/>
        <w:keepNext w:val="0"/>
        <w:keepLines w:val="0"/>
        <w:jc w:val="center"/>
        <w:rPr>
          <w:color w:val="auto"/>
        </w:rPr>
      </w:pPr>
    </w:p>
    <w:p w14:paraId="0B876946">
      <w:pPr>
        <w:rPr>
          <w:color w:val="auto"/>
        </w:rPr>
      </w:pPr>
    </w:p>
    <w:p w14:paraId="6419773D">
      <w:pPr>
        <w:pStyle w:val="4"/>
        <w:keepNext w:val="0"/>
        <w:keepLines w:val="0"/>
        <w:jc w:val="center"/>
        <w:rPr>
          <w:color w:val="auto"/>
        </w:rPr>
      </w:pPr>
      <w:r>
        <w:rPr>
          <w:rFonts w:hint="eastAsia"/>
          <w:color w:val="auto"/>
        </w:rPr>
        <w:t>一、评标方法</w:t>
      </w:r>
    </w:p>
    <w:p w14:paraId="40003EEB">
      <w:pPr>
        <w:pStyle w:val="22"/>
        <w:spacing w:line="360" w:lineRule="auto"/>
        <w:ind w:firstLine="420"/>
        <w:rPr>
          <w:rFonts w:hAnsi="宋体"/>
          <w:color w:val="auto"/>
          <w:sz w:val="21"/>
        </w:rPr>
      </w:pPr>
      <w:r>
        <w:rPr>
          <w:rFonts w:hint="eastAsia" w:hAnsi="宋体"/>
          <w:color w:val="auto"/>
          <w:sz w:val="21"/>
        </w:rPr>
        <w:t>综合评分法，是指投标文件满足招标文件全部实质性要求，且按照评审因素的量化指标评审得分最高的投标人为中标候选人的评标方法。</w:t>
      </w:r>
    </w:p>
    <w:p w14:paraId="647A9C74">
      <w:pPr>
        <w:pStyle w:val="22"/>
        <w:spacing w:line="360" w:lineRule="auto"/>
        <w:ind w:firstLine="420"/>
        <w:rPr>
          <w:rFonts w:hAnsi="宋体"/>
          <w:color w:val="auto"/>
          <w:sz w:val="21"/>
        </w:rPr>
      </w:pPr>
      <w:r>
        <w:rPr>
          <w:rFonts w:hint="eastAsia" w:hAnsi="宋体"/>
          <w:color w:val="auto"/>
          <w:sz w:val="21"/>
        </w:rPr>
        <w:t>最低评标价法，是指投标文件满足招标文件全部实质性要求，且投标报价最低的投标人为中标候选人的评标方法。</w:t>
      </w:r>
    </w:p>
    <w:p w14:paraId="4ED0FB3C">
      <w:pPr>
        <w:pStyle w:val="4"/>
        <w:keepNext w:val="0"/>
        <w:keepLines w:val="0"/>
        <w:jc w:val="center"/>
        <w:rPr>
          <w:color w:val="auto"/>
        </w:rPr>
      </w:pPr>
      <w:r>
        <w:rPr>
          <w:rFonts w:hint="eastAsia"/>
          <w:color w:val="auto"/>
        </w:rPr>
        <w:t>二、评标程序</w:t>
      </w:r>
    </w:p>
    <w:p w14:paraId="4243189E">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1.符合性审查</w:t>
      </w:r>
    </w:p>
    <w:p w14:paraId="23144DDA">
      <w:pPr>
        <w:pStyle w:val="22"/>
        <w:snapToGrid w:val="0"/>
        <w:spacing w:line="360" w:lineRule="auto"/>
        <w:ind w:left="1" w:firstLine="420"/>
        <w:rPr>
          <w:rFonts w:hAnsi="宋体"/>
          <w:b/>
          <w:color w:val="auto"/>
          <w:kern w:val="2"/>
          <w:sz w:val="21"/>
        </w:rPr>
      </w:pPr>
      <w:r>
        <w:rPr>
          <w:rFonts w:hint="eastAsia" w:hAnsi="宋体"/>
          <w:b/>
          <w:color w:val="auto"/>
          <w:kern w:val="2"/>
          <w:sz w:val="21"/>
        </w:rPr>
        <w:t>评标委员会应当对符合资格的投标人的投标文件进行投标报价、商务、技术等实质性内容符合性审查，以确定其是否满足招标文件的实质性要求。</w:t>
      </w:r>
    </w:p>
    <w:p w14:paraId="5CFB5F9D">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328FE573">
      <w:pPr>
        <w:snapToGrid w:val="0"/>
        <w:spacing w:line="360" w:lineRule="auto"/>
        <w:ind w:firstLine="422" w:firstLineChars="200"/>
        <w:rPr>
          <w:rFonts w:ascii="宋体" w:hAnsi="宋体"/>
          <w:b/>
          <w:color w:val="auto"/>
          <w:szCs w:val="21"/>
        </w:rPr>
      </w:pPr>
      <w:r>
        <w:rPr>
          <w:rFonts w:hint="eastAsia" w:ascii="宋体" w:hAnsi="宋体"/>
          <w:b/>
          <w:color w:val="auto"/>
          <w:szCs w:val="21"/>
        </w:rPr>
        <w:t>投标人的投标文件中存在对招标文件的任何实质性要求和条件的负偏离，将被视为投标无效。</w:t>
      </w:r>
    </w:p>
    <w:p w14:paraId="55623754">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2.1在报价评审时，如发现下列情形之一的，将被视为投标无效：</w:t>
      </w:r>
    </w:p>
    <w:p w14:paraId="33F18774">
      <w:pPr>
        <w:pStyle w:val="6"/>
        <w:numPr>
          <w:ilvl w:val="0"/>
          <w:numId w:val="3"/>
        </w:numPr>
        <w:spacing w:line="360" w:lineRule="auto"/>
        <w:ind w:firstLine="398" w:firstLineChars="200"/>
        <w:rPr>
          <w:rFonts w:ascii="宋体" w:hAnsi="宋体"/>
          <w:b/>
          <w:color w:val="auto"/>
          <w:spacing w:val="-6"/>
          <w:szCs w:val="21"/>
        </w:rPr>
      </w:pPr>
      <w:r>
        <w:rPr>
          <w:rFonts w:hint="eastAsia" w:ascii="宋体" w:hAnsi="宋体"/>
          <w:b/>
          <w:color w:val="auto"/>
          <w:spacing w:val="-6"/>
          <w:szCs w:val="21"/>
        </w:rPr>
        <w:t>报价文件未提供“投标人须知前附表”第13条</w:t>
      </w:r>
      <w:r>
        <w:rPr>
          <w:rFonts w:hint="eastAsia" w:ascii="宋体" w:hAnsi="宋体"/>
          <w:b/>
          <w:color w:val="auto"/>
          <w:szCs w:val="21"/>
        </w:rPr>
        <w:t>“报价文件”</w:t>
      </w:r>
      <w:r>
        <w:rPr>
          <w:rFonts w:hint="eastAsia" w:ascii="宋体" w:hAnsi="宋体"/>
          <w:b/>
          <w:color w:val="auto"/>
          <w:spacing w:val="-6"/>
          <w:szCs w:val="21"/>
        </w:rPr>
        <w:t>规定中“必须提供”的文件资料的；</w:t>
      </w:r>
    </w:p>
    <w:p w14:paraId="53E6433B">
      <w:pPr>
        <w:pStyle w:val="6"/>
        <w:numPr>
          <w:ilvl w:val="0"/>
          <w:numId w:val="3"/>
        </w:numPr>
        <w:spacing w:line="360" w:lineRule="auto"/>
        <w:ind w:firstLine="422" w:firstLineChars="200"/>
        <w:rPr>
          <w:rFonts w:ascii="宋体" w:hAnsi="宋体"/>
          <w:b/>
          <w:color w:val="auto"/>
          <w:szCs w:val="21"/>
        </w:rPr>
      </w:pPr>
      <w:r>
        <w:rPr>
          <w:rFonts w:hint="eastAsia" w:ascii="宋体" w:hAnsi="宋体"/>
          <w:b/>
          <w:color w:val="auto"/>
          <w:szCs w:val="21"/>
        </w:rPr>
        <w:t>未采用人民币报价或者未按照招标文件标明的币种报价的；</w:t>
      </w:r>
    </w:p>
    <w:p w14:paraId="43AE2352">
      <w:pPr>
        <w:pStyle w:val="6"/>
        <w:numPr>
          <w:ilvl w:val="0"/>
          <w:numId w:val="3"/>
        </w:numPr>
        <w:spacing w:line="360" w:lineRule="auto"/>
        <w:ind w:left="-2" w:firstLine="422"/>
        <w:rPr>
          <w:rFonts w:ascii="宋体" w:hAnsi="宋体"/>
          <w:b/>
          <w:color w:val="auto"/>
          <w:spacing w:val="-6"/>
          <w:szCs w:val="21"/>
        </w:rPr>
      </w:pPr>
      <w:r>
        <w:rPr>
          <w:rFonts w:hint="eastAsia" w:ascii="宋体" w:hAnsi="宋体"/>
          <w:b/>
          <w:color w:val="auto"/>
          <w:spacing w:val="-6"/>
          <w:szCs w:val="21"/>
        </w:rPr>
        <w:t>各分标报价超出招标文件相应分标规定最高限价，或者超出相应分标采购预算金额的；</w:t>
      </w:r>
    </w:p>
    <w:p w14:paraId="0A8DE86B">
      <w:pPr>
        <w:pStyle w:val="6"/>
        <w:numPr>
          <w:ilvl w:val="0"/>
          <w:numId w:val="3"/>
        </w:numPr>
        <w:spacing w:line="360" w:lineRule="auto"/>
        <w:ind w:firstLine="422" w:firstLineChars="200"/>
        <w:rPr>
          <w:rFonts w:ascii="宋体" w:hAnsi="宋体"/>
          <w:b/>
          <w:color w:val="auto"/>
          <w:szCs w:val="21"/>
        </w:rPr>
      </w:pPr>
      <w:r>
        <w:rPr>
          <w:rFonts w:hint="eastAsia" w:ascii="宋体" w:hAnsi="宋体"/>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11A0C5E">
      <w:pPr>
        <w:pStyle w:val="6"/>
        <w:numPr>
          <w:ilvl w:val="0"/>
          <w:numId w:val="3"/>
        </w:numPr>
        <w:spacing w:line="360" w:lineRule="auto"/>
        <w:ind w:firstLine="422" w:firstLineChars="200"/>
        <w:rPr>
          <w:rFonts w:ascii="宋体" w:hAnsi="宋体"/>
          <w:b/>
          <w:color w:val="auto"/>
          <w:szCs w:val="21"/>
        </w:rPr>
      </w:pPr>
      <w:r>
        <w:rPr>
          <w:rFonts w:hint="eastAsia" w:ascii="宋体" w:hAnsi="宋体"/>
          <w:b/>
          <w:color w:val="auto"/>
          <w:szCs w:val="21"/>
        </w:rPr>
        <w:t>修正后的报价，投标人不确认的；</w:t>
      </w:r>
    </w:p>
    <w:p w14:paraId="5F592E2A">
      <w:pPr>
        <w:pStyle w:val="6"/>
        <w:numPr>
          <w:ilvl w:val="0"/>
          <w:numId w:val="3"/>
        </w:numPr>
        <w:spacing w:line="360" w:lineRule="auto"/>
        <w:ind w:firstLine="422" w:firstLineChars="200"/>
        <w:rPr>
          <w:rFonts w:ascii="宋体" w:hAnsi="宋体"/>
          <w:b/>
          <w:color w:val="auto"/>
          <w:szCs w:val="21"/>
        </w:rPr>
      </w:pPr>
      <w:r>
        <w:rPr>
          <w:rFonts w:hint="eastAsia" w:ascii="宋体" w:hAnsi="宋体"/>
          <w:b/>
          <w:color w:val="auto"/>
          <w:szCs w:val="21"/>
        </w:rPr>
        <w:t>投标人属于本章第</w:t>
      </w:r>
      <w:r>
        <w:rPr>
          <w:rFonts w:ascii="宋体" w:hAnsi="宋体"/>
          <w:b/>
          <w:color w:val="auto"/>
          <w:szCs w:val="21"/>
        </w:rPr>
        <w:t>5.1</w:t>
      </w:r>
      <w:r>
        <w:rPr>
          <w:rFonts w:hint="eastAsia" w:ascii="宋体" w:hAnsi="宋体"/>
          <w:b/>
          <w:color w:val="auto"/>
          <w:szCs w:val="21"/>
        </w:rPr>
        <w:t>条（2）或者第5</w:t>
      </w:r>
      <w:r>
        <w:rPr>
          <w:rFonts w:ascii="宋体" w:hAnsi="宋体"/>
          <w:b/>
          <w:color w:val="auto"/>
          <w:szCs w:val="21"/>
        </w:rPr>
        <w:t>.2条</w:t>
      </w:r>
      <w:r>
        <w:rPr>
          <w:rFonts w:hint="eastAsia" w:ascii="宋体" w:hAnsi="宋体"/>
          <w:b/>
          <w:color w:val="auto"/>
          <w:szCs w:val="21"/>
        </w:rPr>
        <w:t>（2）项情形的。</w:t>
      </w:r>
    </w:p>
    <w:p w14:paraId="7B4CEE0D">
      <w:pPr>
        <w:pStyle w:val="6"/>
        <w:numPr>
          <w:ilvl w:val="0"/>
          <w:numId w:val="3"/>
        </w:numPr>
        <w:spacing w:line="360" w:lineRule="auto"/>
        <w:ind w:firstLine="398" w:firstLineChars="200"/>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响应的标的数量及单位与招标文件要求实质性不一致的。</w:t>
      </w:r>
    </w:p>
    <w:p w14:paraId="51556A7F">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2.2在商务及技术评审时，如发现下列情形之一的，将被视为投标无效：</w:t>
      </w:r>
    </w:p>
    <w:p w14:paraId="54E37B0D">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投标文件未按招标文件要求签署、盖章的；</w:t>
      </w:r>
    </w:p>
    <w:p w14:paraId="35F497A9">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 xml:space="preserve">委托代理人未能出具有效身份证或者出具的身份证与授权委托书中的信息不符的； </w:t>
      </w:r>
    </w:p>
    <w:p w14:paraId="036B047E">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为无效投标保证金的或者未按照招标文件的规定提交投标保证金的；</w:t>
      </w:r>
    </w:p>
    <w:p w14:paraId="3B97FDF0">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投标文件未提供“投标人须知前附表”第13条“商务及技术文件”规定中“必须提供”或者“委托时必须提供”的文件资料的；</w:t>
      </w:r>
    </w:p>
    <w:p w14:paraId="50F5A173">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商务要求评审允许负偏离的条款数超过“投标人须知前附表”规定项数的；</w:t>
      </w:r>
    </w:p>
    <w:p w14:paraId="7A3F9AA1">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投标文件的实质性内容未使用中文表述、使用计量单位不符合招标文件要求的；</w:t>
      </w:r>
    </w:p>
    <w:p w14:paraId="751C1B3B">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投标文件中的文件资料因填写不齐全或者内容虚假或者出现其他情形而导致被评标委员会认定无效的；</w:t>
      </w:r>
    </w:p>
    <w:p w14:paraId="524D934E">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投标文件含有采购人不能接受的附加条件的；</w:t>
      </w:r>
    </w:p>
    <w:p w14:paraId="0518EE55">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属于投标人须知正文第</w:t>
      </w:r>
      <w:r>
        <w:rPr>
          <w:rFonts w:ascii="宋体" w:hAnsi="宋体"/>
          <w:b/>
          <w:color w:val="auto"/>
          <w:szCs w:val="21"/>
        </w:rPr>
        <w:t>9.2</w:t>
      </w:r>
      <w:r>
        <w:rPr>
          <w:rFonts w:hint="eastAsia" w:ascii="宋体" w:hAnsi="宋体"/>
          <w:b/>
          <w:color w:val="auto"/>
          <w:szCs w:val="21"/>
        </w:rPr>
        <w:t>条情形的；</w:t>
      </w:r>
    </w:p>
    <w:p w14:paraId="287BE1F0">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投标文件标注的项目名称或者项目编号与招标文件标注的项目名称或者项目编号不一致的；</w:t>
      </w:r>
    </w:p>
    <w:p w14:paraId="33976A5D">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投标文件中承诺的投标有效期低于招标文件要求的期限的；</w:t>
      </w:r>
    </w:p>
    <w:p w14:paraId="52D831C6">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虚假投标，或者出现其他情形而导致被评标委员会认定无效的；</w:t>
      </w:r>
    </w:p>
    <w:p w14:paraId="4AFA576A">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招标文件未载明允许提供备选（替代）投标方案或明确不允许提供备选（替代）投标方案时，投标人提供了备选（替代）投标方案的；</w:t>
      </w:r>
    </w:p>
    <w:p w14:paraId="00F85939">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未响应招标文件实质性要求的。</w:t>
      </w:r>
    </w:p>
    <w:p w14:paraId="52839FC5">
      <w:pPr>
        <w:numPr>
          <w:ilvl w:val="0"/>
          <w:numId w:val="4"/>
        </w:numPr>
        <w:snapToGrid w:val="0"/>
        <w:spacing w:line="360" w:lineRule="auto"/>
        <w:ind w:firstLine="422" w:firstLineChars="200"/>
        <w:rPr>
          <w:rFonts w:ascii="宋体" w:hAnsi="宋体"/>
          <w:b/>
          <w:color w:val="auto"/>
          <w:szCs w:val="21"/>
        </w:rPr>
      </w:pPr>
      <w:r>
        <w:rPr>
          <w:rFonts w:hint="eastAsia" w:ascii="宋体" w:hAnsi="宋体"/>
          <w:b/>
          <w:color w:val="auto"/>
          <w:szCs w:val="21"/>
        </w:rPr>
        <w:t>法律、法规和招标文件规定的其他无效情形。</w:t>
      </w:r>
    </w:p>
    <w:p w14:paraId="1E952E06">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5C1358DF">
      <w:pPr>
        <w:spacing w:line="360" w:lineRule="auto"/>
        <w:ind w:firstLine="420" w:firstLineChars="200"/>
        <w:rPr>
          <w:rFonts w:ascii="宋体" w:hAnsi="宋体" w:cs="Courier New"/>
          <w:b/>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D4541CB">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4FA0056">
      <w:pPr>
        <w:spacing w:line="360" w:lineRule="auto"/>
        <w:ind w:firstLine="420" w:firstLineChars="200"/>
        <w:rPr>
          <w:rFonts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55EB92D2">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496C693E">
      <w:pPr>
        <w:spacing w:line="360" w:lineRule="auto"/>
        <w:ind w:firstLine="420" w:firstLineChars="200"/>
        <w:rPr>
          <w:rFonts w:ascii="宋体" w:hAnsi="宋体" w:cs="Courier New"/>
          <w:color w:val="auto"/>
          <w:szCs w:val="21"/>
        </w:rPr>
      </w:pPr>
      <w:r>
        <w:rPr>
          <w:rFonts w:ascii="宋体" w:hAnsi="宋体" w:cs="Courier New"/>
          <w:color w:val="auto"/>
          <w:szCs w:val="21"/>
        </w:rPr>
        <w:t>4</w:t>
      </w:r>
      <w:r>
        <w:rPr>
          <w:rFonts w:hint="eastAsia" w:ascii="宋体" w:hAnsi="宋体" w:cs="Courier New"/>
          <w:color w:val="auto"/>
          <w:szCs w:val="21"/>
        </w:rPr>
        <w:t xml:space="preserve">.1投标文件报价出现前后不一致的，除“投标文件前附表”另有规定的情形，按照下列规定修正： </w:t>
      </w:r>
    </w:p>
    <w:p w14:paraId="5F0E3907">
      <w:pPr>
        <w:pStyle w:val="22"/>
        <w:snapToGrid w:val="0"/>
        <w:spacing w:line="360" w:lineRule="auto"/>
        <w:ind w:firstLine="420" w:firstLineChars="200"/>
        <w:rPr>
          <w:rFonts w:hAnsi="宋体"/>
          <w:color w:val="auto"/>
          <w:sz w:val="21"/>
        </w:rPr>
      </w:pPr>
      <w:r>
        <w:rPr>
          <w:rFonts w:hint="eastAsia" w:hAnsi="宋体"/>
          <w:color w:val="auto"/>
          <w:sz w:val="21"/>
        </w:rPr>
        <w:t>（1）投标文件中开标一览表（报价表）内容与投标文件中相应内容不一致的，以开标一览表（报价表）为准；</w:t>
      </w:r>
    </w:p>
    <w:p w14:paraId="3FAEA2A6">
      <w:pPr>
        <w:pStyle w:val="22"/>
        <w:snapToGrid w:val="0"/>
        <w:spacing w:line="360" w:lineRule="auto"/>
        <w:ind w:firstLine="420" w:firstLineChars="200"/>
        <w:rPr>
          <w:rFonts w:hAnsi="宋体"/>
          <w:color w:val="auto"/>
          <w:sz w:val="21"/>
        </w:rPr>
      </w:pPr>
      <w:r>
        <w:rPr>
          <w:rFonts w:hint="eastAsia" w:hAnsi="宋体"/>
          <w:color w:val="auto"/>
          <w:sz w:val="21"/>
        </w:rPr>
        <w:t>（2）大写金额和小写金额不一致的，以大写金额为准；</w:t>
      </w:r>
    </w:p>
    <w:p w14:paraId="29A2A3BB">
      <w:pPr>
        <w:pStyle w:val="22"/>
        <w:snapToGrid w:val="0"/>
        <w:spacing w:line="360" w:lineRule="auto"/>
        <w:ind w:firstLine="420" w:firstLineChars="200"/>
        <w:rPr>
          <w:rFonts w:hAnsi="宋体"/>
          <w:color w:val="auto"/>
          <w:sz w:val="21"/>
        </w:rPr>
      </w:pPr>
      <w:r>
        <w:rPr>
          <w:rFonts w:hint="eastAsia" w:hAnsi="宋体"/>
          <w:color w:val="auto"/>
          <w:sz w:val="21"/>
        </w:rPr>
        <w:t>（3）单价金额小数点或者百分比有明显错位的，以开标一览表的总价为准，并修改单价；</w:t>
      </w:r>
    </w:p>
    <w:p w14:paraId="5F700636">
      <w:pPr>
        <w:pStyle w:val="22"/>
        <w:snapToGrid w:val="0"/>
        <w:spacing w:line="360" w:lineRule="auto"/>
        <w:ind w:firstLine="420" w:firstLineChars="200"/>
        <w:rPr>
          <w:rFonts w:hAnsi="宋体"/>
          <w:color w:val="auto"/>
          <w:sz w:val="21"/>
        </w:rPr>
      </w:pPr>
      <w:r>
        <w:rPr>
          <w:rFonts w:hint="eastAsia" w:hAnsi="宋体"/>
          <w:color w:val="auto"/>
          <w:sz w:val="21"/>
        </w:rPr>
        <w:t>（4）总价金额与按单价汇总金额不一致的，以单价金额计算结果为准。</w:t>
      </w:r>
    </w:p>
    <w:p w14:paraId="67AB382E">
      <w:pPr>
        <w:pStyle w:val="22"/>
        <w:snapToGrid w:val="0"/>
        <w:spacing w:line="360" w:lineRule="auto"/>
        <w:ind w:firstLine="420" w:firstLineChars="200"/>
        <w:rPr>
          <w:rFonts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2E973280">
      <w:pPr>
        <w:pStyle w:val="5"/>
        <w:keepNext w:val="0"/>
        <w:keepLines w:val="0"/>
        <w:spacing w:before="0" w:after="0" w:line="360" w:lineRule="auto"/>
        <w:rPr>
          <w:rFonts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.2经投标人确认修正后的报价若超过采购预算金额或者最高限价，</w:t>
      </w:r>
      <w:r>
        <w:rPr>
          <w:rFonts w:hint="eastAsia" w:ascii="宋体" w:hAnsi="宋体"/>
          <w:color w:val="auto"/>
          <w:sz w:val="21"/>
          <w:szCs w:val="21"/>
        </w:rPr>
        <w:t>投标人的投标文件作无效投标处理</w:t>
      </w:r>
      <w:r>
        <w:rPr>
          <w:rFonts w:hint="eastAsia" w:ascii="宋体" w:hAnsi="宋体"/>
          <w:b w:val="0"/>
          <w:color w:val="auto"/>
          <w:sz w:val="21"/>
          <w:szCs w:val="21"/>
        </w:rPr>
        <w:t>。</w:t>
      </w:r>
    </w:p>
    <w:p w14:paraId="797920A7">
      <w:pPr>
        <w:snapToGrid w:val="0"/>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.3经投标人确认修正后的报价作为签订合同的依据，并以此报价计算价格分。</w:t>
      </w:r>
    </w:p>
    <w:p w14:paraId="36E6A3CD">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4926B023">
      <w:pPr>
        <w:snapToGrid w:val="0"/>
        <w:spacing w:line="360" w:lineRule="auto"/>
        <w:ind w:firstLine="420" w:firstLineChars="200"/>
        <w:rPr>
          <w:rFonts w:ascii="宋体" w:hAnsi="宋体"/>
          <w:color w:val="auto"/>
          <w:szCs w:val="21"/>
        </w:rPr>
      </w:pPr>
      <w:r>
        <w:rPr>
          <w:rFonts w:hint="eastAsia" w:ascii="宋体" w:hAnsi="宋体"/>
          <w:color w:val="auto"/>
          <w:szCs w:val="21"/>
        </w:rPr>
        <w:t>5.1采用综合评分法的</w:t>
      </w:r>
    </w:p>
    <w:p w14:paraId="6C3FFF2F">
      <w:pPr>
        <w:snapToGrid w:val="0"/>
        <w:spacing w:line="360" w:lineRule="auto"/>
        <w:ind w:firstLine="420" w:firstLineChars="200"/>
        <w:rPr>
          <w:rFonts w:ascii="宋体" w:hAnsi="宋体"/>
          <w:color w:val="auto"/>
          <w:szCs w:val="21"/>
        </w:rPr>
      </w:pPr>
      <w:r>
        <w:rPr>
          <w:rFonts w:hint="eastAsia" w:ascii="宋体" w:hAnsi="宋体"/>
          <w:color w:val="auto"/>
          <w:szCs w:val="21"/>
        </w:rPr>
        <w:t>（1）评标委员会按照招标文件中规定的评标方法及评标标准，对符合性审查合格的投标文件进行商务和技术评估，综合比较与评价。</w:t>
      </w:r>
    </w:p>
    <w:p w14:paraId="6E2DB16C">
      <w:pPr>
        <w:snapToGrid w:val="0"/>
        <w:spacing w:line="360" w:lineRule="auto"/>
        <w:ind w:firstLine="420" w:firstLineChars="200"/>
        <w:rPr>
          <w:rFonts w:ascii="宋体" w:hAnsi="宋体"/>
          <w:color w:val="auto"/>
          <w:szCs w:val="21"/>
        </w:rPr>
      </w:pPr>
      <w:r>
        <w:rPr>
          <w:rFonts w:hint="eastAsia" w:ascii="宋体" w:hAnsi="宋体"/>
          <w:color w:val="auto"/>
          <w:szCs w:val="21"/>
        </w:rPr>
        <w:t>（2）评标委员会独立对每个投标人的投标文件进行评价，并汇总每个投标人的得分。</w:t>
      </w:r>
    </w:p>
    <w:p w14:paraId="69FC661B">
      <w:pPr>
        <w:snapToGrid w:val="0"/>
        <w:spacing w:line="360" w:lineRule="auto"/>
        <w:ind w:firstLine="420" w:firstLineChars="200"/>
        <w:rPr>
          <w:rFonts w:ascii="宋体" w:hAnsi="宋体"/>
          <w:color w:val="auto"/>
          <w:szCs w:val="21"/>
        </w:rPr>
      </w:pPr>
      <w:r>
        <w:rPr>
          <w:rFonts w:hint="eastAsia" w:ascii="宋体" w:hAnsi="宋体"/>
          <w:color w:val="auto"/>
          <w:szCs w:val="21"/>
        </w:rPr>
        <w:t>1）评标委员会在评审中发现下列情形之一的，应当启动异常低价投标审查程序：</w:t>
      </w:r>
    </w:p>
    <w:p w14:paraId="12E60CFA">
      <w:pPr>
        <w:snapToGrid w:val="0"/>
        <w:spacing w:line="360" w:lineRule="auto"/>
        <w:ind w:firstLine="420" w:firstLineChars="200"/>
        <w:rPr>
          <w:rFonts w:ascii="宋体" w:hAnsi="宋体"/>
          <w:color w:val="auto"/>
          <w:szCs w:val="21"/>
        </w:rPr>
      </w:pPr>
      <w:r>
        <w:rPr>
          <w:rFonts w:hint="eastAsia" w:ascii="宋体" w:hAnsi="宋体"/>
          <w:color w:val="auto"/>
          <w:szCs w:val="21"/>
        </w:rPr>
        <w:t>①投标报价低于全部通过符合性审查供应商投标报价平均值</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的，即投标报价＜全部通过符合性审查供应商投标报价平均值×</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p>
    <w:p w14:paraId="1E8C8D44">
      <w:pPr>
        <w:snapToGrid w:val="0"/>
        <w:spacing w:line="360" w:lineRule="auto"/>
        <w:ind w:firstLine="420" w:firstLineChars="200"/>
        <w:rPr>
          <w:rFonts w:ascii="宋体" w:hAnsi="宋体"/>
          <w:color w:val="auto"/>
          <w:szCs w:val="21"/>
        </w:rPr>
      </w:pPr>
      <w:r>
        <w:rPr>
          <w:rFonts w:hint="eastAsia" w:ascii="宋体" w:hAnsi="宋体"/>
          <w:color w:val="auto"/>
          <w:szCs w:val="21"/>
        </w:rPr>
        <w:t>②投标报价低于通过符合性审查的次低报价供应商投标报价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的，即投标报价＜通过符合性审查的次低报价供应商投标报价×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p>
    <w:p w14:paraId="11143742">
      <w:pPr>
        <w:snapToGrid w:val="0"/>
        <w:spacing w:line="360" w:lineRule="auto"/>
        <w:ind w:firstLine="420" w:firstLineChars="200"/>
        <w:rPr>
          <w:rFonts w:ascii="宋体" w:hAnsi="宋体"/>
          <w:color w:val="auto"/>
          <w:szCs w:val="21"/>
        </w:rPr>
      </w:pPr>
      <w:r>
        <w:rPr>
          <w:rFonts w:hint="eastAsia" w:ascii="宋体" w:hAnsi="宋体"/>
          <w:color w:val="auto"/>
          <w:szCs w:val="21"/>
        </w:rPr>
        <w:t>③投标报价低于采购项目最高限价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的，即投标报价＜采购项目最高限价×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p>
    <w:p w14:paraId="4F989260">
      <w:pPr>
        <w:snapToGrid w:val="0"/>
        <w:spacing w:line="360" w:lineRule="auto"/>
        <w:ind w:firstLine="420" w:firstLineChars="200"/>
        <w:rPr>
          <w:rFonts w:ascii="宋体" w:hAnsi="宋体"/>
          <w:color w:val="auto"/>
          <w:szCs w:val="21"/>
        </w:rPr>
      </w:pPr>
      <w:r>
        <w:rPr>
          <w:rFonts w:hint="eastAsia" w:ascii="宋体" w:hAnsi="宋体"/>
          <w:color w:val="auto"/>
          <w:szCs w:val="21"/>
        </w:rPr>
        <w:t>④评标委员会基于专业判断，认为供应商报价过低，有可能影响产品质量或者不能诚信履约的其他情形。</w:t>
      </w:r>
    </w:p>
    <w:p w14:paraId="2B345DF2">
      <w:pPr>
        <w:snapToGrid w:val="0"/>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1304C410">
      <w:pPr>
        <w:snapToGrid w:val="0"/>
        <w:spacing w:line="360" w:lineRule="auto"/>
        <w:ind w:firstLine="420" w:firstLineChars="200"/>
        <w:rPr>
          <w:rFonts w:ascii="宋体" w:hAnsi="宋体"/>
          <w:color w:val="auto"/>
          <w:szCs w:val="21"/>
        </w:rPr>
      </w:pPr>
      <w:r>
        <w:rPr>
          <w:rFonts w:hint="eastAsia" w:ascii="宋体" w:hAnsi="宋体"/>
          <w:color w:val="auto"/>
          <w:szCs w:val="21"/>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投标供应商不能提供书面说明、证明材料，或者提供的书面说明、证明材料不能证明其报价合理性的，评标委员会应当将其作为无效投标处理。</w:t>
      </w:r>
    </w:p>
    <w:p w14:paraId="38E267AA">
      <w:pPr>
        <w:snapToGrid w:val="0"/>
        <w:spacing w:line="360" w:lineRule="auto"/>
        <w:ind w:firstLine="420" w:firstLineChars="200"/>
        <w:rPr>
          <w:rFonts w:ascii="宋体" w:hAnsi="宋体"/>
          <w:color w:val="auto"/>
          <w:szCs w:val="21"/>
        </w:rPr>
      </w:pPr>
      <w:r>
        <w:rPr>
          <w:rFonts w:hint="eastAsia" w:ascii="宋体" w:hAnsi="宋体"/>
          <w:color w:val="auto"/>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0AFB408">
      <w:pPr>
        <w:snapToGrid w:val="0"/>
        <w:spacing w:line="360" w:lineRule="auto"/>
        <w:ind w:firstLine="420" w:firstLineChars="200"/>
        <w:rPr>
          <w:rFonts w:ascii="宋体" w:hAnsi="宋体"/>
          <w:color w:val="auto"/>
          <w:szCs w:val="21"/>
        </w:rPr>
      </w:pPr>
      <w:r>
        <w:rPr>
          <w:rFonts w:hint="eastAsia" w:ascii="宋体" w:hAnsi="宋体"/>
          <w:color w:val="auto"/>
          <w:szCs w:val="21"/>
        </w:rPr>
        <w:t>异常低价投标审查的启动原因、审查意见和审查结果应当在评审报告中记录，并随供应商提供的相关书面说明及证明材料，以及评标委员会有关互联网浏览、查询历史一并归档。</w:t>
      </w:r>
    </w:p>
    <w:p w14:paraId="4F9A777D">
      <w:pPr>
        <w:snapToGrid w:val="0"/>
        <w:spacing w:line="360" w:lineRule="auto"/>
        <w:ind w:firstLine="420" w:firstLineChars="200"/>
        <w:rPr>
          <w:rFonts w:ascii="宋体" w:hAnsi="宋体"/>
          <w:color w:val="auto"/>
          <w:szCs w:val="21"/>
        </w:rPr>
      </w:pPr>
      <w:r>
        <w:rPr>
          <w:rFonts w:hint="eastAsia" w:ascii="宋体" w:hAnsi="宋体"/>
          <w:color w:val="auto"/>
          <w:szCs w:val="21"/>
        </w:rPr>
        <w:t>（3）评标委员会按照招标文件中规定的评标方法和标准计算各投标人的报价得分。在计算过程中，不得去掉最高报价或者最低报价。</w:t>
      </w:r>
    </w:p>
    <w:p w14:paraId="73E6D56B">
      <w:pPr>
        <w:snapToGrid w:val="0"/>
        <w:spacing w:line="360" w:lineRule="auto"/>
        <w:ind w:firstLine="420" w:firstLineChars="200"/>
        <w:rPr>
          <w:rFonts w:ascii="宋体" w:hAnsi="宋体"/>
          <w:color w:val="auto"/>
          <w:szCs w:val="21"/>
        </w:rPr>
      </w:pPr>
      <w:r>
        <w:rPr>
          <w:rFonts w:hint="eastAsia" w:ascii="宋体" w:hAnsi="宋体"/>
          <w:color w:val="auto"/>
          <w:szCs w:val="21"/>
        </w:rPr>
        <w:t>（4）各投标人的得分为所有评委的有效评分的算术平均数。</w:t>
      </w:r>
    </w:p>
    <w:p w14:paraId="79964FFF">
      <w:pPr>
        <w:snapToGrid w:val="0"/>
        <w:spacing w:line="360" w:lineRule="auto"/>
        <w:ind w:firstLine="420" w:firstLineChars="200"/>
        <w:rPr>
          <w:rFonts w:ascii="宋体" w:hAnsi="宋体"/>
          <w:color w:val="auto"/>
          <w:szCs w:val="21"/>
        </w:rPr>
      </w:pPr>
      <w:r>
        <w:rPr>
          <w:rFonts w:hint="eastAsia" w:ascii="宋体" w:hAnsi="宋体"/>
          <w:color w:val="auto"/>
          <w:szCs w:val="21"/>
        </w:rPr>
        <w:t>（5）评标委员会按照招标文件中的规定推荐中标候选人。</w:t>
      </w:r>
    </w:p>
    <w:p w14:paraId="1687D9A8">
      <w:pPr>
        <w:snapToGrid w:val="0"/>
        <w:spacing w:line="360" w:lineRule="auto"/>
        <w:ind w:firstLine="420" w:firstLineChars="200"/>
        <w:rPr>
          <w:rFonts w:ascii="宋体" w:hAnsi="宋体"/>
          <w:color w:val="auto"/>
          <w:szCs w:val="21"/>
        </w:rPr>
      </w:pPr>
      <w:r>
        <w:rPr>
          <w:rFonts w:hint="eastAsia" w:ascii="宋体" w:hAnsi="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4B5CAC9">
      <w:pPr>
        <w:snapToGrid w:val="0"/>
        <w:spacing w:line="360" w:lineRule="auto"/>
        <w:ind w:firstLine="424" w:firstLineChars="202"/>
        <w:jc w:val="center"/>
        <w:rPr>
          <w:color w:val="auto"/>
        </w:rPr>
      </w:pPr>
      <w:r>
        <w:rPr>
          <w:rFonts w:hAnsi="宋体"/>
          <w:color w:val="auto"/>
        </w:rPr>
        <w:br w:type="page"/>
      </w:r>
      <w:bookmarkStart w:id="132" w:name="_Hlk71707917"/>
      <w:r>
        <w:rPr>
          <w:rFonts w:ascii="宋体" w:hAnsi="宋体" w:cs="宋体"/>
          <w:b/>
          <w:bCs/>
          <w:color w:val="auto"/>
          <w:sz w:val="32"/>
          <w:szCs w:val="32"/>
        </w:rPr>
        <w:t>三</w:t>
      </w:r>
      <w:r>
        <w:rPr>
          <w:rFonts w:hint="eastAsia" w:ascii="宋体" w:hAnsi="宋体" w:cs="宋体"/>
          <w:b/>
          <w:bCs/>
          <w:color w:val="auto"/>
          <w:sz w:val="32"/>
          <w:szCs w:val="32"/>
        </w:rPr>
        <w:t>、评标标准</w:t>
      </w:r>
    </w:p>
    <w:p w14:paraId="7D31692B">
      <w:pPr>
        <w:pStyle w:val="4"/>
        <w:keepNext w:val="0"/>
        <w:keepLines w:val="0"/>
        <w:jc w:val="center"/>
        <w:rPr>
          <w:color w:val="auto"/>
        </w:rPr>
      </w:pPr>
      <w:r>
        <w:rPr>
          <w:rFonts w:hint="eastAsia"/>
          <w:color w:val="auto"/>
        </w:rPr>
        <w:t>综合评分法</w:t>
      </w:r>
    </w:p>
    <w:bookmarkEnd w:id="132"/>
    <w:tbl>
      <w:tblPr>
        <w:tblStyle w:val="43"/>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0190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147" w:type="dxa"/>
            <w:gridSpan w:val="2"/>
            <w:vAlign w:val="center"/>
          </w:tcPr>
          <w:p w14:paraId="6B9C830A">
            <w:pPr>
              <w:adjustRightInd w:val="0"/>
              <w:spacing w:line="410" w:lineRule="exact"/>
              <w:jc w:val="center"/>
              <w:textAlignment w:val="baseline"/>
              <w:rPr>
                <w:rFonts w:ascii="宋体" w:hAnsi="宋体"/>
                <w:b/>
                <w:color w:val="auto"/>
                <w:szCs w:val="21"/>
              </w:rPr>
            </w:pPr>
            <w:r>
              <w:rPr>
                <w:rFonts w:hint="eastAsia" w:ascii="宋体" w:hAnsi="宋体"/>
                <w:b/>
                <w:color w:val="auto"/>
                <w:szCs w:val="21"/>
              </w:rPr>
              <w:t>序号</w:t>
            </w:r>
          </w:p>
        </w:tc>
        <w:tc>
          <w:tcPr>
            <w:tcW w:w="1701" w:type="dxa"/>
            <w:vAlign w:val="center"/>
          </w:tcPr>
          <w:p w14:paraId="6E5C108A">
            <w:pPr>
              <w:adjustRightInd w:val="0"/>
              <w:spacing w:line="410" w:lineRule="exact"/>
              <w:jc w:val="center"/>
              <w:textAlignment w:val="baseline"/>
              <w:rPr>
                <w:rFonts w:ascii="宋体" w:hAnsi="宋体"/>
                <w:b/>
                <w:color w:val="auto"/>
                <w:szCs w:val="21"/>
              </w:rPr>
            </w:pPr>
            <w:r>
              <w:rPr>
                <w:rFonts w:hint="eastAsia" w:ascii="宋体" w:hAnsi="宋体"/>
                <w:b/>
                <w:color w:val="auto"/>
                <w:szCs w:val="21"/>
              </w:rPr>
              <w:t>评审因素</w:t>
            </w:r>
          </w:p>
        </w:tc>
        <w:tc>
          <w:tcPr>
            <w:tcW w:w="5660" w:type="dxa"/>
            <w:vAlign w:val="center"/>
          </w:tcPr>
          <w:p w14:paraId="5CF36C5A">
            <w:pPr>
              <w:adjustRightInd w:val="0"/>
              <w:spacing w:line="410" w:lineRule="exact"/>
              <w:jc w:val="center"/>
              <w:textAlignment w:val="baseline"/>
              <w:rPr>
                <w:rFonts w:ascii="宋体" w:hAnsi="宋体"/>
                <w:b/>
                <w:color w:val="auto"/>
                <w:szCs w:val="21"/>
              </w:rPr>
            </w:pPr>
            <w:r>
              <w:rPr>
                <w:rFonts w:hint="eastAsia" w:ascii="宋体" w:hAnsi="宋体"/>
                <w:b/>
                <w:color w:val="auto"/>
                <w:szCs w:val="21"/>
              </w:rPr>
              <w:t>评标标准</w:t>
            </w:r>
          </w:p>
        </w:tc>
      </w:tr>
      <w:tr w14:paraId="0BA0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14:paraId="2371D683">
            <w:pPr>
              <w:adjustRightInd w:val="0"/>
              <w:spacing w:line="360" w:lineRule="exact"/>
              <w:jc w:val="center"/>
              <w:textAlignment w:val="baseline"/>
              <w:rPr>
                <w:rFonts w:ascii="宋体" w:hAnsi="宋体"/>
                <w:color w:val="auto"/>
                <w:szCs w:val="21"/>
              </w:rPr>
            </w:pPr>
            <w:r>
              <w:rPr>
                <w:rFonts w:hint="eastAsia" w:ascii="宋体" w:hAnsi="宋体"/>
                <w:color w:val="auto"/>
                <w:szCs w:val="21"/>
              </w:rPr>
              <w:t>1</w:t>
            </w:r>
          </w:p>
        </w:tc>
        <w:tc>
          <w:tcPr>
            <w:tcW w:w="1585" w:type="dxa"/>
            <w:vAlign w:val="center"/>
          </w:tcPr>
          <w:p w14:paraId="613F1C82">
            <w:pPr>
              <w:adjustRightInd w:val="0"/>
              <w:spacing w:line="360" w:lineRule="exact"/>
              <w:jc w:val="center"/>
              <w:textAlignment w:val="baseline"/>
              <w:rPr>
                <w:rFonts w:ascii="宋体" w:hAnsi="宋体"/>
                <w:b/>
                <w:bCs/>
                <w:color w:val="auto"/>
                <w:szCs w:val="21"/>
              </w:rPr>
            </w:pPr>
            <w:r>
              <w:rPr>
                <w:rFonts w:hint="eastAsia" w:ascii="宋体" w:hAnsi="宋体"/>
                <w:b/>
                <w:bCs/>
                <w:color w:val="auto"/>
                <w:szCs w:val="21"/>
              </w:rPr>
              <w:t>价格分</w:t>
            </w:r>
          </w:p>
          <w:p w14:paraId="4D35800E">
            <w:pPr>
              <w:adjustRightInd w:val="0"/>
              <w:spacing w:line="360" w:lineRule="exact"/>
              <w:jc w:val="center"/>
              <w:textAlignment w:val="baseline"/>
              <w:rPr>
                <w:rFonts w:ascii="宋体" w:hAnsi="宋体"/>
                <w:b/>
                <w:bCs/>
                <w:color w:val="auto"/>
                <w:szCs w:val="21"/>
              </w:rPr>
            </w:pPr>
            <w:r>
              <w:rPr>
                <w:rFonts w:hint="eastAsia" w:ascii="宋体" w:hAnsi="宋体"/>
                <w:b/>
                <w:bCs/>
                <w:color w:val="auto"/>
                <w:szCs w:val="21"/>
              </w:rPr>
              <w:t>（满分</w:t>
            </w:r>
            <w:r>
              <w:rPr>
                <w:rFonts w:hint="eastAsia" w:ascii="宋体" w:hAnsi="宋体"/>
                <w:b/>
                <w:bCs/>
                <w:color w:val="auto"/>
                <w:szCs w:val="21"/>
                <w:lang w:val="en-US" w:eastAsia="zh-CN"/>
              </w:rPr>
              <w:t>20</w:t>
            </w:r>
            <w:r>
              <w:rPr>
                <w:rFonts w:hint="eastAsia" w:ascii="宋体" w:hAnsi="宋体"/>
                <w:b/>
                <w:bCs/>
                <w:color w:val="auto"/>
                <w:szCs w:val="21"/>
              </w:rPr>
              <w:t>分）</w:t>
            </w:r>
          </w:p>
        </w:tc>
        <w:tc>
          <w:tcPr>
            <w:tcW w:w="1701" w:type="dxa"/>
            <w:vAlign w:val="center"/>
          </w:tcPr>
          <w:p w14:paraId="187E6C8F">
            <w:pPr>
              <w:adjustRightInd w:val="0"/>
              <w:spacing w:line="360" w:lineRule="exact"/>
              <w:jc w:val="center"/>
              <w:textAlignment w:val="baseline"/>
              <w:rPr>
                <w:rFonts w:ascii="宋体" w:hAnsi="宋体"/>
                <w:b/>
                <w:bCs/>
                <w:color w:val="auto"/>
                <w:szCs w:val="21"/>
              </w:rPr>
            </w:pPr>
            <w:r>
              <w:rPr>
                <w:rFonts w:hint="eastAsia" w:ascii="宋体" w:hAnsi="宋体"/>
                <w:b/>
                <w:bCs/>
                <w:color w:val="auto"/>
                <w:szCs w:val="21"/>
              </w:rPr>
              <w:t>投标报价</w:t>
            </w:r>
          </w:p>
        </w:tc>
        <w:tc>
          <w:tcPr>
            <w:tcW w:w="5660" w:type="dxa"/>
            <w:vAlign w:val="center"/>
          </w:tcPr>
          <w:p w14:paraId="4E3B88BE">
            <w:pPr>
              <w:snapToGrid w:val="0"/>
              <w:spacing w:line="360" w:lineRule="auto"/>
              <w:rPr>
                <w:rFonts w:hint="eastAsia" w:ascii="宋体" w:hAnsi="宋体" w:eastAsia="宋体"/>
                <w:b/>
                <w:bCs w:val="0"/>
                <w:color w:val="auto"/>
                <w:szCs w:val="21"/>
                <w:lang w:eastAsia="zh-CN"/>
              </w:rPr>
            </w:pPr>
            <w:r>
              <w:rPr>
                <w:rFonts w:hint="eastAsia" w:ascii="宋体" w:hAnsi="宋体"/>
                <w:bCs/>
                <w:color w:val="auto"/>
                <w:szCs w:val="21"/>
              </w:rPr>
              <w:t>（1）评标报价为投标人的投标报价进行政策性扣除后的价格，评标报价只是作为评标时使用。最终中标人的中标金额等于投标报价。</w:t>
            </w:r>
            <w:r>
              <w:rPr>
                <w:rFonts w:hint="eastAsia" w:ascii="宋体" w:hAnsi="宋体"/>
                <w:b/>
                <w:bCs w:val="0"/>
                <w:color w:val="auto"/>
                <w:szCs w:val="21"/>
                <w:lang w:eastAsia="zh-CN"/>
              </w:rPr>
              <w:t>（</w:t>
            </w:r>
            <w:r>
              <w:rPr>
                <w:rFonts w:hint="eastAsia" w:ascii="宋体" w:hAnsi="宋体"/>
                <w:b/>
                <w:bCs w:val="0"/>
                <w:color w:val="auto"/>
                <w:szCs w:val="21"/>
                <w:lang w:val="en-US" w:eastAsia="zh-CN"/>
              </w:rPr>
              <w:t>本项目属于100%专门面向中小微企业采购的项目，评标报价不进行政策性扣除。</w:t>
            </w:r>
            <w:r>
              <w:rPr>
                <w:rFonts w:hint="eastAsia" w:ascii="宋体" w:hAnsi="宋体"/>
                <w:b/>
                <w:bCs w:val="0"/>
                <w:color w:val="auto"/>
                <w:szCs w:val="21"/>
                <w:lang w:eastAsia="zh-CN"/>
              </w:rPr>
              <w:t>）</w:t>
            </w:r>
          </w:p>
          <w:p w14:paraId="3068949A">
            <w:pPr>
              <w:snapToGrid w:val="0"/>
              <w:spacing w:line="360" w:lineRule="auto"/>
              <w:rPr>
                <w:rFonts w:ascii="宋体" w:hAnsi="宋体"/>
                <w:bCs/>
                <w:color w:val="auto"/>
                <w:szCs w:val="21"/>
              </w:rPr>
            </w:pPr>
            <w:r>
              <w:rPr>
                <w:rFonts w:hint="eastAsia" w:ascii="宋体" w:hAnsi="宋体"/>
                <w:bCs/>
                <w:color w:val="auto"/>
                <w:szCs w:val="21"/>
              </w:rPr>
              <w:t>（</w:t>
            </w:r>
            <w:r>
              <w:rPr>
                <w:rFonts w:hint="eastAsia" w:ascii="宋体" w:hAnsi="宋体"/>
                <w:bCs/>
                <w:color w:val="auto"/>
                <w:szCs w:val="21"/>
                <w:lang w:val="en-US" w:eastAsia="zh-CN"/>
              </w:rPr>
              <w:t>2</w:t>
            </w:r>
            <w:r>
              <w:rPr>
                <w:rFonts w:hint="eastAsia" w:ascii="宋体" w:hAnsi="宋体"/>
                <w:bCs/>
                <w:color w:val="auto"/>
                <w:szCs w:val="21"/>
              </w:rPr>
              <w:t>）满足招标文件要求且评标报价最低的评标报价为评标基准价，其价格分为满分。</w:t>
            </w:r>
          </w:p>
          <w:p w14:paraId="3719B262">
            <w:pPr>
              <w:spacing w:line="360" w:lineRule="auto"/>
              <w:rPr>
                <w:rFonts w:ascii="宋体" w:hAnsi="宋体"/>
                <w:bCs/>
                <w:color w:val="auto"/>
                <w:szCs w:val="21"/>
              </w:rPr>
            </w:pPr>
            <w:r>
              <w:rPr>
                <w:rFonts w:hint="eastAsia" w:ascii="宋体" w:hAnsi="宋体"/>
                <w:bCs/>
                <w:color w:val="auto"/>
                <w:szCs w:val="21"/>
              </w:rPr>
              <w:t>（</w:t>
            </w:r>
            <w:r>
              <w:rPr>
                <w:rFonts w:hint="eastAsia" w:ascii="宋体" w:hAnsi="宋体"/>
                <w:bCs/>
                <w:color w:val="auto"/>
                <w:szCs w:val="21"/>
                <w:lang w:val="en-US" w:eastAsia="zh-CN"/>
              </w:rPr>
              <w:t>3</w:t>
            </w:r>
            <w:r>
              <w:rPr>
                <w:rFonts w:hint="eastAsia" w:ascii="宋体" w:hAnsi="宋体"/>
                <w:bCs/>
                <w:color w:val="auto"/>
                <w:szCs w:val="21"/>
              </w:rPr>
              <w:t xml:space="preserve">）价格分计算公式：        </w:t>
            </w:r>
          </w:p>
          <w:p w14:paraId="6FDD3CA7">
            <w:pPr>
              <w:spacing w:line="240" w:lineRule="exact"/>
              <w:ind w:firstLine="420" w:firstLineChars="200"/>
              <w:rPr>
                <w:rFonts w:ascii="宋体" w:hAnsi="宋体" w:cs="Courier New"/>
                <w:bCs/>
                <w:color w:val="auto"/>
                <w:szCs w:val="21"/>
              </w:rPr>
            </w:pPr>
            <w:r>
              <w:rPr>
                <w:rFonts w:hint="eastAsia" w:ascii="宋体" w:hAnsi="宋体"/>
                <w:bCs/>
                <w:color w:val="auto"/>
                <w:szCs w:val="21"/>
              </w:rPr>
              <w:t>价格分</w:t>
            </w:r>
            <w:r>
              <w:rPr>
                <w:rFonts w:hint="eastAsia" w:ascii="宋体" w:hAnsi="宋体" w:cs="Courier New"/>
                <w:bCs/>
                <w:color w:val="auto"/>
                <w:szCs w:val="21"/>
              </w:rPr>
              <w:t>=（评标基准价／评标报价）×</w:t>
            </w:r>
            <w:r>
              <w:rPr>
                <w:rFonts w:hint="eastAsia" w:ascii="宋体" w:hAnsi="宋体" w:cs="Courier New"/>
                <w:bCs/>
                <w:color w:val="auto"/>
                <w:szCs w:val="21"/>
                <w:u w:val="single"/>
                <w:lang w:val="en-US" w:eastAsia="zh-CN"/>
              </w:rPr>
              <w:t>20</w:t>
            </w:r>
            <w:r>
              <w:rPr>
                <w:rFonts w:hint="eastAsia" w:ascii="宋体" w:hAnsi="宋体" w:cs="Courier New"/>
                <w:bCs/>
                <w:color w:val="auto"/>
                <w:szCs w:val="21"/>
              </w:rPr>
              <w:t>分</w:t>
            </w:r>
          </w:p>
          <w:p w14:paraId="156CD7D2">
            <w:pPr>
              <w:spacing w:line="240" w:lineRule="exact"/>
              <w:ind w:firstLine="420" w:firstLineChars="200"/>
              <w:rPr>
                <w:rFonts w:ascii="宋体" w:hAnsi="宋体" w:cs="Courier New"/>
                <w:bCs/>
                <w:color w:val="auto"/>
                <w:szCs w:val="21"/>
              </w:rPr>
            </w:pPr>
          </w:p>
        </w:tc>
      </w:tr>
      <w:tr w14:paraId="3638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562" w:type="dxa"/>
            <w:vMerge w:val="restart"/>
            <w:vAlign w:val="center"/>
          </w:tcPr>
          <w:p w14:paraId="1D7FED9F">
            <w:pPr>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2</w:t>
            </w:r>
          </w:p>
        </w:tc>
        <w:tc>
          <w:tcPr>
            <w:tcW w:w="1585" w:type="dxa"/>
            <w:vMerge w:val="restart"/>
            <w:vAlign w:val="center"/>
          </w:tcPr>
          <w:p w14:paraId="4FCBA93A">
            <w:pPr>
              <w:adjustRightInd w:val="0"/>
              <w:spacing w:line="360" w:lineRule="exact"/>
              <w:jc w:val="center"/>
              <w:textAlignment w:val="baseline"/>
              <w:rPr>
                <w:rFonts w:ascii="宋体" w:hAnsi="宋体"/>
                <w:color w:val="auto"/>
                <w:spacing w:val="-18"/>
                <w:szCs w:val="21"/>
              </w:rPr>
            </w:pPr>
            <w:r>
              <w:rPr>
                <w:rFonts w:hint="eastAsia" w:ascii="宋体" w:hAnsi="宋体"/>
                <w:b/>
                <w:bCs/>
                <w:color w:val="auto"/>
                <w:szCs w:val="21"/>
              </w:rPr>
              <w:t>技术分（满分</w:t>
            </w:r>
            <w:r>
              <w:rPr>
                <w:rFonts w:hint="eastAsia" w:ascii="宋体" w:hAnsi="宋体"/>
                <w:b/>
                <w:bCs/>
                <w:color w:val="auto"/>
                <w:szCs w:val="21"/>
                <w:lang w:val="en-US" w:eastAsia="zh-CN"/>
              </w:rPr>
              <w:t>70</w:t>
            </w:r>
            <w:r>
              <w:rPr>
                <w:rFonts w:hint="eastAsia" w:ascii="宋体" w:hAnsi="宋体"/>
                <w:b/>
                <w:bCs/>
                <w:color w:val="auto"/>
                <w:szCs w:val="21"/>
              </w:rPr>
              <w:t>分）</w:t>
            </w:r>
          </w:p>
        </w:tc>
        <w:tc>
          <w:tcPr>
            <w:tcW w:w="1701" w:type="dxa"/>
            <w:vAlign w:val="center"/>
          </w:tcPr>
          <w:p w14:paraId="0E20F7F0">
            <w:pPr>
              <w:widowControl/>
              <w:snapToGrid w:val="0"/>
              <w:spacing w:line="360" w:lineRule="atLeast"/>
              <w:jc w:val="center"/>
              <w:rPr>
                <w:rFonts w:ascii="宋体" w:hAnsi="宋体" w:cs="微软雅黑"/>
                <w:color w:val="auto"/>
                <w:spacing w:val="-2"/>
                <w:szCs w:val="21"/>
              </w:rPr>
            </w:pPr>
            <w:r>
              <w:rPr>
                <w:rFonts w:hint="eastAsia" w:ascii="宋体" w:hAnsi="宋体" w:cs="微软雅黑"/>
                <w:color w:val="auto"/>
                <w:spacing w:val="-2"/>
                <w:szCs w:val="21"/>
              </w:rPr>
              <w:t>日常</w:t>
            </w:r>
            <w:r>
              <w:rPr>
                <w:rFonts w:hint="eastAsia" w:ascii="宋体" w:hAnsi="宋体" w:cs="微软雅黑"/>
                <w:color w:val="auto"/>
                <w:spacing w:val="-2"/>
                <w:szCs w:val="21"/>
                <w:lang w:val="en-US" w:eastAsia="zh-CN"/>
              </w:rPr>
              <w:t>运营</w:t>
            </w:r>
            <w:r>
              <w:rPr>
                <w:rFonts w:hint="eastAsia" w:ascii="宋体" w:hAnsi="宋体" w:cs="微软雅黑"/>
                <w:color w:val="auto"/>
                <w:spacing w:val="-2"/>
                <w:szCs w:val="21"/>
              </w:rPr>
              <w:t>服务方案分</w:t>
            </w:r>
          </w:p>
          <w:p w14:paraId="25C134EF">
            <w:pPr>
              <w:widowControl/>
              <w:snapToGrid w:val="0"/>
              <w:spacing w:line="360" w:lineRule="atLeast"/>
              <w:jc w:val="center"/>
              <w:rPr>
                <w:rFonts w:ascii="宋体" w:hAnsi="宋体" w:cs="微软雅黑"/>
                <w:color w:val="auto"/>
                <w:szCs w:val="21"/>
              </w:rPr>
            </w:pPr>
            <w:r>
              <w:rPr>
                <w:rFonts w:hint="eastAsia" w:ascii="宋体" w:hAnsi="宋体" w:cs="微软雅黑"/>
                <w:color w:val="auto"/>
                <w:spacing w:val="-2"/>
                <w:szCs w:val="21"/>
              </w:rPr>
              <w:t>（满分</w:t>
            </w:r>
            <w:r>
              <w:rPr>
                <w:rFonts w:hint="eastAsia" w:ascii="宋体" w:hAnsi="宋体" w:cs="微软雅黑"/>
                <w:color w:val="auto"/>
                <w:spacing w:val="-2"/>
                <w:szCs w:val="21"/>
                <w:lang w:val="en-US" w:eastAsia="zh-CN"/>
              </w:rPr>
              <w:t>15</w:t>
            </w:r>
            <w:r>
              <w:rPr>
                <w:rFonts w:hint="eastAsia" w:ascii="宋体" w:hAnsi="宋体" w:cs="微软雅黑"/>
                <w:color w:val="auto"/>
                <w:spacing w:val="-2"/>
                <w:szCs w:val="21"/>
              </w:rPr>
              <w:t>分）</w:t>
            </w:r>
          </w:p>
        </w:tc>
        <w:tc>
          <w:tcPr>
            <w:tcW w:w="5660" w:type="dxa"/>
            <w:vAlign w:val="center"/>
          </w:tcPr>
          <w:p w14:paraId="4980DAF3">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rPr>
              <w:t>对投标人的日常</w:t>
            </w:r>
            <w:r>
              <w:rPr>
                <w:rFonts w:hint="eastAsia" w:ascii="宋体" w:hAnsi="宋体" w:cs="微软雅黑"/>
                <w:color w:val="auto"/>
                <w:spacing w:val="-2"/>
                <w:szCs w:val="21"/>
                <w:lang w:val="en-US" w:eastAsia="zh-CN"/>
              </w:rPr>
              <w:t>运营</w:t>
            </w:r>
            <w:r>
              <w:rPr>
                <w:rFonts w:hint="eastAsia" w:ascii="宋体" w:hAnsi="宋体" w:cs="微软雅黑"/>
                <w:color w:val="auto"/>
                <w:spacing w:val="-2"/>
                <w:szCs w:val="21"/>
              </w:rPr>
              <w:t>服务实施方案进行独立评分：</w:t>
            </w:r>
          </w:p>
          <w:p w14:paraId="41142C6B">
            <w:pPr>
              <w:widowControl/>
              <w:snapToGrid w:val="0"/>
              <w:spacing w:line="360" w:lineRule="atLeast"/>
              <w:rPr>
                <w:rFonts w:ascii="宋体" w:hAnsi="宋体" w:cs="微软雅黑"/>
                <w:color w:val="auto"/>
                <w:spacing w:val="-2"/>
                <w:szCs w:val="21"/>
              </w:rPr>
            </w:pPr>
            <w:r>
              <w:rPr>
                <w:rFonts w:hint="eastAsia" w:ascii="宋体" w:hAnsi="宋体" w:cs="微软雅黑"/>
                <w:color w:val="auto"/>
                <w:spacing w:val="-2"/>
                <w:szCs w:val="21"/>
              </w:rPr>
              <w:t>一档（</w:t>
            </w:r>
            <w:r>
              <w:rPr>
                <w:rFonts w:hint="eastAsia" w:ascii="宋体" w:hAnsi="宋体" w:cs="微软雅黑"/>
                <w:color w:val="auto"/>
                <w:spacing w:val="-2"/>
                <w:szCs w:val="21"/>
                <w:lang w:val="en-US" w:eastAsia="zh-CN"/>
              </w:rPr>
              <w:t>2</w:t>
            </w:r>
            <w:r>
              <w:rPr>
                <w:rFonts w:hint="eastAsia" w:ascii="宋体" w:hAnsi="宋体" w:cs="微软雅黑"/>
                <w:color w:val="auto"/>
                <w:spacing w:val="-2"/>
                <w:szCs w:val="21"/>
              </w:rPr>
              <w:t>分）：提供了</w:t>
            </w:r>
            <w:r>
              <w:rPr>
                <w:rFonts w:hint="eastAsia" w:ascii="宋体" w:hAnsi="宋体" w:cs="微软雅黑"/>
                <w:color w:val="auto"/>
                <w:spacing w:val="-2"/>
                <w:szCs w:val="21"/>
                <w:lang w:val="en-US" w:eastAsia="zh-CN"/>
              </w:rPr>
              <w:t>运营工艺及项目管理：工艺概述、工艺运作流程、工作流程图，项目管理方案等；</w:t>
            </w:r>
            <w:r>
              <w:rPr>
                <w:rFonts w:hint="eastAsia" w:ascii="宋体" w:hAnsi="宋体" w:cs="微软雅黑"/>
                <w:color w:val="auto"/>
                <w:spacing w:val="-2"/>
                <w:szCs w:val="21"/>
              </w:rPr>
              <w:t>但仅满足采购文件要求，缺乏操作性的措施、</w:t>
            </w:r>
            <w:r>
              <w:rPr>
                <w:rFonts w:hint="eastAsia" w:ascii="宋体" w:hAnsi="宋体" w:cs="微软雅黑"/>
                <w:color w:val="auto"/>
                <w:spacing w:val="-2"/>
                <w:szCs w:val="21"/>
                <w:lang w:val="en-US" w:eastAsia="zh-CN"/>
              </w:rPr>
              <w:t>运营</w:t>
            </w:r>
            <w:r>
              <w:rPr>
                <w:rFonts w:hint="eastAsia" w:ascii="宋体" w:hAnsi="宋体" w:cs="微软雅黑"/>
                <w:color w:val="auto"/>
                <w:spacing w:val="-2"/>
                <w:szCs w:val="21"/>
              </w:rPr>
              <w:t>服务执行计划和流程描述。</w:t>
            </w:r>
          </w:p>
          <w:p w14:paraId="6233E506">
            <w:pPr>
              <w:widowControl/>
              <w:snapToGrid w:val="0"/>
              <w:spacing w:line="360" w:lineRule="atLeast"/>
              <w:rPr>
                <w:rFonts w:hint="eastAsia" w:ascii="宋体" w:hAnsi="宋体" w:cs="微软雅黑"/>
                <w:color w:val="auto"/>
                <w:spacing w:val="-2"/>
                <w:szCs w:val="21"/>
              </w:rPr>
            </w:pPr>
          </w:p>
          <w:p w14:paraId="34C7CB9A">
            <w:pPr>
              <w:widowControl/>
              <w:snapToGrid w:val="0"/>
              <w:spacing w:line="360" w:lineRule="atLeast"/>
              <w:rPr>
                <w:rFonts w:ascii="宋体" w:hAnsi="宋体" w:cs="微软雅黑"/>
                <w:color w:val="auto"/>
                <w:spacing w:val="-2"/>
                <w:szCs w:val="21"/>
              </w:rPr>
            </w:pPr>
            <w:r>
              <w:rPr>
                <w:rFonts w:hint="eastAsia" w:ascii="宋体" w:hAnsi="宋体" w:cs="微软雅黑"/>
                <w:color w:val="auto"/>
                <w:spacing w:val="-2"/>
                <w:szCs w:val="21"/>
              </w:rPr>
              <w:t>二档（</w:t>
            </w:r>
            <w:r>
              <w:rPr>
                <w:rFonts w:hint="eastAsia" w:ascii="宋体" w:hAnsi="宋体" w:cs="微软雅黑"/>
                <w:color w:val="auto"/>
                <w:spacing w:val="-2"/>
                <w:szCs w:val="21"/>
                <w:lang w:val="en-US" w:eastAsia="zh-CN"/>
              </w:rPr>
              <w:t>5</w:t>
            </w:r>
            <w:r>
              <w:rPr>
                <w:rFonts w:hint="eastAsia" w:ascii="宋体" w:hAnsi="宋体" w:cs="微软雅黑"/>
                <w:color w:val="auto"/>
                <w:spacing w:val="-2"/>
                <w:szCs w:val="21"/>
              </w:rPr>
              <w:t>分）：提供了</w:t>
            </w:r>
            <w:r>
              <w:rPr>
                <w:rFonts w:hint="eastAsia" w:ascii="宋体" w:hAnsi="宋体" w:cs="微软雅黑"/>
                <w:color w:val="auto"/>
                <w:spacing w:val="-2"/>
                <w:szCs w:val="21"/>
                <w:lang w:val="en-US" w:eastAsia="zh-CN"/>
              </w:rPr>
              <w:t>运营工艺及项目管理：工艺概述、工艺运作流程、工作流程图，项目管理方案等；</w:t>
            </w:r>
            <w:r>
              <w:rPr>
                <w:rFonts w:hint="eastAsia" w:ascii="宋体" w:hAnsi="宋体" w:cs="微软雅黑"/>
                <w:color w:val="auto"/>
                <w:spacing w:val="-2"/>
                <w:szCs w:val="21"/>
              </w:rPr>
              <w:t>满足采购文件要求，具有可操作性的措施、日常维护服务执行计划和流程描述。</w:t>
            </w:r>
          </w:p>
          <w:p w14:paraId="4A0C94A8">
            <w:pPr>
              <w:widowControl/>
              <w:snapToGrid w:val="0"/>
              <w:spacing w:line="360" w:lineRule="atLeast"/>
              <w:rPr>
                <w:rFonts w:hint="eastAsia" w:ascii="宋体" w:hAnsi="宋体" w:cs="微软雅黑"/>
                <w:color w:val="auto"/>
                <w:spacing w:val="-2"/>
                <w:szCs w:val="21"/>
              </w:rPr>
            </w:pPr>
          </w:p>
          <w:p w14:paraId="4F2CADBA">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rPr>
              <w:t>三档（</w:t>
            </w:r>
            <w:r>
              <w:rPr>
                <w:rFonts w:hint="eastAsia" w:ascii="宋体" w:hAnsi="宋体" w:cs="微软雅黑"/>
                <w:color w:val="auto"/>
                <w:spacing w:val="-2"/>
                <w:szCs w:val="21"/>
                <w:lang w:val="en-US" w:eastAsia="zh-CN"/>
              </w:rPr>
              <w:t>8</w:t>
            </w:r>
            <w:r>
              <w:rPr>
                <w:rFonts w:hint="eastAsia" w:ascii="宋体" w:hAnsi="宋体" w:cs="微软雅黑"/>
                <w:color w:val="auto"/>
                <w:spacing w:val="-2"/>
                <w:szCs w:val="21"/>
              </w:rPr>
              <w:t>分）：提供了</w:t>
            </w:r>
            <w:r>
              <w:rPr>
                <w:rFonts w:hint="eastAsia" w:ascii="宋体" w:hAnsi="宋体" w:cs="微软雅黑"/>
                <w:color w:val="auto"/>
                <w:spacing w:val="-2"/>
                <w:szCs w:val="21"/>
                <w:lang w:val="en-US" w:eastAsia="zh-CN"/>
              </w:rPr>
              <w:t>运营工艺及项目管理：工艺概述、工艺运作流程、工作流程图，项目管理方案等；</w:t>
            </w:r>
            <w:r>
              <w:rPr>
                <w:rFonts w:hint="eastAsia" w:ascii="宋体" w:hAnsi="宋体" w:cs="微软雅黑"/>
                <w:color w:val="auto"/>
                <w:spacing w:val="-2"/>
                <w:szCs w:val="21"/>
              </w:rPr>
              <w:t>满足采购文件要求</w:t>
            </w:r>
            <w:r>
              <w:rPr>
                <w:rFonts w:hint="eastAsia" w:ascii="宋体" w:hAnsi="宋体" w:cs="微软雅黑"/>
                <w:color w:val="auto"/>
                <w:spacing w:val="-2"/>
                <w:szCs w:val="21"/>
                <w:lang w:val="en-US" w:eastAsia="zh-CN"/>
              </w:rPr>
              <w:t>；且有设备系统操作及污水处理系统运行管理方案；</w:t>
            </w:r>
            <w:r>
              <w:rPr>
                <w:rFonts w:hint="eastAsia" w:ascii="宋体" w:hAnsi="宋体" w:cs="微软雅黑"/>
                <w:color w:val="auto"/>
                <w:spacing w:val="-2"/>
                <w:szCs w:val="21"/>
              </w:rPr>
              <w:t>且有年度服务计划、巡检工作计划、</w:t>
            </w:r>
            <w:r>
              <w:rPr>
                <w:rFonts w:hint="eastAsia" w:ascii="宋体" w:hAnsi="宋体" w:cs="微软雅黑"/>
                <w:color w:val="auto"/>
                <w:spacing w:val="-2"/>
                <w:szCs w:val="21"/>
                <w:lang w:val="en-US" w:eastAsia="zh-CN"/>
              </w:rPr>
              <w:t>设备设施</w:t>
            </w:r>
            <w:r>
              <w:rPr>
                <w:rFonts w:hint="eastAsia" w:ascii="宋体" w:hAnsi="宋体" w:cs="微软雅黑"/>
                <w:color w:val="auto"/>
                <w:spacing w:val="-2"/>
                <w:szCs w:val="21"/>
              </w:rPr>
              <w:t>保养计划，及相应的检查制度等。</w:t>
            </w:r>
          </w:p>
          <w:p w14:paraId="6A50A3C4">
            <w:pPr>
              <w:widowControl/>
              <w:snapToGrid w:val="0"/>
              <w:spacing w:line="360" w:lineRule="atLeast"/>
              <w:rPr>
                <w:rFonts w:hint="eastAsia" w:ascii="宋体" w:hAnsi="宋体" w:cs="微软雅黑"/>
                <w:color w:val="auto"/>
                <w:spacing w:val="-2"/>
                <w:szCs w:val="21"/>
                <w:lang w:val="en-US" w:eastAsia="zh-CN"/>
              </w:rPr>
            </w:pPr>
          </w:p>
          <w:p w14:paraId="0F6B4A3E">
            <w:pPr>
              <w:widowControl/>
              <w:snapToGrid w:val="0"/>
              <w:spacing w:line="360" w:lineRule="atLeast"/>
              <w:rPr>
                <w:rFonts w:hint="eastAsia" w:ascii="宋体" w:hAnsi="宋体" w:cs="微软雅黑"/>
                <w:color w:val="auto"/>
                <w:spacing w:val="-2"/>
                <w:szCs w:val="21"/>
                <w:lang w:val="en-US" w:eastAsia="zh-CN"/>
              </w:rPr>
            </w:pPr>
            <w:r>
              <w:rPr>
                <w:rFonts w:hint="eastAsia" w:ascii="宋体" w:hAnsi="宋体" w:cs="微软雅黑"/>
                <w:color w:val="auto"/>
                <w:spacing w:val="-2"/>
                <w:szCs w:val="21"/>
                <w:lang w:val="en-US" w:eastAsia="zh-CN"/>
              </w:rPr>
              <w:t>四</w:t>
            </w:r>
            <w:r>
              <w:rPr>
                <w:rFonts w:hint="eastAsia" w:ascii="宋体" w:hAnsi="宋体" w:cs="微软雅黑"/>
                <w:color w:val="auto"/>
                <w:spacing w:val="-2"/>
                <w:szCs w:val="21"/>
              </w:rPr>
              <w:t>档（</w:t>
            </w:r>
            <w:r>
              <w:rPr>
                <w:rFonts w:hint="eastAsia" w:ascii="宋体" w:hAnsi="宋体" w:cs="微软雅黑"/>
                <w:color w:val="auto"/>
                <w:spacing w:val="-2"/>
                <w:szCs w:val="21"/>
                <w:lang w:val="en-US" w:eastAsia="zh-CN"/>
              </w:rPr>
              <w:t>12</w:t>
            </w:r>
            <w:r>
              <w:rPr>
                <w:rFonts w:hint="eastAsia" w:ascii="宋体" w:hAnsi="宋体" w:cs="微软雅黑"/>
                <w:color w:val="auto"/>
                <w:spacing w:val="-2"/>
                <w:szCs w:val="21"/>
              </w:rPr>
              <w:t>分）：提供了</w:t>
            </w:r>
            <w:r>
              <w:rPr>
                <w:rFonts w:hint="eastAsia" w:ascii="宋体" w:hAnsi="宋体" w:cs="微软雅黑"/>
                <w:color w:val="auto"/>
                <w:spacing w:val="-2"/>
                <w:szCs w:val="21"/>
                <w:lang w:val="en-US" w:eastAsia="zh-CN"/>
              </w:rPr>
              <w:t>运营工艺及项目管理：工艺概述、工艺运作流程、工作流程图，项目管理方案等；</w:t>
            </w:r>
            <w:r>
              <w:rPr>
                <w:rFonts w:hint="eastAsia" w:ascii="宋体" w:hAnsi="宋体" w:cs="微软雅黑"/>
                <w:color w:val="auto"/>
                <w:spacing w:val="-2"/>
                <w:szCs w:val="21"/>
              </w:rPr>
              <w:t>满足采购文件要求</w:t>
            </w:r>
            <w:r>
              <w:rPr>
                <w:rFonts w:hint="eastAsia" w:ascii="宋体" w:hAnsi="宋体" w:cs="微软雅黑"/>
                <w:color w:val="auto"/>
                <w:spacing w:val="-2"/>
                <w:szCs w:val="21"/>
                <w:lang w:val="en-US" w:eastAsia="zh-CN"/>
              </w:rPr>
              <w:t>；且有设备系统操作及污水处理系统运行管理方案；</w:t>
            </w:r>
            <w:r>
              <w:rPr>
                <w:rFonts w:hint="eastAsia" w:ascii="宋体" w:hAnsi="宋体" w:cs="微软雅黑"/>
                <w:color w:val="auto"/>
                <w:spacing w:val="-2"/>
                <w:szCs w:val="21"/>
              </w:rPr>
              <w:t>且有年度服务计划、巡检工作计划、</w:t>
            </w:r>
            <w:r>
              <w:rPr>
                <w:rFonts w:hint="eastAsia" w:ascii="宋体" w:hAnsi="宋体" w:cs="微软雅黑"/>
                <w:color w:val="auto"/>
                <w:spacing w:val="-2"/>
                <w:szCs w:val="21"/>
                <w:lang w:val="en-US" w:eastAsia="zh-CN"/>
              </w:rPr>
              <w:t>设备设施</w:t>
            </w:r>
            <w:r>
              <w:rPr>
                <w:rFonts w:hint="eastAsia" w:ascii="宋体" w:hAnsi="宋体" w:cs="微软雅黑"/>
                <w:color w:val="auto"/>
                <w:spacing w:val="-2"/>
                <w:szCs w:val="21"/>
              </w:rPr>
              <w:t>保养计划，及相应的检查制度等</w:t>
            </w:r>
            <w:r>
              <w:rPr>
                <w:rFonts w:hint="eastAsia" w:ascii="宋体" w:hAnsi="宋体" w:cs="微软雅黑"/>
                <w:color w:val="auto"/>
                <w:spacing w:val="-2"/>
                <w:szCs w:val="21"/>
                <w:lang w:val="en-US" w:eastAsia="zh-CN"/>
              </w:rPr>
              <w:t>；且有污水处理厂设施设备运营维护方案，包括保养计划和日常运营维护方案。</w:t>
            </w:r>
          </w:p>
          <w:p w14:paraId="214B2A2B">
            <w:pPr>
              <w:widowControl/>
              <w:snapToGrid w:val="0"/>
              <w:spacing w:line="360" w:lineRule="atLeast"/>
              <w:rPr>
                <w:rFonts w:hint="eastAsia" w:ascii="宋体" w:hAnsi="宋体" w:cs="微软雅黑"/>
                <w:color w:val="auto"/>
                <w:spacing w:val="-2"/>
                <w:szCs w:val="21"/>
                <w:lang w:val="en-US" w:eastAsia="zh-CN"/>
              </w:rPr>
            </w:pPr>
          </w:p>
          <w:p w14:paraId="58D85CBC">
            <w:pPr>
              <w:widowControl/>
              <w:snapToGrid w:val="0"/>
              <w:spacing w:line="360" w:lineRule="atLeast"/>
              <w:rPr>
                <w:rFonts w:hint="default" w:ascii="宋体" w:hAnsi="宋体" w:cs="微软雅黑"/>
                <w:color w:val="auto"/>
                <w:spacing w:val="-2"/>
                <w:szCs w:val="21"/>
                <w:lang w:val="en-US" w:eastAsia="zh-CN"/>
              </w:rPr>
            </w:pPr>
            <w:r>
              <w:rPr>
                <w:rFonts w:hint="eastAsia" w:ascii="宋体" w:hAnsi="宋体" w:cs="微软雅黑"/>
                <w:color w:val="auto"/>
                <w:spacing w:val="-2"/>
                <w:szCs w:val="21"/>
                <w:lang w:val="en-US" w:eastAsia="zh-CN"/>
              </w:rPr>
              <w:t>五</w:t>
            </w:r>
            <w:r>
              <w:rPr>
                <w:rFonts w:hint="eastAsia" w:ascii="宋体" w:hAnsi="宋体" w:cs="微软雅黑"/>
                <w:color w:val="auto"/>
                <w:spacing w:val="-2"/>
                <w:szCs w:val="21"/>
              </w:rPr>
              <w:t>档（</w:t>
            </w:r>
            <w:r>
              <w:rPr>
                <w:rFonts w:hint="eastAsia" w:ascii="宋体" w:hAnsi="宋体" w:cs="微软雅黑"/>
                <w:color w:val="auto"/>
                <w:spacing w:val="-2"/>
                <w:szCs w:val="21"/>
                <w:lang w:val="en-US" w:eastAsia="zh-CN"/>
              </w:rPr>
              <w:t>15</w:t>
            </w:r>
            <w:r>
              <w:rPr>
                <w:rFonts w:hint="eastAsia" w:ascii="宋体" w:hAnsi="宋体" w:cs="微软雅黑"/>
                <w:color w:val="auto"/>
                <w:spacing w:val="-2"/>
                <w:szCs w:val="21"/>
              </w:rPr>
              <w:t>分）：提供了</w:t>
            </w:r>
            <w:r>
              <w:rPr>
                <w:rFonts w:hint="eastAsia" w:ascii="宋体" w:hAnsi="宋体" w:cs="微软雅黑"/>
                <w:color w:val="auto"/>
                <w:spacing w:val="-2"/>
                <w:szCs w:val="21"/>
                <w:lang w:val="en-US" w:eastAsia="zh-CN"/>
              </w:rPr>
              <w:t>运营工艺及项目管理：工艺概述、工艺运作流程、工作流程图，项目管理方案等；</w:t>
            </w:r>
            <w:r>
              <w:rPr>
                <w:rFonts w:hint="eastAsia" w:ascii="宋体" w:hAnsi="宋体" w:cs="微软雅黑"/>
                <w:color w:val="auto"/>
                <w:spacing w:val="-2"/>
                <w:szCs w:val="21"/>
              </w:rPr>
              <w:t>满足采购文件要求</w:t>
            </w:r>
            <w:r>
              <w:rPr>
                <w:rFonts w:hint="eastAsia" w:ascii="宋体" w:hAnsi="宋体" w:cs="微软雅黑"/>
                <w:color w:val="auto"/>
                <w:spacing w:val="-2"/>
                <w:szCs w:val="21"/>
                <w:lang w:val="en-US" w:eastAsia="zh-CN"/>
              </w:rPr>
              <w:t>；且有设备系统操作及污水处理系统运行管理方案；</w:t>
            </w:r>
            <w:r>
              <w:rPr>
                <w:rFonts w:hint="eastAsia" w:ascii="宋体" w:hAnsi="宋体" w:cs="微软雅黑"/>
                <w:color w:val="auto"/>
                <w:spacing w:val="-2"/>
                <w:szCs w:val="21"/>
              </w:rPr>
              <w:t>且有年度服务计划、巡检工作计划、</w:t>
            </w:r>
            <w:r>
              <w:rPr>
                <w:rFonts w:hint="eastAsia" w:ascii="宋体" w:hAnsi="宋体" w:cs="微软雅黑"/>
                <w:color w:val="auto"/>
                <w:spacing w:val="-2"/>
                <w:szCs w:val="21"/>
                <w:lang w:val="en-US" w:eastAsia="zh-CN"/>
              </w:rPr>
              <w:t>设备设施</w:t>
            </w:r>
            <w:r>
              <w:rPr>
                <w:rFonts w:hint="eastAsia" w:ascii="宋体" w:hAnsi="宋体" w:cs="微软雅黑"/>
                <w:color w:val="auto"/>
                <w:spacing w:val="-2"/>
                <w:szCs w:val="21"/>
              </w:rPr>
              <w:t>保养计划，及相应的检查制度等</w:t>
            </w:r>
            <w:r>
              <w:rPr>
                <w:rFonts w:hint="eastAsia" w:ascii="宋体" w:hAnsi="宋体" w:cs="微软雅黑"/>
                <w:color w:val="auto"/>
                <w:spacing w:val="-2"/>
                <w:szCs w:val="21"/>
                <w:lang w:val="en-US" w:eastAsia="zh-CN"/>
              </w:rPr>
              <w:t>；且有污水处理厂设施设备运营维护方案，包括保养计划和日常运营维护方案；有齐全的运营人员配置方案，核心管理团队、厂区运行人员、管网维护人员数量均超额满足要求，配置清单详细，提供《人员配置管理制度》及岗位职责说明书。</w:t>
            </w:r>
          </w:p>
          <w:p w14:paraId="0BD6625D">
            <w:pPr>
              <w:widowControl/>
              <w:snapToGrid w:val="0"/>
              <w:spacing w:line="360" w:lineRule="atLeast"/>
              <w:rPr>
                <w:rFonts w:ascii="宋体" w:hAnsi="宋体" w:cs="微软雅黑"/>
                <w:color w:val="auto"/>
                <w:spacing w:val="-2"/>
                <w:szCs w:val="21"/>
              </w:rPr>
            </w:pPr>
            <w:r>
              <w:rPr>
                <w:rFonts w:hint="eastAsia" w:ascii="宋体" w:hAnsi="宋体" w:cs="微软雅黑"/>
                <w:color w:val="auto"/>
                <w:spacing w:val="-2"/>
                <w:szCs w:val="21"/>
              </w:rPr>
              <w:t>注：不符合最低入档条件的按不入档计0分处理。</w:t>
            </w:r>
          </w:p>
        </w:tc>
      </w:tr>
      <w:tr w14:paraId="5C2D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62" w:type="dxa"/>
            <w:vMerge w:val="continue"/>
          </w:tcPr>
          <w:p w14:paraId="03FEB7FE">
            <w:pPr>
              <w:adjustRightInd w:val="0"/>
              <w:snapToGrid w:val="0"/>
              <w:spacing w:line="360" w:lineRule="atLeast"/>
              <w:jc w:val="center"/>
              <w:textAlignment w:val="baseline"/>
              <w:rPr>
                <w:rFonts w:ascii="宋体" w:hAnsi="宋体"/>
                <w:color w:val="auto"/>
                <w:szCs w:val="21"/>
              </w:rPr>
            </w:pPr>
          </w:p>
        </w:tc>
        <w:tc>
          <w:tcPr>
            <w:tcW w:w="1585" w:type="dxa"/>
            <w:vMerge w:val="continue"/>
          </w:tcPr>
          <w:p w14:paraId="5DE5487D">
            <w:pPr>
              <w:adjustRightInd w:val="0"/>
              <w:snapToGrid w:val="0"/>
              <w:spacing w:line="360" w:lineRule="atLeast"/>
              <w:jc w:val="center"/>
              <w:textAlignment w:val="baseline"/>
              <w:rPr>
                <w:rFonts w:ascii="宋体" w:hAnsi="宋体"/>
                <w:color w:val="auto"/>
                <w:szCs w:val="21"/>
              </w:rPr>
            </w:pPr>
          </w:p>
        </w:tc>
        <w:tc>
          <w:tcPr>
            <w:tcW w:w="1701" w:type="dxa"/>
            <w:tcMar>
              <w:left w:w="57" w:type="dxa"/>
              <w:right w:w="57" w:type="dxa"/>
            </w:tcMar>
            <w:vAlign w:val="center"/>
          </w:tcPr>
          <w:p w14:paraId="5F285769">
            <w:pPr>
              <w:widowControl/>
              <w:snapToGrid w:val="0"/>
              <w:spacing w:line="360" w:lineRule="atLeast"/>
              <w:jc w:val="center"/>
              <w:rPr>
                <w:rFonts w:ascii="宋体" w:hAnsi="宋体" w:cs="微软雅黑"/>
                <w:color w:val="auto"/>
                <w:spacing w:val="-2"/>
                <w:szCs w:val="21"/>
              </w:rPr>
            </w:pPr>
            <w:r>
              <w:rPr>
                <w:rFonts w:hint="eastAsia" w:ascii="宋体" w:hAnsi="宋体" w:cs="微软雅黑"/>
                <w:color w:val="auto"/>
                <w:spacing w:val="-2"/>
                <w:szCs w:val="21"/>
                <w:lang w:val="en-US" w:eastAsia="zh-CN"/>
              </w:rPr>
              <w:t>应急处置能力</w:t>
            </w:r>
            <w:r>
              <w:rPr>
                <w:rFonts w:hint="eastAsia" w:ascii="宋体" w:hAnsi="宋体" w:cs="微软雅黑"/>
                <w:color w:val="auto"/>
                <w:spacing w:val="-2"/>
                <w:szCs w:val="21"/>
              </w:rPr>
              <w:t>分</w:t>
            </w:r>
          </w:p>
          <w:p w14:paraId="29AE2FB6">
            <w:pPr>
              <w:widowControl/>
              <w:snapToGrid w:val="0"/>
              <w:spacing w:line="360" w:lineRule="atLeast"/>
              <w:jc w:val="center"/>
              <w:rPr>
                <w:rFonts w:ascii="宋体" w:hAnsi="宋体" w:cs="微软雅黑"/>
                <w:color w:val="auto"/>
                <w:spacing w:val="-2"/>
                <w:szCs w:val="21"/>
              </w:rPr>
            </w:pPr>
            <w:r>
              <w:rPr>
                <w:rFonts w:hint="eastAsia" w:ascii="宋体" w:hAnsi="宋体" w:cs="微软雅黑"/>
                <w:color w:val="auto"/>
                <w:spacing w:val="-2"/>
                <w:szCs w:val="21"/>
              </w:rPr>
              <w:t>（满分</w:t>
            </w:r>
            <w:r>
              <w:rPr>
                <w:rFonts w:hint="eastAsia" w:ascii="宋体" w:hAnsi="宋体" w:cs="微软雅黑"/>
                <w:color w:val="auto"/>
                <w:spacing w:val="-2"/>
                <w:szCs w:val="21"/>
                <w:lang w:val="en-US" w:eastAsia="zh-CN"/>
              </w:rPr>
              <w:t>15</w:t>
            </w:r>
            <w:r>
              <w:rPr>
                <w:rFonts w:hint="eastAsia" w:ascii="宋体" w:hAnsi="宋体" w:cs="微软雅黑"/>
                <w:color w:val="auto"/>
                <w:spacing w:val="-2"/>
                <w:szCs w:val="21"/>
              </w:rPr>
              <w:t>分）</w:t>
            </w:r>
          </w:p>
        </w:tc>
        <w:tc>
          <w:tcPr>
            <w:tcW w:w="5660" w:type="dxa"/>
            <w:vAlign w:val="center"/>
          </w:tcPr>
          <w:p w14:paraId="1A69276B">
            <w:pPr>
              <w:widowControl/>
              <w:snapToGrid w:val="0"/>
              <w:spacing w:line="360" w:lineRule="atLeast"/>
              <w:rPr>
                <w:rFonts w:ascii="宋体" w:hAnsi="宋体" w:cs="微软雅黑"/>
                <w:color w:val="auto"/>
                <w:spacing w:val="-2"/>
                <w:szCs w:val="21"/>
              </w:rPr>
            </w:pPr>
            <w:r>
              <w:rPr>
                <w:rFonts w:hint="eastAsia" w:ascii="宋体" w:hAnsi="宋体" w:cs="微软雅黑"/>
                <w:color w:val="auto"/>
                <w:spacing w:val="-2"/>
                <w:szCs w:val="21"/>
              </w:rPr>
              <w:t>对投标人的</w:t>
            </w:r>
            <w:r>
              <w:rPr>
                <w:rFonts w:hint="eastAsia" w:ascii="宋体" w:hAnsi="宋体" w:cs="微软雅黑"/>
                <w:color w:val="auto"/>
                <w:spacing w:val="-2"/>
                <w:szCs w:val="21"/>
                <w:lang w:val="en-US" w:eastAsia="zh-CN"/>
              </w:rPr>
              <w:t>应急处置能力</w:t>
            </w:r>
            <w:r>
              <w:rPr>
                <w:rFonts w:hint="eastAsia" w:ascii="宋体" w:hAnsi="宋体" w:cs="微软雅黑"/>
                <w:color w:val="auto"/>
                <w:spacing w:val="-2"/>
                <w:szCs w:val="21"/>
              </w:rPr>
              <w:t>进行独立评分：</w:t>
            </w:r>
          </w:p>
          <w:p w14:paraId="12E84420">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lang w:val="en-US" w:eastAsia="zh-CN"/>
              </w:rPr>
              <w:t>一档（2</w:t>
            </w:r>
            <w:r>
              <w:rPr>
                <w:rFonts w:hint="eastAsia" w:ascii="宋体" w:hAnsi="宋体" w:cs="微软雅黑"/>
                <w:color w:val="auto"/>
                <w:spacing w:val="-2"/>
                <w:szCs w:val="21"/>
              </w:rPr>
              <w:t>分</w:t>
            </w:r>
            <w:r>
              <w:rPr>
                <w:rFonts w:hint="eastAsia" w:ascii="宋体" w:hAnsi="宋体" w:cs="微软雅黑"/>
                <w:color w:val="auto"/>
                <w:spacing w:val="-2"/>
                <w:szCs w:val="21"/>
                <w:lang w:eastAsia="zh-CN"/>
              </w:rPr>
              <w:t>）</w:t>
            </w:r>
            <w:r>
              <w:rPr>
                <w:rFonts w:hint="eastAsia" w:ascii="宋体" w:hAnsi="宋体" w:cs="微软雅黑"/>
                <w:color w:val="auto"/>
                <w:spacing w:val="-2"/>
                <w:szCs w:val="21"/>
              </w:rPr>
              <w:t>：仅提及应急处置思路，未形成完整方案，无专项文件；</w:t>
            </w:r>
          </w:p>
          <w:p w14:paraId="6E676D49">
            <w:pPr>
              <w:widowControl/>
              <w:snapToGrid w:val="0"/>
              <w:spacing w:line="360" w:lineRule="atLeast"/>
              <w:rPr>
                <w:rFonts w:hint="eastAsia" w:ascii="宋体" w:hAnsi="宋体" w:cs="微软雅黑"/>
                <w:color w:val="auto"/>
                <w:spacing w:val="-2"/>
                <w:szCs w:val="21"/>
                <w:lang w:val="en-US" w:eastAsia="zh-CN"/>
              </w:rPr>
            </w:pPr>
          </w:p>
          <w:p w14:paraId="7AB05FBE">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lang w:val="en-US" w:eastAsia="zh-CN"/>
              </w:rPr>
              <w:t>二档（5</w:t>
            </w:r>
            <w:r>
              <w:rPr>
                <w:rFonts w:hint="eastAsia" w:ascii="宋体" w:hAnsi="宋体" w:cs="微软雅黑"/>
                <w:color w:val="auto"/>
                <w:spacing w:val="-2"/>
                <w:szCs w:val="21"/>
              </w:rPr>
              <w:t>分</w:t>
            </w:r>
            <w:r>
              <w:rPr>
                <w:rFonts w:hint="eastAsia" w:ascii="宋体" w:hAnsi="宋体" w:cs="微软雅黑"/>
                <w:color w:val="auto"/>
                <w:spacing w:val="-2"/>
                <w:szCs w:val="21"/>
                <w:lang w:eastAsia="zh-CN"/>
              </w:rPr>
              <w:t>）</w:t>
            </w:r>
            <w:r>
              <w:rPr>
                <w:rFonts w:hint="eastAsia" w:ascii="宋体" w:hAnsi="宋体" w:cs="微软雅黑"/>
                <w:color w:val="auto"/>
                <w:spacing w:val="-2"/>
                <w:szCs w:val="21"/>
              </w:rPr>
              <w:t>：应急方案内容简单，仅明确主要突发事件，处置流程不完善，未形成专项文件；</w:t>
            </w:r>
          </w:p>
          <w:p w14:paraId="5BA89A96">
            <w:pPr>
              <w:widowControl/>
              <w:snapToGrid w:val="0"/>
              <w:spacing w:line="360" w:lineRule="atLeast"/>
              <w:rPr>
                <w:rFonts w:hint="eastAsia" w:ascii="宋体" w:hAnsi="宋体" w:cs="微软雅黑"/>
                <w:color w:val="auto"/>
                <w:spacing w:val="-2"/>
                <w:szCs w:val="21"/>
                <w:lang w:val="en-US" w:eastAsia="zh-CN"/>
              </w:rPr>
            </w:pPr>
          </w:p>
          <w:p w14:paraId="3E30747A">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lang w:val="en-US" w:eastAsia="zh-CN"/>
              </w:rPr>
              <w:t>三档（8</w:t>
            </w:r>
            <w:r>
              <w:rPr>
                <w:rFonts w:hint="eastAsia" w:ascii="宋体" w:hAnsi="宋体" w:cs="微软雅黑"/>
                <w:color w:val="auto"/>
                <w:spacing w:val="-2"/>
                <w:szCs w:val="21"/>
              </w:rPr>
              <w:t>分</w:t>
            </w:r>
            <w:r>
              <w:rPr>
                <w:rFonts w:hint="eastAsia" w:ascii="宋体" w:hAnsi="宋体" w:cs="微软雅黑"/>
                <w:color w:val="auto"/>
                <w:spacing w:val="-2"/>
                <w:szCs w:val="21"/>
                <w:lang w:eastAsia="zh-CN"/>
              </w:rPr>
              <w:t>）</w:t>
            </w:r>
            <w:r>
              <w:rPr>
                <w:rFonts w:hint="eastAsia" w:ascii="宋体" w:hAnsi="宋体" w:cs="微软雅黑"/>
                <w:color w:val="auto"/>
                <w:spacing w:val="-2"/>
                <w:szCs w:val="21"/>
              </w:rPr>
              <w:t>：提供应急方案框架，覆盖核心突发事件，响应时限明确，处置流程清晰；</w:t>
            </w:r>
          </w:p>
          <w:p w14:paraId="51A616AE">
            <w:pPr>
              <w:widowControl/>
              <w:snapToGrid w:val="0"/>
              <w:spacing w:line="360" w:lineRule="atLeast"/>
              <w:rPr>
                <w:rFonts w:hint="eastAsia" w:ascii="宋体" w:hAnsi="宋体" w:cs="微软雅黑"/>
                <w:color w:val="auto"/>
                <w:spacing w:val="-2"/>
                <w:szCs w:val="21"/>
                <w:lang w:val="en-US" w:eastAsia="zh-CN"/>
              </w:rPr>
            </w:pPr>
          </w:p>
          <w:p w14:paraId="59939683">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lang w:val="en-US" w:eastAsia="zh-CN"/>
              </w:rPr>
              <w:t>四档（12</w:t>
            </w:r>
            <w:r>
              <w:rPr>
                <w:rFonts w:hint="eastAsia" w:ascii="宋体" w:hAnsi="宋体" w:cs="微软雅黑"/>
                <w:color w:val="auto"/>
                <w:spacing w:val="-2"/>
                <w:szCs w:val="21"/>
              </w:rPr>
              <w:t>分</w:t>
            </w:r>
            <w:r>
              <w:rPr>
                <w:rFonts w:hint="eastAsia" w:ascii="宋体" w:hAnsi="宋体" w:cs="微软雅黑"/>
                <w:color w:val="auto"/>
                <w:spacing w:val="-2"/>
                <w:szCs w:val="21"/>
                <w:lang w:eastAsia="zh-CN"/>
              </w:rPr>
              <w:t>）</w:t>
            </w:r>
            <w:r>
              <w:rPr>
                <w:rFonts w:hint="eastAsia" w:ascii="宋体" w:hAnsi="宋体" w:cs="微软雅黑"/>
                <w:color w:val="auto"/>
                <w:spacing w:val="-2"/>
                <w:szCs w:val="21"/>
              </w:rPr>
              <w:t>：提供《突发事件应急处置专项方案》，覆盖主要突发事件，响应时限合理（≤12 小时），处置流程与责任分工明确；</w:t>
            </w:r>
          </w:p>
          <w:p w14:paraId="0CC281EC">
            <w:pPr>
              <w:widowControl/>
              <w:snapToGrid w:val="0"/>
              <w:spacing w:line="360" w:lineRule="atLeast"/>
              <w:rPr>
                <w:rFonts w:hint="eastAsia" w:ascii="宋体" w:hAnsi="宋体" w:cs="微软雅黑"/>
                <w:color w:val="auto"/>
                <w:spacing w:val="-2"/>
                <w:szCs w:val="21"/>
                <w:lang w:val="en-US" w:eastAsia="zh-CN"/>
              </w:rPr>
            </w:pPr>
          </w:p>
          <w:p w14:paraId="36C81DCE">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lang w:val="en-US" w:eastAsia="zh-CN"/>
              </w:rPr>
              <w:t>五</w:t>
            </w:r>
            <w:r>
              <w:rPr>
                <w:rFonts w:hint="eastAsia" w:ascii="宋体" w:hAnsi="宋体" w:cs="微软雅黑"/>
                <w:color w:val="auto"/>
                <w:spacing w:val="-2"/>
                <w:szCs w:val="21"/>
              </w:rPr>
              <w:t>档</w:t>
            </w:r>
            <w:r>
              <w:rPr>
                <w:rFonts w:hint="eastAsia" w:ascii="宋体" w:hAnsi="宋体" w:cs="微软雅黑"/>
                <w:color w:val="auto"/>
                <w:spacing w:val="-2"/>
                <w:szCs w:val="21"/>
                <w:lang w:eastAsia="zh-CN"/>
              </w:rPr>
              <w:t>（</w:t>
            </w:r>
            <w:r>
              <w:rPr>
                <w:rFonts w:hint="eastAsia" w:ascii="宋体" w:hAnsi="宋体" w:cs="微软雅黑"/>
                <w:color w:val="auto"/>
                <w:spacing w:val="-2"/>
                <w:szCs w:val="21"/>
                <w:lang w:val="en-US" w:eastAsia="zh-CN"/>
              </w:rPr>
              <w:t>15分）：提供《突发事件应急处置专项方案》，覆盖所有重大突发事件，响应时限明确（≤8 小时），处置流程细化，责任分工清晰，含演练计划及复盘制度；</w:t>
            </w:r>
          </w:p>
          <w:p w14:paraId="5815ECE4">
            <w:pPr>
              <w:widowControl/>
              <w:snapToGrid w:val="0"/>
              <w:spacing w:line="360" w:lineRule="atLeast"/>
              <w:rPr>
                <w:rFonts w:ascii="宋体" w:hAnsi="宋体" w:cs="微软雅黑"/>
                <w:color w:val="auto"/>
                <w:spacing w:val="-2"/>
                <w:szCs w:val="21"/>
              </w:rPr>
            </w:pPr>
            <w:r>
              <w:rPr>
                <w:rFonts w:hint="eastAsia" w:ascii="宋体" w:hAnsi="宋体" w:cs="微软雅黑"/>
                <w:color w:val="auto"/>
                <w:spacing w:val="-2"/>
                <w:szCs w:val="21"/>
              </w:rPr>
              <w:t>注：不符合最低入档条件的按不入档计0分处理。</w:t>
            </w:r>
          </w:p>
        </w:tc>
      </w:tr>
      <w:tr w14:paraId="7705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62" w:type="dxa"/>
            <w:vMerge w:val="continue"/>
          </w:tcPr>
          <w:p w14:paraId="3FB190EE">
            <w:pPr>
              <w:adjustRightInd w:val="0"/>
              <w:snapToGrid w:val="0"/>
              <w:spacing w:line="360" w:lineRule="atLeast"/>
              <w:jc w:val="center"/>
              <w:textAlignment w:val="baseline"/>
              <w:rPr>
                <w:rFonts w:ascii="宋体" w:hAnsi="宋体"/>
                <w:color w:val="auto"/>
                <w:szCs w:val="21"/>
              </w:rPr>
            </w:pPr>
          </w:p>
        </w:tc>
        <w:tc>
          <w:tcPr>
            <w:tcW w:w="1585" w:type="dxa"/>
            <w:vMerge w:val="continue"/>
          </w:tcPr>
          <w:p w14:paraId="61A13E51">
            <w:pPr>
              <w:adjustRightInd w:val="0"/>
              <w:snapToGrid w:val="0"/>
              <w:spacing w:line="360" w:lineRule="atLeast"/>
              <w:jc w:val="center"/>
              <w:textAlignment w:val="baseline"/>
              <w:rPr>
                <w:rFonts w:ascii="宋体" w:hAnsi="宋体"/>
                <w:color w:val="auto"/>
                <w:szCs w:val="21"/>
              </w:rPr>
            </w:pPr>
          </w:p>
        </w:tc>
        <w:tc>
          <w:tcPr>
            <w:tcW w:w="1701" w:type="dxa"/>
            <w:tcMar>
              <w:left w:w="57" w:type="dxa"/>
              <w:right w:w="57" w:type="dxa"/>
            </w:tcMar>
            <w:vAlign w:val="center"/>
          </w:tcPr>
          <w:p w14:paraId="43CF53D4">
            <w:pPr>
              <w:widowControl/>
              <w:snapToGrid w:val="0"/>
              <w:spacing w:line="360" w:lineRule="atLeast"/>
              <w:jc w:val="center"/>
              <w:rPr>
                <w:rFonts w:hint="eastAsia" w:ascii="宋体" w:hAnsi="宋体" w:cs="微软雅黑"/>
                <w:color w:val="auto"/>
                <w:spacing w:val="-2"/>
                <w:szCs w:val="21"/>
                <w:lang w:val="en-US" w:eastAsia="zh-CN"/>
              </w:rPr>
            </w:pPr>
            <w:r>
              <w:rPr>
                <w:rFonts w:hint="eastAsia" w:ascii="宋体" w:hAnsi="宋体" w:cs="微软雅黑"/>
                <w:color w:val="auto"/>
                <w:spacing w:val="-2"/>
                <w:szCs w:val="21"/>
              </w:rPr>
              <w:t>备机备品储备</w:t>
            </w:r>
            <w:r>
              <w:rPr>
                <w:rFonts w:hint="eastAsia" w:ascii="宋体" w:hAnsi="宋体" w:cs="微软雅黑"/>
                <w:color w:val="auto"/>
                <w:spacing w:val="-2"/>
                <w:szCs w:val="21"/>
                <w:lang w:val="en-US" w:eastAsia="zh-CN"/>
              </w:rPr>
              <w:t>能力分</w:t>
            </w:r>
          </w:p>
          <w:p w14:paraId="6B26201B">
            <w:pPr>
              <w:widowControl/>
              <w:snapToGrid w:val="0"/>
              <w:spacing w:line="360" w:lineRule="atLeast"/>
              <w:jc w:val="center"/>
              <w:rPr>
                <w:rFonts w:hint="eastAsia" w:ascii="宋体" w:hAnsi="宋体" w:cs="微软雅黑"/>
                <w:color w:val="auto"/>
                <w:spacing w:val="-2"/>
                <w:szCs w:val="21"/>
                <w:lang w:val="en-US" w:eastAsia="zh-CN"/>
              </w:rPr>
            </w:pPr>
            <w:r>
              <w:rPr>
                <w:rFonts w:hint="eastAsia" w:ascii="宋体" w:hAnsi="宋体" w:cs="微软雅黑"/>
                <w:color w:val="auto"/>
                <w:spacing w:val="-2"/>
                <w:szCs w:val="21"/>
              </w:rPr>
              <w:t>（满分</w:t>
            </w:r>
            <w:r>
              <w:rPr>
                <w:rFonts w:hint="eastAsia" w:ascii="宋体" w:hAnsi="宋体" w:cs="微软雅黑"/>
                <w:color w:val="auto"/>
                <w:spacing w:val="-2"/>
                <w:szCs w:val="21"/>
                <w:lang w:val="en-US" w:eastAsia="zh-CN"/>
              </w:rPr>
              <w:t>15</w:t>
            </w:r>
            <w:r>
              <w:rPr>
                <w:rFonts w:hint="eastAsia" w:ascii="宋体" w:hAnsi="宋体" w:cs="微软雅黑"/>
                <w:color w:val="auto"/>
                <w:spacing w:val="-2"/>
                <w:szCs w:val="21"/>
              </w:rPr>
              <w:t>分）</w:t>
            </w:r>
          </w:p>
        </w:tc>
        <w:tc>
          <w:tcPr>
            <w:tcW w:w="5660" w:type="dxa"/>
            <w:vAlign w:val="center"/>
          </w:tcPr>
          <w:p w14:paraId="40018935">
            <w:pPr>
              <w:widowControl/>
              <w:snapToGrid w:val="0"/>
              <w:spacing w:line="360" w:lineRule="atLeast"/>
              <w:rPr>
                <w:rFonts w:ascii="宋体" w:hAnsi="宋体" w:cs="微软雅黑"/>
                <w:color w:val="auto"/>
                <w:spacing w:val="-2"/>
                <w:szCs w:val="21"/>
              </w:rPr>
            </w:pPr>
            <w:r>
              <w:rPr>
                <w:rFonts w:hint="eastAsia" w:ascii="宋体" w:hAnsi="宋体" w:cs="微软雅黑"/>
                <w:color w:val="auto"/>
                <w:spacing w:val="-2"/>
                <w:szCs w:val="21"/>
              </w:rPr>
              <w:t>对投标人的备机备品储备</w:t>
            </w:r>
            <w:r>
              <w:rPr>
                <w:rFonts w:hint="eastAsia" w:ascii="宋体" w:hAnsi="宋体" w:cs="微软雅黑"/>
                <w:color w:val="auto"/>
                <w:spacing w:val="-2"/>
                <w:szCs w:val="21"/>
                <w:lang w:val="en-US" w:eastAsia="zh-CN"/>
              </w:rPr>
              <w:t>能力</w:t>
            </w:r>
            <w:r>
              <w:rPr>
                <w:rFonts w:hint="eastAsia" w:ascii="宋体" w:hAnsi="宋体" w:cs="微软雅黑"/>
                <w:color w:val="auto"/>
                <w:spacing w:val="-2"/>
                <w:szCs w:val="21"/>
              </w:rPr>
              <w:t>进行独立评分：</w:t>
            </w:r>
          </w:p>
          <w:p w14:paraId="31C7FF81">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lang w:val="en-US" w:eastAsia="zh-CN"/>
              </w:rPr>
              <w:t>一档（2</w:t>
            </w:r>
            <w:r>
              <w:rPr>
                <w:rFonts w:hint="eastAsia" w:ascii="宋体" w:hAnsi="宋体" w:cs="微软雅黑"/>
                <w:color w:val="auto"/>
                <w:spacing w:val="-2"/>
                <w:szCs w:val="21"/>
              </w:rPr>
              <w:t xml:space="preserve"> 分</w:t>
            </w:r>
            <w:r>
              <w:rPr>
                <w:rFonts w:hint="eastAsia" w:ascii="宋体" w:hAnsi="宋体" w:cs="微软雅黑"/>
                <w:color w:val="auto"/>
                <w:spacing w:val="-2"/>
                <w:szCs w:val="21"/>
                <w:lang w:eastAsia="zh-CN"/>
              </w:rPr>
              <w:t>）</w:t>
            </w:r>
            <w:r>
              <w:rPr>
                <w:rFonts w:hint="eastAsia" w:ascii="宋体" w:hAnsi="宋体" w:cs="微软雅黑"/>
                <w:color w:val="auto"/>
                <w:spacing w:val="-2"/>
                <w:szCs w:val="21"/>
              </w:rPr>
              <w:t>：有少量备机备品储备，但无明确清单及采购机制，无相关管理制度；</w:t>
            </w:r>
          </w:p>
          <w:p w14:paraId="518612BD">
            <w:pPr>
              <w:widowControl/>
              <w:snapToGrid w:val="0"/>
              <w:spacing w:line="360" w:lineRule="atLeast"/>
              <w:rPr>
                <w:rFonts w:hint="eastAsia" w:ascii="宋体" w:hAnsi="宋体" w:cs="微软雅黑"/>
                <w:color w:val="auto"/>
                <w:spacing w:val="-2"/>
                <w:szCs w:val="21"/>
                <w:lang w:val="en-US" w:eastAsia="zh-CN"/>
              </w:rPr>
            </w:pPr>
          </w:p>
          <w:p w14:paraId="488014F0">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lang w:val="en-US" w:eastAsia="zh-CN"/>
              </w:rPr>
              <w:t>二档（5</w:t>
            </w:r>
            <w:r>
              <w:rPr>
                <w:rFonts w:hint="eastAsia" w:ascii="宋体" w:hAnsi="宋体" w:cs="微软雅黑"/>
                <w:color w:val="auto"/>
                <w:spacing w:val="-2"/>
                <w:szCs w:val="21"/>
              </w:rPr>
              <w:t>分</w:t>
            </w:r>
            <w:r>
              <w:rPr>
                <w:rFonts w:hint="eastAsia" w:ascii="宋体" w:hAnsi="宋体" w:cs="微软雅黑"/>
                <w:color w:val="auto"/>
                <w:spacing w:val="-2"/>
                <w:szCs w:val="21"/>
                <w:lang w:eastAsia="zh-CN"/>
              </w:rPr>
              <w:t>）</w:t>
            </w:r>
            <w:r>
              <w:rPr>
                <w:rFonts w:hint="eastAsia" w:ascii="宋体" w:hAnsi="宋体" w:cs="微软雅黑"/>
                <w:color w:val="auto"/>
                <w:spacing w:val="-2"/>
                <w:szCs w:val="21"/>
              </w:rPr>
              <w:t>：备机备品储备不足（仅满足 1-2 个月需求），清单不够详细，未制定专项管理制度；</w:t>
            </w:r>
          </w:p>
          <w:p w14:paraId="5BBB9CAC">
            <w:pPr>
              <w:widowControl/>
              <w:snapToGrid w:val="0"/>
              <w:spacing w:line="360" w:lineRule="atLeast"/>
              <w:rPr>
                <w:rFonts w:hint="eastAsia" w:ascii="宋体" w:hAnsi="宋体" w:cs="微软雅黑"/>
                <w:color w:val="auto"/>
                <w:spacing w:val="-2"/>
                <w:szCs w:val="21"/>
                <w:lang w:val="en-US" w:eastAsia="zh-CN"/>
              </w:rPr>
            </w:pPr>
          </w:p>
          <w:p w14:paraId="2A7497B6">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lang w:val="en-US" w:eastAsia="zh-CN"/>
              </w:rPr>
              <w:t>三档（8</w:t>
            </w:r>
            <w:r>
              <w:rPr>
                <w:rFonts w:hint="eastAsia" w:ascii="宋体" w:hAnsi="宋体" w:cs="微软雅黑"/>
                <w:color w:val="auto"/>
                <w:spacing w:val="-2"/>
                <w:szCs w:val="21"/>
              </w:rPr>
              <w:t>分</w:t>
            </w:r>
            <w:r>
              <w:rPr>
                <w:rFonts w:hint="eastAsia" w:ascii="宋体" w:hAnsi="宋体" w:cs="微软雅黑"/>
                <w:color w:val="auto"/>
                <w:spacing w:val="-2"/>
                <w:szCs w:val="21"/>
                <w:lang w:eastAsia="zh-CN"/>
              </w:rPr>
              <w:t>）</w:t>
            </w:r>
            <w:r>
              <w:rPr>
                <w:rFonts w:hint="eastAsia" w:ascii="宋体" w:hAnsi="宋体" w:cs="微软雅黑"/>
                <w:color w:val="auto"/>
                <w:spacing w:val="-2"/>
                <w:szCs w:val="21"/>
              </w:rPr>
              <w:t>：备机备品基本满足 3 个月运维需求，清单完整，采购机制明确，提及库存管理核心要求；</w:t>
            </w:r>
          </w:p>
          <w:p w14:paraId="7FD30264">
            <w:pPr>
              <w:widowControl/>
              <w:snapToGrid w:val="0"/>
              <w:spacing w:line="360" w:lineRule="atLeast"/>
              <w:rPr>
                <w:rFonts w:hint="eastAsia" w:ascii="宋体" w:hAnsi="宋体" w:cs="微软雅黑"/>
                <w:color w:val="auto"/>
                <w:spacing w:val="-2"/>
                <w:szCs w:val="21"/>
                <w:lang w:val="en-US" w:eastAsia="zh-CN"/>
              </w:rPr>
            </w:pPr>
          </w:p>
          <w:p w14:paraId="75C69B82">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lang w:val="en-US" w:eastAsia="zh-CN"/>
              </w:rPr>
              <w:t>四档（12</w:t>
            </w:r>
            <w:r>
              <w:rPr>
                <w:rFonts w:hint="eastAsia" w:ascii="宋体" w:hAnsi="宋体" w:cs="微软雅黑"/>
                <w:color w:val="auto"/>
                <w:spacing w:val="-2"/>
                <w:szCs w:val="21"/>
              </w:rPr>
              <w:t>分</w:t>
            </w:r>
            <w:r>
              <w:rPr>
                <w:rFonts w:hint="eastAsia" w:ascii="宋体" w:hAnsi="宋体" w:cs="微软雅黑"/>
                <w:color w:val="auto"/>
                <w:spacing w:val="-2"/>
                <w:szCs w:val="21"/>
                <w:lang w:eastAsia="zh-CN"/>
              </w:rPr>
              <w:t>）</w:t>
            </w:r>
            <w:r>
              <w:rPr>
                <w:rFonts w:hint="eastAsia" w:ascii="宋体" w:hAnsi="宋体" w:cs="微软雅黑"/>
                <w:color w:val="auto"/>
                <w:spacing w:val="-2"/>
                <w:szCs w:val="21"/>
              </w:rPr>
              <w:t>：备机备品满足 3-6 个月运维需求，清单清晰，采购渠道稳定，提供《备机备品采购与库存管理制度》；</w:t>
            </w:r>
          </w:p>
          <w:p w14:paraId="19A59779">
            <w:pPr>
              <w:widowControl/>
              <w:snapToGrid w:val="0"/>
              <w:spacing w:line="360" w:lineRule="atLeast"/>
              <w:rPr>
                <w:rFonts w:hint="eastAsia" w:ascii="宋体" w:hAnsi="宋体" w:cs="微软雅黑"/>
                <w:color w:val="auto"/>
                <w:spacing w:val="-2"/>
                <w:szCs w:val="21"/>
                <w:lang w:val="en-US" w:eastAsia="zh-CN"/>
              </w:rPr>
            </w:pPr>
          </w:p>
          <w:p w14:paraId="7F9D5C87">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lang w:val="en-US" w:eastAsia="zh-CN"/>
              </w:rPr>
              <w:t>五档（15分）：备机备品储备充足（满足 6 个月以上运维需求），清单详细、采购机制完善，提供《备机备品采购与库存管理制度》及应急补货方案；</w:t>
            </w:r>
          </w:p>
          <w:p w14:paraId="341D6542">
            <w:pPr>
              <w:widowControl/>
              <w:snapToGrid w:val="0"/>
              <w:spacing w:line="360" w:lineRule="atLeast"/>
              <w:rPr>
                <w:rFonts w:hint="eastAsia" w:ascii="宋体" w:hAnsi="宋体" w:cs="微软雅黑"/>
                <w:color w:val="auto"/>
                <w:spacing w:val="-2"/>
                <w:szCs w:val="21"/>
              </w:rPr>
            </w:pPr>
          </w:p>
          <w:p w14:paraId="1DF458EE">
            <w:pPr>
              <w:widowControl/>
              <w:snapToGrid w:val="0"/>
              <w:spacing w:line="360" w:lineRule="atLeast"/>
              <w:rPr>
                <w:rFonts w:hint="eastAsia" w:ascii="宋体" w:hAnsi="宋体" w:cs="微软雅黑"/>
                <w:color w:val="auto"/>
                <w:spacing w:val="-2"/>
                <w:szCs w:val="21"/>
              </w:rPr>
            </w:pPr>
            <w:r>
              <w:rPr>
                <w:rFonts w:hint="eastAsia" w:ascii="宋体" w:hAnsi="宋体" w:cs="微软雅黑"/>
                <w:color w:val="auto"/>
                <w:spacing w:val="-2"/>
                <w:szCs w:val="21"/>
              </w:rPr>
              <w:t>注：不符合最低入档条件的按不入档计0分处理。</w:t>
            </w:r>
          </w:p>
        </w:tc>
      </w:tr>
      <w:tr w14:paraId="321D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62" w:type="dxa"/>
            <w:vMerge w:val="continue"/>
          </w:tcPr>
          <w:p w14:paraId="01617C5A">
            <w:pPr>
              <w:adjustRightInd w:val="0"/>
              <w:snapToGrid w:val="0"/>
              <w:spacing w:line="360" w:lineRule="atLeast"/>
              <w:jc w:val="center"/>
              <w:textAlignment w:val="baseline"/>
              <w:rPr>
                <w:rFonts w:ascii="宋体" w:hAnsi="宋体"/>
                <w:color w:val="auto"/>
                <w:szCs w:val="21"/>
              </w:rPr>
            </w:pPr>
          </w:p>
        </w:tc>
        <w:tc>
          <w:tcPr>
            <w:tcW w:w="1585" w:type="dxa"/>
            <w:vMerge w:val="continue"/>
          </w:tcPr>
          <w:p w14:paraId="5C4CE7C8">
            <w:pPr>
              <w:adjustRightInd w:val="0"/>
              <w:snapToGrid w:val="0"/>
              <w:spacing w:line="360" w:lineRule="atLeast"/>
              <w:jc w:val="center"/>
              <w:textAlignment w:val="baseline"/>
              <w:rPr>
                <w:rFonts w:ascii="宋体" w:hAnsi="宋体"/>
                <w:color w:val="auto"/>
                <w:szCs w:val="21"/>
              </w:rPr>
            </w:pPr>
          </w:p>
        </w:tc>
        <w:tc>
          <w:tcPr>
            <w:tcW w:w="1701" w:type="dxa"/>
            <w:shd w:val="clear" w:color="auto" w:fill="auto"/>
            <w:tcMar>
              <w:left w:w="57" w:type="dxa"/>
              <w:right w:w="57" w:type="dxa"/>
            </w:tcMar>
            <w:vAlign w:val="center"/>
          </w:tcPr>
          <w:p w14:paraId="4A5A2B70">
            <w:pPr>
              <w:widowControl/>
              <w:snapToGrid w:val="0"/>
              <w:spacing w:line="360" w:lineRule="atLeast"/>
              <w:jc w:val="center"/>
              <w:rPr>
                <w:rFonts w:ascii="宋体" w:hAnsi="宋体" w:cs="微软雅黑"/>
                <w:color w:val="auto"/>
                <w:spacing w:val="-2"/>
                <w:szCs w:val="21"/>
              </w:rPr>
            </w:pPr>
            <w:r>
              <w:rPr>
                <w:rFonts w:hint="eastAsia" w:ascii="宋体" w:hAnsi="宋体" w:cs="微软雅黑"/>
                <w:color w:val="auto"/>
                <w:spacing w:val="-2"/>
                <w:szCs w:val="21"/>
              </w:rPr>
              <w:t>智慧平台建设</w:t>
            </w:r>
            <w:r>
              <w:rPr>
                <w:rFonts w:hint="eastAsia" w:ascii="宋体" w:hAnsi="宋体" w:cs="微软雅黑"/>
                <w:color w:val="auto"/>
                <w:spacing w:val="-2"/>
                <w:szCs w:val="21"/>
                <w:lang w:val="en-US" w:eastAsia="zh-CN"/>
              </w:rPr>
              <w:t>响应能力</w:t>
            </w:r>
            <w:r>
              <w:rPr>
                <w:rFonts w:hint="eastAsia" w:ascii="宋体" w:hAnsi="宋体" w:cs="微软雅黑"/>
                <w:color w:val="auto"/>
                <w:spacing w:val="-2"/>
                <w:szCs w:val="21"/>
              </w:rPr>
              <w:t>分</w:t>
            </w:r>
          </w:p>
          <w:p w14:paraId="76DC70D0">
            <w:pPr>
              <w:widowControl/>
              <w:snapToGrid w:val="0"/>
              <w:spacing w:line="360" w:lineRule="atLeast"/>
              <w:jc w:val="center"/>
              <w:rPr>
                <w:rFonts w:hint="eastAsia" w:ascii="宋体" w:hAnsi="宋体" w:eastAsia="宋体" w:cs="微软雅黑"/>
                <w:color w:val="auto"/>
                <w:spacing w:val="-2"/>
                <w:kern w:val="2"/>
                <w:sz w:val="21"/>
                <w:szCs w:val="21"/>
                <w:lang w:val="en-US" w:eastAsia="zh-CN" w:bidi="ar-SA"/>
              </w:rPr>
            </w:pPr>
            <w:r>
              <w:rPr>
                <w:rFonts w:hint="eastAsia" w:ascii="宋体" w:hAnsi="宋体" w:cs="微软雅黑"/>
                <w:color w:val="auto"/>
                <w:spacing w:val="-2"/>
                <w:szCs w:val="21"/>
              </w:rPr>
              <w:t>（满分</w:t>
            </w:r>
            <w:r>
              <w:rPr>
                <w:rFonts w:hint="eastAsia" w:ascii="宋体" w:hAnsi="宋体" w:cs="微软雅黑"/>
                <w:color w:val="auto"/>
                <w:spacing w:val="-2"/>
                <w:szCs w:val="21"/>
                <w:lang w:val="en-US" w:eastAsia="zh-CN"/>
              </w:rPr>
              <w:t>15</w:t>
            </w:r>
            <w:r>
              <w:rPr>
                <w:rFonts w:hint="eastAsia" w:ascii="宋体" w:hAnsi="宋体" w:cs="微软雅黑"/>
                <w:color w:val="auto"/>
                <w:spacing w:val="-2"/>
                <w:szCs w:val="21"/>
              </w:rPr>
              <w:t>分）</w:t>
            </w:r>
          </w:p>
        </w:tc>
        <w:tc>
          <w:tcPr>
            <w:tcW w:w="5660" w:type="dxa"/>
            <w:shd w:val="clear" w:color="auto" w:fill="auto"/>
            <w:vAlign w:val="top"/>
          </w:tcPr>
          <w:p w14:paraId="629A05BA">
            <w:pPr>
              <w:widowControl/>
              <w:snapToGrid w:val="0"/>
              <w:spacing w:line="360" w:lineRule="atLeast"/>
              <w:rPr>
                <w:rFonts w:ascii="宋体" w:hAnsi="宋体" w:cs="微软雅黑"/>
                <w:color w:val="auto"/>
                <w:spacing w:val="-2"/>
                <w:szCs w:val="21"/>
              </w:rPr>
            </w:pPr>
            <w:r>
              <w:rPr>
                <w:rFonts w:hint="eastAsia" w:ascii="宋体" w:hAnsi="宋体" w:cs="微软雅黑"/>
                <w:color w:val="auto"/>
                <w:spacing w:val="-2"/>
                <w:szCs w:val="21"/>
              </w:rPr>
              <w:t>对投标人的智慧平台建设</w:t>
            </w:r>
            <w:r>
              <w:rPr>
                <w:rFonts w:hint="eastAsia" w:ascii="宋体" w:hAnsi="宋体" w:cs="微软雅黑"/>
                <w:color w:val="auto"/>
                <w:spacing w:val="-2"/>
                <w:szCs w:val="21"/>
                <w:lang w:val="en-US" w:eastAsia="zh-CN"/>
              </w:rPr>
              <w:t>响应能力</w:t>
            </w:r>
            <w:r>
              <w:rPr>
                <w:rFonts w:hint="eastAsia" w:ascii="宋体" w:hAnsi="宋体" w:cs="微软雅黑"/>
                <w:color w:val="auto"/>
                <w:spacing w:val="-2"/>
                <w:szCs w:val="21"/>
              </w:rPr>
              <w:t>进行独立评分：</w:t>
            </w:r>
          </w:p>
          <w:p w14:paraId="06BFE80F">
            <w:pPr>
              <w:widowControl/>
              <w:snapToGrid w:val="0"/>
              <w:spacing w:line="360" w:lineRule="atLeast"/>
              <w:rPr>
                <w:rFonts w:hint="eastAsia" w:ascii="宋体" w:hAnsi="宋体" w:eastAsia="宋体" w:cs="微软雅黑"/>
                <w:color w:val="auto"/>
                <w:spacing w:val="-2"/>
                <w:szCs w:val="21"/>
              </w:rPr>
            </w:pPr>
            <w:r>
              <w:rPr>
                <w:rFonts w:hint="eastAsia" w:ascii="宋体" w:hAnsi="宋体" w:eastAsia="宋体" w:cs="微软雅黑"/>
                <w:color w:val="auto"/>
                <w:spacing w:val="-2"/>
                <w:szCs w:val="21"/>
                <w:lang w:val="en-US" w:eastAsia="zh-CN"/>
              </w:rPr>
              <w:t>一档（</w:t>
            </w:r>
            <w:r>
              <w:rPr>
                <w:rFonts w:hint="eastAsia" w:ascii="宋体" w:hAnsi="宋体" w:cs="微软雅黑"/>
                <w:color w:val="auto"/>
                <w:spacing w:val="-2"/>
                <w:szCs w:val="21"/>
                <w:lang w:val="en-US" w:eastAsia="zh-CN"/>
              </w:rPr>
              <w:t>2</w:t>
            </w:r>
            <w:r>
              <w:rPr>
                <w:rFonts w:hint="eastAsia" w:ascii="宋体" w:hAnsi="宋体" w:eastAsia="宋体" w:cs="微软雅黑"/>
                <w:color w:val="auto"/>
                <w:spacing w:val="-2"/>
                <w:szCs w:val="21"/>
              </w:rPr>
              <w:t>分</w:t>
            </w:r>
            <w:r>
              <w:rPr>
                <w:rFonts w:hint="eastAsia" w:ascii="宋体" w:hAnsi="宋体" w:eastAsia="宋体" w:cs="微软雅黑"/>
                <w:color w:val="auto"/>
                <w:spacing w:val="-2"/>
                <w:szCs w:val="21"/>
                <w:lang w:eastAsia="zh-CN"/>
              </w:rPr>
              <w:t>）</w:t>
            </w:r>
            <w:r>
              <w:rPr>
                <w:rFonts w:hint="eastAsia" w:ascii="宋体" w:hAnsi="宋体" w:eastAsia="宋体" w:cs="微软雅黑"/>
                <w:color w:val="auto"/>
                <w:spacing w:val="-2"/>
                <w:szCs w:val="21"/>
              </w:rPr>
              <w:t>：无专项建设方案，建设时限无明确承诺，但同意开放端口；</w:t>
            </w:r>
          </w:p>
          <w:p w14:paraId="3F986CEC">
            <w:pPr>
              <w:widowControl/>
              <w:snapToGrid w:val="0"/>
              <w:spacing w:line="360" w:lineRule="atLeast"/>
              <w:rPr>
                <w:rFonts w:hint="eastAsia" w:ascii="宋体" w:hAnsi="宋体" w:eastAsia="宋体" w:cs="微软雅黑"/>
                <w:color w:val="auto"/>
                <w:spacing w:val="-2"/>
                <w:szCs w:val="21"/>
                <w:lang w:val="en-US" w:eastAsia="zh-CN"/>
              </w:rPr>
            </w:pPr>
          </w:p>
          <w:p w14:paraId="3D96DCFF">
            <w:pPr>
              <w:widowControl/>
              <w:snapToGrid w:val="0"/>
              <w:spacing w:line="360" w:lineRule="atLeast"/>
              <w:rPr>
                <w:rFonts w:hint="eastAsia" w:ascii="宋体" w:hAnsi="宋体" w:eastAsia="宋体" w:cs="微软雅黑"/>
                <w:color w:val="auto"/>
                <w:spacing w:val="-2"/>
                <w:szCs w:val="21"/>
              </w:rPr>
            </w:pPr>
            <w:r>
              <w:rPr>
                <w:rFonts w:hint="eastAsia" w:ascii="宋体" w:hAnsi="宋体" w:eastAsia="宋体" w:cs="微软雅黑"/>
                <w:color w:val="auto"/>
                <w:spacing w:val="-2"/>
                <w:szCs w:val="21"/>
                <w:lang w:val="en-US" w:eastAsia="zh-CN"/>
              </w:rPr>
              <w:t>二档（5</w:t>
            </w:r>
            <w:r>
              <w:rPr>
                <w:rFonts w:hint="eastAsia" w:ascii="宋体" w:hAnsi="宋体" w:eastAsia="宋体" w:cs="微软雅黑"/>
                <w:color w:val="auto"/>
                <w:spacing w:val="-2"/>
                <w:szCs w:val="21"/>
              </w:rPr>
              <w:t>分</w:t>
            </w:r>
            <w:r>
              <w:rPr>
                <w:rFonts w:hint="eastAsia" w:ascii="宋体" w:hAnsi="宋体" w:eastAsia="宋体" w:cs="微软雅黑"/>
                <w:color w:val="auto"/>
                <w:spacing w:val="-2"/>
                <w:szCs w:val="21"/>
                <w:lang w:eastAsia="zh-CN"/>
              </w:rPr>
              <w:t>）</w:t>
            </w:r>
            <w:r>
              <w:rPr>
                <w:rFonts w:hint="eastAsia" w:ascii="宋体" w:hAnsi="宋体" w:eastAsia="宋体" w:cs="微软雅黑"/>
                <w:color w:val="auto"/>
                <w:spacing w:val="-2"/>
                <w:szCs w:val="21"/>
              </w:rPr>
              <w:t>：未提供专项建设方案，建设时限承诺超出1个月但不超过45天，或端口开放要求有附加条件；</w:t>
            </w:r>
          </w:p>
          <w:p w14:paraId="11D5B41D">
            <w:pPr>
              <w:widowControl/>
              <w:snapToGrid w:val="0"/>
              <w:spacing w:line="360" w:lineRule="atLeast"/>
              <w:rPr>
                <w:rFonts w:hint="eastAsia" w:ascii="宋体" w:hAnsi="宋体" w:eastAsia="宋体" w:cs="微软雅黑"/>
                <w:color w:val="auto"/>
                <w:spacing w:val="-2"/>
                <w:szCs w:val="21"/>
                <w:lang w:val="en-US" w:eastAsia="zh-CN"/>
              </w:rPr>
            </w:pPr>
          </w:p>
          <w:p w14:paraId="2BD9EB57">
            <w:pPr>
              <w:widowControl/>
              <w:snapToGrid w:val="0"/>
              <w:spacing w:line="360" w:lineRule="atLeast"/>
              <w:rPr>
                <w:rFonts w:hint="eastAsia" w:ascii="宋体" w:hAnsi="宋体" w:eastAsia="宋体" w:cs="微软雅黑"/>
                <w:color w:val="auto"/>
                <w:spacing w:val="-2"/>
                <w:szCs w:val="21"/>
              </w:rPr>
            </w:pPr>
            <w:r>
              <w:rPr>
                <w:rFonts w:hint="eastAsia" w:ascii="宋体" w:hAnsi="宋体" w:eastAsia="宋体" w:cs="微软雅黑"/>
                <w:color w:val="auto"/>
                <w:spacing w:val="-2"/>
                <w:szCs w:val="21"/>
                <w:lang w:val="en-US" w:eastAsia="zh-CN"/>
              </w:rPr>
              <w:t>三档（</w:t>
            </w:r>
            <w:r>
              <w:rPr>
                <w:rFonts w:hint="eastAsia" w:ascii="宋体" w:hAnsi="宋体" w:cs="微软雅黑"/>
                <w:color w:val="auto"/>
                <w:spacing w:val="-2"/>
                <w:szCs w:val="21"/>
                <w:lang w:val="en-US" w:eastAsia="zh-CN"/>
              </w:rPr>
              <w:t>8</w:t>
            </w:r>
            <w:r>
              <w:rPr>
                <w:rFonts w:hint="eastAsia" w:ascii="宋体" w:hAnsi="宋体" w:eastAsia="宋体" w:cs="微软雅黑"/>
                <w:color w:val="auto"/>
                <w:spacing w:val="-2"/>
                <w:szCs w:val="21"/>
              </w:rPr>
              <w:t>分</w:t>
            </w:r>
            <w:r>
              <w:rPr>
                <w:rFonts w:hint="eastAsia" w:ascii="宋体" w:hAnsi="宋体" w:eastAsia="宋体" w:cs="微软雅黑"/>
                <w:color w:val="auto"/>
                <w:spacing w:val="-2"/>
                <w:szCs w:val="21"/>
                <w:lang w:eastAsia="zh-CN"/>
              </w:rPr>
              <w:t>）</w:t>
            </w:r>
            <w:r>
              <w:rPr>
                <w:rFonts w:hint="eastAsia" w:ascii="宋体" w:hAnsi="宋体" w:eastAsia="宋体" w:cs="微软雅黑"/>
                <w:color w:val="auto"/>
                <w:spacing w:val="-2"/>
                <w:szCs w:val="21"/>
              </w:rPr>
              <w:t>：提及平台建设方案框架，承诺建设时限不超过1个月，同意开放端口，但交付细节不明确；</w:t>
            </w:r>
          </w:p>
          <w:p w14:paraId="7EAA3510">
            <w:pPr>
              <w:widowControl/>
              <w:snapToGrid w:val="0"/>
              <w:spacing w:line="360" w:lineRule="atLeast"/>
              <w:rPr>
                <w:rFonts w:hint="eastAsia" w:ascii="宋体" w:hAnsi="宋体" w:eastAsia="宋体" w:cs="微软雅黑"/>
                <w:color w:val="auto"/>
                <w:spacing w:val="-2"/>
                <w:szCs w:val="21"/>
                <w:lang w:val="en-US" w:eastAsia="zh-CN"/>
              </w:rPr>
            </w:pPr>
          </w:p>
          <w:p w14:paraId="6F4DC362">
            <w:pPr>
              <w:widowControl/>
              <w:snapToGrid w:val="0"/>
              <w:spacing w:line="360" w:lineRule="atLeast"/>
              <w:rPr>
                <w:rFonts w:hint="eastAsia" w:ascii="宋体" w:hAnsi="宋体" w:eastAsia="宋体" w:cs="微软雅黑"/>
                <w:color w:val="auto"/>
                <w:spacing w:val="-2"/>
                <w:szCs w:val="21"/>
              </w:rPr>
            </w:pPr>
            <w:r>
              <w:rPr>
                <w:rFonts w:hint="eastAsia" w:ascii="宋体" w:hAnsi="宋体" w:eastAsia="宋体" w:cs="微软雅黑"/>
                <w:color w:val="auto"/>
                <w:spacing w:val="-2"/>
                <w:szCs w:val="21"/>
                <w:lang w:val="en-US" w:eastAsia="zh-CN"/>
              </w:rPr>
              <w:t>四档（</w:t>
            </w:r>
            <w:r>
              <w:rPr>
                <w:rFonts w:hint="eastAsia" w:ascii="宋体" w:hAnsi="宋体" w:cs="微软雅黑"/>
                <w:color w:val="auto"/>
                <w:spacing w:val="-2"/>
                <w:szCs w:val="21"/>
                <w:lang w:val="en-US" w:eastAsia="zh-CN"/>
              </w:rPr>
              <w:t>12</w:t>
            </w:r>
            <w:r>
              <w:rPr>
                <w:rFonts w:hint="eastAsia" w:ascii="宋体" w:hAnsi="宋体" w:eastAsia="宋体" w:cs="微软雅黑"/>
                <w:color w:val="auto"/>
                <w:spacing w:val="-2"/>
                <w:szCs w:val="21"/>
              </w:rPr>
              <w:t>分</w:t>
            </w:r>
            <w:r>
              <w:rPr>
                <w:rFonts w:hint="eastAsia" w:ascii="宋体" w:hAnsi="宋体" w:eastAsia="宋体" w:cs="微软雅黑"/>
                <w:color w:val="auto"/>
                <w:spacing w:val="-2"/>
                <w:szCs w:val="21"/>
                <w:lang w:eastAsia="zh-CN"/>
              </w:rPr>
              <w:t>）</w:t>
            </w:r>
            <w:r>
              <w:rPr>
                <w:rFonts w:hint="eastAsia" w:ascii="宋体" w:hAnsi="宋体" w:eastAsia="宋体" w:cs="微软雅黑"/>
                <w:color w:val="auto"/>
                <w:spacing w:val="-2"/>
                <w:szCs w:val="21"/>
              </w:rPr>
              <w:t>：提供《智慧运维管理云平台建设方案》，严格承诺中标后1个月内完成建设，开放端口交付业主，表述清晰；</w:t>
            </w:r>
          </w:p>
          <w:p w14:paraId="0115B18C">
            <w:pPr>
              <w:widowControl/>
              <w:snapToGrid w:val="0"/>
              <w:spacing w:line="360" w:lineRule="atLeast"/>
              <w:rPr>
                <w:rFonts w:hint="eastAsia" w:ascii="宋体" w:hAnsi="宋体" w:eastAsia="宋体" w:cs="微软雅黑"/>
                <w:color w:val="auto"/>
                <w:spacing w:val="-2"/>
                <w:szCs w:val="21"/>
                <w:lang w:val="en-US" w:eastAsia="zh-CN"/>
              </w:rPr>
            </w:pPr>
          </w:p>
          <w:p w14:paraId="41468F90">
            <w:pPr>
              <w:widowControl/>
              <w:snapToGrid w:val="0"/>
              <w:spacing w:line="360" w:lineRule="atLeast"/>
              <w:rPr>
                <w:rFonts w:hint="eastAsia" w:ascii="宋体" w:hAnsi="宋体" w:eastAsia="宋体" w:cs="微软雅黑"/>
                <w:color w:val="auto"/>
                <w:spacing w:val="-2"/>
                <w:szCs w:val="21"/>
              </w:rPr>
            </w:pPr>
            <w:r>
              <w:rPr>
                <w:rFonts w:hint="eastAsia" w:ascii="宋体" w:hAnsi="宋体" w:eastAsia="宋体" w:cs="微软雅黑"/>
                <w:color w:val="auto"/>
                <w:spacing w:val="-2"/>
                <w:szCs w:val="21"/>
                <w:lang w:val="en-US" w:eastAsia="zh-CN"/>
              </w:rPr>
              <w:t>五档（</w:t>
            </w:r>
            <w:r>
              <w:rPr>
                <w:rFonts w:hint="eastAsia" w:ascii="宋体" w:hAnsi="宋体" w:cs="微软雅黑"/>
                <w:color w:val="auto"/>
                <w:spacing w:val="-2"/>
                <w:szCs w:val="21"/>
                <w:lang w:val="en-US" w:eastAsia="zh-CN"/>
              </w:rPr>
              <w:t>15</w:t>
            </w:r>
            <w:r>
              <w:rPr>
                <w:rFonts w:hint="eastAsia" w:ascii="宋体" w:hAnsi="宋体" w:eastAsia="宋体" w:cs="微软雅黑"/>
                <w:color w:val="auto"/>
                <w:spacing w:val="-2"/>
                <w:szCs w:val="21"/>
                <w:lang w:val="en-US" w:eastAsia="zh-CN"/>
              </w:rPr>
              <w:t>分）：提供《智慧运维管理云平台建设方案》，承诺中标后25日内完成建设，端口开放权限明确，交付流程规范，含验收标准及试运行方案；</w:t>
            </w:r>
          </w:p>
          <w:p w14:paraId="64CE9762">
            <w:pPr>
              <w:wordWrap w:val="0"/>
              <w:spacing w:line="400" w:lineRule="exact"/>
              <w:rPr>
                <w:rFonts w:hint="eastAsia" w:ascii="宋体" w:hAnsi="宋体" w:eastAsia="宋体" w:cs="宋体"/>
                <w:color w:val="auto"/>
                <w:kern w:val="2"/>
                <w:sz w:val="21"/>
                <w:szCs w:val="21"/>
                <w:lang w:val="en-US" w:eastAsia="zh-CN" w:bidi="ar-SA"/>
              </w:rPr>
            </w:pPr>
            <w:r>
              <w:rPr>
                <w:rFonts w:hint="eastAsia" w:ascii="宋体" w:hAnsi="宋体" w:cs="微软雅黑"/>
                <w:color w:val="auto"/>
                <w:spacing w:val="-2"/>
                <w:szCs w:val="21"/>
              </w:rPr>
              <w:t>注：不符合最低入档条件的按不入档计0分处理。</w:t>
            </w:r>
          </w:p>
        </w:tc>
      </w:tr>
      <w:tr w14:paraId="52BD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22448611">
            <w:pPr>
              <w:adjustRightInd w:val="0"/>
              <w:snapToGrid w:val="0"/>
              <w:spacing w:line="360" w:lineRule="atLeast"/>
              <w:jc w:val="center"/>
              <w:textAlignment w:val="baseline"/>
              <w:rPr>
                <w:rFonts w:ascii="宋体" w:hAnsi="宋体"/>
                <w:color w:val="auto"/>
                <w:szCs w:val="21"/>
              </w:rPr>
            </w:pPr>
          </w:p>
        </w:tc>
        <w:tc>
          <w:tcPr>
            <w:tcW w:w="1585" w:type="dxa"/>
            <w:vMerge w:val="continue"/>
          </w:tcPr>
          <w:p w14:paraId="0B5CF059">
            <w:pPr>
              <w:adjustRightInd w:val="0"/>
              <w:snapToGrid w:val="0"/>
              <w:spacing w:line="360" w:lineRule="atLeast"/>
              <w:jc w:val="center"/>
              <w:textAlignment w:val="baseline"/>
              <w:rPr>
                <w:rFonts w:ascii="宋体" w:hAnsi="宋体"/>
                <w:color w:val="auto"/>
                <w:szCs w:val="21"/>
              </w:rPr>
            </w:pPr>
          </w:p>
        </w:tc>
        <w:tc>
          <w:tcPr>
            <w:tcW w:w="1701" w:type="dxa"/>
            <w:tcMar>
              <w:left w:w="57" w:type="dxa"/>
              <w:right w:w="57" w:type="dxa"/>
            </w:tcMar>
            <w:vAlign w:val="center"/>
          </w:tcPr>
          <w:p w14:paraId="645513E9">
            <w:pPr>
              <w:widowControl/>
              <w:snapToGrid w:val="0"/>
              <w:spacing w:line="360" w:lineRule="atLeast"/>
              <w:jc w:val="center"/>
              <w:rPr>
                <w:rFonts w:hint="eastAsia" w:ascii="宋体" w:hAnsi="宋体" w:cs="微软雅黑"/>
                <w:color w:val="auto"/>
                <w:spacing w:val="-2"/>
                <w:szCs w:val="21"/>
                <w:lang w:val="en-US" w:eastAsia="zh-CN"/>
              </w:rPr>
            </w:pPr>
            <w:r>
              <w:rPr>
                <w:rFonts w:hint="eastAsia" w:ascii="宋体" w:hAnsi="宋体" w:cs="微软雅黑"/>
                <w:color w:val="auto"/>
                <w:spacing w:val="-2"/>
                <w:szCs w:val="21"/>
                <w:lang w:val="en-US" w:eastAsia="zh-CN"/>
              </w:rPr>
              <w:t>售后服务与运营保障</w:t>
            </w:r>
          </w:p>
          <w:p w14:paraId="09138568">
            <w:pPr>
              <w:widowControl/>
              <w:snapToGrid w:val="0"/>
              <w:spacing w:line="360" w:lineRule="atLeast"/>
              <w:jc w:val="center"/>
              <w:rPr>
                <w:rFonts w:hint="eastAsia" w:ascii="宋体" w:hAnsi="宋体" w:cs="微软雅黑"/>
                <w:color w:val="auto"/>
                <w:spacing w:val="-2"/>
                <w:szCs w:val="21"/>
              </w:rPr>
            </w:pPr>
            <w:r>
              <w:rPr>
                <w:rFonts w:hint="eastAsia" w:ascii="宋体" w:hAnsi="宋体" w:cs="微软雅黑"/>
                <w:color w:val="auto"/>
                <w:spacing w:val="-2"/>
                <w:szCs w:val="21"/>
                <w:lang w:val="en-US" w:eastAsia="zh-CN"/>
              </w:rPr>
              <w:t>（满分10分）</w:t>
            </w:r>
          </w:p>
          <w:p w14:paraId="0F2DC3A4">
            <w:pPr>
              <w:widowControl/>
              <w:snapToGrid w:val="0"/>
              <w:spacing w:line="360" w:lineRule="atLeast"/>
              <w:jc w:val="center"/>
              <w:rPr>
                <w:rFonts w:ascii="宋体" w:hAnsi="宋体" w:cs="微软雅黑"/>
                <w:color w:val="auto"/>
                <w:spacing w:val="-2"/>
                <w:szCs w:val="21"/>
              </w:rPr>
            </w:pPr>
          </w:p>
        </w:tc>
        <w:tc>
          <w:tcPr>
            <w:tcW w:w="5660" w:type="dxa"/>
            <w:vAlign w:val="top"/>
          </w:tcPr>
          <w:p w14:paraId="0697BC6F">
            <w:pPr>
              <w:widowControl/>
              <w:snapToGrid w:val="0"/>
              <w:spacing w:line="360" w:lineRule="atLeast"/>
              <w:rPr>
                <w:rFonts w:ascii="宋体" w:hAnsi="宋体" w:cs="微软雅黑"/>
                <w:color w:val="auto"/>
                <w:spacing w:val="-2"/>
                <w:szCs w:val="21"/>
              </w:rPr>
            </w:pPr>
            <w:r>
              <w:rPr>
                <w:rFonts w:hint="eastAsia" w:ascii="宋体" w:hAnsi="宋体" w:cs="微软雅黑"/>
                <w:color w:val="auto"/>
                <w:spacing w:val="-2"/>
                <w:szCs w:val="21"/>
              </w:rPr>
              <w:t>对投标人的</w:t>
            </w:r>
            <w:r>
              <w:rPr>
                <w:rFonts w:hint="eastAsia" w:ascii="宋体" w:hAnsi="宋体" w:cs="微软雅黑"/>
                <w:color w:val="auto"/>
                <w:spacing w:val="-2"/>
                <w:szCs w:val="21"/>
                <w:lang w:val="en-US" w:eastAsia="zh-CN"/>
              </w:rPr>
              <w:t>售后服务与运营保障</w:t>
            </w:r>
            <w:r>
              <w:rPr>
                <w:rFonts w:hint="eastAsia" w:ascii="宋体" w:hAnsi="宋体" w:cs="微软雅黑"/>
                <w:color w:val="auto"/>
                <w:spacing w:val="-2"/>
                <w:szCs w:val="21"/>
              </w:rPr>
              <w:t>进行独立评分：</w:t>
            </w:r>
          </w:p>
          <w:p w14:paraId="1E1093DC">
            <w:pPr>
              <w:keepNext w:val="0"/>
              <w:keepLines w:val="0"/>
              <w:widowControl/>
              <w:numPr>
                <w:ilvl w:val="0"/>
                <w:numId w:val="0"/>
              </w:numPr>
              <w:suppressLineNumbers w:val="0"/>
              <w:pBdr>
                <w:left w:val="none" w:color="auto" w:sz="0" w:space="0"/>
              </w:pBdr>
              <w:tabs>
                <w:tab w:val="left" w:pos="1440"/>
              </w:tabs>
              <w:spacing w:before="0" w:beforeAutospacing="0" w:after="0" w:afterAutospacing="0" w:line="24" w:lineRule="atLeast"/>
              <w:ind w:left="360" w:hanging="360"/>
              <w:rPr>
                <w:rFonts w:hint="eastAsia" w:ascii="宋体" w:hAnsi="宋体" w:eastAsia="宋体" w:cs="微软雅黑"/>
                <w:color w:val="auto"/>
                <w:spacing w:val="-2"/>
                <w:szCs w:val="21"/>
                <w:lang w:val="en-US" w:eastAsia="zh-CN"/>
              </w:rPr>
            </w:pPr>
          </w:p>
          <w:p w14:paraId="0183048F">
            <w:pPr>
              <w:keepNext w:val="0"/>
              <w:keepLines w:val="0"/>
              <w:widowControl/>
              <w:numPr>
                <w:ilvl w:val="0"/>
                <w:numId w:val="0"/>
              </w:numPr>
              <w:suppressLineNumbers w:val="0"/>
              <w:pBdr>
                <w:left w:val="none" w:color="auto" w:sz="0" w:space="0"/>
              </w:pBdr>
              <w:tabs>
                <w:tab w:val="left" w:pos="1440"/>
              </w:tabs>
              <w:spacing w:before="0" w:beforeAutospacing="0" w:after="0" w:afterAutospacing="0" w:line="24" w:lineRule="atLeast"/>
              <w:ind w:left="360" w:hanging="360"/>
              <w:rPr>
                <w:color w:val="auto"/>
              </w:rPr>
            </w:pPr>
            <w:r>
              <w:rPr>
                <w:rFonts w:hint="eastAsia" w:ascii="宋体" w:hAnsi="宋体" w:eastAsia="宋体" w:cs="微软雅黑"/>
                <w:color w:val="auto"/>
                <w:spacing w:val="-2"/>
                <w:szCs w:val="21"/>
                <w:lang w:val="en-US" w:eastAsia="zh-CN"/>
              </w:rPr>
              <w:t>一档（</w:t>
            </w:r>
            <w:r>
              <w:rPr>
                <w:rFonts w:hint="eastAsia" w:ascii="宋体" w:hAnsi="宋体" w:cs="微软雅黑"/>
                <w:color w:val="auto"/>
                <w:spacing w:val="-2"/>
                <w:szCs w:val="21"/>
                <w:lang w:val="en-US" w:eastAsia="zh-CN"/>
              </w:rPr>
              <w:t>0</w:t>
            </w:r>
            <w:r>
              <w:rPr>
                <w:rFonts w:hint="eastAsia" w:ascii="宋体" w:hAnsi="宋体" w:eastAsia="宋体" w:cs="微软雅黑"/>
                <w:color w:val="auto"/>
                <w:spacing w:val="-2"/>
                <w:szCs w:val="21"/>
              </w:rPr>
              <w:t>分</w:t>
            </w:r>
            <w:r>
              <w:rPr>
                <w:rFonts w:hint="eastAsia" w:ascii="宋体" w:hAnsi="宋体" w:eastAsia="宋体" w:cs="微软雅黑"/>
                <w:color w:val="auto"/>
                <w:spacing w:val="-2"/>
                <w:szCs w:val="21"/>
                <w:lang w:eastAsia="zh-CN"/>
              </w:rPr>
              <w:t>）</w:t>
            </w:r>
            <w:r>
              <w:rPr>
                <w:color w:val="auto"/>
              </w:rPr>
              <w:t>：未满足</w:t>
            </w:r>
            <w:r>
              <w:rPr>
                <w:rFonts w:hint="eastAsia"/>
                <w:color w:val="auto"/>
                <w:lang w:val="en-US" w:eastAsia="zh-CN"/>
              </w:rPr>
              <w:t>售后服务</w:t>
            </w:r>
            <w:r>
              <w:rPr>
                <w:color w:val="auto"/>
              </w:rPr>
              <w:t>核心要求，无相关管理制度，未明确响应、汇报、检修等关键承诺。</w:t>
            </w:r>
          </w:p>
          <w:p w14:paraId="274BD85D">
            <w:pPr>
              <w:keepNext w:val="0"/>
              <w:keepLines w:val="0"/>
              <w:widowControl/>
              <w:numPr>
                <w:ilvl w:val="0"/>
                <w:numId w:val="0"/>
              </w:numPr>
              <w:suppressLineNumbers w:val="0"/>
              <w:pBdr>
                <w:left w:val="none" w:color="auto" w:sz="0" w:space="0"/>
              </w:pBdr>
              <w:tabs>
                <w:tab w:val="left" w:pos="1440"/>
              </w:tabs>
              <w:spacing w:before="0" w:beforeAutospacing="0" w:after="0" w:afterAutospacing="0" w:line="24" w:lineRule="atLeast"/>
              <w:ind w:left="360" w:hanging="360"/>
              <w:rPr>
                <w:rFonts w:hint="eastAsia" w:ascii="宋体" w:hAnsi="宋体" w:cs="微软雅黑"/>
                <w:color w:val="auto"/>
                <w:spacing w:val="-2"/>
                <w:szCs w:val="21"/>
                <w:lang w:val="en-US" w:eastAsia="zh-CN"/>
              </w:rPr>
            </w:pPr>
          </w:p>
          <w:p w14:paraId="7E86E0D5">
            <w:pPr>
              <w:keepNext w:val="0"/>
              <w:keepLines w:val="0"/>
              <w:widowControl/>
              <w:numPr>
                <w:ilvl w:val="0"/>
                <w:numId w:val="0"/>
              </w:numPr>
              <w:suppressLineNumbers w:val="0"/>
              <w:pBdr>
                <w:left w:val="none" w:color="auto" w:sz="0" w:space="0"/>
              </w:pBdr>
              <w:tabs>
                <w:tab w:val="left" w:pos="1440"/>
              </w:tabs>
              <w:spacing w:before="0" w:beforeAutospacing="0" w:after="0" w:afterAutospacing="0" w:line="24" w:lineRule="atLeast"/>
              <w:ind w:left="360" w:hanging="360"/>
              <w:rPr>
                <w:rFonts w:hint="eastAsia" w:eastAsia="宋体"/>
                <w:color w:val="auto"/>
                <w:lang w:eastAsia="zh-CN"/>
              </w:rPr>
            </w:pPr>
            <w:r>
              <w:rPr>
                <w:rFonts w:hint="eastAsia" w:ascii="宋体" w:hAnsi="宋体" w:cs="微软雅黑"/>
                <w:color w:val="auto"/>
                <w:spacing w:val="-2"/>
                <w:szCs w:val="21"/>
                <w:lang w:val="en-US" w:eastAsia="zh-CN"/>
              </w:rPr>
              <w:t>二</w:t>
            </w:r>
            <w:r>
              <w:rPr>
                <w:rFonts w:hint="eastAsia" w:ascii="宋体" w:hAnsi="宋体" w:eastAsia="宋体" w:cs="微软雅黑"/>
                <w:color w:val="auto"/>
                <w:spacing w:val="-2"/>
                <w:szCs w:val="21"/>
                <w:lang w:val="en-US" w:eastAsia="zh-CN"/>
              </w:rPr>
              <w:t>档（</w:t>
            </w:r>
            <w:r>
              <w:rPr>
                <w:rFonts w:hint="eastAsia" w:ascii="宋体" w:hAnsi="宋体" w:cs="微软雅黑"/>
                <w:color w:val="auto"/>
                <w:spacing w:val="-2"/>
                <w:szCs w:val="21"/>
                <w:lang w:val="en-US" w:eastAsia="zh-CN"/>
              </w:rPr>
              <w:t>2</w:t>
            </w:r>
            <w:r>
              <w:rPr>
                <w:rFonts w:hint="eastAsia" w:ascii="宋体" w:hAnsi="宋体" w:eastAsia="宋体" w:cs="微软雅黑"/>
                <w:color w:val="auto"/>
                <w:spacing w:val="-2"/>
                <w:szCs w:val="21"/>
              </w:rPr>
              <w:t>分</w:t>
            </w:r>
            <w:r>
              <w:rPr>
                <w:rFonts w:hint="eastAsia" w:ascii="宋体" w:hAnsi="宋体" w:eastAsia="宋体" w:cs="微软雅黑"/>
                <w:color w:val="auto"/>
                <w:spacing w:val="-2"/>
                <w:szCs w:val="21"/>
                <w:lang w:eastAsia="zh-CN"/>
              </w:rPr>
              <w:t>）</w:t>
            </w:r>
            <w:r>
              <w:rPr>
                <w:color w:val="auto"/>
              </w:rPr>
              <w:t>：提及相关保障措施，明确：①</w:t>
            </w:r>
            <w:r>
              <w:rPr>
                <w:rFonts w:hint="eastAsia"/>
                <w:color w:val="auto"/>
                <w:lang w:val="en-US" w:eastAsia="zh-CN"/>
              </w:rPr>
              <w:t>2</w:t>
            </w:r>
            <w:r>
              <w:rPr>
                <w:color w:val="auto"/>
              </w:rPr>
              <w:t>小时内到达现场；②每季度汇报≥1次；③服务期内检修保养≥</w:t>
            </w:r>
            <w:r>
              <w:rPr>
                <w:rFonts w:hint="eastAsia"/>
                <w:color w:val="auto"/>
                <w:lang w:val="en-US" w:eastAsia="zh-CN"/>
              </w:rPr>
              <w:t>12</w:t>
            </w:r>
            <w:r>
              <w:rPr>
                <w:color w:val="auto"/>
              </w:rPr>
              <w:t>次</w:t>
            </w:r>
            <w:r>
              <w:rPr>
                <w:rFonts w:hint="eastAsia"/>
                <w:color w:val="auto"/>
                <w:lang w:eastAsia="zh-CN"/>
              </w:rPr>
              <w:t>。</w:t>
            </w:r>
          </w:p>
          <w:p w14:paraId="6C0C98D6">
            <w:pPr>
              <w:keepNext w:val="0"/>
              <w:keepLines w:val="0"/>
              <w:widowControl/>
              <w:numPr>
                <w:ilvl w:val="0"/>
                <w:numId w:val="0"/>
              </w:numPr>
              <w:suppressLineNumbers w:val="0"/>
              <w:pBdr>
                <w:left w:val="none" w:color="auto" w:sz="0" w:space="0"/>
              </w:pBdr>
              <w:tabs>
                <w:tab w:val="left" w:pos="1440"/>
              </w:tabs>
              <w:spacing w:before="0" w:beforeAutospacing="0" w:after="0" w:afterAutospacing="0" w:line="24" w:lineRule="atLeast"/>
              <w:ind w:left="360" w:hanging="360"/>
              <w:rPr>
                <w:rFonts w:hint="eastAsia"/>
                <w:color w:val="auto"/>
                <w:lang w:val="en-US" w:eastAsia="zh-CN"/>
              </w:rPr>
            </w:pPr>
          </w:p>
          <w:p w14:paraId="52CC2216">
            <w:pPr>
              <w:keepNext w:val="0"/>
              <w:keepLines w:val="0"/>
              <w:widowControl/>
              <w:numPr>
                <w:ilvl w:val="0"/>
                <w:numId w:val="0"/>
              </w:numPr>
              <w:suppressLineNumbers w:val="0"/>
              <w:pBdr>
                <w:left w:val="none" w:color="auto" w:sz="0" w:space="0"/>
              </w:pBdr>
              <w:tabs>
                <w:tab w:val="left" w:pos="1440"/>
              </w:tabs>
              <w:spacing w:before="0" w:beforeAutospacing="0" w:after="0" w:afterAutospacing="0" w:line="24" w:lineRule="atLeast"/>
              <w:ind w:left="360" w:hanging="360"/>
              <w:rPr>
                <w:color w:val="auto"/>
              </w:rPr>
            </w:pPr>
            <w:r>
              <w:rPr>
                <w:rFonts w:hint="eastAsia"/>
                <w:color w:val="auto"/>
                <w:lang w:val="en-US" w:eastAsia="zh-CN"/>
              </w:rPr>
              <w:t>三档（5分）</w:t>
            </w:r>
            <w:r>
              <w:rPr>
                <w:color w:val="auto"/>
              </w:rPr>
              <w:t>提供相关管理制度，明确：①</w:t>
            </w:r>
            <w:r>
              <w:rPr>
                <w:rFonts w:hint="eastAsia"/>
                <w:color w:val="auto"/>
                <w:lang w:val="en-US" w:eastAsia="zh-CN"/>
              </w:rPr>
              <w:t>2</w:t>
            </w:r>
            <w:r>
              <w:rPr>
                <w:color w:val="auto"/>
              </w:rPr>
              <w:t>小时内到达现场；②每月汇报≥1次；③服务期内检修保养≥12次；④承诺接受考核及监督检查。</w:t>
            </w:r>
          </w:p>
          <w:p w14:paraId="61FC3174">
            <w:pPr>
              <w:keepNext w:val="0"/>
              <w:keepLines w:val="0"/>
              <w:widowControl/>
              <w:numPr>
                <w:ilvl w:val="0"/>
                <w:numId w:val="0"/>
              </w:numPr>
              <w:suppressLineNumbers w:val="0"/>
              <w:pBdr>
                <w:left w:val="none" w:color="auto" w:sz="0" w:space="0"/>
              </w:pBdr>
              <w:tabs>
                <w:tab w:val="left" w:pos="1440"/>
              </w:tabs>
              <w:spacing w:before="0" w:beforeAutospacing="0" w:after="0" w:afterAutospacing="0" w:line="24" w:lineRule="atLeast"/>
              <w:ind w:left="360" w:hanging="360"/>
              <w:rPr>
                <w:rFonts w:hint="eastAsia"/>
                <w:color w:val="auto"/>
                <w:lang w:val="en-US" w:eastAsia="zh-CN"/>
              </w:rPr>
            </w:pPr>
          </w:p>
          <w:p w14:paraId="002A0A95">
            <w:pPr>
              <w:keepNext w:val="0"/>
              <w:keepLines w:val="0"/>
              <w:widowControl/>
              <w:numPr>
                <w:ilvl w:val="0"/>
                <w:numId w:val="0"/>
              </w:numPr>
              <w:suppressLineNumbers w:val="0"/>
              <w:pBdr>
                <w:left w:val="none" w:color="auto" w:sz="0" w:space="0"/>
              </w:pBdr>
              <w:tabs>
                <w:tab w:val="left" w:pos="1440"/>
              </w:tabs>
              <w:spacing w:before="0" w:beforeAutospacing="0" w:after="0" w:afterAutospacing="0" w:line="24" w:lineRule="atLeast"/>
              <w:ind w:left="360" w:hanging="360"/>
              <w:rPr>
                <w:rFonts w:hint="eastAsia" w:eastAsia="宋体"/>
                <w:color w:val="auto"/>
                <w:lang w:eastAsia="zh-CN"/>
              </w:rPr>
            </w:pPr>
            <w:r>
              <w:rPr>
                <w:rFonts w:hint="eastAsia"/>
                <w:color w:val="auto"/>
                <w:lang w:val="en-US" w:eastAsia="zh-CN"/>
              </w:rPr>
              <w:t>四档（8分）</w:t>
            </w:r>
            <w:r>
              <w:rPr>
                <w:color w:val="auto"/>
              </w:rPr>
              <w:t>提供《售后服务管理制度》《运营汇报制度》《检修保养管理制度》，明确：①接到采购人通知后2小时内到达指定现场；②每月向采购人汇报运营情况≥1 次（含详细汇报模板）；③服务期内检修保养≥12 次，每次提供含检修台帐、照片的完整证明；④承诺严格按照附件考核细则接受考核，配合当地政府监督部门绩效考评，上级部门检查时确保人员在场</w:t>
            </w:r>
            <w:r>
              <w:rPr>
                <w:rFonts w:hint="eastAsia"/>
                <w:color w:val="auto"/>
                <w:lang w:eastAsia="zh-CN"/>
              </w:rPr>
              <w:t>。</w:t>
            </w:r>
          </w:p>
          <w:p w14:paraId="1F14C0ED">
            <w:pPr>
              <w:keepNext w:val="0"/>
              <w:keepLines w:val="0"/>
              <w:widowControl/>
              <w:numPr>
                <w:ilvl w:val="0"/>
                <w:numId w:val="0"/>
              </w:numPr>
              <w:suppressLineNumbers w:val="0"/>
              <w:pBdr>
                <w:left w:val="none" w:color="auto" w:sz="0" w:space="0"/>
              </w:pBdr>
              <w:tabs>
                <w:tab w:val="left" w:pos="1440"/>
              </w:tabs>
              <w:spacing w:before="0" w:beforeAutospacing="0" w:after="0" w:afterAutospacing="0" w:line="24" w:lineRule="atLeast"/>
              <w:ind w:left="360" w:hanging="360"/>
              <w:rPr>
                <w:color w:val="auto"/>
              </w:rPr>
            </w:pPr>
          </w:p>
          <w:p w14:paraId="4CA19CDA">
            <w:pPr>
              <w:keepNext w:val="0"/>
              <w:keepLines w:val="0"/>
              <w:widowControl/>
              <w:numPr>
                <w:ilvl w:val="0"/>
                <w:numId w:val="0"/>
              </w:numPr>
              <w:suppressLineNumbers w:val="0"/>
              <w:pBdr>
                <w:left w:val="none" w:color="auto" w:sz="0" w:space="0"/>
              </w:pBdr>
              <w:tabs>
                <w:tab w:val="left" w:pos="1440"/>
              </w:tabs>
              <w:spacing w:before="0" w:beforeAutospacing="0" w:after="0" w:afterAutospacing="0" w:line="24" w:lineRule="atLeast"/>
              <w:ind w:left="360" w:hanging="360"/>
              <w:rPr>
                <w:color w:val="auto"/>
              </w:rPr>
            </w:pPr>
            <w:r>
              <w:rPr>
                <w:rFonts w:hint="eastAsia"/>
                <w:color w:val="auto"/>
                <w:lang w:val="en-US" w:eastAsia="zh-CN"/>
              </w:rPr>
              <w:t>五档（10分）</w:t>
            </w:r>
            <w:r>
              <w:rPr>
                <w:color w:val="auto"/>
              </w:rPr>
              <w:t>提供《售后服务管理制度》《运营汇报制度》《检修保养管理制度》，明确：①接到采购人通知后2小时内到达指定现场；②每月向采购人汇报运营情况≥1 次（含详细汇报模板）；③服务期内检修保养≥12 次，每次提供含检修台帐、照片的完整证明；④承诺严格按照附件考核细则接受考核，配合当地政府监督部门绩效考评，上级部门检查时确保人员在场；⑤附现场勘察报告、项目现状分析及针对性解决方案。</w:t>
            </w:r>
          </w:p>
          <w:p w14:paraId="08DF1966">
            <w:pPr>
              <w:wordWrap w:val="0"/>
              <w:spacing w:line="400" w:lineRule="exact"/>
              <w:rPr>
                <w:rFonts w:ascii="宋体" w:hAnsi="宋体" w:cs="宋体"/>
                <w:color w:val="auto"/>
                <w:szCs w:val="21"/>
              </w:rPr>
            </w:pPr>
          </w:p>
        </w:tc>
      </w:tr>
      <w:tr w14:paraId="0316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59C91B43">
            <w:pPr>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3</w:t>
            </w:r>
          </w:p>
        </w:tc>
        <w:tc>
          <w:tcPr>
            <w:tcW w:w="1585" w:type="dxa"/>
            <w:vMerge w:val="restart"/>
            <w:vAlign w:val="center"/>
          </w:tcPr>
          <w:p w14:paraId="1327D26D">
            <w:pPr>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商务分 （满分</w:t>
            </w:r>
            <w:r>
              <w:rPr>
                <w:rFonts w:hint="eastAsia" w:ascii="宋体" w:hAnsi="宋体"/>
                <w:color w:val="auto"/>
                <w:szCs w:val="21"/>
                <w:u w:val="single"/>
              </w:rPr>
              <w:t xml:space="preserve">  10</w:t>
            </w:r>
            <w:r>
              <w:rPr>
                <w:rFonts w:hint="eastAsia" w:ascii="宋体" w:hAnsi="宋体"/>
                <w:color w:val="auto"/>
                <w:szCs w:val="21"/>
              </w:rPr>
              <w:t>分）</w:t>
            </w:r>
          </w:p>
        </w:tc>
        <w:tc>
          <w:tcPr>
            <w:tcW w:w="1701" w:type="dxa"/>
            <w:vAlign w:val="center"/>
          </w:tcPr>
          <w:p w14:paraId="1446BED9">
            <w:pPr>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信誉分</w:t>
            </w:r>
          </w:p>
          <w:p w14:paraId="2B03D6AA">
            <w:pPr>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（满分</w:t>
            </w:r>
            <w:r>
              <w:rPr>
                <w:rFonts w:hint="eastAsia" w:ascii="宋体" w:hAnsi="宋体"/>
                <w:color w:val="auto"/>
                <w:szCs w:val="21"/>
                <w:lang w:val="en-US" w:eastAsia="zh-CN"/>
              </w:rPr>
              <w:t>6</w:t>
            </w:r>
            <w:r>
              <w:rPr>
                <w:rFonts w:hint="eastAsia" w:ascii="宋体" w:hAnsi="宋体"/>
                <w:color w:val="auto"/>
                <w:szCs w:val="21"/>
              </w:rPr>
              <w:t>分）</w:t>
            </w:r>
          </w:p>
        </w:tc>
        <w:tc>
          <w:tcPr>
            <w:tcW w:w="5660" w:type="dxa"/>
            <w:vAlign w:val="center"/>
          </w:tcPr>
          <w:p w14:paraId="5F797F6F">
            <w:pPr>
              <w:adjustRightInd w:val="0"/>
              <w:snapToGrid w:val="0"/>
              <w:spacing w:line="360" w:lineRule="atLeast"/>
              <w:textAlignment w:val="baseline"/>
              <w:rPr>
                <w:rFonts w:hint="eastAsia" w:ascii="宋体" w:hAnsi="宋体"/>
                <w:color w:val="auto"/>
                <w:szCs w:val="21"/>
                <w:lang w:eastAsia="zh-CN"/>
              </w:rPr>
            </w:pPr>
            <w:r>
              <w:rPr>
                <w:rFonts w:hint="eastAsia" w:ascii="宋体" w:hAnsi="宋体"/>
                <w:color w:val="auto"/>
                <w:szCs w:val="21"/>
                <w:lang w:eastAsia="zh-CN"/>
              </w:rPr>
              <w:t>一档（6分）：供应商具有质量管理体系认证证书、环境管理体系认证证书、职业健康安全管理体系认证证书，每提供一项得2分，最多得6分（以提供相关认证证书复印件为准）。</w:t>
            </w:r>
          </w:p>
          <w:p w14:paraId="1C1607A6">
            <w:pPr>
              <w:adjustRightInd w:val="0"/>
              <w:snapToGrid w:val="0"/>
              <w:spacing w:line="360" w:lineRule="atLeast"/>
              <w:textAlignment w:val="baseline"/>
              <w:rPr>
                <w:rFonts w:hint="eastAsia" w:ascii="宋体" w:hAnsi="宋体"/>
                <w:color w:val="auto"/>
                <w:szCs w:val="21"/>
                <w:lang w:eastAsia="zh-CN"/>
              </w:rPr>
            </w:pPr>
          </w:p>
          <w:p w14:paraId="272511BA">
            <w:pPr>
              <w:adjustRightInd w:val="0"/>
              <w:snapToGrid w:val="0"/>
              <w:spacing w:line="360" w:lineRule="atLeast"/>
              <w:textAlignment w:val="baseline"/>
              <w:rPr>
                <w:rFonts w:hint="eastAsia" w:ascii="宋体" w:hAnsi="宋体"/>
                <w:color w:val="auto"/>
                <w:szCs w:val="21"/>
                <w:lang w:eastAsia="zh-CN"/>
              </w:rPr>
            </w:pPr>
            <w:r>
              <w:rPr>
                <w:rFonts w:hint="eastAsia" w:ascii="宋体" w:hAnsi="宋体"/>
                <w:color w:val="auto"/>
                <w:szCs w:val="21"/>
                <w:lang w:eastAsia="zh-CN"/>
              </w:rPr>
              <w:t>二档（3分）：未提供上述三项体系认证证书，但提供企业内部质量、环境、职业健康安全管理相关制度文件，每提供一项得1分，最多得3分（以提供制度文件复印件为准）。</w:t>
            </w:r>
          </w:p>
          <w:p w14:paraId="05DC67CD">
            <w:pPr>
              <w:adjustRightInd w:val="0"/>
              <w:snapToGrid w:val="0"/>
              <w:spacing w:line="360" w:lineRule="atLeast"/>
              <w:textAlignment w:val="baseline"/>
              <w:rPr>
                <w:rFonts w:hint="eastAsia" w:ascii="宋体" w:hAnsi="宋体"/>
                <w:color w:val="auto"/>
                <w:szCs w:val="21"/>
                <w:lang w:eastAsia="zh-CN"/>
              </w:rPr>
            </w:pPr>
          </w:p>
          <w:p w14:paraId="5547F9EB">
            <w:pPr>
              <w:adjustRightInd w:val="0"/>
              <w:snapToGrid w:val="0"/>
              <w:spacing w:line="360" w:lineRule="atLeast"/>
              <w:textAlignment w:val="baseline"/>
              <w:rPr>
                <w:rFonts w:ascii="宋体" w:hAnsi="宋体"/>
                <w:color w:val="auto"/>
                <w:szCs w:val="21"/>
              </w:rPr>
            </w:pPr>
            <w:r>
              <w:rPr>
                <w:rFonts w:hint="eastAsia" w:ascii="宋体" w:hAnsi="宋体"/>
                <w:color w:val="auto"/>
                <w:szCs w:val="21"/>
                <w:lang w:eastAsia="zh-CN"/>
              </w:rPr>
              <w:t>三档（0分）：未提供上述体系认证证书，也未提供企业内部相关管理体系制度文件，不予计分。</w:t>
            </w:r>
          </w:p>
        </w:tc>
      </w:tr>
      <w:tr w14:paraId="059E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E9A484C">
            <w:pPr>
              <w:adjustRightInd w:val="0"/>
              <w:snapToGrid w:val="0"/>
              <w:spacing w:line="360" w:lineRule="atLeast"/>
              <w:jc w:val="center"/>
              <w:textAlignment w:val="baseline"/>
              <w:rPr>
                <w:rFonts w:ascii="宋体" w:hAnsi="宋体"/>
                <w:color w:val="auto"/>
                <w:szCs w:val="21"/>
              </w:rPr>
            </w:pPr>
          </w:p>
        </w:tc>
        <w:tc>
          <w:tcPr>
            <w:tcW w:w="1585" w:type="dxa"/>
            <w:vMerge w:val="continue"/>
            <w:vAlign w:val="center"/>
          </w:tcPr>
          <w:p w14:paraId="4FD441A2">
            <w:pPr>
              <w:adjustRightInd w:val="0"/>
              <w:snapToGrid w:val="0"/>
              <w:spacing w:line="360" w:lineRule="atLeast"/>
              <w:jc w:val="center"/>
              <w:textAlignment w:val="baseline"/>
              <w:rPr>
                <w:rFonts w:ascii="宋体" w:hAnsi="宋体"/>
                <w:color w:val="auto"/>
                <w:szCs w:val="21"/>
              </w:rPr>
            </w:pPr>
          </w:p>
        </w:tc>
        <w:tc>
          <w:tcPr>
            <w:tcW w:w="1701" w:type="dxa"/>
            <w:vAlign w:val="center"/>
          </w:tcPr>
          <w:p w14:paraId="3C508275">
            <w:pPr>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业绩分</w:t>
            </w:r>
          </w:p>
          <w:p w14:paraId="6E718B61">
            <w:pPr>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（满分</w:t>
            </w:r>
            <w:r>
              <w:rPr>
                <w:rFonts w:hint="eastAsia" w:ascii="宋体" w:hAnsi="宋体"/>
                <w:color w:val="auto"/>
                <w:szCs w:val="21"/>
                <w:lang w:val="en-US" w:eastAsia="zh-CN"/>
              </w:rPr>
              <w:t>4</w:t>
            </w:r>
            <w:r>
              <w:rPr>
                <w:rFonts w:hint="eastAsia" w:ascii="宋体" w:hAnsi="宋体"/>
                <w:color w:val="auto"/>
                <w:szCs w:val="21"/>
              </w:rPr>
              <w:t>分）</w:t>
            </w:r>
          </w:p>
        </w:tc>
        <w:tc>
          <w:tcPr>
            <w:tcW w:w="5660" w:type="dxa"/>
            <w:vAlign w:val="center"/>
          </w:tcPr>
          <w:p w14:paraId="6C514A5B">
            <w:pPr>
              <w:adjustRightInd w:val="0"/>
              <w:snapToGrid w:val="0"/>
              <w:spacing w:line="360" w:lineRule="atLeast"/>
              <w:ind w:firstLine="420" w:firstLineChars="200"/>
              <w:textAlignment w:val="baseline"/>
              <w:rPr>
                <w:rFonts w:ascii="宋体" w:hAnsi="宋体"/>
                <w:color w:val="auto"/>
                <w:szCs w:val="21"/>
              </w:rPr>
            </w:pPr>
            <w:r>
              <w:rPr>
                <w:rFonts w:hint="eastAsia" w:ascii="宋体" w:hAnsi="宋体"/>
                <w:color w:val="auto"/>
                <w:szCs w:val="21"/>
              </w:rPr>
              <w:t>供应商自202</w:t>
            </w:r>
            <w:r>
              <w:rPr>
                <w:rFonts w:hint="eastAsia" w:ascii="宋体" w:hAnsi="宋体"/>
                <w:color w:val="auto"/>
                <w:szCs w:val="21"/>
                <w:lang w:val="en-US" w:eastAsia="zh-CN"/>
              </w:rPr>
              <w:t>0</w:t>
            </w:r>
            <w:r>
              <w:rPr>
                <w:rFonts w:hint="eastAsia" w:ascii="宋体" w:hAnsi="宋体"/>
                <w:color w:val="auto"/>
                <w:szCs w:val="21"/>
              </w:rPr>
              <w:t>年1月1日至投标截止时间内签订的承担合同或完成</w:t>
            </w:r>
            <w:r>
              <w:rPr>
                <w:rFonts w:hint="eastAsia" w:ascii="宋体" w:hAnsi="宋体"/>
                <w:color w:val="auto"/>
                <w:szCs w:val="21"/>
                <w:lang w:val="en-US" w:eastAsia="zh-CN"/>
              </w:rPr>
              <w:t>过</w:t>
            </w:r>
            <w:r>
              <w:rPr>
                <w:rFonts w:hint="eastAsia" w:ascii="宋体" w:hAnsi="宋体"/>
                <w:color w:val="auto"/>
                <w:szCs w:val="21"/>
                <w:lang w:eastAsia="zh-CN"/>
              </w:rPr>
              <w:t>运营维护服务的类似业绩</w:t>
            </w:r>
            <w:r>
              <w:rPr>
                <w:rFonts w:hint="eastAsia" w:ascii="宋体" w:hAnsi="宋体"/>
                <w:color w:val="auto"/>
                <w:szCs w:val="21"/>
              </w:rPr>
              <w:t>，每项得</w:t>
            </w:r>
            <w:r>
              <w:rPr>
                <w:rFonts w:hint="eastAsia" w:ascii="宋体" w:hAnsi="宋体"/>
                <w:color w:val="auto"/>
                <w:szCs w:val="21"/>
                <w:lang w:val="en-US" w:eastAsia="zh-CN"/>
              </w:rPr>
              <w:t>1</w:t>
            </w:r>
            <w:r>
              <w:rPr>
                <w:rFonts w:hint="eastAsia" w:ascii="宋体" w:hAnsi="宋体"/>
                <w:color w:val="auto"/>
                <w:szCs w:val="21"/>
              </w:rPr>
              <w:t>分，满分</w:t>
            </w:r>
            <w:r>
              <w:rPr>
                <w:rFonts w:hint="eastAsia" w:ascii="宋体" w:hAnsi="宋体"/>
                <w:color w:val="auto"/>
                <w:szCs w:val="21"/>
                <w:lang w:val="en-US" w:eastAsia="zh-CN"/>
              </w:rPr>
              <w:t>4</w:t>
            </w:r>
            <w:r>
              <w:rPr>
                <w:rFonts w:hint="eastAsia" w:ascii="宋体" w:hAnsi="宋体"/>
                <w:color w:val="auto"/>
                <w:szCs w:val="21"/>
              </w:rPr>
              <w:t>分。【投标文件中需提供成交（中标）通知书或合同书复印件，不提供不得分。同一个采购人的多个业绩按1项业绩计分】</w:t>
            </w:r>
          </w:p>
        </w:tc>
      </w:tr>
      <w:tr w14:paraId="64A0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vAlign w:val="center"/>
          </w:tcPr>
          <w:p w14:paraId="2A99AD79">
            <w:pPr>
              <w:pStyle w:val="22"/>
              <w:snapToGrid w:val="0"/>
              <w:spacing w:line="360" w:lineRule="atLeast"/>
              <w:rPr>
                <w:rFonts w:hAnsi="宋体"/>
                <w:b/>
                <w:bCs/>
                <w:color w:val="auto"/>
                <w:sz w:val="21"/>
              </w:rPr>
            </w:pPr>
            <w:r>
              <w:rPr>
                <w:rFonts w:hint="eastAsia" w:hAnsi="宋体"/>
                <w:b/>
                <w:bCs/>
                <w:color w:val="auto"/>
                <w:sz w:val="21"/>
              </w:rPr>
              <w:t>总得分=1+2+3。本项目为服务类项目，无政策功能分。</w:t>
            </w:r>
          </w:p>
        </w:tc>
      </w:tr>
    </w:tbl>
    <w:p w14:paraId="08C88B05">
      <w:pPr>
        <w:pStyle w:val="22"/>
        <w:spacing w:line="360" w:lineRule="auto"/>
        <w:ind w:firstLine="420"/>
        <w:rPr>
          <w:rFonts w:hAnsi="宋体"/>
          <w:bCs/>
          <w:color w:val="auto"/>
          <w:sz w:val="21"/>
        </w:rPr>
      </w:pPr>
      <w:r>
        <w:rPr>
          <w:rFonts w:hint="eastAsia" w:hAnsi="宋体"/>
          <w:bCs/>
          <w:color w:val="auto"/>
          <w:sz w:val="21"/>
        </w:rPr>
        <w:t>注：计分方法按四舍五入取至百分位</w:t>
      </w:r>
    </w:p>
    <w:p w14:paraId="7F323D33">
      <w:pPr>
        <w:pStyle w:val="4"/>
        <w:keepNext w:val="0"/>
        <w:keepLines w:val="0"/>
        <w:jc w:val="center"/>
        <w:rPr>
          <w:color w:val="auto"/>
          <w:sz w:val="30"/>
          <w:szCs w:val="30"/>
        </w:rPr>
      </w:pPr>
      <w:r>
        <w:rPr>
          <w:color w:val="auto"/>
          <w:sz w:val="30"/>
          <w:szCs w:val="30"/>
        </w:rPr>
        <w:br w:type="page"/>
      </w:r>
    </w:p>
    <w:p w14:paraId="4562CC62">
      <w:pPr>
        <w:pStyle w:val="4"/>
        <w:keepNext w:val="0"/>
        <w:keepLines w:val="0"/>
        <w:jc w:val="center"/>
        <w:rPr>
          <w:color w:val="auto"/>
          <w:sz w:val="30"/>
          <w:szCs w:val="30"/>
        </w:rPr>
      </w:pPr>
      <w:r>
        <w:rPr>
          <w:rFonts w:hint="eastAsia"/>
          <w:color w:val="auto"/>
          <w:sz w:val="30"/>
          <w:szCs w:val="30"/>
        </w:rPr>
        <w:t>四、中标候选人推荐原则</w:t>
      </w:r>
    </w:p>
    <w:p w14:paraId="7A479301">
      <w:pPr>
        <w:pStyle w:val="22"/>
        <w:spacing w:line="360" w:lineRule="auto"/>
        <w:ind w:firstLine="420" w:firstLineChars="200"/>
        <w:contextualSpacing/>
        <w:rPr>
          <w:rFonts w:hAnsi="宋体"/>
          <w:color w:val="auto"/>
          <w:sz w:val="21"/>
        </w:rPr>
      </w:pPr>
      <w:r>
        <w:rPr>
          <w:rFonts w:hint="eastAsia" w:hAnsi="宋体"/>
          <w:color w:val="auto"/>
          <w:sz w:val="21"/>
        </w:rPr>
        <w:t>1</w:t>
      </w:r>
      <w:r>
        <w:rPr>
          <w:rFonts w:hAnsi="宋体"/>
          <w:color w:val="auto"/>
          <w:sz w:val="21"/>
        </w:rPr>
        <w:t>.</w:t>
      </w:r>
      <w:r>
        <w:rPr>
          <w:rFonts w:hint="eastAsia" w:hAnsi="宋体"/>
          <w:color w:val="auto"/>
          <w:sz w:val="21"/>
        </w:rPr>
        <w:t>评标委员会根据原始评标记录和评标结果编写评标报告，并通过电子交易平台向采购人、采购代理机构提交。</w:t>
      </w:r>
    </w:p>
    <w:p w14:paraId="26DF918A">
      <w:pPr>
        <w:pStyle w:val="22"/>
        <w:spacing w:line="360" w:lineRule="auto"/>
        <w:ind w:firstLine="420" w:firstLineChars="200"/>
        <w:contextualSpacing/>
        <w:rPr>
          <w:rFonts w:hAnsi="宋体"/>
          <w:b/>
          <w:color w:val="auto"/>
          <w:sz w:val="24"/>
        </w:rPr>
      </w:pPr>
      <w:r>
        <w:rPr>
          <w:rFonts w:hint="eastAsia" w:hAnsi="宋体"/>
          <w:color w:val="auto"/>
          <w:sz w:val="21"/>
        </w:rPr>
        <w:t>2</w:t>
      </w:r>
      <w:r>
        <w:rPr>
          <w:rFonts w:hAnsi="宋体"/>
          <w:color w:val="auto"/>
          <w:sz w:val="21"/>
        </w:rPr>
        <w:t>.</w:t>
      </w:r>
      <w:r>
        <w:rPr>
          <w:rFonts w:hint="eastAsia" w:hAnsi="宋体"/>
          <w:color w:val="auto"/>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9DF1E7E">
      <w:pPr>
        <w:pStyle w:val="4"/>
        <w:keepNext w:val="0"/>
        <w:keepLines w:val="0"/>
        <w:jc w:val="center"/>
        <w:rPr>
          <w:rFonts w:hAnsi="宋体"/>
          <w:color w:val="auto"/>
          <w:sz w:val="21"/>
        </w:rPr>
      </w:pPr>
      <w:r>
        <w:rPr>
          <w:rFonts w:hAnsi="宋体"/>
          <w:b w:val="0"/>
          <w:color w:val="auto"/>
          <w:sz w:val="24"/>
        </w:rPr>
        <w:br w:type="page"/>
      </w:r>
    </w:p>
    <w:p w14:paraId="2FA1ACEE">
      <w:pPr>
        <w:spacing w:before="120" w:beforeLines="50" w:after="120" w:afterLines="50" w:line="400" w:lineRule="exact"/>
        <w:rPr>
          <w:rFonts w:ascii="宋体" w:hAnsi="宋体"/>
          <w:b/>
          <w:color w:val="auto"/>
          <w:sz w:val="24"/>
        </w:rPr>
      </w:pPr>
    </w:p>
    <w:p w14:paraId="6873E22D">
      <w:pPr>
        <w:spacing w:before="120" w:beforeLines="50" w:after="120" w:afterLines="50" w:line="400" w:lineRule="exact"/>
        <w:rPr>
          <w:rFonts w:ascii="宋体" w:hAnsi="宋体"/>
          <w:b/>
          <w:color w:val="auto"/>
          <w:sz w:val="24"/>
        </w:rPr>
      </w:pPr>
    </w:p>
    <w:p w14:paraId="40B8CFA2">
      <w:pPr>
        <w:spacing w:before="120" w:beforeLines="50" w:after="120" w:afterLines="50" w:line="400" w:lineRule="exact"/>
        <w:rPr>
          <w:rFonts w:ascii="宋体" w:hAnsi="宋体"/>
          <w:b/>
          <w:color w:val="auto"/>
          <w:sz w:val="24"/>
        </w:rPr>
      </w:pPr>
    </w:p>
    <w:p w14:paraId="0D025A4A">
      <w:pPr>
        <w:spacing w:before="120" w:beforeLines="50" w:after="120" w:afterLines="50" w:line="400" w:lineRule="exact"/>
        <w:rPr>
          <w:rFonts w:ascii="宋体" w:hAnsi="宋体"/>
          <w:b/>
          <w:color w:val="auto"/>
          <w:sz w:val="24"/>
        </w:rPr>
      </w:pPr>
    </w:p>
    <w:p w14:paraId="2E4E7398">
      <w:pPr>
        <w:spacing w:before="120" w:beforeLines="50" w:after="120" w:afterLines="50" w:line="400" w:lineRule="exact"/>
        <w:rPr>
          <w:rFonts w:ascii="宋体" w:hAnsi="宋体"/>
          <w:b/>
          <w:color w:val="auto"/>
          <w:sz w:val="24"/>
        </w:rPr>
      </w:pPr>
    </w:p>
    <w:p w14:paraId="12B5563A">
      <w:pPr>
        <w:spacing w:before="120" w:beforeLines="50" w:after="120" w:afterLines="50" w:line="400" w:lineRule="exact"/>
        <w:rPr>
          <w:rFonts w:ascii="宋体" w:hAnsi="宋体"/>
          <w:b/>
          <w:color w:val="auto"/>
          <w:sz w:val="24"/>
        </w:rPr>
      </w:pPr>
    </w:p>
    <w:p w14:paraId="51B9B7E6">
      <w:pPr>
        <w:spacing w:before="120" w:beforeLines="50" w:after="120" w:afterLines="50" w:line="400" w:lineRule="exact"/>
        <w:rPr>
          <w:rFonts w:ascii="宋体" w:hAnsi="宋体"/>
          <w:b/>
          <w:color w:val="auto"/>
          <w:sz w:val="24"/>
        </w:rPr>
      </w:pPr>
    </w:p>
    <w:p w14:paraId="5CD0E1AC">
      <w:pPr>
        <w:spacing w:before="120" w:beforeLines="50" w:after="120" w:afterLines="50" w:line="400" w:lineRule="exact"/>
        <w:rPr>
          <w:rFonts w:ascii="宋体" w:hAnsi="宋体"/>
          <w:b/>
          <w:color w:val="auto"/>
          <w:sz w:val="24"/>
        </w:rPr>
      </w:pPr>
    </w:p>
    <w:p w14:paraId="546E6BA2">
      <w:pPr>
        <w:spacing w:before="120" w:beforeLines="50" w:after="120" w:afterLines="50" w:line="400" w:lineRule="exact"/>
        <w:rPr>
          <w:rFonts w:ascii="宋体" w:hAnsi="宋体"/>
          <w:b/>
          <w:color w:val="auto"/>
          <w:sz w:val="24"/>
        </w:rPr>
      </w:pPr>
    </w:p>
    <w:p w14:paraId="2B241220">
      <w:pPr>
        <w:spacing w:before="120" w:beforeLines="50" w:after="120" w:afterLines="50" w:line="400" w:lineRule="exact"/>
        <w:rPr>
          <w:rFonts w:ascii="宋体" w:hAnsi="宋体"/>
          <w:b/>
          <w:color w:val="auto"/>
          <w:sz w:val="24"/>
        </w:rPr>
      </w:pPr>
    </w:p>
    <w:p w14:paraId="21D81B29">
      <w:pPr>
        <w:spacing w:before="120" w:beforeLines="50" w:after="120" w:afterLines="50" w:line="400" w:lineRule="exact"/>
        <w:rPr>
          <w:rFonts w:ascii="宋体" w:hAnsi="宋体"/>
          <w:b/>
          <w:color w:val="auto"/>
          <w:sz w:val="24"/>
        </w:rPr>
      </w:pPr>
    </w:p>
    <w:p w14:paraId="7A96BCF2">
      <w:pPr>
        <w:pStyle w:val="2"/>
        <w:jc w:val="center"/>
        <w:rPr>
          <w:color w:val="auto"/>
        </w:rPr>
      </w:pPr>
      <w:bookmarkStart w:id="133" w:name="_Toc25250"/>
      <w:r>
        <w:rPr>
          <w:rFonts w:hint="eastAsia"/>
          <w:color w:val="auto"/>
        </w:rPr>
        <w:t>第五章  拟签订的合同文本</w:t>
      </w:r>
      <w:bookmarkEnd w:id="133"/>
    </w:p>
    <w:p w14:paraId="03DB93F1">
      <w:pPr>
        <w:snapToGrid w:val="0"/>
        <w:jc w:val="center"/>
        <w:rPr>
          <w:rFonts w:ascii="宋体" w:hAnsi="宋体"/>
          <w:bCs/>
          <w:color w:val="auto"/>
          <w:sz w:val="32"/>
          <w:szCs w:val="32"/>
        </w:rPr>
      </w:pPr>
    </w:p>
    <w:p w14:paraId="19C73A21">
      <w:pPr>
        <w:snapToGrid w:val="0"/>
        <w:jc w:val="center"/>
        <w:rPr>
          <w:rFonts w:ascii="宋体" w:hAnsi="宋体"/>
          <w:bCs/>
          <w:color w:val="auto"/>
          <w:sz w:val="32"/>
          <w:szCs w:val="32"/>
        </w:rPr>
      </w:pPr>
    </w:p>
    <w:p w14:paraId="0B0DB299">
      <w:pPr>
        <w:snapToGrid w:val="0"/>
        <w:jc w:val="center"/>
        <w:rPr>
          <w:rFonts w:ascii="宋体" w:hAnsi="宋体"/>
          <w:bCs/>
          <w:color w:val="auto"/>
          <w:sz w:val="32"/>
          <w:szCs w:val="32"/>
        </w:rPr>
      </w:pPr>
    </w:p>
    <w:p w14:paraId="27894A4F">
      <w:pPr>
        <w:snapToGrid w:val="0"/>
        <w:jc w:val="center"/>
        <w:rPr>
          <w:rFonts w:ascii="宋体" w:hAnsi="宋体"/>
          <w:bCs/>
          <w:color w:val="auto"/>
          <w:sz w:val="32"/>
          <w:szCs w:val="32"/>
        </w:rPr>
      </w:pPr>
    </w:p>
    <w:p w14:paraId="58F4916A">
      <w:pPr>
        <w:snapToGrid w:val="0"/>
        <w:jc w:val="center"/>
        <w:rPr>
          <w:rFonts w:ascii="宋体" w:hAnsi="宋体"/>
          <w:bCs/>
          <w:color w:val="auto"/>
          <w:sz w:val="32"/>
          <w:szCs w:val="32"/>
        </w:rPr>
      </w:pPr>
    </w:p>
    <w:p w14:paraId="397B6BBF">
      <w:pPr>
        <w:snapToGrid w:val="0"/>
        <w:jc w:val="center"/>
        <w:rPr>
          <w:rFonts w:ascii="宋体" w:hAnsi="宋体"/>
          <w:bCs/>
          <w:color w:val="auto"/>
          <w:sz w:val="32"/>
          <w:szCs w:val="32"/>
        </w:rPr>
      </w:pPr>
    </w:p>
    <w:p w14:paraId="4EE148DD">
      <w:pPr>
        <w:snapToGrid w:val="0"/>
        <w:jc w:val="center"/>
        <w:rPr>
          <w:rFonts w:ascii="宋体" w:hAnsi="宋体"/>
          <w:bCs/>
          <w:color w:val="auto"/>
          <w:sz w:val="32"/>
          <w:szCs w:val="32"/>
        </w:rPr>
      </w:pPr>
    </w:p>
    <w:p w14:paraId="33B53541">
      <w:pPr>
        <w:snapToGrid w:val="0"/>
        <w:jc w:val="center"/>
        <w:rPr>
          <w:rFonts w:ascii="宋体" w:hAnsi="宋体"/>
          <w:bCs/>
          <w:color w:val="auto"/>
          <w:sz w:val="32"/>
          <w:szCs w:val="32"/>
        </w:rPr>
      </w:pPr>
    </w:p>
    <w:p w14:paraId="49C8D8D4">
      <w:pPr>
        <w:snapToGrid w:val="0"/>
        <w:jc w:val="center"/>
        <w:rPr>
          <w:rFonts w:ascii="宋体" w:hAnsi="宋体"/>
          <w:bCs/>
          <w:color w:val="auto"/>
          <w:sz w:val="32"/>
          <w:szCs w:val="32"/>
        </w:rPr>
      </w:pPr>
    </w:p>
    <w:p w14:paraId="39330B2B">
      <w:pPr>
        <w:snapToGrid w:val="0"/>
        <w:jc w:val="center"/>
        <w:rPr>
          <w:rFonts w:ascii="宋体" w:hAnsi="宋体"/>
          <w:bCs/>
          <w:color w:val="auto"/>
          <w:sz w:val="32"/>
          <w:szCs w:val="32"/>
        </w:rPr>
      </w:pPr>
    </w:p>
    <w:p w14:paraId="76403567">
      <w:pPr>
        <w:snapToGrid w:val="0"/>
        <w:jc w:val="center"/>
        <w:rPr>
          <w:rFonts w:ascii="宋体" w:hAnsi="宋体"/>
          <w:bCs/>
          <w:color w:val="auto"/>
          <w:sz w:val="32"/>
          <w:szCs w:val="32"/>
        </w:rPr>
      </w:pPr>
    </w:p>
    <w:p w14:paraId="281BB6CD">
      <w:pPr>
        <w:snapToGrid w:val="0"/>
        <w:spacing w:line="360" w:lineRule="auto"/>
        <w:jc w:val="center"/>
        <w:rPr>
          <w:rFonts w:ascii="宋体" w:hAnsi="宋体"/>
          <w:b/>
          <w:bCs/>
          <w:color w:val="auto"/>
          <w:sz w:val="32"/>
          <w:szCs w:val="32"/>
        </w:rPr>
      </w:pPr>
      <w:r>
        <w:rPr>
          <w:rFonts w:ascii="宋体" w:hAnsi="宋体"/>
          <w:bCs/>
          <w:color w:val="auto"/>
        </w:rPr>
        <w:br w:type="page"/>
      </w:r>
      <w:r>
        <w:rPr>
          <w:rFonts w:hint="eastAsia" w:ascii="宋体" w:hAnsi="宋体"/>
          <w:b/>
          <w:color w:val="auto"/>
          <w:sz w:val="32"/>
          <w:szCs w:val="32"/>
        </w:rPr>
        <w:t xml:space="preserve"> </w:t>
      </w:r>
      <w:r>
        <w:rPr>
          <w:rFonts w:hint="eastAsia" w:ascii="宋体" w:hAnsi="宋体"/>
          <w:b/>
          <w:bCs/>
          <w:color w:val="auto"/>
          <w:sz w:val="32"/>
          <w:szCs w:val="32"/>
        </w:rPr>
        <w:t>政府采购合同</w:t>
      </w:r>
    </w:p>
    <w:p w14:paraId="4A40963D">
      <w:pPr>
        <w:snapToGrid w:val="0"/>
        <w:spacing w:line="360" w:lineRule="auto"/>
        <w:ind w:right="480" w:firstLine="7000" w:firstLineChars="2500"/>
        <w:rPr>
          <w:rFonts w:hint="eastAsia" w:ascii="宋体" w:hAnsi="宋体" w:eastAsia="宋体" w:cs="宋体"/>
          <w:bCs/>
          <w:color w:val="auto"/>
          <w:sz w:val="28"/>
          <w:szCs w:val="28"/>
          <w:u w:val="single"/>
        </w:rPr>
      </w:pPr>
      <w:r>
        <w:rPr>
          <w:rFonts w:hint="eastAsia" w:ascii="宋体" w:hAnsi="宋体" w:eastAsia="宋体" w:cs="宋体"/>
          <w:bCs/>
          <w:color w:val="auto"/>
          <w:sz w:val="28"/>
          <w:szCs w:val="28"/>
        </w:rPr>
        <w:t>合同编号：</w:t>
      </w:r>
    </w:p>
    <w:p w14:paraId="2AD06BBE">
      <w:pPr>
        <w:snapToGrid w:val="0"/>
        <w:spacing w:line="360" w:lineRule="auto"/>
        <w:rPr>
          <w:rFonts w:hint="eastAsia" w:ascii="宋体" w:hAnsi="宋体" w:eastAsia="宋体" w:cs="宋体"/>
          <w:color w:val="auto"/>
          <w:sz w:val="28"/>
          <w:szCs w:val="28"/>
        </w:rPr>
      </w:pPr>
    </w:p>
    <w:p w14:paraId="18C219BD">
      <w:pPr>
        <w:snapToGrid w:val="0"/>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采购人（甲方）：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69622699">
      <w:pPr>
        <w:snapToGrid w:val="0"/>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供应商（乙方）：</w:t>
      </w:r>
      <w:r>
        <w:rPr>
          <w:rFonts w:hint="eastAsia" w:ascii="宋体" w:hAnsi="宋体" w:eastAsia="宋体" w:cs="宋体"/>
          <w:color w:val="auto"/>
          <w:sz w:val="28"/>
          <w:szCs w:val="28"/>
          <w:u w:val="single"/>
        </w:rPr>
        <w:t xml:space="preserve">                          </w:t>
      </w:r>
    </w:p>
    <w:p w14:paraId="756FAB99">
      <w:pPr>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pacing w:val="-20"/>
          <w:sz w:val="28"/>
          <w:szCs w:val="28"/>
        </w:rPr>
        <w:t>采 购 计 划 号：</w:t>
      </w:r>
      <w:r>
        <w:rPr>
          <w:rFonts w:hint="eastAsia" w:ascii="宋体" w:hAnsi="宋体" w:eastAsia="宋体" w:cs="宋体"/>
          <w:color w:val="auto"/>
          <w:sz w:val="28"/>
          <w:szCs w:val="28"/>
          <w:u w:val="single"/>
        </w:rPr>
        <w:t xml:space="preserve">                         </w:t>
      </w:r>
    </w:p>
    <w:p w14:paraId="5816FBA0">
      <w:pPr>
        <w:snapToGrid w:val="0"/>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rPr>
        <w:t xml:space="preserve">                       </w:t>
      </w:r>
    </w:p>
    <w:p w14:paraId="04C00A76">
      <w:pPr>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合同类型：</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合同</w:t>
      </w:r>
    </w:p>
    <w:p w14:paraId="565E027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本合同为中小企业预留合同：</w:t>
      </w:r>
      <w:r>
        <w:rPr>
          <w:rFonts w:hint="eastAsia" w:ascii="宋体" w:hAnsi="宋体" w:eastAsia="宋体" w:cs="宋体"/>
          <w:i/>
          <w:color w:val="auto"/>
          <w:sz w:val="28"/>
          <w:szCs w:val="28"/>
          <w:u w:val="single"/>
        </w:rPr>
        <w:t>（是/否）</w:t>
      </w:r>
      <w:r>
        <w:rPr>
          <w:rFonts w:hint="eastAsia" w:ascii="宋体" w:hAnsi="宋体" w:eastAsia="宋体" w:cs="宋体"/>
          <w:color w:val="auto"/>
          <w:sz w:val="28"/>
          <w:szCs w:val="28"/>
        </w:rPr>
        <w:t>。</w:t>
      </w:r>
    </w:p>
    <w:p w14:paraId="6F9198DF">
      <w:pPr>
        <w:pStyle w:val="16"/>
        <w:spacing w:line="360" w:lineRule="auto"/>
        <w:rPr>
          <w:rFonts w:hint="eastAsia" w:ascii="宋体" w:hAnsi="宋体" w:eastAsia="宋体" w:cs="宋体"/>
          <w:color w:val="auto"/>
          <w:sz w:val="28"/>
          <w:szCs w:val="28"/>
        </w:rPr>
      </w:pPr>
    </w:p>
    <w:p w14:paraId="5E7E9C35">
      <w:pPr>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根据《中华人民共和国民法典》、《中华人民共和国政府采购法》等相关法律法规之规 定，按照平等、自愿、公平和诚实信用的原则，经甲乙双方协商一致，约定以下合同条款，以兹共同遵守、全面履行。</w:t>
      </w:r>
    </w:p>
    <w:p w14:paraId="5F636C4B">
      <w:pPr>
        <w:pStyle w:val="16"/>
        <w:numPr>
          <w:ilvl w:val="0"/>
          <w:numId w:val="5"/>
        </w:numPr>
        <w:ind w:left="600" w:leftChars="0" w:firstLine="0" w:firstLineChars="0"/>
        <w:rPr>
          <w:rFonts w:hint="eastAsia" w:ascii="宋体" w:hAnsi="宋体" w:eastAsia="宋体" w:cs="宋体"/>
          <w:b/>
          <w:bCs/>
          <w:color w:val="auto"/>
          <w:spacing w:val="-10"/>
          <w:sz w:val="28"/>
          <w:szCs w:val="28"/>
          <w:u w:val="none"/>
          <w:lang w:val="en-US" w:eastAsia="zh-CN"/>
        </w:rPr>
      </w:pPr>
      <w:r>
        <w:rPr>
          <w:rFonts w:hint="eastAsia" w:ascii="宋体" w:hAnsi="宋体" w:eastAsia="宋体" w:cs="宋体"/>
          <w:b/>
          <w:bCs/>
          <w:color w:val="auto"/>
          <w:spacing w:val="-10"/>
          <w:sz w:val="28"/>
          <w:szCs w:val="28"/>
          <w:u w:val="none"/>
          <w:lang w:val="en-US" w:eastAsia="zh-CN"/>
        </w:rPr>
        <w:t>、服务内容概况</w:t>
      </w:r>
    </w:p>
    <w:p w14:paraId="1D174C58">
      <w:pPr>
        <w:pStyle w:val="16"/>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1.1山围镇、民安镇、清水口镇、新丰镇污水处理厂及配套管网工程项目，合计生活污水处理规模为2300 m³／日，配套管网总长约为11.7 公里，配套的一体化污水提升泵站共6座（山围2座、民安3座、清水口1座）</w:t>
      </w:r>
    </w:p>
    <w:p w14:paraId="33EBEACB">
      <w:pPr>
        <w:pStyle w:val="16"/>
        <w:widowControl w:val="0"/>
        <w:wordWrap/>
        <w:adjustRightInd/>
        <w:snapToGrid/>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1.1.1镇级污水处理厂的运营维护。</w:t>
      </w:r>
    </w:p>
    <w:p w14:paraId="256A7BFC">
      <w:pPr>
        <w:pStyle w:val="16"/>
        <w:widowControl w:val="0"/>
        <w:wordWrap/>
        <w:adjustRightInd/>
        <w:snapToGrid/>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山围镇、民安镇、清水口镇、新丰镇等4个污水处理厂范围包括厂内所有设备设施、生产工艺管理、设备管理、安全管理、现场管理等与该项目生产经营活动有关的事项。具体包括：</w:t>
      </w:r>
    </w:p>
    <w:p w14:paraId="7B242871">
      <w:pPr>
        <w:pStyle w:val="16"/>
        <w:widowControl w:val="0"/>
        <w:wordWrap/>
        <w:adjustRightInd/>
        <w:snapToGrid/>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1.1.1.1污水处理厂厂区内工艺、设备、设施、安全、现场卫生等事项的运营管理。</w:t>
      </w:r>
    </w:p>
    <w:p w14:paraId="40A6FC2A">
      <w:pPr>
        <w:pStyle w:val="16"/>
        <w:widowControl w:val="0"/>
        <w:wordWrap/>
        <w:adjustRightInd/>
        <w:snapToGrid/>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1.1.1.2人工湿地植被收割、植被补种更新及日常维护管理等。</w:t>
      </w:r>
    </w:p>
    <w:p w14:paraId="1F7921FC">
      <w:pPr>
        <w:pStyle w:val="16"/>
        <w:widowControl w:val="0"/>
        <w:wordWrap/>
        <w:adjustRightInd/>
        <w:snapToGrid/>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1.1.1.3承担污水厂运营产生的人工费、水电费、药剂费、化验费、污泥运输处置费、数据网络费和税金等有关费用。</w:t>
      </w:r>
    </w:p>
    <w:p w14:paraId="330AFC81">
      <w:pPr>
        <w:pStyle w:val="16"/>
        <w:widowControl w:val="0"/>
        <w:wordWrap/>
        <w:adjustRightInd/>
        <w:snapToGrid/>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1.1.2配套污水收集管网巡查、清淤维护。</w:t>
      </w:r>
    </w:p>
    <w:p w14:paraId="474C7E03">
      <w:pPr>
        <w:pStyle w:val="16"/>
        <w:widowControl w:val="0"/>
        <w:wordWrap/>
        <w:adjustRightInd/>
        <w:snapToGrid/>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1.1.2.1配套的污水收集管网及其检查井的日常巡视、维护、安全设施养护等工作。</w:t>
      </w:r>
    </w:p>
    <w:p w14:paraId="78657328">
      <w:pPr>
        <w:pStyle w:val="16"/>
        <w:widowControl w:val="0"/>
        <w:wordWrap/>
        <w:adjustRightInd/>
        <w:snapToGrid/>
        <w:ind w:firstLine="52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pacing w:val="-10"/>
          <w:sz w:val="28"/>
          <w:szCs w:val="28"/>
          <w:u w:val="none"/>
          <w:lang w:val="en-US" w:eastAsia="zh-CN"/>
        </w:rPr>
        <w:t>1.1.2.2配套管网内沉积淤泥、砂石板结块等清理、配套检查井、沉砂井内的垃圾、沉砂、淤泥清运等工作。但因施工质量、地基沉降、车辆过载等原因导致的污水管网破断、断管，必须进行开挖施工或采用非开槽施工技术进行换新管修复的一般性修复（单次金额10000元以下，含10000元）。超出一般性修复的较大工程（单次金额为10000元以上），不属于委托范围。若发生此项情况，由乙方提出修复建议并报告项目业主，经甲方同意由乙方先行出资垫付修复，所需费用随运营费用一起申请。</w:t>
      </w:r>
    </w:p>
    <w:p w14:paraId="52975486">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u w:val="none"/>
        </w:rPr>
      </w:pPr>
      <w:r>
        <w:rPr>
          <w:rFonts w:hint="eastAsia" w:ascii="宋体" w:hAnsi="宋体" w:eastAsia="宋体" w:cs="宋体"/>
          <w:b/>
          <w:bCs/>
          <w:color w:val="auto"/>
          <w:spacing w:val="-10"/>
          <w:sz w:val="28"/>
          <w:szCs w:val="28"/>
          <w:u w:val="none"/>
          <w:lang w:val="en-US" w:eastAsia="zh-CN"/>
        </w:rPr>
        <w:t>第二条</w:t>
      </w:r>
      <w:r>
        <w:rPr>
          <w:rFonts w:hint="eastAsia" w:ascii="宋体" w:hAnsi="宋体" w:eastAsia="宋体" w:cs="宋体"/>
          <w:b/>
          <w:bCs/>
          <w:color w:val="auto"/>
          <w:spacing w:val="-10"/>
          <w:sz w:val="28"/>
          <w:szCs w:val="28"/>
          <w:u w:val="none"/>
        </w:rPr>
        <w:t>、双方的权利和义务</w:t>
      </w:r>
    </w:p>
    <w:p w14:paraId="6E4F3B5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lang w:eastAsia="zh-CN"/>
        </w:rPr>
      </w:pPr>
      <w:r>
        <w:rPr>
          <w:rFonts w:hint="eastAsia" w:ascii="宋体" w:hAnsi="宋体" w:eastAsia="宋体" w:cs="宋体"/>
          <w:color w:val="auto"/>
          <w:spacing w:val="-10"/>
          <w:sz w:val="28"/>
          <w:szCs w:val="28"/>
          <w:u w:val="none"/>
          <w:lang w:val="en-US" w:eastAsia="zh-CN"/>
        </w:rPr>
        <w:t>2.1</w:t>
      </w:r>
      <w:r>
        <w:rPr>
          <w:rFonts w:hint="eastAsia" w:ascii="宋体" w:hAnsi="宋体" w:eastAsia="宋体" w:cs="宋体"/>
          <w:color w:val="auto"/>
          <w:spacing w:val="-10"/>
          <w:sz w:val="28"/>
          <w:szCs w:val="28"/>
          <w:u w:val="none"/>
          <w:lang w:eastAsia="zh-CN"/>
        </w:rPr>
        <w:t>甲方</w:t>
      </w:r>
    </w:p>
    <w:p w14:paraId="4B9E624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2.1.1</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的权利：</w:t>
      </w:r>
    </w:p>
    <w:p w14:paraId="5E8AA42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2.1.1.1</w:t>
      </w:r>
      <w:r>
        <w:rPr>
          <w:rFonts w:hint="eastAsia" w:ascii="宋体" w:hAnsi="宋体" w:eastAsia="宋体" w:cs="宋体"/>
          <w:color w:val="auto"/>
          <w:spacing w:val="-10"/>
          <w:sz w:val="28"/>
          <w:szCs w:val="28"/>
          <w:u w:val="none"/>
        </w:rPr>
        <w:t>监督</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管理好污水处理设施（含泵站、污水管网）、设备及其他资产，监督</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依法经营、履行合同</w:t>
      </w:r>
      <w:r>
        <w:rPr>
          <w:rFonts w:hint="eastAsia" w:ascii="宋体" w:hAnsi="宋体" w:eastAsia="宋体" w:cs="宋体"/>
          <w:color w:val="auto"/>
          <w:spacing w:val="-10"/>
          <w:sz w:val="28"/>
          <w:szCs w:val="28"/>
          <w:u w:val="none"/>
          <w:lang w:eastAsia="zh-CN"/>
        </w:rPr>
        <w:t>，范围包括厂内所有设备设施、生产工艺管理、设备管理、安全管理、现场管理等与该项目生产经营活动有关的事项</w:t>
      </w:r>
      <w:r>
        <w:rPr>
          <w:rFonts w:hint="eastAsia" w:ascii="宋体" w:hAnsi="宋体" w:eastAsia="宋体" w:cs="宋体"/>
          <w:color w:val="auto"/>
          <w:spacing w:val="-10"/>
          <w:sz w:val="28"/>
          <w:szCs w:val="28"/>
          <w:u w:val="none"/>
        </w:rPr>
        <w:t>。</w:t>
      </w:r>
    </w:p>
    <w:p w14:paraId="296CD796">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2.1.1.2</w:t>
      </w:r>
      <w:r>
        <w:rPr>
          <w:rFonts w:hint="eastAsia" w:ascii="宋体" w:hAnsi="宋体" w:eastAsia="宋体" w:cs="宋体"/>
          <w:color w:val="auto"/>
          <w:spacing w:val="-10"/>
          <w:sz w:val="28"/>
          <w:szCs w:val="28"/>
          <w:u w:val="none"/>
        </w:rPr>
        <w:t>对</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违反本合同要求的行为，</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有权进行核查，由</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和政府有关部门书面通知</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w:t>
      </w:r>
    </w:p>
    <w:p w14:paraId="1BEACE57">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2.1.1.3</w:t>
      </w:r>
      <w:r>
        <w:rPr>
          <w:rFonts w:hint="eastAsia" w:ascii="宋体" w:hAnsi="宋体" w:eastAsia="宋体" w:cs="宋体"/>
          <w:color w:val="auto"/>
          <w:spacing w:val="-10"/>
          <w:sz w:val="28"/>
          <w:szCs w:val="28"/>
          <w:u w:val="none"/>
        </w:rPr>
        <w:t>有权要求</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做好准备，迎接上级领导或主管部门的检查、调研和业务指导。</w:t>
      </w:r>
    </w:p>
    <w:p w14:paraId="0EB473B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2.1.1.4</w:t>
      </w:r>
      <w:r>
        <w:rPr>
          <w:rFonts w:hint="eastAsia" w:ascii="宋体" w:hAnsi="宋体" w:eastAsia="宋体" w:cs="宋体"/>
          <w:color w:val="auto"/>
          <w:spacing w:val="-10"/>
          <w:sz w:val="28"/>
          <w:szCs w:val="28"/>
          <w:u w:val="none"/>
        </w:rPr>
        <w:t>有权要求</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及时报告污水处理设施（含泵站、污水管网）运行管理情况。</w:t>
      </w:r>
    </w:p>
    <w:p w14:paraId="1F16C95E">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2.1.1.5</w:t>
      </w:r>
      <w:r>
        <w:rPr>
          <w:rFonts w:hint="eastAsia" w:ascii="宋体" w:hAnsi="宋体" w:eastAsia="宋体" w:cs="宋体"/>
          <w:color w:val="auto"/>
          <w:spacing w:val="-10"/>
          <w:sz w:val="28"/>
          <w:szCs w:val="28"/>
          <w:u w:val="none"/>
        </w:rPr>
        <w:t>当</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经营班子（含主要技术骨干）出现重大变化，且不能满足污水处理厂正常生产管理需要时，</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有权</w:t>
      </w:r>
      <w:r>
        <w:rPr>
          <w:rFonts w:hint="eastAsia" w:ascii="宋体" w:hAnsi="宋体" w:eastAsia="宋体" w:cs="宋体"/>
          <w:color w:val="auto"/>
          <w:spacing w:val="-10"/>
          <w:sz w:val="28"/>
          <w:szCs w:val="28"/>
          <w:u w:val="none"/>
          <w:lang w:eastAsia="zh-CN"/>
        </w:rPr>
        <w:t>要求乙方整改</w:t>
      </w:r>
      <w:r>
        <w:rPr>
          <w:rFonts w:hint="eastAsia" w:ascii="宋体" w:hAnsi="宋体" w:eastAsia="宋体" w:cs="宋体"/>
          <w:color w:val="auto"/>
          <w:spacing w:val="-10"/>
          <w:sz w:val="28"/>
          <w:szCs w:val="28"/>
          <w:u w:val="none"/>
        </w:rPr>
        <w:t>。</w:t>
      </w:r>
    </w:p>
    <w:p w14:paraId="049D5805">
      <w:pPr>
        <w:pStyle w:val="16"/>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2.1.2</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的义务</w:t>
      </w:r>
    </w:p>
    <w:p w14:paraId="57C61482">
      <w:pPr>
        <w:pStyle w:val="16"/>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2.1.2.1确保</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给</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运营维护的资产、条件完整、无权益争议，并按合同规定如期支付合同价款。</w:t>
      </w:r>
    </w:p>
    <w:p w14:paraId="7219A989">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2.1.2.2</w:t>
      </w:r>
      <w:r>
        <w:rPr>
          <w:rFonts w:hint="eastAsia" w:ascii="宋体" w:hAnsi="宋体" w:eastAsia="宋体" w:cs="宋体"/>
          <w:color w:val="auto"/>
          <w:spacing w:val="-10"/>
          <w:sz w:val="28"/>
          <w:szCs w:val="28"/>
          <w:u w:val="none"/>
        </w:rPr>
        <w:t>协助乙方完善本项目正常运营维护所必须的配套设施及外部条件如水、电、通讯、道路等。</w:t>
      </w:r>
    </w:p>
    <w:p w14:paraId="1E22E527">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rPr>
        <w:t>2.1.2.</w:t>
      </w:r>
      <w:r>
        <w:rPr>
          <w:rFonts w:hint="eastAsia" w:ascii="宋体" w:hAnsi="宋体" w:eastAsia="宋体" w:cs="宋体"/>
          <w:color w:val="auto"/>
          <w:spacing w:val="-10"/>
          <w:sz w:val="28"/>
          <w:szCs w:val="28"/>
          <w:u w:val="none"/>
          <w:lang w:val="en-US" w:eastAsia="zh-CN"/>
        </w:rPr>
        <w:t>3由于国家、地方污水排放标准及污水处理设施（含泵站、污水管网）生产的生产需要或其他政策发生变化，需要进行项目改造、扩容或添置设备的费用由甲方负责。</w:t>
      </w:r>
    </w:p>
    <w:p w14:paraId="5351E7B0">
      <w:pPr>
        <w:widowControl w:val="0"/>
        <w:wordWrap/>
        <w:adjustRightInd/>
        <w:snapToGrid/>
        <w:spacing w:beforeAutospacing="0" w:afterAutospacing="0" w:line="540" w:lineRule="exact"/>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2.1.2.4</w:t>
      </w:r>
      <w:r>
        <w:rPr>
          <w:rFonts w:hint="eastAsia" w:ascii="宋体" w:hAnsi="宋体" w:eastAsia="宋体" w:cs="宋体"/>
          <w:color w:val="auto"/>
          <w:sz w:val="28"/>
          <w:szCs w:val="28"/>
          <w:u w:val="none"/>
        </w:rPr>
        <w:t>主要设施设备的重置更新由</w:t>
      </w:r>
      <w:r>
        <w:rPr>
          <w:rFonts w:hint="eastAsia" w:ascii="宋体" w:hAnsi="宋体" w:eastAsia="宋体" w:cs="宋体"/>
          <w:color w:val="auto"/>
          <w:sz w:val="28"/>
          <w:szCs w:val="28"/>
          <w:u w:val="none"/>
          <w:lang w:eastAsia="zh-CN"/>
        </w:rPr>
        <w:t>甲方</w:t>
      </w:r>
      <w:r>
        <w:rPr>
          <w:rFonts w:hint="eastAsia" w:ascii="宋体" w:hAnsi="宋体" w:eastAsia="宋体" w:cs="宋体"/>
          <w:color w:val="auto"/>
          <w:sz w:val="28"/>
          <w:szCs w:val="28"/>
          <w:u w:val="none"/>
        </w:rPr>
        <w:t>负责。</w:t>
      </w:r>
    </w:p>
    <w:p w14:paraId="6A9888D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2.1.2.</w:t>
      </w:r>
      <w:r>
        <w:rPr>
          <w:rFonts w:hint="eastAsia" w:ascii="宋体" w:hAnsi="宋体" w:eastAsia="宋体" w:cs="宋体"/>
          <w:color w:val="auto"/>
          <w:spacing w:val="-10"/>
          <w:sz w:val="28"/>
          <w:szCs w:val="28"/>
          <w:u w:val="none"/>
          <w:lang w:val="en-US" w:eastAsia="zh-CN"/>
        </w:rPr>
        <w:t>5</w:t>
      </w:r>
      <w:r>
        <w:rPr>
          <w:rFonts w:hint="eastAsia" w:ascii="宋体" w:hAnsi="宋体" w:eastAsia="宋体" w:cs="宋体"/>
          <w:color w:val="auto"/>
          <w:spacing w:val="-10"/>
          <w:sz w:val="28"/>
          <w:szCs w:val="28"/>
          <w:u w:val="none"/>
        </w:rPr>
        <w:t>在</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遵守合同的条件下，确保承包期内运营权不被无故中止。</w:t>
      </w:r>
    </w:p>
    <w:p w14:paraId="134B232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lang w:eastAsia="zh-CN"/>
        </w:rPr>
      </w:pPr>
      <w:r>
        <w:rPr>
          <w:rFonts w:hint="eastAsia" w:ascii="宋体" w:hAnsi="宋体" w:eastAsia="宋体" w:cs="宋体"/>
          <w:color w:val="auto"/>
          <w:spacing w:val="-10"/>
          <w:sz w:val="28"/>
          <w:szCs w:val="28"/>
          <w:u w:val="none"/>
          <w:lang w:val="en-US" w:eastAsia="zh-CN"/>
        </w:rPr>
        <w:t>2.2</w:t>
      </w:r>
      <w:r>
        <w:rPr>
          <w:rFonts w:hint="eastAsia" w:ascii="宋体" w:hAnsi="宋体" w:eastAsia="宋体" w:cs="宋体"/>
          <w:color w:val="auto"/>
          <w:spacing w:val="-10"/>
          <w:sz w:val="28"/>
          <w:szCs w:val="28"/>
          <w:u w:val="none"/>
          <w:lang w:eastAsia="zh-CN"/>
        </w:rPr>
        <w:t>乙方</w:t>
      </w:r>
    </w:p>
    <w:p w14:paraId="1A42298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2.2.1</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的权利：</w:t>
      </w:r>
    </w:p>
    <w:p w14:paraId="2FB9C25D">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lang w:eastAsia="zh-CN"/>
        </w:rPr>
      </w:pPr>
      <w:r>
        <w:rPr>
          <w:rFonts w:hint="eastAsia" w:ascii="宋体" w:hAnsi="宋体" w:eastAsia="宋体" w:cs="宋体"/>
          <w:color w:val="auto"/>
          <w:spacing w:val="-10"/>
          <w:sz w:val="28"/>
          <w:szCs w:val="28"/>
          <w:u w:val="none"/>
          <w:lang w:val="en-US" w:eastAsia="zh-CN"/>
        </w:rPr>
        <w:t>2.2.1.1</w:t>
      </w:r>
      <w:r>
        <w:rPr>
          <w:rFonts w:hint="eastAsia" w:ascii="宋体" w:hAnsi="宋体" w:eastAsia="宋体" w:cs="宋体"/>
          <w:color w:val="auto"/>
          <w:spacing w:val="-10"/>
          <w:sz w:val="28"/>
          <w:szCs w:val="28"/>
          <w:u w:val="none"/>
        </w:rPr>
        <w:t>组建经营班子和技术团队，全面负责本项目</w:t>
      </w:r>
      <w:r>
        <w:rPr>
          <w:rFonts w:hint="eastAsia" w:ascii="宋体" w:hAnsi="宋体" w:eastAsia="宋体" w:cs="宋体"/>
          <w:color w:val="auto"/>
          <w:spacing w:val="-10"/>
          <w:sz w:val="28"/>
          <w:szCs w:val="28"/>
          <w:u w:val="none"/>
          <w:lang w:eastAsia="zh-CN"/>
        </w:rPr>
        <w:t>污水处理厂</w:t>
      </w:r>
      <w:r>
        <w:rPr>
          <w:rFonts w:hint="eastAsia" w:ascii="宋体" w:hAnsi="宋体" w:eastAsia="宋体" w:cs="宋体"/>
          <w:color w:val="auto"/>
          <w:spacing w:val="-10"/>
          <w:sz w:val="28"/>
          <w:szCs w:val="28"/>
          <w:u w:val="none"/>
        </w:rPr>
        <w:t>生产经营管理。</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经营班子的任免必须书面通知</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，经营班子和技术团队人员情况应书面告知</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并保持稳定。运营维护人员配置要求</w:t>
      </w:r>
      <w:r>
        <w:rPr>
          <w:rFonts w:hint="eastAsia" w:ascii="宋体" w:hAnsi="宋体" w:eastAsia="宋体" w:cs="宋体"/>
          <w:color w:val="auto"/>
          <w:spacing w:val="-10"/>
          <w:sz w:val="28"/>
          <w:szCs w:val="28"/>
          <w:u w:val="none"/>
          <w:lang w:eastAsia="zh-CN"/>
        </w:rPr>
        <w:t>如下：</w:t>
      </w:r>
    </w:p>
    <w:p w14:paraId="38218AE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2.2.1.1.1</w:t>
      </w:r>
      <w:r>
        <w:rPr>
          <w:rFonts w:hint="eastAsia" w:ascii="宋体" w:hAnsi="宋体" w:eastAsia="宋体" w:cs="宋体"/>
          <w:color w:val="auto"/>
          <w:spacing w:val="-10"/>
          <w:sz w:val="28"/>
          <w:szCs w:val="28"/>
          <w:u w:val="none"/>
        </w:rPr>
        <w:t>厂区人员配置13人。</w:t>
      </w:r>
    </w:p>
    <w:p w14:paraId="13011D0F">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一是需设置北流项目运营管理部，由部长1人、工艺技术员1人、维修班长1人、化验员1人、资料员1人共5人组建成，对所辖范围内的镇污水处理厂进行统筹管理，包括工艺、技术、设备等管理进行管控，并通</w:t>
      </w:r>
      <w:r>
        <w:rPr>
          <w:rFonts w:hint="eastAsia" w:ascii="宋体" w:hAnsi="宋体" w:eastAsia="宋体" w:cs="宋体"/>
          <w:color w:val="auto"/>
          <w:spacing w:val="-10"/>
          <w:sz w:val="28"/>
          <w:szCs w:val="28"/>
          <w:u w:val="none"/>
          <w:lang w:eastAsia="zh-CN"/>
        </w:rPr>
        <w:t>过</w:t>
      </w:r>
      <w:r>
        <w:rPr>
          <w:rFonts w:hint="eastAsia" w:ascii="宋体" w:hAnsi="宋体" w:eastAsia="宋体" w:cs="宋体"/>
          <w:color w:val="auto"/>
          <w:spacing w:val="-10"/>
          <w:sz w:val="28"/>
          <w:szCs w:val="28"/>
          <w:u w:val="none"/>
        </w:rPr>
        <w:t>提升内部管理的效率控制项目的运营成本。</w:t>
      </w:r>
    </w:p>
    <w:p w14:paraId="3AF68234">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二是在4个镇级污水处理厂生产操作方面配备不少于8名运行人员，每个污水处理厂不少于2名运行人员。</w:t>
      </w:r>
    </w:p>
    <w:p w14:paraId="479727E7">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2.2.1.1.2</w:t>
      </w:r>
      <w:r>
        <w:rPr>
          <w:rFonts w:hint="eastAsia" w:ascii="宋体" w:hAnsi="宋体" w:eastAsia="宋体" w:cs="宋体"/>
          <w:color w:val="auto"/>
          <w:spacing w:val="-10"/>
          <w:sz w:val="28"/>
          <w:szCs w:val="28"/>
          <w:u w:val="none"/>
        </w:rPr>
        <w:t>配套管网巡检维修及厂区维修人员配置4人</w:t>
      </w:r>
    </w:p>
    <w:p w14:paraId="48BA039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4个镇级污水处理厂配套管网合计长度为11.7公里，为了保证管网全方位巡检，需要配置</w:t>
      </w:r>
      <w:r>
        <w:rPr>
          <w:rFonts w:hint="eastAsia" w:ascii="宋体" w:hAnsi="宋体" w:eastAsia="宋体" w:cs="宋体"/>
          <w:color w:val="auto"/>
          <w:spacing w:val="-10"/>
          <w:sz w:val="28"/>
          <w:szCs w:val="28"/>
          <w:u w:val="none"/>
          <w:lang w:val="en-US" w:eastAsia="zh-CN"/>
        </w:rPr>
        <w:t>人员</w:t>
      </w:r>
      <w:r>
        <w:rPr>
          <w:rFonts w:hint="eastAsia" w:ascii="宋体" w:hAnsi="宋体" w:eastAsia="宋体" w:cs="宋体"/>
          <w:color w:val="auto"/>
          <w:spacing w:val="-10"/>
          <w:sz w:val="28"/>
          <w:szCs w:val="28"/>
          <w:u w:val="none"/>
        </w:rPr>
        <w:t>4人，同时配置用于巡检的交通工具</w:t>
      </w:r>
      <w:r>
        <w:rPr>
          <w:rFonts w:hint="eastAsia" w:ascii="宋体" w:hAnsi="宋体" w:eastAsia="宋体" w:cs="宋体"/>
          <w:color w:val="auto"/>
          <w:spacing w:val="-10"/>
          <w:sz w:val="28"/>
          <w:szCs w:val="28"/>
          <w:u w:val="none"/>
          <w:lang w:eastAsia="zh-CN"/>
        </w:rPr>
        <w:t>（小车或面包车</w:t>
      </w:r>
      <w:r>
        <w:rPr>
          <w:rFonts w:hint="eastAsia" w:ascii="宋体" w:hAnsi="宋体" w:eastAsia="宋体" w:cs="宋体"/>
          <w:color w:val="auto"/>
          <w:spacing w:val="-10"/>
          <w:sz w:val="28"/>
          <w:szCs w:val="28"/>
          <w:u w:val="none"/>
          <w:lang w:val="en-US" w:eastAsia="zh-CN"/>
        </w:rPr>
        <w:t>1辆</w:t>
      </w:r>
      <w:r>
        <w:rPr>
          <w:rFonts w:hint="eastAsia" w:ascii="宋体" w:hAnsi="宋体" w:eastAsia="宋体" w:cs="宋体"/>
          <w:color w:val="auto"/>
          <w:spacing w:val="-10"/>
          <w:sz w:val="28"/>
          <w:szCs w:val="28"/>
          <w:u w:val="none"/>
          <w:lang w:eastAsia="zh-CN"/>
        </w:rPr>
        <w:t>）</w:t>
      </w:r>
      <w:r>
        <w:rPr>
          <w:rFonts w:hint="eastAsia" w:ascii="宋体" w:hAnsi="宋体" w:eastAsia="宋体" w:cs="宋体"/>
          <w:color w:val="auto"/>
          <w:spacing w:val="-10"/>
          <w:sz w:val="28"/>
          <w:szCs w:val="28"/>
          <w:u w:val="none"/>
        </w:rPr>
        <w:t>，负责管网巡查及维修，泵站巡查及维修，厂区检修保养，方能满足日常工作的正常开展。</w:t>
      </w:r>
    </w:p>
    <w:p w14:paraId="67C53DD4">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2.2.1.1.3</w:t>
      </w:r>
      <w:r>
        <w:rPr>
          <w:rFonts w:hint="eastAsia" w:ascii="宋体" w:hAnsi="宋体" w:eastAsia="宋体" w:cs="宋体"/>
          <w:color w:val="auto"/>
          <w:spacing w:val="-10"/>
          <w:sz w:val="28"/>
          <w:szCs w:val="28"/>
          <w:u w:val="none"/>
        </w:rPr>
        <w:t>中途污水提升泵站巡检人员配置</w:t>
      </w:r>
    </w:p>
    <w:p w14:paraId="70EB8EFE">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4个镇级污水处理厂配套共有6座中途污水提升泵站，在正常的运行情况下可以实现自动操控。但为了预防不可预见性因素，仍需要操作人员每天巡回检查设备的运行情况并</w:t>
      </w:r>
      <w:r>
        <w:rPr>
          <w:rFonts w:hint="eastAsia" w:ascii="宋体" w:hAnsi="宋体" w:eastAsia="宋体" w:cs="宋体"/>
          <w:color w:val="auto"/>
          <w:spacing w:val="-10"/>
          <w:sz w:val="28"/>
          <w:szCs w:val="28"/>
          <w:u w:val="none"/>
          <w:lang w:eastAsia="zh-CN"/>
        </w:rPr>
        <w:t>做好</w:t>
      </w:r>
      <w:r>
        <w:rPr>
          <w:rFonts w:hint="eastAsia" w:ascii="宋体" w:hAnsi="宋体" w:eastAsia="宋体" w:cs="宋体"/>
          <w:color w:val="auto"/>
          <w:spacing w:val="-10"/>
          <w:sz w:val="28"/>
          <w:szCs w:val="28"/>
          <w:u w:val="none"/>
        </w:rPr>
        <w:t>相关的运行记录，根据其实际的布置情况，拟按照属地管理原则，由泵站所在的片区的污水管网日常巡检人员服务操作与运营，污水厂厂区的现场操作人员负责协助配合。因此，泵站不需另配置人员。</w:t>
      </w:r>
    </w:p>
    <w:p w14:paraId="791A87F9">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2.2.1.2</w:t>
      </w:r>
      <w:r>
        <w:rPr>
          <w:rFonts w:hint="eastAsia" w:ascii="宋体" w:hAnsi="宋体" w:eastAsia="宋体" w:cs="宋体"/>
          <w:color w:val="auto"/>
          <w:spacing w:val="-10"/>
          <w:sz w:val="28"/>
          <w:szCs w:val="28"/>
          <w:u w:val="none"/>
        </w:rPr>
        <w:t>在国家法律、政策范围内，</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有权建立以经营为目的生产经营管理制度，正确行使生产经营权和经营管理自主权。</w:t>
      </w:r>
    </w:p>
    <w:p w14:paraId="22F33D76">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2.2.1.</w:t>
      </w:r>
      <w:r>
        <w:rPr>
          <w:rFonts w:hint="eastAsia" w:ascii="宋体" w:hAnsi="宋体" w:eastAsia="宋体" w:cs="宋体"/>
          <w:color w:val="auto"/>
          <w:spacing w:val="-10"/>
          <w:sz w:val="28"/>
          <w:szCs w:val="28"/>
          <w:u w:val="none"/>
          <w:lang w:val="en-US" w:eastAsia="zh-CN"/>
        </w:rPr>
        <w:t>3</w:t>
      </w:r>
      <w:r>
        <w:rPr>
          <w:rFonts w:hint="eastAsia" w:ascii="宋体" w:hAnsi="宋体" w:eastAsia="宋体" w:cs="宋体"/>
          <w:color w:val="auto"/>
          <w:spacing w:val="-10"/>
          <w:sz w:val="28"/>
          <w:szCs w:val="28"/>
          <w:u w:val="none"/>
        </w:rPr>
        <w:t>在保证正常运行</w:t>
      </w:r>
      <w:r>
        <w:rPr>
          <w:rFonts w:hint="eastAsia" w:ascii="宋体" w:hAnsi="宋体" w:eastAsia="宋体" w:cs="宋体"/>
          <w:color w:val="auto"/>
          <w:spacing w:val="-10"/>
          <w:sz w:val="28"/>
          <w:szCs w:val="28"/>
          <w:u w:val="none"/>
          <w:lang w:val="en-US" w:eastAsia="zh-CN"/>
        </w:rPr>
        <w:t>和出水达标</w:t>
      </w:r>
      <w:r>
        <w:rPr>
          <w:rFonts w:hint="eastAsia" w:ascii="宋体" w:hAnsi="宋体" w:eastAsia="宋体" w:cs="宋体"/>
          <w:color w:val="auto"/>
          <w:spacing w:val="-10"/>
          <w:sz w:val="28"/>
          <w:szCs w:val="28"/>
          <w:u w:val="none"/>
        </w:rPr>
        <w:t>的前提下，优化本项目的运行工艺及决定内部行政事务。</w:t>
      </w:r>
    </w:p>
    <w:p w14:paraId="725D89A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2.2.1.</w:t>
      </w:r>
      <w:r>
        <w:rPr>
          <w:rFonts w:hint="eastAsia" w:ascii="宋体" w:hAnsi="宋体" w:eastAsia="宋体" w:cs="宋体"/>
          <w:color w:val="auto"/>
          <w:spacing w:val="-10"/>
          <w:sz w:val="28"/>
          <w:szCs w:val="28"/>
          <w:u w:val="none"/>
          <w:lang w:val="en-US" w:eastAsia="zh-CN"/>
        </w:rPr>
        <w:t>4</w:t>
      </w:r>
      <w:r>
        <w:rPr>
          <w:rFonts w:hint="eastAsia" w:ascii="宋体" w:hAnsi="宋体" w:eastAsia="宋体" w:cs="宋体"/>
          <w:color w:val="auto"/>
          <w:spacing w:val="-10"/>
          <w:sz w:val="28"/>
          <w:szCs w:val="28"/>
          <w:u w:val="none"/>
        </w:rPr>
        <w:t>在保证正常运营的前提下，优化内部人员设置，决定本厂的各项规章制度、机构设置、人事任免和专业技术人员的聘任，并按国家劳动法规定与员工签订规范劳动合同。</w:t>
      </w:r>
    </w:p>
    <w:p w14:paraId="6DB16224">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2.2.1.</w:t>
      </w:r>
      <w:r>
        <w:rPr>
          <w:rFonts w:hint="eastAsia" w:ascii="宋体" w:hAnsi="宋体" w:eastAsia="宋体" w:cs="宋体"/>
          <w:color w:val="auto"/>
          <w:spacing w:val="-10"/>
          <w:sz w:val="28"/>
          <w:szCs w:val="28"/>
          <w:u w:val="none"/>
          <w:lang w:val="en-US" w:eastAsia="zh-CN"/>
        </w:rPr>
        <w:t>5</w:t>
      </w:r>
      <w:r>
        <w:rPr>
          <w:rFonts w:hint="eastAsia" w:ascii="宋体" w:hAnsi="宋体" w:eastAsia="宋体" w:cs="宋体"/>
          <w:color w:val="auto"/>
          <w:spacing w:val="-10"/>
          <w:sz w:val="28"/>
          <w:szCs w:val="28"/>
          <w:u w:val="none"/>
        </w:rPr>
        <w:t>依照《劳动法》和厂规厂纪有关规定，奖惩员工和辞退违纪员工。按照自主制定的分配原则，自定工资和福利标准。</w:t>
      </w:r>
    </w:p>
    <w:p w14:paraId="5AE46EA9">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2.2.2</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的义务：</w:t>
      </w:r>
    </w:p>
    <w:p w14:paraId="7AF5F89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2.2.2.1</w:t>
      </w:r>
      <w:r>
        <w:rPr>
          <w:rFonts w:hint="eastAsia" w:ascii="宋体" w:hAnsi="宋体" w:eastAsia="宋体" w:cs="宋体"/>
          <w:color w:val="auto"/>
          <w:spacing w:val="-10"/>
          <w:sz w:val="28"/>
          <w:szCs w:val="28"/>
          <w:u w:val="none"/>
        </w:rPr>
        <w:t>必须遵守国家法律，执行国家政策，完成合同规定各项经济技术指标和任务，维护国家、企业和职工的合法权益。</w:t>
      </w:r>
    </w:p>
    <w:p w14:paraId="2BB439F8">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2.2.2.2</w:t>
      </w:r>
      <w:r>
        <w:rPr>
          <w:rFonts w:hint="eastAsia" w:ascii="宋体" w:hAnsi="宋体" w:eastAsia="宋体" w:cs="宋体"/>
          <w:color w:val="auto"/>
          <w:spacing w:val="-10"/>
          <w:sz w:val="28"/>
          <w:szCs w:val="28"/>
          <w:u w:val="none"/>
        </w:rPr>
        <w:t>应依法纳税。</w:t>
      </w:r>
    </w:p>
    <w:p w14:paraId="7BDDA94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2.2.2.3</w:t>
      </w:r>
      <w:r>
        <w:rPr>
          <w:rFonts w:hint="eastAsia" w:ascii="宋体" w:hAnsi="宋体" w:eastAsia="宋体" w:cs="宋体"/>
          <w:color w:val="auto"/>
          <w:spacing w:val="-10"/>
          <w:sz w:val="28"/>
          <w:szCs w:val="28"/>
          <w:u w:val="none"/>
        </w:rPr>
        <w:t>必须在运营中达到的技术质量标准。</w:t>
      </w:r>
    </w:p>
    <w:p w14:paraId="1F6A0F81">
      <w:pPr>
        <w:widowControl w:val="0"/>
        <w:wordWrap/>
        <w:adjustRightInd/>
        <w:snapToGrid/>
        <w:spacing w:beforeAutospacing="0" w:afterAutospacing="0" w:line="440" w:lineRule="exact"/>
        <w:ind w:firstLine="520" w:firstLineChars="200"/>
        <w:rPr>
          <w:rFonts w:hint="eastAsia" w:ascii="宋体" w:hAnsi="宋体" w:eastAsia="宋体" w:cs="宋体"/>
          <w:color w:val="auto"/>
          <w:sz w:val="28"/>
          <w:szCs w:val="28"/>
          <w:u w:val="none"/>
        </w:rPr>
      </w:pPr>
      <w:r>
        <w:rPr>
          <w:rFonts w:hint="eastAsia" w:ascii="宋体" w:hAnsi="宋体" w:eastAsia="宋体" w:cs="宋体"/>
          <w:color w:val="auto"/>
          <w:spacing w:val="-10"/>
          <w:sz w:val="28"/>
          <w:szCs w:val="28"/>
          <w:u w:val="none"/>
          <w:lang w:val="en-US" w:eastAsia="zh-CN"/>
        </w:rPr>
        <w:t>2.2.2.4</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在承包期内，如发生工伤事故，由</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自行负责</w:t>
      </w:r>
      <w:r>
        <w:rPr>
          <w:rFonts w:hint="eastAsia" w:ascii="宋体" w:hAnsi="宋体" w:eastAsia="宋体" w:cs="宋体"/>
          <w:color w:val="auto"/>
          <w:spacing w:val="-10"/>
          <w:sz w:val="28"/>
          <w:szCs w:val="28"/>
          <w:u w:val="none"/>
          <w:lang w:eastAsia="zh-CN"/>
        </w:rPr>
        <w:t>；除甲方安排的特殊工种情况（如超出服务的内容）外</w:t>
      </w:r>
      <w:r>
        <w:rPr>
          <w:rFonts w:hint="eastAsia" w:ascii="宋体" w:hAnsi="宋体" w:eastAsia="宋体" w:cs="宋体"/>
          <w:color w:val="auto"/>
          <w:sz w:val="28"/>
          <w:szCs w:val="28"/>
          <w:u w:val="none"/>
        </w:rPr>
        <w:t>。</w:t>
      </w:r>
    </w:p>
    <w:p w14:paraId="6F9D0BF4">
      <w:pPr>
        <w:widowControl w:val="0"/>
        <w:wordWrap/>
        <w:adjustRightInd/>
        <w:snapToGrid/>
        <w:spacing w:beforeAutospacing="0" w:afterAutospacing="0" w:line="440" w:lineRule="exact"/>
        <w:ind w:firstLine="520" w:firstLineChars="200"/>
        <w:rPr>
          <w:rFonts w:hint="eastAsia" w:ascii="宋体" w:hAnsi="宋体" w:eastAsia="宋体" w:cs="宋体"/>
          <w:color w:val="auto"/>
          <w:sz w:val="28"/>
          <w:szCs w:val="28"/>
          <w:u w:val="none"/>
          <w:lang w:val="en-US"/>
        </w:rPr>
      </w:pPr>
      <w:r>
        <w:rPr>
          <w:rFonts w:hint="eastAsia" w:ascii="宋体" w:hAnsi="宋体" w:eastAsia="宋体" w:cs="宋体"/>
          <w:color w:val="auto"/>
          <w:spacing w:val="-10"/>
          <w:sz w:val="28"/>
          <w:szCs w:val="28"/>
          <w:u w:val="none"/>
          <w:lang w:val="en-US" w:eastAsia="zh-CN"/>
        </w:rPr>
        <w:t>2.2.2.5乙方按接管运营一个月内，自行出资完成</w:t>
      </w:r>
      <w:r>
        <w:rPr>
          <w:rFonts w:hint="eastAsia" w:ascii="宋体" w:hAnsi="宋体" w:eastAsia="宋体" w:cs="宋体"/>
          <w:b w:val="0"/>
          <w:bCs w:val="0"/>
          <w:color w:val="auto"/>
          <w:spacing w:val="-10"/>
          <w:w w:val="100"/>
          <w:sz w:val="28"/>
          <w:szCs w:val="28"/>
          <w:u w:val="none"/>
          <w:lang w:val="en-US" w:eastAsia="zh-CN"/>
        </w:rPr>
        <w:t>智慧运维管理云平台系统的建设安装，并开放端口交付使用，智慧运维管理云平台的日常维护所需的一切费用均由乙方负责。</w:t>
      </w:r>
    </w:p>
    <w:p w14:paraId="21181D2B">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2.2.2.6</w:t>
      </w:r>
      <w:r>
        <w:rPr>
          <w:rFonts w:hint="eastAsia" w:ascii="宋体" w:hAnsi="宋体" w:eastAsia="宋体" w:cs="宋体"/>
          <w:color w:val="auto"/>
          <w:spacing w:val="-10"/>
          <w:sz w:val="28"/>
          <w:szCs w:val="28"/>
          <w:u w:val="none"/>
        </w:rPr>
        <w:t>必须保证本项目的正常运营，未经</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书面同意，不得擅自停止运营。</w:t>
      </w:r>
    </w:p>
    <w:p w14:paraId="632B67AC">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2.2.2.</w:t>
      </w:r>
      <w:r>
        <w:rPr>
          <w:rFonts w:hint="eastAsia" w:ascii="宋体" w:hAnsi="宋体" w:eastAsia="宋体" w:cs="宋体"/>
          <w:color w:val="auto"/>
          <w:spacing w:val="-10"/>
          <w:sz w:val="28"/>
          <w:szCs w:val="28"/>
          <w:u w:val="none"/>
          <w:lang w:val="en-US" w:eastAsia="zh-CN"/>
        </w:rPr>
        <w:t>7</w:t>
      </w:r>
      <w:r>
        <w:rPr>
          <w:rFonts w:hint="eastAsia" w:ascii="宋体" w:hAnsi="宋体" w:eastAsia="宋体" w:cs="宋体"/>
          <w:color w:val="auto"/>
          <w:spacing w:val="-10"/>
          <w:sz w:val="28"/>
          <w:szCs w:val="28"/>
          <w:u w:val="none"/>
        </w:rPr>
        <w:t>组建运营管理团队和技术团队，</w:t>
      </w:r>
      <w:r>
        <w:rPr>
          <w:rFonts w:hint="eastAsia" w:ascii="宋体" w:hAnsi="宋体" w:eastAsia="宋体" w:cs="宋体"/>
          <w:color w:val="auto"/>
          <w:spacing w:val="-10"/>
          <w:sz w:val="28"/>
          <w:szCs w:val="28"/>
          <w:u w:val="none"/>
          <w:lang w:eastAsia="zh-CN"/>
        </w:rPr>
        <w:t>制定</w:t>
      </w:r>
      <w:r>
        <w:rPr>
          <w:rFonts w:hint="eastAsia" w:ascii="宋体" w:hAnsi="宋体" w:eastAsia="宋体" w:cs="宋体"/>
          <w:color w:val="auto"/>
          <w:spacing w:val="-10"/>
          <w:sz w:val="28"/>
          <w:szCs w:val="28"/>
          <w:u w:val="none"/>
        </w:rPr>
        <w:t>务实、高效的管理制度，保证污水厂正常运营、班子稳定、管理规范。</w:t>
      </w:r>
    </w:p>
    <w:p w14:paraId="2B321E9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2.2.2.8制定泵站、管网、污水处理厂运营管理预案，确保紧急情况下对废水的妥善处理。</w:t>
      </w:r>
    </w:p>
    <w:p w14:paraId="0D8C24A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2.2.2.9完成运营管理合同中规定的各项经济技术指标。</w:t>
      </w:r>
    </w:p>
    <w:p w14:paraId="4EF9DBE8">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2.2.2.10每月向甲方汇报运营情况。</w:t>
      </w:r>
    </w:p>
    <w:p w14:paraId="789B7CA7">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2.2.2.11服务期内不少于12次检修保养，每次检修保养完需向甲方提供检修保养证明（包括检修台账、照片等相关证明）。</w:t>
      </w:r>
    </w:p>
    <w:p w14:paraId="6AB82C33">
      <w:pPr>
        <w:pStyle w:val="16"/>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2.2.2.12</w:t>
      </w:r>
      <w:r>
        <w:rPr>
          <w:rFonts w:hint="eastAsia" w:ascii="宋体" w:hAnsi="宋体" w:eastAsia="宋体" w:cs="宋体"/>
          <w:color w:val="auto"/>
          <w:spacing w:val="-10"/>
          <w:sz w:val="28"/>
          <w:szCs w:val="28"/>
          <w:u w:val="none"/>
        </w:rPr>
        <w:t>运营期</w:t>
      </w:r>
      <w:r>
        <w:rPr>
          <w:rFonts w:hint="eastAsia" w:ascii="宋体" w:hAnsi="宋体" w:eastAsia="宋体" w:cs="宋体"/>
          <w:color w:val="auto"/>
          <w:spacing w:val="-10"/>
          <w:sz w:val="28"/>
          <w:szCs w:val="28"/>
          <w:u w:val="none"/>
          <w:lang w:val="en-US" w:eastAsia="zh-CN"/>
        </w:rPr>
        <w:t>内对甲方的</w:t>
      </w:r>
      <w:r>
        <w:rPr>
          <w:rFonts w:hint="eastAsia" w:ascii="宋体" w:hAnsi="宋体" w:eastAsia="宋体" w:cs="宋体"/>
          <w:color w:val="auto"/>
          <w:spacing w:val="-10"/>
          <w:sz w:val="28"/>
          <w:szCs w:val="28"/>
          <w:u w:val="none"/>
        </w:rPr>
        <w:t>污水处理</w:t>
      </w:r>
      <w:r>
        <w:rPr>
          <w:rFonts w:hint="eastAsia" w:ascii="宋体" w:hAnsi="宋体" w:eastAsia="宋体" w:cs="宋体"/>
          <w:color w:val="auto"/>
          <w:spacing w:val="-10"/>
          <w:sz w:val="28"/>
          <w:szCs w:val="28"/>
          <w:u w:val="none"/>
          <w:lang w:eastAsia="zh-CN"/>
        </w:rPr>
        <w:t>厂</w:t>
      </w:r>
      <w:r>
        <w:rPr>
          <w:rFonts w:hint="eastAsia" w:ascii="宋体" w:hAnsi="宋体" w:eastAsia="宋体" w:cs="宋体"/>
          <w:color w:val="auto"/>
          <w:spacing w:val="-10"/>
          <w:sz w:val="28"/>
          <w:szCs w:val="28"/>
          <w:u w:val="none"/>
        </w:rPr>
        <w:t>设施（含泵站、污水管网）所有的设备以及构筑物的安全及完整性</w:t>
      </w:r>
      <w:r>
        <w:rPr>
          <w:rFonts w:hint="eastAsia" w:ascii="宋体" w:hAnsi="宋体" w:eastAsia="宋体" w:cs="宋体"/>
          <w:color w:val="auto"/>
          <w:spacing w:val="-10"/>
          <w:sz w:val="28"/>
          <w:szCs w:val="28"/>
          <w:u w:val="none"/>
          <w:lang w:val="en-US" w:eastAsia="zh-CN"/>
        </w:rPr>
        <w:t>负责</w:t>
      </w:r>
      <w:r>
        <w:rPr>
          <w:rFonts w:hint="eastAsia" w:ascii="宋体" w:hAnsi="宋体" w:eastAsia="宋体" w:cs="宋体"/>
          <w:color w:val="auto"/>
          <w:spacing w:val="-10"/>
          <w:sz w:val="28"/>
          <w:szCs w:val="28"/>
          <w:u w:val="none"/>
        </w:rPr>
        <w:t>。</w:t>
      </w:r>
    </w:p>
    <w:p w14:paraId="02162D23">
      <w:pPr>
        <w:spacing w:beforeAutospacing="0" w:afterAutospacing="0" w:line="540" w:lineRule="exact"/>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2.2.2.13运营过程中所有安全责任由乙方负责，必须做到确保安全运营，无事故。</w:t>
      </w:r>
    </w:p>
    <w:p w14:paraId="29E87D29">
      <w:pPr>
        <w:spacing w:beforeAutospacing="0" w:afterAutospacing="0" w:line="540" w:lineRule="exact"/>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2.2.2.14特别约定:由于本合同的服务费由政府拨款，如拨款未能及时到位，乙方不得以此为由而不履行本合同规定的义务，不得以此拖欠工人工资、社保、社会养老保险等，否则甲方有权按规定扣除服务费直至单方终止合同而不承担任何违约责任。</w:t>
      </w:r>
    </w:p>
    <w:p w14:paraId="7AEAA9C9">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u w:val="none"/>
        </w:rPr>
      </w:pPr>
      <w:r>
        <w:rPr>
          <w:rFonts w:hint="eastAsia" w:ascii="宋体" w:hAnsi="宋体" w:eastAsia="宋体" w:cs="宋体"/>
          <w:b/>
          <w:bCs/>
          <w:color w:val="auto"/>
          <w:spacing w:val="-10"/>
          <w:sz w:val="28"/>
          <w:szCs w:val="28"/>
          <w:u w:val="none"/>
          <w:lang w:val="en-US" w:eastAsia="zh-CN"/>
        </w:rPr>
        <w:t xml:space="preserve">第三条、 </w:t>
      </w:r>
      <w:r>
        <w:rPr>
          <w:rFonts w:hint="eastAsia" w:ascii="宋体" w:hAnsi="宋体" w:eastAsia="宋体" w:cs="宋体"/>
          <w:b/>
          <w:bCs/>
          <w:color w:val="auto"/>
          <w:spacing w:val="-10"/>
          <w:sz w:val="28"/>
          <w:szCs w:val="28"/>
          <w:u w:val="none"/>
        </w:rPr>
        <w:t>承包形式</w:t>
      </w:r>
    </w:p>
    <w:p w14:paraId="5B70CF59">
      <w:pPr>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3.1</w:t>
      </w:r>
      <w:r>
        <w:rPr>
          <w:rFonts w:hint="eastAsia" w:ascii="宋体" w:hAnsi="宋体" w:eastAsia="宋体" w:cs="宋体"/>
          <w:color w:val="auto"/>
          <w:spacing w:val="-10"/>
          <w:sz w:val="28"/>
          <w:szCs w:val="28"/>
          <w:u w:val="none"/>
          <w:lang w:val="en-US" w:eastAsia="zh-CN"/>
        </w:rPr>
        <w:t xml:space="preserve"> 山围镇、民安镇、清水口镇、新丰镇等4个镇级污水处理设施（含泵站、污水管网）</w:t>
      </w:r>
      <w:r>
        <w:rPr>
          <w:rFonts w:hint="eastAsia" w:ascii="宋体" w:hAnsi="宋体" w:eastAsia="宋体" w:cs="宋体"/>
          <w:color w:val="auto"/>
          <w:spacing w:val="-10"/>
          <w:sz w:val="28"/>
          <w:szCs w:val="28"/>
          <w:u w:val="none"/>
        </w:rPr>
        <w:t>的所有权为</w:t>
      </w:r>
      <w:r>
        <w:rPr>
          <w:rFonts w:hint="eastAsia" w:ascii="宋体" w:hAnsi="宋体" w:eastAsia="宋体" w:cs="宋体"/>
          <w:color w:val="auto"/>
          <w:spacing w:val="-10"/>
          <w:sz w:val="28"/>
          <w:szCs w:val="28"/>
          <w:u w:val="none"/>
          <w:lang w:eastAsia="zh-CN"/>
        </w:rPr>
        <w:t>北流市城市管理监督局</w:t>
      </w:r>
      <w:r>
        <w:rPr>
          <w:rFonts w:hint="eastAsia" w:ascii="宋体" w:hAnsi="宋体" w:eastAsia="宋体" w:cs="宋体"/>
          <w:color w:val="auto"/>
          <w:spacing w:val="-10"/>
          <w:sz w:val="28"/>
          <w:szCs w:val="28"/>
          <w:u w:val="none"/>
        </w:rPr>
        <w:t>。</w:t>
      </w:r>
    </w:p>
    <w:p w14:paraId="535A39E4">
      <w:pPr>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3.2</w:t>
      </w:r>
      <w:r>
        <w:rPr>
          <w:rFonts w:hint="eastAsia" w:ascii="宋体" w:hAnsi="宋体" w:eastAsia="宋体" w:cs="宋体"/>
          <w:color w:val="auto"/>
          <w:spacing w:val="-10"/>
          <w:sz w:val="28"/>
          <w:szCs w:val="28"/>
          <w:u w:val="none"/>
          <w:lang w:val="en-US" w:eastAsia="zh-CN"/>
        </w:rPr>
        <w:t>山围镇、民安镇、清水口镇、新丰镇等4个镇级污水处理设施（含泵站、污水管网）</w:t>
      </w:r>
      <w:r>
        <w:rPr>
          <w:rFonts w:hint="eastAsia" w:ascii="宋体" w:hAnsi="宋体" w:eastAsia="宋体" w:cs="宋体"/>
          <w:color w:val="auto"/>
          <w:spacing w:val="-10"/>
          <w:sz w:val="28"/>
          <w:szCs w:val="28"/>
          <w:u w:val="none"/>
        </w:rPr>
        <w:t>的经营权为</w:t>
      </w:r>
      <w:r>
        <w:rPr>
          <w:rFonts w:hint="eastAsia" w:ascii="宋体" w:hAnsi="宋体" w:eastAsia="宋体" w:cs="宋体"/>
          <w:color w:val="auto"/>
          <w:spacing w:val="-10"/>
          <w:sz w:val="28"/>
          <w:szCs w:val="28"/>
          <w:u w:val="none"/>
          <w:lang w:val="en-US" w:eastAsia="zh-CN"/>
        </w:rPr>
        <w:t>中标公司</w:t>
      </w:r>
      <w:r>
        <w:rPr>
          <w:rFonts w:hint="eastAsia" w:ascii="宋体" w:hAnsi="宋体" w:eastAsia="宋体" w:cs="宋体"/>
          <w:color w:val="auto"/>
          <w:spacing w:val="-10"/>
          <w:sz w:val="28"/>
          <w:szCs w:val="28"/>
          <w:u w:val="none"/>
        </w:rPr>
        <w:t>。</w:t>
      </w:r>
    </w:p>
    <w:p w14:paraId="449AD12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3.3</w:t>
      </w:r>
      <w:r>
        <w:rPr>
          <w:rFonts w:hint="eastAsia" w:ascii="宋体" w:hAnsi="宋体" w:eastAsia="宋体" w:cs="宋体"/>
          <w:color w:val="auto"/>
          <w:spacing w:val="-10"/>
          <w:sz w:val="28"/>
          <w:szCs w:val="28"/>
          <w:u w:val="none"/>
        </w:rPr>
        <w:t>本承包合同不允许转让或分包。</w:t>
      </w:r>
    </w:p>
    <w:p w14:paraId="404CAA01">
      <w:pPr>
        <w:spacing w:beforeAutospacing="0" w:afterAutospacing="0" w:line="540" w:lineRule="exact"/>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3.4双方交接完毕后，视为甲方交付管理运营的设备、设施合格，符合运营规定。</w:t>
      </w:r>
    </w:p>
    <w:p w14:paraId="14FB89FE">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u w:val="none"/>
          <w:lang w:val="en-US" w:eastAsia="zh-CN"/>
        </w:rPr>
      </w:pPr>
      <w:r>
        <w:rPr>
          <w:rFonts w:hint="eastAsia" w:ascii="宋体" w:hAnsi="宋体" w:eastAsia="宋体" w:cs="宋体"/>
          <w:b/>
          <w:bCs/>
          <w:color w:val="auto"/>
          <w:spacing w:val="-10"/>
          <w:sz w:val="28"/>
          <w:szCs w:val="28"/>
          <w:u w:val="none"/>
          <w:lang w:val="en-US" w:eastAsia="zh-CN"/>
        </w:rPr>
        <w:t>第</w:t>
      </w:r>
      <w:r>
        <w:rPr>
          <w:rFonts w:hint="eastAsia" w:ascii="宋体" w:hAnsi="宋体" w:eastAsia="宋体" w:cs="宋体"/>
          <w:b/>
          <w:bCs/>
          <w:color w:val="auto"/>
          <w:spacing w:val="-10"/>
          <w:sz w:val="28"/>
          <w:szCs w:val="28"/>
          <w:u w:val="none"/>
        </w:rPr>
        <w:t>四</w:t>
      </w:r>
      <w:r>
        <w:rPr>
          <w:rFonts w:hint="eastAsia" w:ascii="宋体" w:hAnsi="宋体" w:eastAsia="宋体" w:cs="宋体"/>
          <w:b/>
          <w:bCs/>
          <w:color w:val="auto"/>
          <w:spacing w:val="-10"/>
          <w:sz w:val="28"/>
          <w:szCs w:val="28"/>
          <w:u w:val="none"/>
          <w:lang w:val="en-US" w:eastAsia="zh-CN"/>
        </w:rPr>
        <w:t>条</w:t>
      </w:r>
      <w:r>
        <w:rPr>
          <w:rFonts w:hint="eastAsia" w:ascii="宋体" w:hAnsi="宋体" w:eastAsia="宋体" w:cs="宋体"/>
          <w:b/>
          <w:bCs/>
          <w:color w:val="auto"/>
          <w:spacing w:val="-10"/>
          <w:sz w:val="28"/>
          <w:szCs w:val="28"/>
          <w:u w:val="none"/>
        </w:rPr>
        <w:t>、合同价款</w:t>
      </w:r>
      <w:r>
        <w:rPr>
          <w:rFonts w:hint="eastAsia" w:ascii="宋体" w:hAnsi="宋体" w:eastAsia="宋体" w:cs="宋体"/>
          <w:b/>
          <w:bCs/>
          <w:color w:val="auto"/>
          <w:spacing w:val="-10"/>
          <w:sz w:val="28"/>
          <w:szCs w:val="28"/>
          <w:u w:val="none"/>
          <w:lang w:val="en-US" w:eastAsia="zh-CN"/>
        </w:rPr>
        <w:t>及</w:t>
      </w:r>
      <w:r>
        <w:rPr>
          <w:rFonts w:hint="eastAsia" w:ascii="宋体" w:hAnsi="宋体" w:eastAsia="宋体" w:cs="宋体"/>
          <w:b/>
          <w:bCs/>
          <w:color w:val="auto"/>
          <w:spacing w:val="-10"/>
          <w:sz w:val="28"/>
          <w:szCs w:val="28"/>
          <w:u w:val="none"/>
        </w:rPr>
        <w:t>支付</w:t>
      </w:r>
      <w:r>
        <w:rPr>
          <w:rFonts w:hint="eastAsia" w:ascii="宋体" w:hAnsi="宋体" w:eastAsia="宋体" w:cs="宋体"/>
          <w:b/>
          <w:bCs/>
          <w:color w:val="auto"/>
          <w:spacing w:val="-10"/>
          <w:sz w:val="28"/>
          <w:szCs w:val="28"/>
          <w:u w:val="none"/>
          <w:lang w:val="en-US" w:eastAsia="zh-CN"/>
        </w:rPr>
        <w:t>方式</w:t>
      </w:r>
    </w:p>
    <w:p w14:paraId="429187A6">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lang w:val="en-US" w:eastAsia="zh-CN"/>
        </w:rPr>
      </w:pPr>
      <w:r>
        <w:rPr>
          <w:rFonts w:hint="eastAsia" w:ascii="宋体" w:hAnsi="宋体" w:eastAsia="宋体" w:cs="宋体"/>
          <w:color w:val="auto"/>
          <w:spacing w:val="-10"/>
          <w:sz w:val="28"/>
          <w:szCs w:val="28"/>
          <w:lang w:val="en-US" w:eastAsia="zh-CN"/>
        </w:rPr>
        <w:t>4.1合同价款采用包干制，</w:t>
      </w:r>
      <w:r>
        <w:rPr>
          <w:rFonts w:hint="eastAsia" w:ascii="宋体" w:hAnsi="宋体" w:eastAsia="宋体" w:cs="宋体"/>
          <w:color w:val="auto"/>
          <w:spacing w:val="-10"/>
          <w:sz w:val="28"/>
          <w:szCs w:val="28"/>
          <w:lang w:val="en-US" w:eastAsia="zh-CN"/>
        </w:rPr>
        <w:t>总额共计人民币：   年中标价（¥   元）</w:t>
      </w:r>
      <w:r>
        <w:rPr>
          <w:rFonts w:hint="eastAsia" w:ascii="宋体" w:hAnsi="宋体" w:eastAsia="宋体" w:cs="宋体"/>
          <w:color w:val="auto"/>
          <w:spacing w:val="-10"/>
          <w:sz w:val="28"/>
          <w:szCs w:val="28"/>
        </w:rPr>
        <w:t>。</w:t>
      </w:r>
      <w:r>
        <w:rPr>
          <w:rFonts w:hint="eastAsia" w:ascii="宋体" w:hAnsi="宋体" w:eastAsia="宋体" w:cs="宋体"/>
          <w:color w:val="auto"/>
          <w:spacing w:val="-10"/>
          <w:sz w:val="28"/>
          <w:szCs w:val="28"/>
          <w:lang w:val="en-US" w:eastAsia="zh-CN"/>
        </w:rPr>
        <w:t>支付方式分为按月固定额服务费支付和考核费支付。</w:t>
      </w:r>
    </w:p>
    <w:p w14:paraId="31A92432">
      <w:pPr>
        <w:pStyle w:val="16"/>
        <w:spacing w:beforeAutospacing="0" w:afterAutospacing="0" w:line="540" w:lineRule="exact"/>
        <w:ind w:firstLine="520" w:firstLineChars="200"/>
        <w:rPr>
          <w:rFonts w:hint="eastAsia" w:ascii="宋体" w:hAnsi="宋体" w:eastAsia="宋体" w:cs="宋体"/>
          <w:color w:val="auto"/>
          <w:spacing w:val="-10"/>
          <w:sz w:val="28"/>
          <w:szCs w:val="28"/>
          <w:lang w:val="en-US" w:eastAsia="zh-CN"/>
        </w:rPr>
      </w:pPr>
      <w:r>
        <w:rPr>
          <w:rFonts w:hint="eastAsia" w:ascii="宋体" w:hAnsi="宋体" w:eastAsia="宋体" w:cs="宋体"/>
          <w:color w:val="auto"/>
          <w:spacing w:val="-10"/>
          <w:sz w:val="28"/>
          <w:szCs w:val="28"/>
          <w:lang w:val="en-US" w:eastAsia="zh-CN"/>
        </w:rPr>
        <w:t>4.1.1合同总额的70%作为固定费用，</w:t>
      </w:r>
      <w:r>
        <w:rPr>
          <w:rFonts w:hint="eastAsia" w:ascii="宋体" w:hAnsi="宋体" w:eastAsia="宋体" w:cs="宋体"/>
          <w:color w:val="auto"/>
          <w:spacing w:val="-10"/>
          <w:sz w:val="28"/>
          <w:szCs w:val="28"/>
          <w:lang w:val="en-US" w:eastAsia="zh-CN"/>
        </w:rPr>
        <w:t>即人民币（¥  ）</w:t>
      </w:r>
      <w:r>
        <w:rPr>
          <w:rFonts w:hint="eastAsia" w:ascii="宋体" w:hAnsi="宋体" w:eastAsia="宋体" w:cs="宋体"/>
          <w:color w:val="auto"/>
          <w:spacing w:val="-10"/>
          <w:sz w:val="28"/>
          <w:szCs w:val="28"/>
          <w:lang w:val="en-US" w:eastAsia="zh-CN"/>
        </w:rPr>
        <w:t>为固定费用，支付方式为按月付款，</w:t>
      </w:r>
      <w:r>
        <w:rPr>
          <w:rFonts w:hint="eastAsia" w:ascii="宋体" w:hAnsi="宋体" w:eastAsia="宋体" w:cs="宋体"/>
          <w:color w:val="auto"/>
          <w:spacing w:val="-10"/>
          <w:sz w:val="28"/>
          <w:szCs w:val="28"/>
          <w:lang w:val="en-US" w:eastAsia="zh-CN"/>
        </w:rPr>
        <w:t>每月  （¥  ）</w:t>
      </w:r>
      <w:r>
        <w:rPr>
          <w:rFonts w:hint="eastAsia" w:ascii="宋体" w:hAnsi="宋体" w:eastAsia="宋体" w:cs="宋体"/>
          <w:color w:val="auto"/>
          <w:spacing w:val="-10"/>
          <w:sz w:val="28"/>
          <w:szCs w:val="28"/>
          <w:lang w:val="en-US" w:eastAsia="zh-CN"/>
        </w:rPr>
        <w:t>。每月结束后乙方向甲方提交支付申请，并开具等额的增值税发票给甲方，甲方收到发票并在北流市财政局拨付资金后10个工作日内支付乙方。</w:t>
      </w:r>
    </w:p>
    <w:p w14:paraId="0DA074E2">
      <w:pPr>
        <w:pStyle w:val="16"/>
        <w:spacing w:beforeAutospacing="0" w:afterAutospacing="0" w:line="540" w:lineRule="exact"/>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lang w:val="en-US" w:eastAsia="zh-CN"/>
        </w:rPr>
        <w:t>4.1.2合同总额的余下30%作为考核费用即</w:t>
      </w:r>
      <w:r>
        <w:rPr>
          <w:rFonts w:hint="eastAsia" w:ascii="宋体" w:hAnsi="宋体" w:eastAsia="宋体" w:cs="宋体"/>
          <w:color w:val="auto"/>
          <w:spacing w:val="-10"/>
          <w:sz w:val="28"/>
          <w:szCs w:val="28"/>
          <w:lang w:val="en-US" w:eastAsia="zh-CN"/>
        </w:rPr>
        <w:t>人民币（¥  ）</w:t>
      </w:r>
      <w:r>
        <w:rPr>
          <w:rFonts w:hint="eastAsia" w:ascii="宋体" w:hAnsi="宋体" w:eastAsia="宋体" w:cs="宋体"/>
          <w:color w:val="auto"/>
          <w:spacing w:val="-10"/>
          <w:sz w:val="28"/>
          <w:szCs w:val="28"/>
          <w:lang w:val="en-US" w:eastAsia="zh-CN"/>
        </w:rPr>
        <w:t>，根据季度考核判定结果类型及费用比例支付[详见附件1（二）]。</w:t>
      </w:r>
    </w:p>
    <w:p w14:paraId="7B46FB28">
      <w:pPr>
        <w:pStyle w:val="16"/>
        <w:widowControl w:val="0"/>
        <w:kinsoku w:val="0"/>
        <w:wordWrap/>
        <w:overflowPunct w:val="0"/>
        <w:autoSpaceDE w:val="0"/>
        <w:autoSpaceDN w:val="0"/>
        <w:adjustRightInd/>
        <w:snapToGrid/>
        <w:spacing w:before="0" w:beforeAutospacing="0" w:after="0" w:afterAutospacing="0" w:line="560" w:lineRule="exact"/>
        <w:ind w:right="0" w:firstLine="520" w:firstLineChars="200"/>
        <w:jc w:val="left"/>
        <w:outlineLvl w:val="9"/>
        <w:rPr>
          <w:rFonts w:hint="eastAsia" w:ascii="宋体" w:hAnsi="宋体" w:eastAsia="宋体" w:cs="宋体"/>
          <w:color w:val="auto"/>
          <w:spacing w:val="0"/>
          <w:w w:val="100"/>
          <w:sz w:val="28"/>
          <w:szCs w:val="28"/>
          <w:u w:val="none"/>
          <w:lang w:eastAsia="zh-CN"/>
        </w:rPr>
      </w:pPr>
      <w:r>
        <w:rPr>
          <w:rFonts w:hint="eastAsia" w:ascii="宋体" w:hAnsi="宋体" w:eastAsia="宋体" w:cs="宋体"/>
          <w:color w:val="auto"/>
          <w:spacing w:val="-10"/>
          <w:sz w:val="28"/>
          <w:szCs w:val="28"/>
          <w:u w:val="none"/>
          <w:lang w:val="en-US" w:eastAsia="zh-CN"/>
        </w:rPr>
        <w:t>4.2</w:t>
      </w:r>
      <w:r>
        <w:rPr>
          <w:rFonts w:hint="eastAsia" w:ascii="宋体" w:hAnsi="宋体" w:eastAsia="宋体" w:cs="宋体"/>
          <w:color w:val="auto"/>
          <w:spacing w:val="0"/>
          <w:w w:val="100"/>
          <w:sz w:val="28"/>
          <w:szCs w:val="28"/>
          <w:u w:val="none"/>
          <w:lang w:eastAsia="zh-CN"/>
        </w:rPr>
        <w:t>以下费用由甲方负责支付：</w:t>
      </w:r>
    </w:p>
    <w:p w14:paraId="20D487E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4.2.1如遇到设施设备的大修、</w:t>
      </w:r>
      <w:r>
        <w:rPr>
          <w:rFonts w:hint="eastAsia" w:ascii="宋体" w:hAnsi="宋体" w:eastAsia="宋体" w:cs="宋体"/>
          <w:color w:val="auto"/>
          <w:spacing w:val="0"/>
          <w:w w:val="100"/>
          <w:sz w:val="28"/>
          <w:szCs w:val="28"/>
          <w:u w:val="none"/>
          <w:lang w:eastAsia="zh-CN"/>
        </w:rPr>
        <w:t>更新</w:t>
      </w:r>
      <w:r>
        <w:rPr>
          <w:rFonts w:hint="eastAsia" w:ascii="宋体" w:hAnsi="宋体" w:eastAsia="宋体" w:cs="宋体"/>
          <w:color w:val="auto"/>
          <w:spacing w:val="-10"/>
          <w:sz w:val="28"/>
          <w:szCs w:val="28"/>
          <w:u w:val="none"/>
          <w:lang w:val="en-US" w:eastAsia="zh-CN"/>
        </w:rPr>
        <w:t>：单项（单次）维修或更换费用达人民币10000元以上，费用由甲方负责。具体操作办法是：大修前由乙方向甲方提出大修理计划申请，经甲方同意由乙方先行出资垫付修复，所需费用随运营费用一起申请。</w:t>
      </w:r>
    </w:p>
    <w:p w14:paraId="60BC9263">
      <w:pPr>
        <w:pStyle w:val="16"/>
        <w:widowControl w:val="0"/>
        <w:kinsoku w:val="0"/>
        <w:wordWrap/>
        <w:overflowPunct w:val="0"/>
        <w:autoSpaceDE w:val="0"/>
        <w:autoSpaceDN w:val="0"/>
        <w:adjustRightInd/>
        <w:snapToGrid/>
        <w:spacing w:before="0" w:beforeAutospacing="0" w:after="0" w:afterAutospacing="0" w:line="560" w:lineRule="exact"/>
        <w:ind w:right="0" w:firstLine="520" w:firstLineChars="200"/>
        <w:jc w:val="left"/>
        <w:outlineLvl w:val="9"/>
        <w:rPr>
          <w:rFonts w:hint="eastAsia" w:ascii="宋体" w:hAnsi="宋体" w:eastAsia="宋体" w:cs="宋体"/>
          <w:color w:val="auto"/>
          <w:spacing w:val="0"/>
          <w:w w:val="100"/>
          <w:sz w:val="28"/>
          <w:szCs w:val="28"/>
          <w:u w:val="none"/>
          <w:lang w:eastAsia="zh-CN"/>
        </w:rPr>
      </w:pPr>
      <w:r>
        <w:rPr>
          <w:rFonts w:hint="eastAsia" w:ascii="宋体" w:hAnsi="宋体" w:eastAsia="宋体" w:cs="宋体"/>
          <w:color w:val="auto"/>
          <w:spacing w:val="-10"/>
          <w:sz w:val="28"/>
          <w:szCs w:val="28"/>
          <w:u w:val="none"/>
          <w:lang w:val="en-US" w:eastAsia="zh-CN"/>
        </w:rPr>
        <w:t>4.2.2</w:t>
      </w:r>
      <w:r>
        <w:rPr>
          <w:rFonts w:hint="eastAsia" w:ascii="宋体" w:hAnsi="宋体" w:eastAsia="宋体" w:cs="宋体"/>
          <w:color w:val="auto"/>
          <w:spacing w:val="0"/>
          <w:w w:val="100"/>
          <w:sz w:val="28"/>
          <w:szCs w:val="28"/>
          <w:u w:val="none"/>
          <w:lang w:eastAsia="zh-CN"/>
        </w:rPr>
        <w:t>污水厂厂区内各构筑物（建筑物）的大修费用。</w:t>
      </w:r>
    </w:p>
    <w:p w14:paraId="1E754FBA">
      <w:pPr>
        <w:pStyle w:val="16"/>
        <w:widowControl w:val="0"/>
        <w:kinsoku w:val="0"/>
        <w:wordWrap/>
        <w:overflowPunct w:val="0"/>
        <w:autoSpaceDE w:val="0"/>
        <w:autoSpaceDN w:val="0"/>
        <w:adjustRightInd/>
        <w:snapToGrid/>
        <w:spacing w:before="0" w:beforeAutospacing="0" w:after="0" w:afterAutospacing="0" w:line="560" w:lineRule="exact"/>
        <w:ind w:left="0" w:leftChars="0" w:right="0" w:firstLine="520" w:firstLineChars="200"/>
        <w:jc w:val="left"/>
        <w:outlineLvl w:val="9"/>
        <w:rPr>
          <w:rFonts w:hint="eastAsia" w:ascii="宋体" w:hAnsi="宋体" w:eastAsia="宋体" w:cs="宋体"/>
          <w:color w:val="auto"/>
          <w:spacing w:val="0"/>
          <w:w w:val="100"/>
          <w:sz w:val="28"/>
          <w:szCs w:val="28"/>
          <w:u w:val="none"/>
          <w:lang w:eastAsia="zh-CN"/>
        </w:rPr>
      </w:pPr>
      <w:r>
        <w:rPr>
          <w:rFonts w:hint="eastAsia" w:ascii="宋体" w:hAnsi="宋体" w:eastAsia="宋体" w:cs="宋体"/>
          <w:color w:val="auto"/>
          <w:spacing w:val="-10"/>
          <w:sz w:val="28"/>
          <w:szCs w:val="28"/>
          <w:u w:val="none"/>
          <w:lang w:val="en-US" w:eastAsia="zh-CN"/>
        </w:rPr>
        <w:t>4.2.3</w:t>
      </w:r>
      <w:r>
        <w:rPr>
          <w:rFonts w:hint="eastAsia" w:ascii="宋体" w:hAnsi="宋体" w:eastAsia="宋体" w:cs="宋体"/>
          <w:color w:val="auto"/>
          <w:spacing w:val="0"/>
          <w:w w:val="100"/>
          <w:sz w:val="28"/>
          <w:szCs w:val="28"/>
          <w:u w:val="none"/>
          <w:lang w:eastAsia="zh-CN"/>
        </w:rPr>
        <w:t>在运营过程中产生的各项技改费用。</w:t>
      </w:r>
    </w:p>
    <w:p w14:paraId="48BECB23">
      <w:pPr>
        <w:pStyle w:val="16"/>
        <w:widowControl w:val="0"/>
        <w:kinsoku w:val="0"/>
        <w:wordWrap/>
        <w:overflowPunct w:val="0"/>
        <w:autoSpaceDE w:val="0"/>
        <w:autoSpaceDN w:val="0"/>
        <w:adjustRightInd/>
        <w:snapToGrid/>
        <w:spacing w:before="0" w:beforeAutospacing="0" w:after="0" w:afterAutospacing="0" w:line="560" w:lineRule="exact"/>
        <w:ind w:left="0" w:leftChars="0" w:right="0" w:firstLine="520" w:firstLineChars="200"/>
        <w:jc w:val="left"/>
        <w:outlineLvl w:val="9"/>
        <w:rPr>
          <w:rFonts w:hint="eastAsia" w:ascii="宋体" w:hAnsi="宋体" w:eastAsia="宋体" w:cs="宋体"/>
          <w:color w:val="auto"/>
          <w:spacing w:val="0"/>
          <w:w w:val="100"/>
          <w:sz w:val="28"/>
          <w:szCs w:val="28"/>
          <w:u w:val="none"/>
          <w:lang w:eastAsia="zh-CN"/>
        </w:rPr>
      </w:pPr>
      <w:r>
        <w:rPr>
          <w:rFonts w:hint="eastAsia" w:ascii="宋体" w:hAnsi="宋体" w:eastAsia="宋体" w:cs="宋体"/>
          <w:color w:val="auto"/>
          <w:spacing w:val="-10"/>
          <w:sz w:val="28"/>
          <w:szCs w:val="28"/>
          <w:u w:val="none"/>
          <w:lang w:val="en-US" w:eastAsia="zh-CN"/>
        </w:rPr>
        <w:t>4.2.4</w:t>
      </w:r>
      <w:r>
        <w:rPr>
          <w:rFonts w:hint="eastAsia" w:ascii="宋体" w:hAnsi="宋体" w:eastAsia="宋体" w:cs="宋体"/>
          <w:color w:val="auto"/>
          <w:spacing w:val="0"/>
          <w:w w:val="100"/>
          <w:sz w:val="28"/>
          <w:szCs w:val="28"/>
          <w:u w:val="none"/>
          <w:lang w:eastAsia="zh-CN"/>
        </w:rPr>
        <w:t>在线水质污染源自动监测系统设备第三方运维费用。</w:t>
      </w:r>
    </w:p>
    <w:p w14:paraId="6447388F">
      <w:pPr>
        <w:pStyle w:val="16"/>
        <w:widowControl w:val="0"/>
        <w:kinsoku w:val="0"/>
        <w:wordWrap/>
        <w:overflowPunct w:val="0"/>
        <w:autoSpaceDE w:val="0"/>
        <w:autoSpaceDN w:val="0"/>
        <w:adjustRightInd/>
        <w:snapToGrid/>
        <w:spacing w:before="0" w:beforeAutospacing="0" w:after="0" w:afterAutospacing="0" w:line="560" w:lineRule="exact"/>
        <w:ind w:left="0" w:leftChars="0" w:right="0" w:firstLine="520" w:firstLineChars="200"/>
        <w:jc w:val="left"/>
        <w:outlineLvl w:val="9"/>
        <w:rPr>
          <w:rFonts w:hint="eastAsia" w:ascii="宋体" w:hAnsi="宋体" w:eastAsia="宋体" w:cs="宋体"/>
          <w:color w:val="auto"/>
          <w:spacing w:val="0"/>
          <w:w w:val="100"/>
          <w:sz w:val="28"/>
          <w:szCs w:val="28"/>
          <w:u w:val="none"/>
          <w:lang w:eastAsia="zh-CN"/>
        </w:rPr>
      </w:pPr>
      <w:r>
        <w:rPr>
          <w:rFonts w:hint="eastAsia" w:ascii="宋体" w:hAnsi="宋体" w:eastAsia="宋体" w:cs="宋体"/>
          <w:color w:val="auto"/>
          <w:spacing w:val="-10"/>
          <w:sz w:val="28"/>
          <w:szCs w:val="28"/>
          <w:u w:val="none"/>
          <w:lang w:val="en-US" w:eastAsia="zh-CN"/>
        </w:rPr>
        <w:t>4.2.5</w:t>
      </w:r>
      <w:r>
        <w:rPr>
          <w:rFonts w:hint="eastAsia" w:ascii="宋体" w:hAnsi="宋体" w:eastAsia="宋体" w:cs="宋体"/>
          <w:color w:val="auto"/>
          <w:sz w:val="28"/>
          <w:szCs w:val="28"/>
          <w:u w:val="none"/>
          <w:lang w:eastAsia="zh-CN"/>
        </w:rPr>
        <w:t>排污许可证核发第三方检测费用。</w:t>
      </w:r>
    </w:p>
    <w:p w14:paraId="19F96C01">
      <w:pPr>
        <w:pStyle w:val="16"/>
        <w:widowControl w:val="0"/>
        <w:kinsoku w:val="0"/>
        <w:wordWrap/>
        <w:overflowPunct w:val="0"/>
        <w:autoSpaceDE w:val="0"/>
        <w:autoSpaceDN w:val="0"/>
        <w:adjustRightInd/>
        <w:snapToGrid/>
        <w:spacing w:before="0" w:beforeAutospacing="0" w:after="0" w:afterAutospacing="0" w:line="560" w:lineRule="exact"/>
        <w:ind w:left="0" w:leftChars="0" w:right="0" w:firstLine="520" w:firstLineChars="200"/>
        <w:jc w:val="left"/>
        <w:outlineLvl w:val="9"/>
        <w:rPr>
          <w:rFonts w:hint="eastAsia" w:ascii="宋体" w:hAnsi="宋体" w:eastAsia="宋体" w:cs="宋体"/>
          <w:color w:val="auto"/>
          <w:sz w:val="28"/>
          <w:szCs w:val="28"/>
          <w:u w:val="none"/>
          <w:lang w:eastAsia="zh-CN"/>
        </w:rPr>
      </w:pPr>
      <w:r>
        <w:rPr>
          <w:rFonts w:hint="eastAsia" w:ascii="宋体" w:hAnsi="宋体" w:eastAsia="宋体" w:cs="宋体"/>
          <w:color w:val="auto"/>
          <w:spacing w:val="-10"/>
          <w:sz w:val="28"/>
          <w:szCs w:val="28"/>
          <w:u w:val="none"/>
          <w:lang w:val="en-US" w:eastAsia="zh-CN"/>
        </w:rPr>
        <w:t>4.2.6</w:t>
      </w:r>
      <w:r>
        <w:rPr>
          <w:rFonts w:hint="eastAsia" w:ascii="宋体" w:hAnsi="宋体" w:eastAsia="宋体" w:cs="宋体"/>
          <w:color w:val="auto"/>
          <w:spacing w:val="0"/>
          <w:w w:val="100"/>
          <w:sz w:val="28"/>
          <w:szCs w:val="28"/>
          <w:u w:val="none"/>
          <w:lang w:val="en-US" w:eastAsia="zh-CN"/>
        </w:rPr>
        <w:t>运营期内约定的设计处理量、泵站，如有扩容或新增，应增加合同服务费，增加的服务费标准参照本合同标准执行。</w:t>
      </w:r>
    </w:p>
    <w:p w14:paraId="4F8C292F">
      <w:pPr>
        <w:pStyle w:val="16"/>
        <w:widowControl w:val="0"/>
        <w:kinsoku w:val="0"/>
        <w:wordWrap/>
        <w:overflowPunct w:val="0"/>
        <w:autoSpaceDE w:val="0"/>
        <w:autoSpaceDN w:val="0"/>
        <w:adjustRightInd/>
        <w:snapToGrid/>
        <w:spacing w:before="0" w:beforeAutospacing="0" w:after="0" w:afterAutospacing="0" w:line="560" w:lineRule="exact"/>
        <w:ind w:right="0" w:firstLine="520" w:firstLineChars="200"/>
        <w:jc w:val="left"/>
        <w:outlineLvl w:val="9"/>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4.2.7运营期内约定管网长度如有新增，新增管网长度不超过本合同管网总长度10%的，不增加合同服务费；超过本合同管网长度10%的，增加合同服务费，增加的服务费标准参照本合同标准执行。</w:t>
      </w:r>
    </w:p>
    <w:p w14:paraId="507317CC">
      <w:pPr>
        <w:pStyle w:val="16"/>
        <w:widowControl w:val="0"/>
        <w:kinsoku w:val="0"/>
        <w:wordWrap/>
        <w:overflowPunct w:val="0"/>
        <w:autoSpaceDE w:val="0"/>
        <w:autoSpaceDN w:val="0"/>
        <w:adjustRightInd/>
        <w:snapToGrid/>
        <w:spacing w:before="0" w:beforeAutospacing="0" w:after="0" w:afterAutospacing="0" w:line="560" w:lineRule="exact"/>
        <w:ind w:right="0" w:firstLine="520" w:firstLineChars="200"/>
        <w:jc w:val="left"/>
        <w:outlineLvl w:val="9"/>
        <w:rPr>
          <w:rFonts w:hint="eastAsia" w:ascii="宋体" w:hAnsi="宋体" w:eastAsia="宋体" w:cs="宋体"/>
          <w:color w:val="auto"/>
          <w:sz w:val="28"/>
          <w:szCs w:val="28"/>
          <w:u w:val="none"/>
          <w:lang w:eastAsia="zh-CN"/>
        </w:rPr>
      </w:pPr>
      <w:r>
        <w:rPr>
          <w:rFonts w:hint="eastAsia" w:ascii="宋体" w:hAnsi="宋体" w:eastAsia="宋体" w:cs="宋体"/>
          <w:color w:val="auto"/>
          <w:spacing w:val="-10"/>
          <w:sz w:val="28"/>
          <w:szCs w:val="28"/>
          <w:u w:val="none"/>
          <w:lang w:val="en-US" w:eastAsia="zh-CN"/>
        </w:rPr>
        <w:t>4.2.8运营期内，污水处理厂、管网、泵站扩容（新增）增加的年服务费不超过本合同年中标费用的10%金额不超300万元（桂财采〔2021〕61号）。</w:t>
      </w:r>
    </w:p>
    <w:p w14:paraId="66BAA1AA">
      <w:pPr>
        <w:pStyle w:val="16"/>
        <w:numPr>
          <w:ilvl w:val="0"/>
          <w:numId w:val="0"/>
        </w:numPr>
        <w:snapToGrid/>
        <w:ind w:firstLine="520" w:firstLineChars="200"/>
        <w:jc w:val="left"/>
        <w:outlineLvl w:val="9"/>
        <w:rPr>
          <w:rFonts w:hint="eastAsia" w:ascii="宋体" w:hAnsi="宋体" w:eastAsia="宋体" w:cs="宋体"/>
          <w:color w:val="auto"/>
          <w:spacing w:val="-10"/>
          <w:kern w:val="2"/>
          <w:sz w:val="28"/>
          <w:szCs w:val="28"/>
          <w:u w:val="none"/>
          <w:lang w:val="en-US" w:eastAsia="zh-CN" w:bidi="ar-SA"/>
        </w:rPr>
      </w:pPr>
      <w:r>
        <w:rPr>
          <w:rFonts w:hint="eastAsia" w:ascii="宋体" w:hAnsi="宋体" w:eastAsia="宋体" w:cs="宋体"/>
          <w:color w:val="auto"/>
          <w:spacing w:val="-10"/>
          <w:sz w:val="28"/>
          <w:szCs w:val="28"/>
          <w:u w:val="none"/>
          <w:lang w:val="en-US" w:eastAsia="zh-CN"/>
        </w:rPr>
        <w:t>4.2.9</w:t>
      </w:r>
      <w:r>
        <w:rPr>
          <w:rFonts w:hint="eastAsia" w:ascii="宋体" w:hAnsi="宋体" w:eastAsia="宋体" w:cs="宋体"/>
          <w:color w:val="auto"/>
          <w:spacing w:val="-10"/>
          <w:kern w:val="2"/>
          <w:sz w:val="28"/>
          <w:szCs w:val="28"/>
          <w:u w:val="none"/>
          <w:lang w:val="en-US" w:eastAsia="zh-CN" w:bidi="ar-SA"/>
        </w:rPr>
        <w:t>上述各项费用由乙方申请经甲方同意后方可实施或由甲方实施，否则甲方不承担任何费用。</w:t>
      </w:r>
    </w:p>
    <w:p w14:paraId="7881C464">
      <w:pPr>
        <w:tabs>
          <w:tab w:val="left" w:pos="3608"/>
        </w:tabs>
        <w:rPr>
          <w:rFonts w:hint="eastAsia" w:ascii="宋体" w:hAnsi="宋体" w:eastAsia="宋体" w:cs="宋体"/>
          <w:b/>
          <w:bCs/>
          <w:color w:val="auto"/>
          <w:spacing w:val="-10"/>
          <w:sz w:val="28"/>
          <w:szCs w:val="28"/>
          <w:u w:val="none"/>
          <w:lang w:eastAsia="zh-CN"/>
        </w:rPr>
      </w:pPr>
      <w:r>
        <w:rPr>
          <w:rFonts w:hint="eastAsia" w:ascii="宋体" w:hAnsi="宋体" w:eastAsia="宋体" w:cs="宋体"/>
          <w:color w:val="auto"/>
          <w:sz w:val="28"/>
          <w:szCs w:val="28"/>
          <w:lang w:eastAsia="zh-CN"/>
        </w:rPr>
        <w:tab/>
      </w:r>
      <w:r>
        <w:rPr>
          <w:rFonts w:hint="eastAsia" w:ascii="宋体" w:hAnsi="宋体" w:eastAsia="宋体" w:cs="宋体"/>
          <w:b/>
          <w:bCs/>
          <w:color w:val="auto"/>
          <w:spacing w:val="-10"/>
          <w:sz w:val="28"/>
          <w:szCs w:val="28"/>
          <w:u w:val="none"/>
          <w:lang w:val="en-US" w:eastAsia="zh-CN"/>
        </w:rPr>
        <w:t>第</w:t>
      </w:r>
      <w:r>
        <w:rPr>
          <w:rFonts w:hint="eastAsia" w:ascii="宋体" w:hAnsi="宋体" w:eastAsia="宋体" w:cs="宋体"/>
          <w:b/>
          <w:bCs/>
          <w:color w:val="auto"/>
          <w:spacing w:val="-10"/>
          <w:sz w:val="28"/>
          <w:szCs w:val="28"/>
          <w:u w:val="none"/>
          <w:lang w:eastAsia="zh-CN"/>
        </w:rPr>
        <w:t>五</w:t>
      </w:r>
      <w:r>
        <w:rPr>
          <w:rFonts w:hint="eastAsia" w:ascii="宋体" w:hAnsi="宋体" w:eastAsia="宋体" w:cs="宋体"/>
          <w:b/>
          <w:bCs/>
          <w:color w:val="auto"/>
          <w:spacing w:val="-10"/>
          <w:sz w:val="28"/>
          <w:szCs w:val="28"/>
          <w:u w:val="none"/>
          <w:lang w:val="en-US" w:eastAsia="zh-CN"/>
        </w:rPr>
        <w:t>条</w:t>
      </w:r>
      <w:r>
        <w:rPr>
          <w:rFonts w:hint="eastAsia" w:ascii="宋体" w:hAnsi="宋体" w:eastAsia="宋体" w:cs="宋体"/>
          <w:b/>
          <w:bCs/>
          <w:color w:val="auto"/>
          <w:spacing w:val="-10"/>
          <w:sz w:val="28"/>
          <w:szCs w:val="28"/>
          <w:u w:val="none"/>
        </w:rPr>
        <w:t>、质量和</w:t>
      </w:r>
      <w:r>
        <w:rPr>
          <w:rFonts w:hint="eastAsia" w:ascii="宋体" w:hAnsi="宋体" w:eastAsia="宋体" w:cs="宋体"/>
          <w:b/>
          <w:bCs/>
          <w:color w:val="auto"/>
          <w:spacing w:val="-10"/>
          <w:sz w:val="28"/>
          <w:szCs w:val="28"/>
          <w:u w:val="none"/>
          <w:lang w:eastAsia="zh-CN"/>
        </w:rPr>
        <w:t>运营标准</w:t>
      </w:r>
    </w:p>
    <w:p w14:paraId="6755E57B">
      <w:pPr>
        <w:pStyle w:val="16"/>
        <w:ind w:firstLine="520" w:firstLineChars="200"/>
        <w:rPr>
          <w:rFonts w:hint="eastAsia" w:ascii="宋体" w:hAnsi="宋体" w:eastAsia="宋体" w:cs="宋体"/>
          <w:color w:val="auto"/>
          <w:sz w:val="28"/>
          <w:szCs w:val="28"/>
          <w:u w:val="none"/>
        </w:rPr>
      </w:pPr>
      <w:r>
        <w:rPr>
          <w:rFonts w:hint="eastAsia" w:ascii="宋体" w:hAnsi="宋体" w:eastAsia="宋体" w:cs="宋体"/>
          <w:color w:val="auto"/>
          <w:spacing w:val="-10"/>
          <w:sz w:val="28"/>
          <w:szCs w:val="28"/>
          <w:u w:val="none"/>
          <w:lang w:val="en-US" w:eastAsia="zh-CN"/>
        </w:rPr>
        <w:t>5.1处理水量以环保部门监测的出水量作为考核依据</w:t>
      </w:r>
      <w:r>
        <w:rPr>
          <w:rFonts w:hint="eastAsia" w:ascii="宋体" w:hAnsi="宋体" w:eastAsia="宋体" w:cs="宋体"/>
          <w:color w:val="auto"/>
          <w:sz w:val="28"/>
          <w:szCs w:val="28"/>
          <w:u w:val="none"/>
        </w:rPr>
        <w:t>。</w:t>
      </w:r>
    </w:p>
    <w:p w14:paraId="3F0B81B5">
      <w:pPr>
        <w:widowControl w:val="0"/>
        <w:wordWrap/>
        <w:adjustRightInd/>
        <w:snapToGrid/>
        <w:spacing w:beforeAutospacing="0" w:afterAutospacing="0" w:line="540" w:lineRule="exact"/>
        <w:ind w:firstLine="520" w:firstLineChars="200"/>
        <w:rPr>
          <w:rFonts w:hint="eastAsia" w:ascii="宋体" w:hAnsi="宋体" w:eastAsia="宋体" w:cs="宋体"/>
          <w:color w:val="auto"/>
          <w:sz w:val="28"/>
          <w:szCs w:val="28"/>
          <w:u w:val="none"/>
        </w:rPr>
      </w:pPr>
      <w:r>
        <w:rPr>
          <w:rFonts w:hint="eastAsia" w:ascii="宋体" w:hAnsi="宋体" w:eastAsia="宋体" w:cs="宋体"/>
          <w:color w:val="auto"/>
          <w:spacing w:val="-10"/>
          <w:sz w:val="28"/>
          <w:szCs w:val="28"/>
          <w:u w:val="none"/>
          <w:lang w:val="en-US" w:eastAsia="zh-CN"/>
        </w:rPr>
        <w:t>5</w:t>
      </w:r>
      <w:r>
        <w:rPr>
          <w:rFonts w:hint="eastAsia" w:ascii="宋体" w:hAnsi="宋体" w:eastAsia="宋体" w:cs="宋体"/>
          <w:color w:val="auto"/>
          <w:spacing w:val="-10"/>
          <w:sz w:val="28"/>
          <w:szCs w:val="28"/>
          <w:u w:val="none"/>
        </w:rPr>
        <w:t>.2</w:t>
      </w:r>
      <w:r>
        <w:rPr>
          <w:rFonts w:hint="eastAsia" w:ascii="宋体" w:hAnsi="宋体" w:cs="宋体"/>
          <w:color w:val="auto"/>
          <w:spacing w:val="-10"/>
          <w:sz w:val="28"/>
          <w:szCs w:val="28"/>
          <w:u w:val="none"/>
          <w:lang w:eastAsia="zh-CN"/>
        </w:rPr>
        <w:t>进、</w:t>
      </w:r>
      <w:r>
        <w:rPr>
          <w:rFonts w:hint="eastAsia" w:ascii="宋体" w:hAnsi="宋体" w:eastAsia="宋体" w:cs="宋体"/>
          <w:color w:val="auto"/>
          <w:sz w:val="28"/>
          <w:szCs w:val="28"/>
          <w:u w:val="none"/>
        </w:rPr>
        <w:t>出水水质：</w:t>
      </w:r>
      <w:r>
        <w:rPr>
          <w:rFonts w:hint="eastAsia" w:ascii="宋体" w:hAnsi="宋体" w:eastAsia="宋体" w:cs="宋体"/>
          <w:color w:val="auto"/>
          <w:sz w:val="28"/>
          <w:szCs w:val="28"/>
          <w:u w:val="none"/>
          <w:lang w:eastAsia="zh-CN"/>
        </w:rPr>
        <w:t>进水</w:t>
      </w:r>
      <w:r>
        <w:rPr>
          <w:rFonts w:hint="eastAsia" w:ascii="宋体" w:hAnsi="宋体" w:eastAsia="宋体" w:cs="宋体"/>
          <w:color w:val="auto"/>
          <w:sz w:val="28"/>
          <w:szCs w:val="28"/>
          <w:u w:val="none"/>
        </w:rPr>
        <w:t>CODcr</w:t>
      </w:r>
      <w:r>
        <w:rPr>
          <w:rFonts w:hint="eastAsia" w:ascii="宋体" w:hAnsi="宋体" w:eastAsia="宋体" w:cs="宋体"/>
          <w:color w:val="auto"/>
          <w:sz w:val="28"/>
          <w:szCs w:val="28"/>
          <w:u w:val="none"/>
          <w:lang w:eastAsia="zh-CN"/>
        </w:rPr>
        <w:t>平均浓度需达</w:t>
      </w:r>
      <w:r>
        <w:rPr>
          <w:rFonts w:hint="eastAsia" w:ascii="宋体" w:hAnsi="宋体" w:eastAsia="宋体" w:cs="宋体"/>
          <w:color w:val="auto"/>
          <w:sz w:val="28"/>
          <w:szCs w:val="28"/>
          <w:u w:val="none"/>
          <w:lang w:val="en-US" w:eastAsia="zh-CN"/>
        </w:rPr>
        <w:t>100mg/L以上，</w:t>
      </w:r>
      <w:r>
        <w:rPr>
          <w:rFonts w:hint="eastAsia" w:ascii="宋体" w:hAnsi="宋体" w:cs="宋体"/>
          <w:color w:val="auto"/>
          <w:sz w:val="28"/>
          <w:szCs w:val="28"/>
          <w:u w:val="none"/>
          <w:lang w:val="en-US" w:eastAsia="zh-CN"/>
        </w:rPr>
        <w:t>出水水质</w:t>
      </w:r>
      <w:r>
        <w:rPr>
          <w:rFonts w:hint="eastAsia" w:ascii="宋体" w:hAnsi="宋体" w:eastAsia="宋体" w:cs="宋体"/>
          <w:color w:val="auto"/>
          <w:sz w:val="28"/>
          <w:szCs w:val="28"/>
          <w:u w:val="none"/>
        </w:rPr>
        <w:t>执行《城镇污水处理厂污染物排放标准》（GB18918-2002）中一级</w:t>
      </w:r>
      <w:r>
        <w:rPr>
          <w:rFonts w:hint="eastAsia" w:ascii="宋体" w:hAnsi="宋体" w:eastAsia="宋体" w:cs="宋体"/>
          <w:color w:val="auto"/>
          <w:sz w:val="28"/>
          <w:szCs w:val="28"/>
          <w:u w:val="none"/>
          <w:lang w:val="en-US" w:eastAsia="zh-CN"/>
        </w:rPr>
        <w:t>A</w:t>
      </w:r>
      <w:r>
        <w:rPr>
          <w:rFonts w:hint="eastAsia" w:ascii="宋体" w:hAnsi="宋体" w:eastAsia="宋体" w:cs="宋体"/>
          <w:color w:val="auto"/>
          <w:sz w:val="28"/>
          <w:szCs w:val="28"/>
          <w:u w:val="none"/>
        </w:rPr>
        <w:t>类排放标准：</w:t>
      </w:r>
    </w:p>
    <w:p w14:paraId="7E85CE4B">
      <w:pPr>
        <w:widowControl w:val="0"/>
        <w:wordWrap/>
        <w:adjustRightInd/>
        <w:snapToGrid/>
        <w:spacing w:beforeAutospacing="0" w:afterAutospacing="0" w:line="540" w:lineRule="exact"/>
        <w:ind w:firstLine="560" w:firstLineChars="200"/>
        <w:rPr>
          <w:rFonts w:hint="eastAsia" w:ascii="宋体" w:hAnsi="宋体" w:eastAsia="宋体" w:cs="宋体"/>
          <w:color w:val="auto"/>
          <w:spacing w:val="-10"/>
          <w:sz w:val="28"/>
          <w:szCs w:val="28"/>
          <w:u w:val="none"/>
        </w:rPr>
      </w:pPr>
      <w:r>
        <w:rPr>
          <w:rFonts w:hint="eastAsia" w:ascii="宋体" w:hAnsi="宋体" w:eastAsia="宋体" w:cs="宋体"/>
          <w:color w:val="auto"/>
          <w:sz w:val="28"/>
          <w:szCs w:val="28"/>
          <w:u w:val="none"/>
        </w:rPr>
        <w:t xml:space="preserve">  </w:t>
      </w:r>
      <w:r>
        <w:rPr>
          <w:rFonts w:hint="eastAsia" w:ascii="宋体" w:hAnsi="宋体" w:eastAsia="宋体" w:cs="宋体"/>
          <w:color w:val="auto"/>
          <w:spacing w:val="-10"/>
          <w:sz w:val="28"/>
          <w:szCs w:val="28"/>
          <w:u w:val="none"/>
        </w:rPr>
        <w:t>COD：≤</w:t>
      </w:r>
      <w:r>
        <w:rPr>
          <w:rFonts w:hint="eastAsia" w:ascii="宋体" w:hAnsi="宋体" w:eastAsia="宋体" w:cs="宋体"/>
          <w:color w:val="auto"/>
          <w:spacing w:val="-10"/>
          <w:sz w:val="28"/>
          <w:szCs w:val="28"/>
          <w:u w:val="none"/>
          <w:lang w:val="en-US" w:eastAsia="zh-CN"/>
        </w:rPr>
        <w:t>5</w:t>
      </w:r>
      <w:r>
        <w:rPr>
          <w:rFonts w:hint="eastAsia" w:ascii="宋体" w:hAnsi="宋体" w:eastAsia="宋体" w:cs="宋体"/>
          <w:color w:val="auto"/>
          <w:spacing w:val="-10"/>
          <w:sz w:val="28"/>
          <w:szCs w:val="28"/>
          <w:u w:val="none"/>
        </w:rPr>
        <w:t>0mg/L   BOD</w:t>
      </w:r>
      <w:r>
        <w:rPr>
          <w:rFonts w:hint="eastAsia" w:ascii="宋体" w:hAnsi="宋体" w:eastAsia="宋体" w:cs="宋体"/>
          <w:color w:val="auto"/>
          <w:spacing w:val="-10"/>
          <w:sz w:val="28"/>
          <w:szCs w:val="28"/>
          <w:u w:val="none"/>
          <w:vertAlign w:val="subscript"/>
        </w:rPr>
        <w:t xml:space="preserve">5 </w:t>
      </w:r>
      <w:r>
        <w:rPr>
          <w:rFonts w:hint="eastAsia" w:ascii="宋体" w:hAnsi="宋体" w:eastAsia="宋体" w:cs="宋体"/>
          <w:color w:val="auto"/>
          <w:sz w:val="28"/>
          <w:szCs w:val="28"/>
          <w:u w:val="none"/>
        </w:rPr>
        <w:t>：</w:t>
      </w:r>
      <w:r>
        <w:rPr>
          <w:rFonts w:hint="eastAsia" w:ascii="宋体" w:hAnsi="宋体" w:eastAsia="宋体" w:cs="宋体"/>
          <w:color w:val="auto"/>
          <w:spacing w:val="-10"/>
          <w:sz w:val="28"/>
          <w:szCs w:val="28"/>
          <w:u w:val="none"/>
        </w:rPr>
        <w:t>≤</w:t>
      </w:r>
      <w:r>
        <w:rPr>
          <w:rFonts w:hint="eastAsia" w:ascii="宋体" w:hAnsi="宋体" w:eastAsia="宋体" w:cs="宋体"/>
          <w:color w:val="auto"/>
          <w:spacing w:val="-10"/>
          <w:sz w:val="28"/>
          <w:szCs w:val="28"/>
          <w:u w:val="none"/>
          <w:lang w:val="en-US" w:eastAsia="zh-CN"/>
        </w:rPr>
        <w:t>1</w:t>
      </w:r>
      <w:r>
        <w:rPr>
          <w:rFonts w:hint="eastAsia" w:ascii="宋体" w:hAnsi="宋体" w:eastAsia="宋体" w:cs="宋体"/>
          <w:color w:val="auto"/>
          <w:spacing w:val="-10"/>
          <w:sz w:val="28"/>
          <w:szCs w:val="28"/>
          <w:u w:val="none"/>
        </w:rPr>
        <w:t>0mg/L    总磷：≤</w:t>
      </w:r>
      <w:r>
        <w:rPr>
          <w:rFonts w:hint="eastAsia" w:ascii="宋体" w:hAnsi="宋体" w:eastAsia="宋体" w:cs="宋体"/>
          <w:color w:val="auto"/>
          <w:spacing w:val="-10"/>
          <w:sz w:val="28"/>
          <w:szCs w:val="28"/>
          <w:u w:val="none"/>
          <w:lang w:val="en-US" w:eastAsia="zh-CN"/>
        </w:rPr>
        <w:t>0.5</w:t>
      </w:r>
      <w:r>
        <w:rPr>
          <w:rFonts w:hint="eastAsia" w:ascii="宋体" w:hAnsi="宋体" w:eastAsia="宋体" w:cs="宋体"/>
          <w:color w:val="auto"/>
          <w:spacing w:val="-10"/>
          <w:sz w:val="28"/>
          <w:szCs w:val="28"/>
          <w:u w:val="none"/>
        </w:rPr>
        <w:t>mg/L</w:t>
      </w:r>
      <w:r>
        <w:rPr>
          <w:rFonts w:hint="eastAsia" w:ascii="宋体" w:hAnsi="宋体" w:eastAsia="宋体" w:cs="宋体"/>
          <w:color w:val="auto"/>
          <w:spacing w:val="-10"/>
          <w:sz w:val="28"/>
          <w:szCs w:val="28"/>
          <w:u w:val="none"/>
          <w:lang w:eastAsia="zh-CN"/>
        </w:rPr>
        <w:t>总氮：</w:t>
      </w:r>
      <w:r>
        <w:rPr>
          <w:rFonts w:hint="eastAsia" w:ascii="宋体" w:hAnsi="宋体" w:eastAsia="宋体" w:cs="宋体"/>
          <w:color w:val="auto"/>
          <w:spacing w:val="-10"/>
          <w:sz w:val="28"/>
          <w:szCs w:val="28"/>
          <w:u w:val="none"/>
        </w:rPr>
        <w:t>≤</w:t>
      </w:r>
      <w:r>
        <w:rPr>
          <w:rFonts w:hint="eastAsia" w:ascii="宋体" w:hAnsi="宋体" w:eastAsia="宋体" w:cs="宋体"/>
          <w:color w:val="auto"/>
          <w:spacing w:val="-10"/>
          <w:sz w:val="28"/>
          <w:szCs w:val="28"/>
          <w:u w:val="none"/>
          <w:lang w:val="en-US" w:eastAsia="zh-CN"/>
        </w:rPr>
        <w:t xml:space="preserve"> 15</w:t>
      </w:r>
      <w:r>
        <w:rPr>
          <w:rFonts w:hint="eastAsia" w:ascii="宋体" w:hAnsi="宋体" w:eastAsia="宋体" w:cs="宋体"/>
          <w:color w:val="auto"/>
          <w:spacing w:val="-10"/>
          <w:sz w:val="28"/>
          <w:szCs w:val="28"/>
          <w:u w:val="none"/>
        </w:rPr>
        <w:t>mg/L</w:t>
      </w:r>
      <w:r>
        <w:rPr>
          <w:rFonts w:hint="eastAsia" w:ascii="宋体" w:hAnsi="宋体" w:eastAsia="宋体" w:cs="宋体"/>
          <w:color w:val="auto"/>
          <w:spacing w:val="-10"/>
          <w:sz w:val="28"/>
          <w:szCs w:val="28"/>
          <w:u w:val="none"/>
          <w:lang w:val="en-US" w:eastAsia="zh-CN"/>
        </w:rPr>
        <w:t xml:space="preserve">   </w:t>
      </w:r>
      <w:r>
        <w:rPr>
          <w:rFonts w:hint="eastAsia" w:ascii="宋体" w:hAnsi="宋体" w:eastAsia="宋体" w:cs="宋体"/>
          <w:color w:val="auto"/>
          <w:spacing w:val="-10"/>
          <w:sz w:val="28"/>
          <w:szCs w:val="28"/>
          <w:u w:val="none"/>
        </w:rPr>
        <w:t>SS：≤</w:t>
      </w:r>
      <w:r>
        <w:rPr>
          <w:rFonts w:hint="eastAsia" w:ascii="宋体" w:hAnsi="宋体" w:eastAsia="宋体" w:cs="宋体"/>
          <w:color w:val="auto"/>
          <w:spacing w:val="-10"/>
          <w:sz w:val="28"/>
          <w:szCs w:val="28"/>
          <w:u w:val="none"/>
          <w:lang w:val="en-US" w:eastAsia="zh-CN"/>
        </w:rPr>
        <w:t>1</w:t>
      </w:r>
      <w:r>
        <w:rPr>
          <w:rFonts w:hint="eastAsia" w:ascii="宋体" w:hAnsi="宋体" w:eastAsia="宋体" w:cs="宋体"/>
          <w:color w:val="auto"/>
          <w:spacing w:val="-10"/>
          <w:sz w:val="28"/>
          <w:szCs w:val="28"/>
          <w:u w:val="none"/>
        </w:rPr>
        <w:t>0mg/L   NH3—N：≤</w:t>
      </w:r>
      <w:r>
        <w:rPr>
          <w:rFonts w:hint="eastAsia" w:ascii="宋体" w:hAnsi="宋体" w:eastAsia="宋体" w:cs="宋体"/>
          <w:color w:val="auto"/>
          <w:spacing w:val="-10"/>
          <w:sz w:val="28"/>
          <w:szCs w:val="28"/>
          <w:u w:val="none"/>
          <w:lang w:val="en-US" w:eastAsia="zh-CN"/>
        </w:rPr>
        <w:t>5</w:t>
      </w:r>
      <w:r>
        <w:rPr>
          <w:rFonts w:hint="eastAsia" w:ascii="宋体" w:hAnsi="宋体" w:eastAsia="宋体" w:cs="宋体"/>
          <w:color w:val="auto"/>
          <w:spacing w:val="-10"/>
          <w:sz w:val="28"/>
          <w:szCs w:val="28"/>
          <w:u w:val="none"/>
        </w:rPr>
        <w:t>（</w:t>
      </w:r>
      <w:r>
        <w:rPr>
          <w:rFonts w:hint="eastAsia" w:ascii="宋体" w:hAnsi="宋体" w:eastAsia="宋体" w:cs="宋体"/>
          <w:color w:val="auto"/>
          <w:spacing w:val="-10"/>
          <w:sz w:val="28"/>
          <w:szCs w:val="28"/>
          <w:u w:val="none"/>
          <w:lang w:val="en-US" w:eastAsia="zh-CN"/>
        </w:rPr>
        <w:t>8</w:t>
      </w:r>
      <w:r>
        <w:rPr>
          <w:rFonts w:hint="eastAsia" w:ascii="宋体" w:hAnsi="宋体" w:eastAsia="宋体" w:cs="宋体"/>
          <w:color w:val="auto"/>
          <w:spacing w:val="-10"/>
          <w:sz w:val="28"/>
          <w:szCs w:val="28"/>
          <w:u w:val="none"/>
        </w:rPr>
        <w:t>）mg/L</w:t>
      </w:r>
      <w:r>
        <w:rPr>
          <w:rFonts w:hint="eastAsia" w:ascii="宋体" w:hAnsi="宋体" w:eastAsia="宋体" w:cs="宋体"/>
          <w:color w:val="auto"/>
          <w:spacing w:val="-10"/>
          <w:sz w:val="28"/>
          <w:szCs w:val="28"/>
          <w:u w:val="none"/>
          <w:lang w:val="en-US" w:eastAsia="zh-CN"/>
        </w:rPr>
        <w:t xml:space="preserve">  PH 6.0-9.0</w:t>
      </w:r>
      <w:r>
        <w:rPr>
          <w:rFonts w:hint="eastAsia" w:ascii="宋体" w:hAnsi="宋体" w:eastAsia="宋体" w:cs="宋体"/>
          <w:color w:val="auto"/>
          <w:spacing w:val="-10"/>
          <w:sz w:val="28"/>
          <w:szCs w:val="28"/>
          <w:u w:val="none"/>
        </w:rPr>
        <w:t>（括号外数值为水温＞12°C时的控制指标，括号内数值为水温≦12°C时的控制指标。）</w:t>
      </w:r>
    </w:p>
    <w:p w14:paraId="5F33215B">
      <w:pPr>
        <w:widowControl w:val="0"/>
        <w:wordWrap/>
        <w:adjustRightInd/>
        <w:snapToGrid/>
        <w:spacing w:beforeAutospacing="0" w:afterAutospacing="0" w:line="540" w:lineRule="exact"/>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w:t>
      </w:r>
      <w:r>
        <w:rPr>
          <w:rFonts w:hint="eastAsia" w:ascii="宋体" w:hAnsi="宋体" w:eastAsia="宋体" w:cs="宋体"/>
          <w:color w:val="auto"/>
          <w:sz w:val="28"/>
          <w:szCs w:val="28"/>
          <w:u w:val="none"/>
        </w:rPr>
        <w:t>.</w:t>
      </w:r>
      <w:r>
        <w:rPr>
          <w:rFonts w:hint="eastAsia" w:ascii="宋体" w:hAnsi="宋体" w:eastAsia="宋体" w:cs="宋体"/>
          <w:color w:val="auto"/>
          <w:sz w:val="28"/>
          <w:szCs w:val="28"/>
          <w:u w:val="none"/>
          <w:lang w:val="en-US" w:eastAsia="zh-CN"/>
        </w:rPr>
        <w:t>3乙方运行过程中发现</w:t>
      </w:r>
      <w:r>
        <w:rPr>
          <w:rFonts w:hint="eastAsia" w:ascii="宋体" w:hAnsi="宋体" w:eastAsia="宋体" w:cs="宋体"/>
          <w:color w:val="auto"/>
          <w:spacing w:val="-10"/>
          <w:sz w:val="28"/>
          <w:szCs w:val="28"/>
          <w:u w:val="none"/>
        </w:rPr>
        <w:t>进水水质</w:t>
      </w:r>
      <w:r>
        <w:rPr>
          <w:rFonts w:hint="eastAsia" w:ascii="宋体" w:hAnsi="宋体" w:eastAsia="宋体" w:cs="宋体"/>
          <w:color w:val="auto"/>
          <w:spacing w:val="-10"/>
          <w:sz w:val="28"/>
          <w:szCs w:val="28"/>
          <w:u w:val="none"/>
          <w:lang w:eastAsia="zh-CN"/>
        </w:rPr>
        <w:t>、水量</w:t>
      </w:r>
      <w:r>
        <w:rPr>
          <w:rFonts w:hint="eastAsia" w:ascii="宋体" w:hAnsi="宋体" w:eastAsia="宋体" w:cs="宋体"/>
          <w:color w:val="auto"/>
          <w:spacing w:val="-10"/>
          <w:sz w:val="28"/>
          <w:szCs w:val="28"/>
          <w:u w:val="none"/>
        </w:rPr>
        <w:t>超过设计标准时，</w:t>
      </w:r>
      <w:r>
        <w:rPr>
          <w:rFonts w:hint="eastAsia" w:ascii="宋体" w:hAnsi="宋体" w:eastAsia="宋体" w:cs="宋体"/>
          <w:color w:val="auto"/>
          <w:sz w:val="28"/>
          <w:szCs w:val="28"/>
          <w:u w:val="none"/>
        </w:rPr>
        <w:t>应及时通知</w:t>
      </w:r>
      <w:r>
        <w:rPr>
          <w:rFonts w:hint="eastAsia" w:ascii="宋体" w:hAnsi="宋体" w:eastAsia="宋体" w:cs="宋体"/>
          <w:color w:val="auto"/>
          <w:sz w:val="28"/>
          <w:szCs w:val="28"/>
          <w:u w:val="none"/>
          <w:lang w:eastAsia="zh-CN"/>
        </w:rPr>
        <w:t>甲方</w:t>
      </w:r>
      <w:r>
        <w:rPr>
          <w:rFonts w:hint="eastAsia" w:ascii="宋体" w:hAnsi="宋体" w:eastAsia="宋体" w:cs="宋体"/>
          <w:color w:val="auto"/>
          <w:sz w:val="28"/>
          <w:szCs w:val="28"/>
          <w:u w:val="none"/>
        </w:rPr>
        <w:t>。双方指派相关人员现场共同确认</w:t>
      </w:r>
      <w:r>
        <w:rPr>
          <w:rFonts w:hint="eastAsia" w:ascii="宋体" w:hAnsi="宋体" w:eastAsia="宋体" w:cs="宋体"/>
          <w:color w:val="auto"/>
          <w:sz w:val="28"/>
          <w:szCs w:val="28"/>
          <w:u w:val="none"/>
          <w:lang w:eastAsia="zh-CN"/>
        </w:rPr>
        <w:t>；有需要时，甲方配合乙方共同对管网进行排查，找出进水水质和水量超过设计标准的原因</w:t>
      </w:r>
      <w:r>
        <w:rPr>
          <w:rFonts w:hint="eastAsia" w:ascii="宋体" w:hAnsi="宋体" w:eastAsia="宋体" w:cs="宋体"/>
          <w:color w:val="auto"/>
          <w:sz w:val="28"/>
          <w:szCs w:val="28"/>
          <w:u w:val="none"/>
          <w:lang w:val="en-US" w:eastAsia="zh-CN"/>
        </w:rPr>
        <w:t>，需双方沟通协商解决。</w:t>
      </w:r>
    </w:p>
    <w:p w14:paraId="6DA8D99E">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u w:val="none"/>
        </w:rPr>
      </w:pPr>
      <w:r>
        <w:rPr>
          <w:rFonts w:hint="eastAsia" w:ascii="宋体" w:hAnsi="宋体" w:eastAsia="宋体" w:cs="宋体"/>
          <w:b/>
          <w:bCs/>
          <w:color w:val="auto"/>
          <w:spacing w:val="-10"/>
          <w:sz w:val="28"/>
          <w:szCs w:val="28"/>
          <w:u w:val="none"/>
          <w:lang w:val="en-US" w:eastAsia="zh-CN"/>
        </w:rPr>
        <w:t>第</w:t>
      </w:r>
      <w:r>
        <w:rPr>
          <w:rFonts w:hint="eastAsia" w:ascii="宋体" w:hAnsi="宋体" w:eastAsia="宋体" w:cs="宋体"/>
          <w:b/>
          <w:bCs/>
          <w:color w:val="auto"/>
          <w:spacing w:val="-10"/>
          <w:sz w:val="28"/>
          <w:szCs w:val="28"/>
          <w:u w:val="none"/>
          <w:lang w:eastAsia="zh-CN"/>
        </w:rPr>
        <w:t>六</w:t>
      </w:r>
      <w:r>
        <w:rPr>
          <w:rFonts w:hint="eastAsia" w:ascii="宋体" w:hAnsi="宋体" w:eastAsia="宋体" w:cs="宋体"/>
          <w:b/>
          <w:bCs/>
          <w:color w:val="auto"/>
          <w:spacing w:val="-10"/>
          <w:sz w:val="28"/>
          <w:szCs w:val="28"/>
          <w:u w:val="none"/>
          <w:lang w:val="en-US" w:eastAsia="zh-CN"/>
        </w:rPr>
        <w:t>条</w:t>
      </w:r>
      <w:r>
        <w:rPr>
          <w:rFonts w:hint="eastAsia" w:ascii="宋体" w:hAnsi="宋体" w:eastAsia="宋体" w:cs="宋体"/>
          <w:b/>
          <w:bCs/>
          <w:color w:val="auto"/>
          <w:spacing w:val="-10"/>
          <w:sz w:val="28"/>
          <w:szCs w:val="28"/>
          <w:u w:val="none"/>
        </w:rPr>
        <w:t>、违约责任</w:t>
      </w:r>
    </w:p>
    <w:p w14:paraId="2474FC7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6.1</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的违约责任：</w:t>
      </w:r>
    </w:p>
    <w:p w14:paraId="3DC7F371">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6.1.1</w:t>
      </w:r>
      <w:r>
        <w:rPr>
          <w:rFonts w:hint="eastAsia" w:ascii="宋体" w:hAnsi="宋体" w:eastAsia="宋体" w:cs="宋体"/>
          <w:color w:val="auto"/>
          <w:spacing w:val="-10"/>
          <w:sz w:val="28"/>
          <w:szCs w:val="28"/>
          <w:u w:val="none"/>
        </w:rPr>
        <w:t>无正当理由且未经</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书面同意对设施停止运营</w:t>
      </w:r>
      <w:r>
        <w:rPr>
          <w:rFonts w:hint="eastAsia" w:ascii="宋体" w:hAnsi="宋体" w:eastAsia="宋体" w:cs="宋体"/>
          <w:color w:val="auto"/>
          <w:spacing w:val="-10"/>
          <w:sz w:val="28"/>
          <w:szCs w:val="28"/>
          <w:u w:val="none"/>
          <w:lang w:val="en-US" w:eastAsia="zh-CN"/>
        </w:rPr>
        <w:t>达</w:t>
      </w:r>
      <w:r>
        <w:rPr>
          <w:rFonts w:hint="eastAsia" w:ascii="宋体" w:hAnsi="宋体" w:eastAsia="宋体" w:cs="宋体"/>
          <w:color w:val="auto"/>
          <w:spacing w:val="-10"/>
          <w:sz w:val="28"/>
          <w:szCs w:val="28"/>
          <w:u w:val="none"/>
        </w:rPr>
        <w:t>1天</w:t>
      </w:r>
      <w:r>
        <w:rPr>
          <w:rFonts w:hint="eastAsia" w:ascii="宋体" w:hAnsi="宋体" w:eastAsia="宋体" w:cs="宋体"/>
          <w:color w:val="auto"/>
          <w:spacing w:val="-10"/>
          <w:sz w:val="28"/>
          <w:szCs w:val="28"/>
          <w:u w:val="none"/>
          <w:lang w:eastAsia="zh-CN"/>
        </w:rPr>
        <w:t>，</w:t>
      </w:r>
      <w:r>
        <w:rPr>
          <w:rFonts w:hint="eastAsia" w:ascii="宋体" w:hAnsi="宋体" w:eastAsia="宋体" w:cs="宋体"/>
          <w:color w:val="auto"/>
          <w:spacing w:val="-10"/>
          <w:sz w:val="28"/>
          <w:szCs w:val="28"/>
          <w:u w:val="none"/>
          <w:lang w:val="en-US" w:eastAsia="zh-CN"/>
        </w:rPr>
        <w:t>按合同总额千分之二计算向甲方承担违约金</w:t>
      </w:r>
      <w:r>
        <w:rPr>
          <w:rFonts w:hint="eastAsia" w:ascii="宋体" w:hAnsi="宋体" w:eastAsia="宋体" w:cs="宋体"/>
          <w:color w:val="auto"/>
          <w:spacing w:val="-10"/>
          <w:sz w:val="28"/>
          <w:szCs w:val="28"/>
          <w:u w:val="none"/>
          <w:lang w:eastAsia="zh-CN"/>
        </w:rPr>
        <w:t>；</w:t>
      </w:r>
      <w:r>
        <w:rPr>
          <w:rFonts w:hint="eastAsia" w:ascii="宋体" w:hAnsi="宋体" w:eastAsia="宋体" w:cs="宋体"/>
          <w:color w:val="auto"/>
          <w:spacing w:val="-10"/>
          <w:sz w:val="28"/>
          <w:szCs w:val="28"/>
          <w:u w:val="none"/>
          <w:lang w:val="en-US" w:eastAsia="zh-CN"/>
        </w:rPr>
        <w:t>如因战争、洪水、台风、地震、停电、未支付运维款等因素影响而不能执行合同的，乙方不承担违约责任</w:t>
      </w:r>
      <w:r>
        <w:rPr>
          <w:rFonts w:hint="eastAsia" w:ascii="宋体" w:hAnsi="宋体" w:eastAsia="宋体" w:cs="宋体"/>
          <w:color w:val="auto"/>
          <w:spacing w:val="-10"/>
          <w:sz w:val="28"/>
          <w:szCs w:val="28"/>
          <w:u w:val="none"/>
        </w:rPr>
        <w:t>。</w:t>
      </w:r>
    </w:p>
    <w:p w14:paraId="12BD7FD1">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6.1.2</w:t>
      </w:r>
      <w:r>
        <w:rPr>
          <w:rFonts w:hint="eastAsia" w:ascii="宋体" w:hAnsi="宋体" w:eastAsia="宋体" w:cs="宋体"/>
          <w:color w:val="auto"/>
          <w:spacing w:val="-10"/>
          <w:sz w:val="28"/>
          <w:szCs w:val="28"/>
          <w:u w:val="none"/>
          <w:lang w:eastAsia="zh-CN"/>
        </w:rPr>
        <w:t>乙方出水水质</w:t>
      </w:r>
      <w:r>
        <w:rPr>
          <w:rFonts w:hint="eastAsia" w:ascii="宋体" w:hAnsi="宋体" w:eastAsia="宋体" w:cs="宋体"/>
          <w:color w:val="auto"/>
          <w:spacing w:val="-10"/>
          <w:sz w:val="28"/>
          <w:szCs w:val="28"/>
          <w:u w:val="none"/>
        </w:rPr>
        <w:t>不能达标排放，</w:t>
      </w:r>
      <w:r>
        <w:rPr>
          <w:rFonts w:hint="eastAsia" w:ascii="宋体" w:hAnsi="宋体" w:eastAsia="宋体" w:cs="宋体"/>
          <w:color w:val="auto"/>
          <w:spacing w:val="-10"/>
          <w:sz w:val="28"/>
          <w:szCs w:val="28"/>
          <w:u w:val="none"/>
          <w:lang w:val="en-US" w:eastAsia="zh-CN"/>
        </w:rPr>
        <w:t>承担行政处罚责任</w:t>
      </w:r>
      <w:r>
        <w:rPr>
          <w:rFonts w:hint="eastAsia" w:ascii="宋体" w:hAnsi="宋体" w:eastAsia="宋体" w:cs="宋体"/>
          <w:color w:val="auto"/>
          <w:spacing w:val="-10"/>
          <w:sz w:val="28"/>
          <w:szCs w:val="28"/>
          <w:u w:val="none"/>
          <w:lang w:eastAsia="zh-CN"/>
        </w:rPr>
        <w:t>，</w:t>
      </w:r>
      <w:r>
        <w:rPr>
          <w:rFonts w:hint="eastAsia" w:ascii="宋体" w:hAnsi="宋体" w:eastAsia="宋体" w:cs="宋体"/>
          <w:color w:val="auto"/>
          <w:spacing w:val="-10"/>
          <w:sz w:val="28"/>
          <w:szCs w:val="28"/>
          <w:u w:val="none"/>
          <w:lang w:val="en-US" w:eastAsia="zh-CN"/>
        </w:rPr>
        <w:t>应当及时整改，每被行政处罚一次按按合同总额千分之二计算向甲方承担违约金（但如因处理设备故障、进水水量、水质超出设计标准等因素造成的超标，乙方免去处罚和违约金）。</w:t>
      </w:r>
    </w:p>
    <w:p w14:paraId="25F9E139">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6.1.3转包或者分包本服务项目</w:t>
      </w:r>
      <w:r>
        <w:rPr>
          <w:rFonts w:hint="eastAsia" w:ascii="宋体" w:hAnsi="宋体" w:eastAsia="宋体" w:cs="宋体"/>
          <w:color w:val="auto"/>
          <w:spacing w:val="-10"/>
          <w:sz w:val="28"/>
          <w:szCs w:val="28"/>
          <w:u w:val="none"/>
        </w:rPr>
        <w:t>，</w:t>
      </w:r>
      <w:r>
        <w:rPr>
          <w:rFonts w:hint="eastAsia" w:ascii="宋体" w:hAnsi="宋体" w:eastAsia="宋体" w:cs="宋体"/>
          <w:color w:val="auto"/>
          <w:spacing w:val="-10"/>
          <w:sz w:val="28"/>
          <w:szCs w:val="28"/>
          <w:u w:val="none"/>
          <w:lang w:val="en-US" w:eastAsia="zh-CN"/>
        </w:rPr>
        <w:t>按合同总额百分之五向甲方承担违约金；</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有权终止合同。</w:t>
      </w:r>
    </w:p>
    <w:p w14:paraId="06DC417B">
      <w:pPr>
        <w:pStyle w:val="16"/>
        <w:ind w:firstLine="520" w:firstLineChars="200"/>
        <w:rPr>
          <w:rFonts w:hint="eastAsia" w:ascii="宋体" w:hAnsi="宋体" w:eastAsia="宋体" w:cs="宋体"/>
          <w:color w:val="auto"/>
          <w:spacing w:val="-10"/>
          <w:sz w:val="28"/>
          <w:szCs w:val="28"/>
          <w:u w:val="none"/>
          <w:lang w:val="en-US" w:eastAsia="zh-CN"/>
        </w:rPr>
      </w:pPr>
      <w:r>
        <w:rPr>
          <w:rFonts w:hint="eastAsia" w:ascii="宋体" w:hAnsi="宋体" w:eastAsia="宋体" w:cs="宋体"/>
          <w:color w:val="auto"/>
          <w:spacing w:val="-10"/>
          <w:sz w:val="28"/>
          <w:szCs w:val="28"/>
          <w:u w:val="none"/>
          <w:lang w:val="en-US" w:eastAsia="zh-CN"/>
        </w:rPr>
        <w:t>6.1.4连续两季度绩效考核不合格（＜60分）的，</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lang w:val="en-US" w:eastAsia="zh-CN"/>
        </w:rPr>
        <w:t>按合同总额</w:t>
      </w:r>
      <w:r>
        <w:rPr>
          <w:rFonts w:hint="eastAsia" w:ascii="宋体" w:hAnsi="宋体" w:eastAsia="宋体" w:cs="宋体"/>
          <w:color w:val="auto"/>
          <w:spacing w:val="-10"/>
          <w:kern w:val="2"/>
          <w:sz w:val="28"/>
          <w:szCs w:val="28"/>
          <w:u w:val="none"/>
          <w:lang w:val="en-US" w:eastAsia="zh-CN" w:bidi="ar-SA"/>
        </w:rPr>
        <w:t>千分之二</w:t>
      </w:r>
      <w:r>
        <w:rPr>
          <w:rFonts w:hint="eastAsia" w:ascii="宋体" w:hAnsi="宋体" w:eastAsia="宋体" w:cs="宋体"/>
          <w:color w:val="auto"/>
          <w:spacing w:val="-10"/>
          <w:sz w:val="28"/>
          <w:szCs w:val="28"/>
          <w:u w:val="none"/>
          <w:lang w:val="en-US" w:eastAsia="zh-CN"/>
        </w:rPr>
        <w:t>计算向甲方承担违约金；合同终止。</w:t>
      </w:r>
    </w:p>
    <w:p w14:paraId="579D127B">
      <w:pPr>
        <w:pStyle w:val="16"/>
        <w:ind w:firstLine="520" w:firstLineChars="200"/>
        <w:rPr>
          <w:rFonts w:hint="eastAsia" w:ascii="宋体" w:hAnsi="宋体" w:eastAsia="宋体" w:cs="宋体"/>
          <w:color w:val="auto"/>
          <w:spacing w:val="-10"/>
          <w:sz w:val="28"/>
          <w:szCs w:val="28"/>
          <w:u w:val="none"/>
          <w:lang w:eastAsia="zh-CN"/>
        </w:rPr>
      </w:pPr>
      <w:r>
        <w:rPr>
          <w:rFonts w:hint="eastAsia" w:ascii="宋体" w:hAnsi="宋体" w:eastAsia="宋体" w:cs="宋体"/>
          <w:color w:val="auto"/>
          <w:spacing w:val="-10"/>
          <w:sz w:val="28"/>
          <w:szCs w:val="28"/>
          <w:u w:val="none"/>
          <w:lang w:val="en-US" w:eastAsia="zh-CN"/>
        </w:rPr>
        <w:t>6.1.5不依法按时支付工人工资、社保、福利，造成工人信访，按合同总额</w:t>
      </w:r>
      <w:r>
        <w:rPr>
          <w:rFonts w:hint="eastAsia" w:ascii="宋体" w:hAnsi="宋体" w:eastAsia="宋体" w:cs="宋体"/>
          <w:color w:val="auto"/>
          <w:spacing w:val="-10"/>
          <w:kern w:val="2"/>
          <w:sz w:val="28"/>
          <w:szCs w:val="28"/>
          <w:u w:val="none"/>
          <w:lang w:val="en-US" w:eastAsia="zh-CN" w:bidi="ar-SA"/>
        </w:rPr>
        <w:t>千分之二</w:t>
      </w:r>
      <w:r>
        <w:rPr>
          <w:rFonts w:hint="eastAsia" w:ascii="宋体" w:hAnsi="宋体" w:eastAsia="宋体" w:cs="宋体"/>
          <w:color w:val="auto"/>
          <w:spacing w:val="-10"/>
          <w:sz w:val="28"/>
          <w:szCs w:val="28"/>
          <w:u w:val="none"/>
          <w:lang w:val="en-US" w:eastAsia="zh-CN"/>
        </w:rPr>
        <w:t>向甲方承担违约金</w:t>
      </w:r>
      <w:r>
        <w:rPr>
          <w:rFonts w:hint="eastAsia" w:ascii="宋体" w:hAnsi="宋体" w:eastAsia="宋体" w:cs="宋体"/>
          <w:color w:val="auto"/>
          <w:spacing w:val="-10"/>
          <w:sz w:val="28"/>
          <w:szCs w:val="28"/>
          <w:u w:val="none"/>
          <w:lang w:eastAsia="zh-CN"/>
        </w:rPr>
        <w:t>。</w:t>
      </w:r>
    </w:p>
    <w:p w14:paraId="325BD519">
      <w:pPr>
        <w:pStyle w:val="16"/>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val="en-US" w:eastAsia="zh-CN"/>
        </w:rPr>
        <w:t>6.2</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的违约责任：</w:t>
      </w:r>
    </w:p>
    <w:p w14:paraId="71FF8D8C">
      <w:pPr>
        <w:spacing w:beforeAutospacing="0" w:afterAutospacing="0" w:line="540" w:lineRule="exact"/>
        <w:ind w:firstLine="520" w:firstLineChars="200"/>
        <w:rPr>
          <w:rFonts w:hint="eastAsia" w:ascii="宋体" w:hAnsi="宋体" w:eastAsia="宋体" w:cs="宋体"/>
          <w:color w:val="auto"/>
          <w:sz w:val="28"/>
          <w:szCs w:val="28"/>
          <w:u w:val="none"/>
        </w:rPr>
      </w:pPr>
      <w:r>
        <w:rPr>
          <w:rFonts w:hint="eastAsia" w:ascii="宋体" w:hAnsi="宋体" w:eastAsia="宋体" w:cs="宋体"/>
          <w:color w:val="auto"/>
          <w:spacing w:val="-10"/>
          <w:sz w:val="28"/>
          <w:szCs w:val="28"/>
          <w:u w:val="none"/>
          <w:lang w:val="en-US" w:eastAsia="zh-CN"/>
        </w:rPr>
        <w:t>6.2.1</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未按合同约定支付合同价款</w:t>
      </w:r>
      <w:r>
        <w:rPr>
          <w:rFonts w:hint="eastAsia" w:ascii="宋体" w:hAnsi="宋体" w:eastAsia="宋体" w:cs="宋体"/>
          <w:color w:val="auto"/>
          <w:spacing w:val="-10"/>
          <w:sz w:val="28"/>
          <w:szCs w:val="28"/>
          <w:u w:val="none"/>
          <w:lang w:eastAsia="zh-CN"/>
        </w:rPr>
        <w:t>，</w:t>
      </w:r>
      <w:r>
        <w:rPr>
          <w:rFonts w:hint="eastAsia" w:ascii="宋体" w:hAnsi="宋体" w:eastAsia="宋体" w:cs="宋体"/>
          <w:color w:val="auto"/>
          <w:spacing w:val="-10"/>
          <w:sz w:val="28"/>
          <w:szCs w:val="28"/>
          <w:u w:val="none"/>
        </w:rPr>
        <w:t>每日按</w:t>
      </w:r>
      <w:r>
        <w:rPr>
          <w:rFonts w:hint="eastAsia" w:ascii="宋体" w:hAnsi="宋体" w:eastAsia="宋体" w:cs="宋体"/>
          <w:color w:val="auto"/>
          <w:spacing w:val="-10"/>
          <w:sz w:val="28"/>
          <w:szCs w:val="28"/>
          <w:u w:val="none"/>
          <w:lang w:val="en-US" w:eastAsia="zh-CN"/>
        </w:rPr>
        <w:t>逾期未付</w:t>
      </w:r>
      <w:r>
        <w:rPr>
          <w:rFonts w:hint="eastAsia" w:ascii="宋体" w:hAnsi="宋体" w:eastAsia="宋体" w:cs="宋体"/>
          <w:color w:val="auto"/>
          <w:spacing w:val="-10"/>
          <w:sz w:val="28"/>
          <w:szCs w:val="28"/>
          <w:u w:val="none"/>
        </w:rPr>
        <w:t>金额的</w:t>
      </w:r>
      <w:r>
        <w:rPr>
          <w:rFonts w:hint="eastAsia" w:ascii="宋体" w:hAnsi="宋体" w:eastAsia="宋体" w:cs="宋体"/>
          <w:color w:val="auto"/>
          <w:spacing w:val="-10"/>
          <w:sz w:val="28"/>
          <w:szCs w:val="28"/>
          <w:u w:val="single"/>
          <w:lang w:eastAsia="zh-CN"/>
        </w:rPr>
        <w:t>千</w:t>
      </w:r>
      <w:r>
        <w:rPr>
          <w:rFonts w:hint="eastAsia" w:ascii="宋体" w:hAnsi="宋体" w:eastAsia="宋体" w:cs="宋体"/>
          <w:color w:val="auto"/>
          <w:spacing w:val="-10"/>
          <w:sz w:val="28"/>
          <w:szCs w:val="28"/>
          <w:u w:val="single"/>
        </w:rPr>
        <w:t>分之</w:t>
      </w:r>
      <w:r>
        <w:rPr>
          <w:rFonts w:hint="eastAsia" w:ascii="宋体" w:hAnsi="宋体" w:eastAsia="宋体" w:cs="宋体"/>
          <w:color w:val="auto"/>
          <w:spacing w:val="-10"/>
          <w:sz w:val="28"/>
          <w:szCs w:val="28"/>
          <w:u w:val="single"/>
          <w:lang w:eastAsia="zh-CN"/>
        </w:rPr>
        <w:t>二</w:t>
      </w:r>
      <w:r>
        <w:rPr>
          <w:rFonts w:hint="eastAsia" w:ascii="宋体" w:hAnsi="宋体" w:eastAsia="宋体" w:cs="宋体"/>
          <w:color w:val="auto"/>
          <w:spacing w:val="-10"/>
          <w:sz w:val="28"/>
          <w:szCs w:val="28"/>
          <w:u w:val="none"/>
        </w:rPr>
        <w:t>向</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支付</w:t>
      </w:r>
      <w:r>
        <w:rPr>
          <w:rFonts w:hint="eastAsia" w:ascii="宋体" w:hAnsi="宋体" w:eastAsia="宋体" w:cs="宋体"/>
          <w:color w:val="auto"/>
          <w:spacing w:val="-10"/>
          <w:sz w:val="28"/>
          <w:szCs w:val="28"/>
          <w:u w:val="none"/>
          <w:lang w:val="en-US" w:eastAsia="zh-CN"/>
        </w:rPr>
        <w:t>违约</w:t>
      </w:r>
      <w:r>
        <w:rPr>
          <w:rFonts w:hint="eastAsia" w:ascii="宋体" w:hAnsi="宋体" w:eastAsia="宋体" w:cs="宋体"/>
          <w:color w:val="auto"/>
          <w:spacing w:val="-10"/>
          <w:sz w:val="28"/>
          <w:szCs w:val="28"/>
          <w:u w:val="none"/>
        </w:rPr>
        <w:t>金</w:t>
      </w:r>
      <w:r>
        <w:rPr>
          <w:rFonts w:hint="eastAsia" w:ascii="宋体" w:hAnsi="宋体" w:eastAsia="宋体" w:cs="宋体"/>
          <w:b w:val="0"/>
          <w:bCs w:val="0"/>
          <w:color w:val="auto"/>
          <w:spacing w:val="-10"/>
          <w:sz w:val="28"/>
          <w:szCs w:val="28"/>
          <w:u w:val="none"/>
          <w:lang w:eastAsia="zh-CN"/>
        </w:rPr>
        <w:t>；</w:t>
      </w:r>
    </w:p>
    <w:p w14:paraId="396F4E50">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u w:val="none"/>
        </w:rPr>
      </w:pPr>
      <w:r>
        <w:rPr>
          <w:rFonts w:hint="eastAsia" w:ascii="宋体" w:hAnsi="宋体" w:eastAsia="宋体" w:cs="宋体"/>
          <w:b/>
          <w:bCs/>
          <w:color w:val="auto"/>
          <w:spacing w:val="-10"/>
          <w:sz w:val="28"/>
          <w:szCs w:val="28"/>
          <w:u w:val="none"/>
          <w:lang w:val="en-US" w:eastAsia="zh-CN"/>
        </w:rPr>
        <w:t>第</w:t>
      </w:r>
      <w:r>
        <w:rPr>
          <w:rFonts w:hint="eastAsia" w:ascii="宋体" w:hAnsi="宋体" w:eastAsia="宋体" w:cs="宋体"/>
          <w:b/>
          <w:bCs/>
          <w:color w:val="auto"/>
          <w:spacing w:val="-10"/>
          <w:sz w:val="28"/>
          <w:szCs w:val="28"/>
          <w:u w:val="none"/>
          <w:lang w:eastAsia="zh-CN"/>
        </w:rPr>
        <w:t>七</w:t>
      </w:r>
      <w:r>
        <w:rPr>
          <w:rFonts w:hint="eastAsia" w:ascii="宋体" w:hAnsi="宋体" w:eastAsia="宋体" w:cs="宋体"/>
          <w:b/>
          <w:bCs/>
          <w:color w:val="auto"/>
          <w:spacing w:val="-10"/>
          <w:sz w:val="28"/>
          <w:szCs w:val="28"/>
          <w:u w:val="none"/>
          <w:lang w:val="en-US" w:eastAsia="zh-CN"/>
        </w:rPr>
        <w:t>条</w:t>
      </w:r>
      <w:r>
        <w:rPr>
          <w:rFonts w:hint="eastAsia" w:ascii="宋体" w:hAnsi="宋体" w:eastAsia="宋体" w:cs="宋体"/>
          <w:b/>
          <w:bCs/>
          <w:color w:val="auto"/>
          <w:spacing w:val="-10"/>
          <w:sz w:val="28"/>
          <w:szCs w:val="28"/>
          <w:u w:val="none"/>
        </w:rPr>
        <w:t>、合同的变更、解除或终止</w:t>
      </w:r>
    </w:p>
    <w:p w14:paraId="779DA67E">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本合同生效后即具有法律约束力，发包、承包双方均不得随意变更或解除。正常情况下本合同需要变更，须经双方协商一致达成新的书面协议。在新的书面协议未达成之前，本合同依然有效。本合同如要解除，须经双方协商一致并达成书面意见。</w:t>
      </w:r>
    </w:p>
    <w:p w14:paraId="273A4F3F">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u w:val="none"/>
        </w:rPr>
      </w:pPr>
      <w:r>
        <w:rPr>
          <w:rFonts w:hint="eastAsia" w:ascii="宋体" w:hAnsi="宋体" w:eastAsia="宋体" w:cs="宋体"/>
          <w:b/>
          <w:bCs/>
          <w:color w:val="auto"/>
          <w:spacing w:val="-10"/>
          <w:sz w:val="28"/>
          <w:szCs w:val="28"/>
          <w:u w:val="none"/>
          <w:lang w:val="en-US" w:eastAsia="zh-CN"/>
        </w:rPr>
        <w:t>第</w:t>
      </w:r>
      <w:r>
        <w:rPr>
          <w:rFonts w:hint="eastAsia" w:ascii="宋体" w:hAnsi="宋体" w:eastAsia="宋体" w:cs="宋体"/>
          <w:b/>
          <w:bCs/>
          <w:color w:val="auto"/>
          <w:spacing w:val="-10"/>
          <w:sz w:val="28"/>
          <w:szCs w:val="28"/>
          <w:u w:val="none"/>
          <w:lang w:eastAsia="zh-CN"/>
        </w:rPr>
        <w:t>八</w:t>
      </w:r>
      <w:r>
        <w:rPr>
          <w:rFonts w:hint="eastAsia" w:ascii="宋体" w:hAnsi="宋体" w:eastAsia="宋体" w:cs="宋体"/>
          <w:b/>
          <w:bCs/>
          <w:color w:val="auto"/>
          <w:spacing w:val="-10"/>
          <w:sz w:val="28"/>
          <w:szCs w:val="28"/>
          <w:u w:val="none"/>
          <w:lang w:val="en-US" w:eastAsia="zh-CN"/>
        </w:rPr>
        <w:t>条</w:t>
      </w:r>
      <w:r>
        <w:rPr>
          <w:rFonts w:hint="eastAsia" w:ascii="宋体" w:hAnsi="宋体" w:eastAsia="宋体" w:cs="宋体"/>
          <w:b/>
          <w:bCs/>
          <w:color w:val="auto"/>
          <w:spacing w:val="-10"/>
          <w:sz w:val="28"/>
          <w:szCs w:val="28"/>
          <w:u w:val="none"/>
        </w:rPr>
        <w:t>、</w:t>
      </w:r>
      <w:r>
        <w:rPr>
          <w:rFonts w:hint="eastAsia" w:ascii="宋体" w:hAnsi="宋体" w:eastAsia="宋体" w:cs="宋体"/>
          <w:b/>
          <w:bCs/>
          <w:color w:val="auto"/>
          <w:spacing w:val="-10"/>
          <w:sz w:val="28"/>
          <w:szCs w:val="28"/>
          <w:u w:val="none"/>
          <w:lang w:eastAsia="zh-CN"/>
        </w:rPr>
        <w:t>合同</w:t>
      </w:r>
      <w:r>
        <w:rPr>
          <w:rFonts w:hint="eastAsia" w:ascii="宋体" w:hAnsi="宋体" w:eastAsia="宋体" w:cs="宋体"/>
          <w:b/>
          <w:bCs/>
          <w:color w:val="auto"/>
          <w:spacing w:val="-10"/>
          <w:sz w:val="28"/>
          <w:szCs w:val="28"/>
          <w:u w:val="none"/>
        </w:rPr>
        <w:t>期限</w:t>
      </w:r>
    </w:p>
    <w:p w14:paraId="78FD251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lang w:eastAsia="zh-CN"/>
        </w:rPr>
        <w:t>合同</w:t>
      </w:r>
      <w:r>
        <w:rPr>
          <w:rFonts w:hint="eastAsia" w:ascii="宋体" w:hAnsi="宋体" w:eastAsia="宋体" w:cs="宋体"/>
          <w:color w:val="auto"/>
          <w:spacing w:val="-10"/>
          <w:sz w:val="28"/>
          <w:szCs w:val="28"/>
          <w:u w:val="none"/>
        </w:rPr>
        <w:t>期限为</w:t>
      </w:r>
      <w:r>
        <w:rPr>
          <w:rFonts w:hint="eastAsia" w:ascii="宋体" w:hAnsi="宋体" w:eastAsia="宋体" w:cs="宋体"/>
          <w:color w:val="auto"/>
          <w:spacing w:val="-10"/>
          <w:sz w:val="28"/>
          <w:szCs w:val="28"/>
          <w:u w:val="none"/>
          <w:lang w:val="en-US" w:eastAsia="zh-CN"/>
        </w:rPr>
        <w:t>3</w:t>
      </w:r>
      <w:r>
        <w:rPr>
          <w:rFonts w:hint="eastAsia" w:ascii="宋体" w:hAnsi="宋体" w:eastAsia="宋体" w:cs="宋体"/>
          <w:color w:val="auto"/>
          <w:spacing w:val="-10"/>
          <w:sz w:val="28"/>
          <w:szCs w:val="28"/>
          <w:u w:val="none"/>
        </w:rPr>
        <w:t>年，自</w:t>
      </w:r>
      <w:r>
        <w:rPr>
          <w:rFonts w:hint="eastAsia" w:ascii="宋体" w:hAnsi="宋体" w:eastAsia="宋体" w:cs="宋体"/>
          <w:color w:val="auto"/>
          <w:spacing w:val="-10"/>
          <w:sz w:val="28"/>
          <w:szCs w:val="28"/>
          <w:u w:val="none"/>
          <w:lang w:val="en-US" w:eastAsia="zh-CN"/>
        </w:rPr>
        <w:t xml:space="preserve">       年      月      日</w:t>
      </w:r>
      <w:r>
        <w:rPr>
          <w:rFonts w:hint="eastAsia" w:ascii="宋体" w:hAnsi="宋体" w:eastAsia="宋体" w:cs="宋体"/>
          <w:color w:val="auto"/>
          <w:spacing w:val="-10"/>
          <w:sz w:val="28"/>
          <w:szCs w:val="28"/>
          <w:u w:val="none"/>
          <w:lang w:eastAsia="zh-CN"/>
        </w:rPr>
        <w:t>起生效</w:t>
      </w:r>
      <w:r>
        <w:rPr>
          <w:rFonts w:hint="eastAsia" w:ascii="宋体" w:hAnsi="宋体" w:eastAsia="宋体" w:cs="宋体"/>
          <w:color w:val="auto"/>
          <w:spacing w:val="-10"/>
          <w:sz w:val="28"/>
          <w:szCs w:val="28"/>
          <w:u w:val="none"/>
        </w:rPr>
        <w:t>。</w:t>
      </w:r>
    </w:p>
    <w:p w14:paraId="23635D5F">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u w:val="none"/>
        </w:rPr>
      </w:pPr>
      <w:r>
        <w:rPr>
          <w:rFonts w:hint="eastAsia" w:ascii="宋体" w:hAnsi="宋体" w:eastAsia="宋体" w:cs="宋体"/>
          <w:b/>
          <w:bCs/>
          <w:color w:val="auto"/>
          <w:spacing w:val="-10"/>
          <w:sz w:val="28"/>
          <w:szCs w:val="28"/>
          <w:u w:val="none"/>
          <w:lang w:val="en-US" w:eastAsia="zh-CN"/>
        </w:rPr>
        <w:t>第</w:t>
      </w:r>
      <w:r>
        <w:rPr>
          <w:rFonts w:hint="eastAsia" w:ascii="宋体" w:hAnsi="宋体" w:eastAsia="宋体" w:cs="宋体"/>
          <w:b/>
          <w:bCs/>
          <w:color w:val="auto"/>
          <w:spacing w:val="-10"/>
          <w:sz w:val="28"/>
          <w:szCs w:val="28"/>
          <w:u w:val="none"/>
          <w:lang w:eastAsia="zh-CN"/>
        </w:rPr>
        <w:t>九</w:t>
      </w:r>
      <w:r>
        <w:rPr>
          <w:rFonts w:hint="eastAsia" w:ascii="宋体" w:hAnsi="宋体" w:eastAsia="宋体" w:cs="宋体"/>
          <w:b/>
          <w:bCs/>
          <w:color w:val="auto"/>
          <w:spacing w:val="-10"/>
          <w:sz w:val="28"/>
          <w:szCs w:val="28"/>
          <w:u w:val="none"/>
          <w:lang w:val="en-US" w:eastAsia="zh-CN"/>
        </w:rPr>
        <w:t>条</w:t>
      </w:r>
      <w:r>
        <w:rPr>
          <w:rFonts w:hint="eastAsia" w:ascii="宋体" w:hAnsi="宋体" w:eastAsia="宋体" w:cs="宋体"/>
          <w:b/>
          <w:bCs/>
          <w:color w:val="auto"/>
          <w:spacing w:val="-10"/>
          <w:sz w:val="28"/>
          <w:szCs w:val="28"/>
          <w:u w:val="none"/>
        </w:rPr>
        <w:t>、不可抗力</w:t>
      </w:r>
    </w:p>
    <w:p w14:paraId="7D396840">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由于受诸如战争、洪水、台风、地震等不可抗力事件的影响而不能执行合同时</w:t>
      </w:r>
      <w:r>
        <w:rPr>
          <w:rFonts w:hint="eastAsia" w:ascii="宋体" w:hAnsi="宋体" w:eastAsia="宋体" w:cs="宋体"/>
          <w:color w:val="auto"/>
          <w:spacing w:val="-10"/>
          <w:sz w:val="28"/>
          <w:szCs w:val="28"/>
          <w:u w:val="none"/>
          <w:lang w:eastAsia="zh-CN"/>
        </w:rPr>
        <w:t>，</w:t>
      </w:r>
      <w:r>
        <w:rPr>
          <w:rFonts w:hint="eastAsia" w:ascii="宋体" w:hAnsi="宋体" w:eastAsia="宋体" w:cs="宋体"/>
          <w:color w:val="auto"/>
          <w:spacing w:val="-10"/>
          <w:sz w:val="28"/>
          <w:szCs w:val="28"/>
          <w:u w:val="none"/>
        </w:rPr>
        <w:t>互不承担违约责任。由于不可抗力的原因使本合同无法完全履行或无法履行时，经</w:t>
      </w:r>
      <w:r>
        <w:rPr>
          <w:rFonts w:hint="eastAsia" w:ascii="宋体" w:hAnsi="宋体" w:eastAsia="宋体" w:cs="宋体"/>
          <w:color w:val="auto"/>
          <w:spacing w:val="-10"/>
          <w:sz w:val="28"/>
          <w:szCs w:val="28"/>
          <w:u w:val="none"/>
          <w:lang w:eastAsia="zh-CN"/>
        </w:rPr>
        <w:t>甲乙</w:t>
      </w:r>
      <w:r>
        <w:rPr>
          <w:rFonts w:hint="eastAsia" w:ascii="宋体" w:hAnsi="宋体" w:eastAsia="宋体" w:cs="宋体"/>
          <w:color w:val="auto"/>
          <w:spacing w:val="-10"/>
          <w:sz w:val="28"/>
          <w:szCs w:val="28"/>
          <w:u w:val="none"/>
        </w:rPr>
        <w:t>双方协商一致，可以变更或解除本合同。</w:t>
      </w:r>
    </w:p>
    <w:p w14:paraId="3EEFE941">
      <w:pPr>
        <w:widowControl w:val="0"/>
        <w:wordWrap/>
        <w:adjustRightInd/>
        <w:snapToGrid/>
        <w:spacing w:beforeAutospacing="0" w:afterAutospacing="0" w:line="540" w:lineRule="exact"/>
        <w:ind w:firstLine="522" w:firstLineChars="200"/>
        <w:rPr>
          <w:rFonts w:hint="eastAsia" w:ascii="宋体" w:hAnsi="宋体" w:eastAsia="宋体" w:cs="宋体"/>
          <w:b/>
          <w:bCs/>
          <w:color w:val="auto"/>
          <w:spacing w:val="-10"/>
          <w:sz w:val="28"/>
          <w:szCs w:val="28"/>
          <w:u w:val="none"/>
        </w:rPr>
      </w:pPr>
      <w:r>
        <w:rPr>
          <w:rFonts w:hint="eastAsia" w:ascii="宋体" w:hAnsi="宋体" w:eastAsia="宋体" w:cs="宋体"/>
          <w:b/>
          <w:bCs/>
          <w:color w:val="auto"/>
          <w:spacing w:val="-10"/>
          <w:sz w:val="28"/>
          <w:szCs w:val="28"/>
          <w:u w:val="none"/>
          <w:lang w:val="en-US" w:eastAsia="zh-CN"/>
        </w:rPr>
        <w:t>第</w:t>
      </w:r>
      <w:r>
        <w:rPr>
          <w:rFonts w:hint="eastAsia" w:ascii="宋体" w:hAnsi="宋体" w:eastAsia="宋体" w:cs="宋体"/>
          <w:b/>
          <w:bCs/>
          <w:color w:val="auto"/>
          <w:spacing w:val="-10"/>
          <w:sz w:val="28"/>
          <w:szCs w:val="28"/>
          <w:u w:val="none"/>
        </w:rPr>
        <w:t>十</w:t>
      </w:r>
      <w:r>
        <w:rPr>
          <w:rFonts w:hint="eastAsia" w:ascii="宋体" w:hAnsi="宋体" w:eastAsia="宋体" w:cs="宋体"/>
          <w:b/>
          <w:bCs/>
          <w:color w:val="auto"/>
          <w:spacing w:val="-10"/>
          <w:sz w:val="28"/>
          <w:szCs w:val="28"/>
          <w:u w:val="none"/>
          <w:lang w:val="en-US" w:eastAsia="zh-CN"/>
        </w:rPr>
        <w:t>条</w:t>
      </w:r>
      <w:r>
        <w:rPr>
          <w:rFonts w:hint="eastAsia" w:ascii="宋体" w:hAnsi="宋体" w:eastAsia="宋体" w:cs="宋体"/>
          <w:b/>
          <w:bCs/>
          <w:color w:val="auto"/>
          <w:spacing w:val="-10"/>
          <w:sz w:val="28"/>
          <w:szCs w:val="28"/>
          <w:u w:val="none"/>
        </w:rPr>
        <w:t>、合同修改</w:t>
      </w:r>
    </w:p>
    <w:p w14:paraId="2D52B49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对合同条款做出任何修改，均须由</w:t>
      </w:r>
      <w:r>
        <w:rPr>
          <w:rFonts w:hint="eastAsia" w:ascii="宋体" w:hAnsi="宋体" w:eastAsia="宋体" w:cs="宋体"/>
          <w:color w:val="auto"/>
          <w:spacing w:val="-10"/>
          <w:sz w:val="28"/>
          <w:szCs w:val="28"/>
          <w:u w:val="none"/>
          <w:lang w:eastAsia="zh-CN"/>
        </w:rPr>
        <w:t>甲方</w:t>
      </w:r>
      <w:r>
        <w:rPr>
          <w:rFonts w:hint="eastAsia" w:ascii="宋体" w:hAnsi="宋体" w:eastAsia="宋体" w:cs="宋体"/>
          <w:color w:val="auto"/>
          <w:spacing w:val="-10"/>
          <w:sz w:val="28"/>
          <w:szCs w:val="28"/>
          <w:u w:val="none"/>
        </w:rPr>
        <w:t>、</w:t>
      </w:r>
      <w:r>
        <w:rPr>
          <w:rFonts w:hint="eastAsia" w:ascii="宋体" w:hAnsi="宋体" w:eastAsia="宋体" w:cs="宋体"/>
          <w:color w:val="auto"/>
          <w:spacing w:val="-10"/>
          <w:sz w:val="28"/>
          <w:szCs w:val="28"/>
          <w:u w:val="none"/>
          <w:lang w:eastAsia="zh-CN"/>
        </w:rPr>
        <w:t>乙方</w:t>
      </w:r>
      <w:r>
        <w:rPr>
          <w:rFonts w:hint="eastAsia" w:ascii="宋体" w:hAnsi="宋体" w:eastAsia="宋体" w:cs="宋体"/>
          <w:color w:val="auto"/>
          <w:spacing w:val="-10"/>
          <w:sz w:val="28"/>
          <w:szCs w:val="28"/>
          <w:u w:val="none"/>
        </w:rPr>
        <w:t>双方协商，以书面补充合同形式进行。</w:t>
      </w:r>
    </w:p>
    <w:p w14:paraId="2A0FB216">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u w:val="none"/>
        </w:rPr>
      </w:pPr>
      <w:r>
        <w:rPr>
          <w:rFonts w:hint="eastAsia" w:ascii="宋体" w:hAnsi="宋体" w:eastAsia="宋体" w:cs="宋体"/>
          <w:b/>
          <w:bCs/>
          <w:color w:val="auto"/>
          <w:spacing w:val="-10"/>
          <w:sz w:val="28"/>
          <w:szCs w:val="28"/>
          <w:u w:val="none"/>
          <w:lang w:val="en-US" w:eastAsia="zh-CN"/>
        </w:rPr>
        <w:t>第</w:t>
      </w:r>
      <w:r>
        <w:rPr>
          <w:rFonts w:hint="eastAsia" w:ascii="宋体" w:hAnsi="宋体" w:eastAsia="宋体" w:cs="宋体"/>
          <w:b/>
          <w:bCs/>
          <w:color w:val="auto"/>
          <w:spacing w:val="-10"/>
          <w:sz w:val="28"/>
          <w:szCs w:val="28"/>
          <w:u w:val="none"/>
        </w:rPr>
        <w:t>十一</w:t>
      </w:r>
      <w:r>
        <w:rPr>
          <w:rFonts w:hint="eastAsia" w:ascii="宋体" w:hAnsi="宋体" w:eastAsia="宋体" w:cs="宋体"/>
          <w:b/>
          <w:bCs/>
          <w:color w:val="auto"/>
          <w:spacing w:val="-10"/>
          <w:sz w:val="28"/>
          <w:szCs w:val="28"/>
          <w:u w:val="none"/>
          <w:lang w:val="en-US" w:eastAsia="zh-CN"/>
        </w:rPr>
        <w:t>条</w:t>
      </w:r>
      <w:r>
        <w:rPr>
          <w:rFonts w:hint="eastAsia" w:ascii="宋体" w:hAnsi="宋体" w:eastAsia="宋体" w:cs="宋体"/>
          <w:b/>
          <w:bCs/>
          <w:color w:val="auto"/>
          <w:spacing w:val="-10"/>
          <w:sz w:val="28"/>
          <w:szCs w:val="28"/>
          <w:u w:val="none"/>
        </w:rPr>
        <w:t>、争议解决与适用法律</w:t>
      </w:r>
    </w:p>
    <w:p w14:paraId="3152F4DB">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13.１本合同按《中华人民共和国</w:t>
      </w:r>
      <w:r>
        <w:rPr>
          <w:rFonts w:hint="eastAsia" w:ascii="宋体" w:hAnsi="宋体" w:eastAsia="宋体" w:cs="宋体"/>
          <w:color w:val="auto"/>
          <w:spacing w:val="-10"/>
          <w:sz w:val="28"/>
          <w:szCs w:val="28"/>
          <w:u w:val="none"/>
          <w:lang w:eastAsia="zh-CN"/>
        </w:rPr>
        <w:t>民法典</w:t>
      </w:r>
      <w:r>
        <w:rPr>
          <w:rFonts w:hint="eastAsia" w:ascii="宋体" w:hAnsi="宋体" w:eastAsia="宋体" w:cs="宋体"/>
          <w:color w:val="auto"/>
          <w:spacing w:val="-10"/>
          <w:sz w:val="28"/>
          <w:szCs w:val="28"/>
          <w:u w:val="none"/>
        </w:rPr>
        <w:t>》解释。</w:t>
      </w:r>
    </w:p>
    <w:p w14:paraId="0230D845">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u w:val="none"/>
        </w:rPr>
      </w:pPr>
      <w:r>
        <w:rPr>
          <w:rFonts w:hint="eastAsia" w:ascii="宋体" w:hAnsi="宋体" w:eastAsia="宋体" w:cs="宋体"/>
          <w:color w:val="auto"/>
          <w:spacing w:val="-10"/>
          <w:sz w:val="28"/>
          <w:szCs w:val="28"/>
          <w:u w:val="none"/>
        </w:rPr>
        <w:t>13.2在履行本合同过程中发生争议时</w:t>
      </w:r>
      <w:r>
        <w:rPr>
          <w:rFonts w:hint="eastAsia" w:ascii="宋体" w:hAnsi="宋体" w:eastAsia="宋体" w:cs="宋体"/>
          <w:color w:val="auto"/>
          <w:spacing w:val="-10"/>
          <w:sz w:val="28"/>
          <w:szCs w:val="28"/>
          <w:u w:val="none"/>
          <w:lang w:eastAsia="zh-CN"/>
        </w:rPr>
        <w:t>，</w:t>
      </w:r>
      <w:r>
        <w:rPr>
          <w:rFonts w:hint="eastAsia" w:ascii="宋体" w:hAnsi="宋体" w:eastAsia="宋体" w:cs="宋体"/>
          <w:color w:val="auto"/>
          <w:spacing w:val="-10"/>
          <w:sz w:val="28"/>
          <w:szCs w:val="28"/>
          <w:u w:val="none"/>
        </w:rPr>
        <w:t>双方协商解决；协商无效时，向</w:t>
      </w:r>
      <w:r>
        <w:rPr>
          <w:rFonts w:hint="eastAsia" w:ascii="宋体" w:hAnsi="宋体" w:eastAsia="宋体" w:cs="宋体"/>
          <w:color w:val="auto"/>
          <w:spacing w:val="-10"/>
          <w:sz w:val="28"/>
          <w:szCs w:val="28"/>
          <w:u w:val="none"/>
          <w:lang w:eastAsia="zh-CN"/>
        </w:rPr>
        <w:t>污水处理厂所在地</w:t>
      </w:r>
      <w:r>
        <w:rPr>
          <w:rFonts w:hint="eastAsia" w:ascii="宋体" w:hAnsi="宋体" w:eastAsia="宋体" w:cs="宋体"/>
          <w:color w:val="auto"/>
          <w:spacing w:val="-10"/>
          <w:sz w:val="28"/>
          <w:szCs w:val="28"/>
          <w:u w:val="none"/>
        </w:rPr>
        <w:t>人民法院提起诉讼解决。</w:t>
      </w:r>
    </w:p>
    <w:p w14:paraId="1346F962">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u w:val="none"/>
        </w:rPr>
      </w:pPr>
      <w:r>
        <w:rPr>
          <w:rFonts w:hint="eastAsia" w:ascii="宋体" w:hAnsi="宋体" w:eastAsia="宋体" w:cs="宋体"/>
          <w:b/>
          <w:bCs/>
          <w:color w:val="auto"/>
          <w:spacing w:val="-10"/>
          <w:sz w:val="28"/>
          <w:szCs w:val="28"/>
          <w:u w:val="none"/>
          <w:lang w:val="en-US" w:eastAsia="zh-CN"/>
        </w:rPr>
        <w:t>第</w:t>
      </w:r>
      <w:r>
        <w:rPr>
          <w:rFonts w:hint="eastAsia" w:ascii="宋体" w:hAnsi="宋体" w:eastAsia="宋体" w:cs="宋体"/>
          <w:b/>
          <w:bCs/>
          <w:color w:val="auto"/>
          <w:spacing w:val="-10"/>
          <w:sz w:val="28"/>
          <w:szCs w:val="28"/>
          <w:u w:val="none"/>
        </w:rPr>
        <w:t>十</w:t>
      </w:r>
      <w:r>
        <w:rPr>
          <w:rFonts w:hint="eastAsia" w:ascii="宋体" w:hAnsi="宋体" w:eastAsia="宋体" w:cs="宋体"/>
          <w:b/>
          <w:bCs/>
          <w:color w:val="auto"/>
          <w:spacing w:val="-10"/>
          <w:sz w:val="28"/>
          <w:szCs w:val="28"/>
          <w:u w:val="none"/>
          <w:lang w:eastAsia="zh-CN"/>
        </w:rPr>
        <w:t>二</w:t>
      </w:r>
      <w:r>
        <w:rPr>
          <w:rFonts w:hint="eastAsia" w:ascii="宋体" w:hAnsi="宋体" w:eastAsia="宋体" w:cs="宋体"/>
          <w:b/>
          <w:bCs/>
          <w:color w:val="auto"/>
          <w:spacing w:val="-10"/>
          <w:sz w:val="28"/>
          <w:szCs w:val="28"/>
          <w:u w:val="none"/>
          <w:lang w:val="en-US" w:eastAsia="zh-CN"/>
        </w:rPr>
        <w:t>条</w:t>
      </w:r>
      <w:r>
        <w:rPr>
          <w:rFonts w:hint="eastAsia" w:ascii="宋体" w:hAnsi="宋体" w:eastAsia="宋体" w:cs="宋体"/>
          <w:b/>
          <w:bCs/>
          <w:color w:val="auto"/>
          <w:spacing w:val="-10"/>
          <w:sz w:val="28"/>
          <w:szCs w:val="28"/>
          <w:u w:val="none"/>
        </w:rPr>
        <w:t>、其他</w:t>
      </w:r>
    </w:p>
    <w:p w14:paraId="24BA8B5E">
      <w:pPr>
        <w:widowControl w:val="0"/>
        <w:wordWrap/>
        <w:adjustRightInd/>
        <w:snapToGrid/>
        <w:spacing w:beforeAutospacing="0" w:afterAutospacing="0" w:line="540" w:lineRule="exact"/>
        <w:ind w:firstLine="560" w:firstLineChars="200"/>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本合同一式</w:t>
      </w:r>
      <w:r>
        <w:rPr>
          <w:rFonts w:hint="eastAsia" w:ascii="宋体" w:hAnsi="宋体" w:eastAsia="宋体" w:cs="宋体"/>
          <w:color w:val="auto"/>
          <w:sz w:val="28"/>
          <w:szCs w:val="28"/>
          <w:u w:val="none"/>
          <w:lang w:eastAsia="zh-CN"/>
        </w:rPr>
        <w:t>肆</w:t>
      </w:r>
      <w:r>
        <w:rPr>
          <w:rFonts w:hint="eastAsia" w:ascii="宋体" w:hAnsi="宋体" w:eastAsia="宋体" w:cs="宋体"/>
          <w:color w:val="auto"/>
          <w:sz w:val="28"/>
          <w:szCs w:val="28"/>
          <w:u w:val="none"/>
        </w:rPr>
        <w:t>份，</w:t>
      </w:r>
      <w:r>
        <w:rPr>
          <w:rFonts w:hint="eastAsia" w:ascii="宋体" w:hAnsi="宋体" w:eastAsia="宋体" w:cs="宋体"/>
          <w:color w:val="auto"/>
          <w:sz w:val="28"/>
          <w:szCs w:val="28"/>
          <w:u w:val="none"/>
          <w:lang w:eastAsia="zh-CN"/>
        </w:rPr>
        <w:t>甲方贰</w:t>
      </w:r>
      <w:r>
        <w:rPr>
          <w:rFonts w:hint="eastAsia" w:ascii="宋体" w:hAnsi="宋体" w:eastAsia="宋体" w:cs="宋体"/>
          <w:color w:val="auto"/>
          <w:sz w:val="28"/>
          <w:szCs w:val="28"/>
          <w:u w:val="none"/>
        </w:rPr>
        <w:t>份，</w:t>
      </w:r>
      <w:r>
        <w:rPr>
          <w:rFonts w:hint="eastAsia" w:ascii="宋体" w:hAnsi="宋体" w:eastAsia="宋体" w:cs="宋体"/>
          <w:color w:val="auto"/>
          <w:sz w:val="28"/>
          <w:szCs w:val="28"/>
          <w:u w:val="none"/>
          <w:lang w:eastAsia="zh-CN"/>
        </w:rPr>
        <w:t>乙方贰</w:t>
      </w:r>
      <w:r>
        <w:rPr>
          <w:rFonts w:hint="eastAsia" w:ascii="宋体" w:hAnsi="宋体" w:eastAsia="宋体" w:cs="宋体"/>
          <w:color w:val="auto"/>
          <w:sz w:val="28"/>
          <w:szCs w:val="28"/>
          <w:u w:val="none"/>
        </w:rPr>
        <w:t>份，均具有同等法律效力。</w:t>
      </w:r>
    </w:p>
    <w:p w14:paraId="4DE0DC45">
      <w:pPr>
        <w:rPr>
          <w:rFonts w:hint="eastAsia" w:ascii="宋体" w:hAnsi="宋体" w:eastAsia="宋体" w:cs="宋体"/>
          <w:b w:val="0"/>
          <w:bCs/>
          <w:color w:val="auto"/>
          <w:spacing w:val="-10"/>
          <w:sz w:val="28"/>
          <w:szCs w:val="28"/>
          <w:u w:val="none"/>
        </w:rPr>
      </w:pPr>
    </w:p>
    <w:p w14:paraId="4A65D3DF">
      <w:pPr>
        <w:rPr>
          <w:rFonts w:hint="eastAsia" w:ascii="宋体" w:hAnsi="宋体" w:eastAsia="宋体" w:cs="宋体"/>
          <w:b w:val="0"/>
          <w:bCs/>
          <w:color w:val="auto"/>
          <w:spacing w:val="-10"/>
          <w:sz w:val="28"/>
          <w:szCs w:val="28"/>
          <w:u w:val="none"/>
          <w:lang w:eastAsia="zh-CN"/>
        </w:rPr>
      </w:pPr>
      <w:r>
        <w:rPr>
          <w:rFonts w:hint="eastAsia" w:ascii="宋体" w:hAnsi="宋体" w:eastAsia="宋体" w:cs="宋体"/>
          <w:b w:val="0"/>
          <w:bCs/>
          <w:color w:val="auto"/>
          <w:spacing w:val="-10"/>
          <w:sz w:val="28"/>
          <w:szCs w:val="28"/>
          <w:u w:val="none"/>
        </w:rPr>
        <w:t>甲方：</w:t>
      </w:r>
      <w:r>
        <w:rPr>
          <w:rFonts w:hint="eastAsia" w:ascii="宋体" w:hAnsi="宋体" w:eastAsia="宋体" w:cs="宋体"/>
          <w:b w:val="0"/>
          <w:bCs/>
          <w:color w:val="auto"/>
          <w:sz w:val="28"/>
          <w:szCs w:val="28"/>
          <w:u w:val="none"/>
          <w:lang w:eastAsia="zh-CN"/>
        </w:rPr>
        <w:t>北流市城市管理监督局</w:t>
      </w:r>
      <w:r>
        <w:rPr>
          <w:rFonts w:hint="eastAsia" w:ascii="宋体" w:hAnsi="宋体" w:eastAsia="宋体" w:cs="宋体"/>
          <w:b w:val="0"/>
          <w:bCs/>
          <w:color w:val="auto"/>
          <w:sz w:val="28"/>
          <w:szCs w:val="28"/>
          <w:u w:val="none"/>
        </w:rPr>
        <w:t xml:space="preserve">  </w:t>
      </w:r>
      <w:r>
        <w:rPr>
          <w:rFonts w:hint="eastAsia" w:ascii="宋体" w:hAnsi="宋体" w:eastAsia="宋体" w:cs="宋体"/>
          <w:b w:val="0"/>
          <w:bCs/>
          <w:color w:val="auto"/>
          <w:sz w:val="28"/>
          <w:szCs w:val="28"/>
          <w:u w:val="none"/>
          <w:lang w:val="en-US" w:eastAsia="zh-CN"/>
        </w:rPr>
        <w:t xml:space="preserve">        </w:t>
      </w:r>
      <w:r>
        <w:rPr>
          <w:rFonts w:hint="eastAsia" w:ascii="宋体" w:hAnsi="宋体" w:eastAsia="宋体" w:cs="宋体"/>
          <w:b w:val="0"/>
          <w:bCs/>
          <w:color w:val="auto"/>
          <w:spacing w:val="-10"/>
          <w:sz w:val="28"/>
          <w:szCs w:val="28"/>
          <w:u w:val="none"/>
        </w:rPr>
        <w:t>乙方：</w:t>
      </w:r>
    </w:p>
    <w:p w14:paraId="24A804ED">
      <w:pPr>
        <w:spacing w:beforeAutospacing="0" w:afterAutospacing="0" w:line="600" w:lineRule="exact"/>
        <w:rPr>
          <w:rFonts w:hint="eastAsia" w:ascii="宋体" w:hAnsi="宋体" w:eastAsia="宋体" w:cs="宋体"/>
          <w:b w:val="0"/>
          <w:bCs/>
          <w:color w:val="auto"/>
          <w:spacing w:val="-10"/>
          <w:sz w:val="28"/>
          <w:szCs w:val="28"/>
          <w:u w:val="none"/>
        </w:rPr>
      </w:pPr>
      <w:r>
        <w:rPr>
          <w:rFonts w:hint="eastAsia" w:ascii="宋体" w:hAnsi="宋体" w:eastAsia="宋体" w:cs="宋体"/>
          <w:b w:val="0"/>
          <w:bCs/>
          <w:color w:val="auto"/>
          <w:spacing w:val="-10"/>
          <w:sz w:val="28"/>
          <w:szCs w:val="28"/>
          <w:u w:val="none"/>
        </w:rPr>
        <w:t xml:space="preserve">法人代表/委托代理人：                   法人代表/委托代理人： </w:t>
      </w:r>
    </w:p>
    <w:p w14:paraId="7EBBD180">
      <w:pPr>
        <w:spacing w:beforeAutospacing="0" w:afterAutospacing="0" w:line="600" w:lineRule="exact"/>
        <w:rPr>
          <w:rFonts w:hint="eastAsia" w:ascii="宋体" w:hAnsi="宋体" w:eastAsia="宋体" w:cs="宋体"/>
          <w:b w:val="0"/>
          <w:bCs/>
          <w:color w:val="auto"/>
          <w:spacing w:val="-10"/>
          <w:sz w:val="28"/>
          <w:szCs w:val="28"/>
          <w:u w:val="none"/>
        </w:rPr>
      </w:pPr>
      <w:r>
        <w:rPr>
          <w:rFonts w:hint="eastAsia" w:ascii="宋体" w:hAnsi="宋体" w:eastAsia="宋体" w:cs="宋体"/>
          <w:b w:val="0"/>
          <w:bCs/>
          <w:color w:val="auto"/>
          <w:spacing w:val="-10"/>
          <w:sz w:val="28"/>
          <w:szCs w:val="28"/>
          <w:u w:val="none"/>
        </w:rPr>
        <w:t>联系人：                                 联系人：</w:t>
      </w:r>
    </w:p>
    <w:p w14:paraId="2A1771E6">
      <w:pPr>
        <w:spacing w:beforeAutospacing="0" w:afterAutospacing="0" w:line="600" w:lineRule="exact"/>
        <w:rPr>
          <w:rFonts w:hint="eastAsia" w:ascii="宋体" w:hAnsi="宋体" w:eastAsia="宋体" w:cs="宋体"/>
          <w:b w:val="0"/>
          <w:bCs/>
          <w:color w:val="auto"/>
          <w:spacing w:val="-10"/>
          <w:sz w:val="28"/>
          <w:szCs w:val="28"/>
          <w:u w:val="none"/>
        </w:rPr>
      </w:pPr>
      <w:r>
        <w:rPr>
          <w:rFonts w:hint="eastAsia" w:ascii="宋体" w:hAnsi="宋体" w:eastAsia="宋体" w:cs="宋体"/>
          <w:b w:val="0"/>
          <w:bCs/>
          <w:color w:val="auto"/>
          <w:spacing w:val="-10"/>
          <w:sz w:val="28"/>
          <w:szCs w:val="28"/>
          <w:u w:val="none"/>
        </w:rPr>
        <w:t>电话：                                   电话：</w:t>
      </w:r>
    </w:p>
    <w:p w14:paraId="1CD8F651">
      <w:pPr>
        <w:pStyle w:val="16"/>
        <w:rPr>
          <w:rFonts w:hint="eastAsia" w:ascii="宋体" w:hAnsi="宋体" w:eastAsia="宋体" w:cs="宋体"/>
          <w:b w:val="0"/>
          <w:bCs/>
          <w:color w:val="auto"/>
          <w:spacing w:val="-10"/>
          <w:kern w:val="2"/>
          <w:sz w:val="28"/>
          <w:szCs w:val="28"/>
          <w:u w:val="none"/>
          <w:lang w:val="en-US" w:eastAsia="zh-CN" w:bidi="ar-SA"/>
        </w:rPr>
      </w:pPr>
      <w:r>
        <w:rPr>
          <w:rFonts w:hint="eastAsia" w:ascii="宋体" w:hAnsi="宋体" w:eastAsia="宋体" w:cs="宋体"/>
          <w:b w:val="0"/>
          <w:bCs/>
          <w:color w:val="auto"/>
          <w:spacing w:val="-10"/>
          <w:sz w:val="28"/>
          <w:szCs w:val="28"/>
          <w:u w:val="none"/>
          <w:lang w:eastAsia="zh-CN"/>
        </w:rPr>
        <w:t>开户名：</w:t>
      </w:r>
      <w:r>
        <w:rPr>
          <w:rFonts w:hint="eastAsia" w:ascii="宋体" w:hAnsi="宋体" w:eastAsia="宋体" w:cs="宋体"/>
          <w:b w:val="0"/>
          <w:bCs/>
          <w:color w:val="auto"/>
          <w:spacing w:val="-10"/>
          <w:sz w:val="28"/>
          <w:szCs w:val="28"/>
          <w:u w:val="none"/>
          <w:lang w:val="en-US" w:eastAsia="zh-CN"/>
        </w:rPr>
        <w:t xml:space="preserve">                                 </w:t>
      </w:r>
      <w:r>
        <w:rPr>
          <w:rFonts w:hint="eastAsia" w:ascii="宋体" w:hAnsi="宋体" w:eastAsia="宋体" w:cs="宋体"/>
          <w:b w:val="0"/>
          <w:bCs/>
          <w:color w:val="auto"/>
          <w:spacing w:val="-10"/>
          <w:sz w:val="28"/>
          <w:szCs w:val="28"/>
          <w:u w:val="none"/>
          <w:lang w:eastAsia="zh-CN"/>
        </w:rPr>
        <w:t>开户名：</w:t>
      </w:r>
    </w:p>
    <w:p w14:paraId="6E15D90B">
      <w:pPr>
        <w:spacing w:beforeAutospacing="0" w:afterAutospacing="0" w:line="680" w:lineRule="exact"/>
        <w:rPr>
          <w:rFonts w:hint="eastAsia" w:ascii="宋体" w:hAnsi="宋体" w:eastAsia="宋体" w:cs="宋体"/>
          <w:b w:val="0"/>
          <w:bCs/>
          <w:color w:val="auto"/>
          <w:spacing w:val="-10"/>
          <w:kern w:val="2"/>
          <w:sz w:val="28"/>
          <w:szCs w:val="28"/>
          <w:u w:val="none"/>
          <w:lang w:val="en-US" w:eastAsia="zh-CN" w:bidi="ar-SA"/>
        </w:rPr>
      </w:pPr>
      <w:r>
        <w:rPr>
          <w:rFonts w:hint="eastAsia" w:ascii="宋体" w:hAnsi="宋体" w:eastAsia="宋体" w:cs="宋体"/>
          <w:b w:val="0"/>
          <w:bCs/>
          <w:color w:val="auto"/>
          <w:spacing w:val="-10"/>
          <w:kern w:val="2"/>
          <w:sz w:val="28"/>
          <w:szCs w:val="28"/>
          <w:u w:val="none"/>
          <w:lang w:val="en-US" w:eastAsia="zh-CN" w:bidi="ar-SA"/>
        </w:rPr>
        <w:t>开户行：                                 开户行：</w:t>
      </w:r>
    </w:p>
    <w:p w14:paraId="1B96057A">
      <w:pPr>
        <w:pStyle w:val="16"/>
        <w:rPr>
          <w:rFonts w:hint="eastAsia" w:ascii="宋体" w:hAnsi="宋体" w:eastAsia="宋体" w:cs="宋体"/>
          <w:b w:val="0"/>
          <w:bCs/>
          <w:color w:val="auto"/>
          <w:spacing w:val="-10"/>
          <w:kern w:val="2"/>
          <w:sz w:val="28"/>
          <w:szCs w:val="28"/>
          <w:u w:val="none"/>
          <w:lang w:val="en-US" w:eastAsia="zh-CN" w:bidi="ar-SA"/>
        </w:rPr>
      </w:pPr>
      <w:r>
        <w:rPr>
          <w:rFonts w:hint="eastAsia" w:ascii="宋体" w:hAnsi="宋体" w:eastAsia="宋体" w:cs="宋体"/>
          <w:b w:val="0"/>
          <w:bCs/>
          <w:color w:val="auto"/>
          <w:spacing w:val="-10"/>
          <w:kern w:val="2"/>
          <w:sz w:val="28"/>
          <w:szCs w:val="28"/>
          <w:u w:val="none"/>
          <w:lang w:val="en-US" w:eastAsia="zh-CN" w:bidi="ar-SA"/>
        </w:rPr>
        <w:t>账号：                                   账号：</w:t>
      </w:r>
    </w:p>
    <w:p w14:paraId="42406A7A">
      <w:pPr>
        <w:spacing w:beforeAutospacing="0" w:afterAutospacing="0" w:line="680" w:lineRule="exact"/>
        <w:rPr>
          <w:rFonts w:hint="eastAsia" w:ascii="宋体" w:hAnsi="宋体" w:eastAsia="宋体" w:cs="宋体"/>
          <w:b w:val="0"/>
          <w:bCs/>
          <w:color w:val="auto"/>
          <w:spacing w:val="-10"/>
          <w:sz w:val="28"/>
          <w:szCs w:val="28"/>
          <w:u w:val="none"/>
        </w:rPr>
      </w:pPr>
      <w:r>
        <w:rPr>
          <w:rFonts w:hint="eastAsia" w:ascii="宋体" w:hAnsi="宋体" w:eastAsia="宋体" w:cs="宋体"/>
          <w:b w:val="0"/>
          <w:bCs/>
          <w:color w:val="auto"/>
          <w:spacing w:val="-10"/>
          <w:sz w:val="28"/>
          <w:szCs w:val="28"/>
          <w:u w:val="none"/>
        </w:rPr>
        <w:t>日期：      年    月    日              日期：    年    月    日</w:t>
      </w:r>
    </w:p>
    <w:p w14:paraId="343ED899">
      <w:pPr>
        <w:rPr>
          <w:rFonts w:hint="eastAsia" w:ascii="宋体" w:hAnsi="Times New Roman" w:cs="Times New Roman"/>
          <w:b/>
          <w:bCs/>
          <w:color w:val="auto"/>
          <w:sz w:val="28"/>
          <w:szCs w:val="28"/>
          <w:u w:val="none"/>
          <w:lang w:val="en-US" w:eastAsia="zh-CN"/>
        </w:rPr>
      </w:pPr>
      <w:r>
        <w:rPr>
          <w:rFonts w:hint="eastAsia" w:ascii="宋体" w:hAnsi="Times New Roman" w:cs="Times New Roman"/>
          <w:b/>
          <w:bCs/>
          <w:color w:val="auto"/>
          <w:sz w:val="28"/>
          <w:szCs w:val="28"/>
          <w:u w:val="none"/>
          <w:lang w:val="en-US" w:eastAsia="zh-CN"/>
        </w:rPr>
        <w:br w:type="page"/>
      </w:r>
    </w:p>
    <w:p w14:paraId="585C04FD">
      <w:pPr>
        <w:spacing w:beforeAutospacing="0" w:afterAutospacing="0" w:line="540" w:lineRule="exact"/>
        <w:ind w:firstLine="562" w:firstLineChars="200"/>
        <w:rPr>
          <w:rFonts w:hint="eastAsia" w:ascii="宋体" w:hAnsi="Times New Roman" w:cs="Times New Roman"/>
          <w:b/>
          <w:bCs/>
          <w:color w:val="auto"/>
          <w:sz w:val="28"/>
          <w:szCs w:val="28"/>
          <w:u w:val="none"/>
        </w:rPr>
      </w:pPr>
      <w:r>
        <w:rPr>
          <w:rFonts w:hint="eastAsia" w:ascii="宋体" w:hAnsi="Times New Roman" w:cs="Times New Roman"/>
          <w:b/>
          <w:bCs/>
          <w:color w:val="auto"/>
          <w:sz w:val="28"/>
          <w:szCs w:val="28"/>
          <w:u w:val="none"/>
          <w:lang w:val="en-US" w:eastAsia="zh-CN"/>
        </w:rPr>
        <w:t xml:space="preserve">附件1：山围镇、民安镇、清水口镇、新丰镇等4个镇级污水处理设施（含泵站、污水管网）运营维护管理考核细则 </w:t>
      </w:r>
    </w:p>
    <w:p w14:paraId="34750208">
      <w:pPr>
        <w:spacing w:beforeAutospacing="0" w:afterAutospacing="0" w:line="540" w:lineRule="exact"/>
        <w:ind w:firstLine="560" w:firstLineChars="200"/>
        <w:rPr>
          <w:rFonts w:hint="eastAsia" w:ascii="黑体" w:hAnsi="黑体" w:eastAsia="黑体" w:cs="黑体"/>
          <w:color w:val="auto"/>
          <w:sz w:val="28"/>
          <w:szCs w:val="28"/>
          <w:u w:val="none"/>
        </w:rPr>
      </w:pPr>
      <w:r>
        <w:rPr>
          <w:rFonts w:hint="eastAsia" w:ascii="黑体" w:hAnsi="黑体" w:eastAsia="黑体" w:cs="黑体"/>
          <w:color w:val="auto"/>
          <w:sz w:val="28"/>
          <w:szCs w:val="28"/>
          <w:u w:val="none"/>
          <w:lang w:val="en-US" w:eastAsia="zh-CN"/>
        </w:rPr>
        <w:t xml:space="preserve">（一）考核体系设置情况 </w:t>
      </w:r>
    </w:p>
    <w:p w14:paraId="306BA8DF">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1.绩效考核原则 </w:t>
      </w:r>
    </w:p>
    <w:p w14:paraId="2017C20E">
      <w:pPr>
        <w:pStyle w:val="16"/>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仿宋_GB2312" w:hAnsi="仿宋_GB2312" w:eastAsia="宋体" w:cs="仿宋_GB2312"/>
          <w:color w:val="auto"/>
          <w:spacing w:val="0"/>
          <w:w w:val="100"/>
          <w:lang w:val="en-US" w:eastAsia="zh-CN"/>
        </w:rPr>
      </w:pPr>
      <w:r>
        <w:rPr>
          <w:rFonts w:hint="eastAsia" w:ascii="宋体" w:hAnsi="Times New Roman" w:cs="Times New Roman"/>
          <w:color w:val="auto"/>
          <w:sz w:val="28"/>
          <w:szCs w:val="28"/>
          <w:u w:val="none"/>
          <w:lang w:val="en-US" w:eastAsia="zh-CN"/>
        </w:rPr>
        <w:t>（1）</w:t>
      </w:r>
      <w:r>
        <w:rPr>
          <w:rFonts w:hint="eastAsia" w:ascii="宋体" w:hAnsi="Times New Roman" w:eastAsia="宋体" w:cs="Times New Roman"/>
          <w:color w:val="auto"/>
          <w:spacing w:val="0"/>
          <w:w w:val="100"/>
          <w:szCs w:val="28"/>
          <w:u w:val="none"/>
          <w:lang w:eastAsia="zh-CN"/>
        </w:rPr>
        <w:t>污水处理厂、配套管网的日常巡检维护运营、配套污水提升泵站的费用采取包干制，每季度考核一次。为了保证能够覆盖运营成本和运营商的合理运营利润，</w:t>
      </w:r>
      <w:r>
        <w:rPr>
          <w:rFonts w:hint="eastAsia" w:ascii="宋体" w:hAnsi="Times New Roman" w:eastAsia="宋体" w:cs="Times New Roman"/>
          <w:b w:val="0"/>
          <w:bCs w:val="0"/>
          <w:color w:val="auto"/>
          <w:spacing w:val="0"/>
          <w:w w:val="100"/>
          <w:szCs w:val="28"/>
          <w:u w:val="none"/>
          <w:lang w:val="en-US" w:eastAsia="zh-CN"/>
        </w:rPr>
        <w:t>70</w:t>
      </w:r>
      <w:r>
        <w:rPr>
          <w:rFonts w:hint="eastAsia" w:ascii="宋体" w:hAnsi="Times New Roman" w:eastAsia="宋体" w:cs="Times New Roman"/>
          <w:b w:val="0"/>
          <w:bCs w:val="0"/>
          <w:color w:val="auto"/>
          <w:spacing w:val="0"/>
          <w:w w:val="100"/>
          <w:szCs w:val="28"/>
          <w:u w:val="none"/>
          <w:lang w:eastAsia="zh-CN"/>
        </w:rPr>
        <w:t>%的费用计作固定费用，余下</w:t>
      </w:r>
      <w:r>
        <w:rPr>
          <w:rFonts w:hint="eastAsia" w:ascii="宋体" w:hAnsi="Times New Roman" w:eastAsia="宋体" w:cs="Times New Roman"/>
          <w:b w:val="0"/>
          <w:bCs w:val="0"/>
          <w:color w:val="auto"/>
          <w:spacing w:val="0"/>
          <w:w w:val="100"/>
          <w:szCs w:val="28"/>
          <w:u w:val="none"/>
          <w:lang w:val="en-US" w:eastAsia="zh-CN"/>
        </w:rPr>
        <w:t>30</w:t>
      </w:r>
      <w:r>
        <w:rPr>
          <w:rFonts w:hint="eastAsia" w:ascii="宋体" w:hAnsi="Times New Roman" w:eastAsia="宋体" w:cs="Times New Roman"/>
          <w:b w:val="0"/>
          <w:bCs w:val="0"/>
          <w:color w:val="auto"/>
          <w:spacing w:val="0"/>
          <w:w w:val="100"/>
          <w:szCs w:val="28"/>
          <w:u w:val="none"/>
          <w:lang w:eastAsia="zh-CN"/>
        </w:rPr>
        <w:t>%的费用作为绩效考核费用直接参与绩效挂钩考核。</w:t>
      </w:r>
    </w:p>
    <w:p w14:paraId="07F1932F">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（2）</w:t>
      </w:r>
      <w:r>
        <w:rPr>
          <w:rFonts w:hint="eastAsia" w:ascii="宋体" w:hAnsi="Times New Roman" w:eastAsia="宋体" w:cs="Times New Roman"/>
          <w:color w:val="auto"/>
          <w:spacing w:val="0"/>
          <w:w w:val="100"/>
          <w:sz w:val="28"/>
          <w:szCs w:val="28"/>
          <w:u w:val="none"/>
          <w:lang w:eastAsia="zh-CN"/>
        </w:rPr>
        <w:t>固定费用（</w:t>
      </w:r>
      <w:r>
        <w:rPr>
          <w:rFonts w:hint="eastAsia" w:ascii="宋体" w:hAnsi="Times New Roman" w:eastAsia="宋体" w:cs="Times New Roman"/>
          <w:color w:val="auto"/>
          <w:spacing w:val="0"/>
          <w:w w:val="100"/>
          <w:sz w:val="28"/>
          <w:szCs w:val="28"/>
          <w:u w:val="none"/>
          <w:lang w:val="en-US" w:eastAsia="zh-CN"/>
        </w:rPr>
        <w:t>7</w:t>
      </w:r>
      <w:r>
        <w:rPr>
          <w:rFonts w:hint="eastAsia" w:ascii="宋体" w:hAnsi="Times New Roman" w:eastAsia="宋体" w:cs="Times New Roman"/>
          <w:color w:val="auto"/>
          <w:spacing w:val="0"/>
          <w:w w:val="100"/>
          <w:sz w:val="28"/>
          <w:szCs w:val="28"/>
          <w:u w:val="none"/>
          <w:lang w:eastAsia="zh-CN"/>
        </w:rPr>
        <w:t>0%的费用）不参与绩效挂钩考核。</w:t>
      </w:r>
    </w:p>
    <w:p w14:paraId="093F836F">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2.污水处理厂、配套管网等各项的绩效考核费设置情况 </w:t>
      </w:r>
    </w:p>
    <w:p w14:paraId="6C5CE969">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（1）污水处理运营绩效考核费用 </w:t>
      </w:r>
    </w:p>
    <w:p w14:paraId="2E7370A6">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① 4个乡镇污水处理厂区年度运营费、泵站年运营维护费分为固定费用、与绩效考核挂钩费用两大部分。年绩效考核费用占污水处理运维费、泵站年运营维护费用总额的</w:t>
      </w:r>
      <w:r>
        <w:rPr>
          <w:rFonts w:hint="eastAsia" w:ascii="宋体" w:cs="Times New Roman"/>
          <w:color w:val="auto"/>
          <w:sz w:val="28"/>
          <w:szCs w:val="28"/>
          <w:u w:val="none"/>
          <w:lang w:val="en-US" w:eastAsia="zh-CN"/>
        </w:rPr>
        <w:t>7</w:t>
      </w:r>
      <w:r>
        <w:rPr>
          <w:rFonts w:hint="eastAsia" w:ascii="宋体" w:hAnsi="Times New Roman" w:cs="Times New Roman"/>
          <w:color w:val="auto"/>
          <w:sz w:val="28"/>
          <w:szCs w:val="28"/>
          <w:u w:val="none"/>
          <w:lang w:val="en-US" w:eastAsia="zh-CN"/>
        </w:rPr>
        <w:t>0%</w:t>
      </w:r>
      <w:r>
        <w:rPr>
          <w:rFonts w:hint="eastAsia" w:ascii="宋体" w:hAnsi="Times New Roman" w:cs="Times New Roman"/>
          <w:color w:val="auto"/>
          <w:sz w:val="28"/>
          <w:szCs w:val="28"/>
          <w:u w:val="none"/>
          <w:lang w:val="en-US" w:eastAsia="zh-CN"/>
        </w:rPr>
        <w:t xml:space="preserve">。具体按表1进行考核。 </w:t>
      </w:r>
    </w:p>
    <w:p w14:paraId="061C5410">
      <w:pPr>
        <w:spacing w:beforeAutospacing="0" w:afterAutospacing="0" w:line="540" w:lineRule="exact"/>
        <w:ind w:firstLine="560" w:firstLineChars="200"/>
        <w:rPr>
          <w:rFonts w:hint="eastAsia" w:ascii="宋体" w:hAnsi="Times New Roman" w:cs="Times New Roman"/>
          <w:color w:val="auto"/>
          <w:sz w:val="28"/>
          <w:szCs w:val="28"/>
          <w:u w:val="none"/>
          <w:lang w:val="en-US" w:eastAsia="zh-CN"/>
        </w:rPr>
      </w:pPr>
      <w:r>
        <w:rPr>
          <w:rFonts w:hint="eastAsia" w:ascii="宋体" w:hAnsi="Times New Roman" w:cs="Times New Roman"/>
          <w:color w:val="auto"/>
          <w:sz w:val="28"/>
          <w:szCs w:val="28"/>
          <w:u w:val="none"/>
          <w:lang w:val="en-US" w:eastAsia="zh-CN"/>
        </w:rPr>
        <w:t>② 污水处理水量的绩效考核费用。一是出水水质若未达到排放标准，除扣减绩效考核费用外，不免除环保等部门作出的相应处罚</w:t>
      </w:r>
      <w:r>
        <w:rPr>
          <w:rFonts w:hint="eastAsia" w:ascii="宋体" w:hAnsi="宋体"/>
          <w:color w:val="auto"/>
          <w:spacing w:val="-10"/>
          <w:sz w:val="28"/>
          <w:szCs w:val="28"/>
          <w:u w:val="none"/>
          <w:lang w:val="en-US" w:eastAsia="zh-CN"/>
        </w:rPr>
        <w:t>；</w:t>
      </w:r>
      <w:r>
        <w:rPr>
          <w:rFonts w:hint="eastAsia" w:ascii="宋体" w:hAnsi="Times New Roman" w:cs="Times New Roman"/>
          <w:color w:val="auto"/>
          <w:sz w:val="28"/>
          <w:szCs w:val="28"/>
          <w:u w:val="none"/>
          <w:lang w:val="en-US" w:eastAsia="zh-CN"/>
        </w:rPr>
        <w:t>除进水水质超出设计标准，双方共同协商解决。二是处理水量达不到基本水量的，按阶梯扣减相应绩效考核费用，年绩效考核费用占考核比例</w:t>
      </w:r>
      <w:r>
        <w:rPr>
          <w:rFonts w:hint="eastAsia" w:ascii="宋体" w:cs="Times New Roman"/>
          <w:color w:val="auto"/>
          <w:sz w:val="28"/>
          <w:szCs w:val="28"/>
          <w:u w:val="none"/>
          <w:lang w:val="en-US" w:eastAsia="zh-CN"/>
        </w:rPr>
        <w:t>20%，</w:t>
      </w:r>
      <w:r>
        <w:rPr>
          <w:rFonts w:hint="eastAsia" w:ascii="宋体" w:hAnsi="Times New Roman" w:cs="Times New Roman"/>
          <w:color w:val="auto"/>
          <w:sz w:val="28"/>
          <w:szCs w:val="28"/>
          <w:u w:val="none"/>
          <w:lang w:val="en-US" w:eastAsia="zh-CN"/>
        </w:rPr>
        <w:t xml:space="preserve">按表2分段式考核。 </w:t>
      </w:r>
    </w:p>
    <w:p w14:paraId="1A54D669">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（2）配套污水管网日常运营维护绩效考核费用 </w:t>
      </w:r>
    </w:p>
    <w:p w14:paraId="3CEAC23E">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年绩效考核费用占配套管网年日常巡检维护费用的</w:t>
      </w:r>
      <w:r>
        <w:rPr>
          <w:rFonts w:hint="eastAsia" w:ascii="宋体" w:cs="Times New Roman"/>
          <w:color w:val="auto"/>
          <w:sz w:val="28"/>
          <w:szCs w:val="28"/>
          <w:u w:val="none"/>
          <w:lang w:val="en-US" w:eastAsia="zh-CN"/>
        </w:rPr>
        <w:t>3</w:t>
      </w:r>
      <w:r>
        <w:rPr>
          <w:rFonts w:hint="eastAsia" w:ascii="宋体" w:hAnsi="Times New Roman" w:cs="Times New Roman"/>
          <w:color w:val="auto"/>
          <w:sz w:val="28"/>
          <w:szCs w:val="28"/>
          <w:u w:val="none"/>
          <w:lang w:val="en-US" w:eastAsia="zh-CN"/>
        </w:rPr>
        <w:t xml:space="preserve">0%。具体按表3进行考核。 </w:t>
      </w:r>
    </w:p>
    <w:p w14:paraId="076B31C5">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3.考核方式方法 </w:t>
      </w:r>
    </w:p>
    <w:p w14:paraId="1B3894EB">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（1）常规考核 </w:t>
      </w:r>
    </w:p>
    <w:p w14:paraId="50EC830A">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① 考核时间。常规考核从正式移交之日起开始</w:t>
      </w:r>
      <w:r>
        <w:rPr>
          <w:rFonts w:hint="eastAsia" w:ascii="宋体" w:cs="Times New Roman"/>
          <w:color w:val="auto"/>
          <w:sz w:val="28"/>
          <w:szCs w:val="28"/>
          <w:u w:val="none"/>
          <w:lang w:val="en-US" w:eastAsia="zh-CN"/>
        </w:rPr>
        <w:t>（满三个月为一个季度）</w:t>
      </w:r>
      <w:r>
        <w:rPr>
          <w:rFonts w:hint="eastAsia" w:ascii="宋体" w:hAnsi="Times New Roman" w:cs="Times New Roman"/>
          <w:color w:val="auto"/>
          <w:sz w:val="28"/>
          <w:szCs w:val="28"/>
          <w:u w:val="none"/>
          <w:lang w:val="en-US" w:eastAsia="zh-CN"/>
        </w:rPr>
        <w:t xml:space="preserve">，每季度进行一次，考核时间为当季度最后一个月。 </w:t>
      </w:r>
    </w:p>
    <w:p w14:paraId="4BE5DDB7">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② 台帐材料。运营单位按绩效考核指标内容向业主提交各厂有水量、水质的月运维报告及报表、水质化验报告、电费单、污泥处置</w:t>
      </w:r>
      <w:r>
        <w:rPr>
          <w:rFonts w:hint="eastAsia" w:ascii="宋体" w:cs="Times New Roman"/>
          <w:color w:val="auto"/>
          <w:sz w:val="28"/>
          <w:szCs w:val="28"/>
          <w:u w:val="none"/>
          <w:lang w:val="en-US" w:eastAsia="zh-CN"/>
        </w:rPr>
        <w:t>、安全责任书、安全培训、员工技能培训计划、应急预案</w:t>
      </w:r>
      <w:r>
        <w:rPr>
          <w:rFonts w:hint="eastAsia" w:ascii="宋体" w:hAnsi="Times New Roman" w:cs="Times New Roman"/>
          <w:color w:val="auto"/>
          <w:sz w:val="28"/>
          <w:szCs w:val="28"/>
          <w:u w:val="none"/>
          <w:lang w:val="en-US" w:eastAsia="zh-CN"/>
        </w:rPr>
        <w:t xml:space="preserve">等相关运维记录台帐以及佐证材料。 </w:t>
      </w:r>
    </w:p>
    <w:p w14:paraId="14970C0D">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③ 考核方式。由业主负责开展运营期评价，对各镇污水处理厂及其泵站设施设备进行现场检查及资料检查，对服务效果进行考核评价；在有必要的情况下，也可以通过环保部门数据平台数据或通过环保部门或第三方检验机构见证取样检测、送检等，其结果作为绩效考核的依据。考核分满分为100分。考核工作应在7日内完成，并在考核工作完成后7天内出具考核报告。 </w:t>
      </w:r>
    </w:p>
    <w:p w14:paraId="593001CF">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（2）随机抽查 </w:t>
      </w:r>
    </w:p>
    <w:p w14:paraId="3C561D02">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基于监管需要，业主可自行不定期对污水处理厂区及泵站运行管理情况进行抽检，或者可以随时委托第三方检测机构对项目服务范围内任意污水厂水质水量进行随机抽检。随机抽查检测费由业主自行承担。对在随机抽查过程中和有关部门、上级督查发现的问题，将对应绩效考核指标表标准对应项进行扣分，同时以书面的形式下达整改通知要求运营商进行整改，若不按时完成整改，再予以双倍扣分。 </w:t>
      </w:r>
    </w:p>
    <w:p w14:paraId="41C22E28">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4.污水处理厂、配套管网等各项的绩效考核指标设置情况 </w:t>
      </w:r>
    </w:p>
    <w:p w14:paraId="7930C87E">
      <w:pPr>
        <w:spacing w:beforeAutospacing="0" w:afterAutospacing="0" w:line="540" w:lineRule="exact"/>
        <w:ind w:firstLine="560" w:firstLineChars="200"/>
        <w:rPr>
          <w:rFonts w:hint="eastAsia" w:ascii="宋体" w:hAnsi="Times New Roman" w:cs="Times New Roman"/>
          <w:color w:val="auto"/>
          <w:sz w:val="28"/>
          <w:szCs w:val="28"/>
          <w:u w:val="none"/>
          <w:lang w:val="en-US" w:eastAsia="zh-CN"/>
        </w:rPr>
      </w:pPr>
      <w:r>
        <w:rPr>
          <w:rFonts w:hint="eastAsia" w:ascii="宋体" w:hAnsi="Times New Roman" w:cs="Times New Roman"/>
          <w:color w:val="auto"/>
          <w:sz w:val="28"/>
          <w:szCs w:val="28"/>
          <w:u w:val="none"/>
          <w:lang w:val="en-US" w:eastAsia="zh-CN"/>
        </w:rPr>
        <w:t xml:space="preserve">（1）表 1 污水处理厂及其泵站设施运营维护绩效考核指标（季度考核） </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643"/>
        <w:gridCol w:w="975"/>
        <w:gridCol w:w="1106"/>
        <w:gridCol w:w="10"/>
        <w:gridCol w:w="3898"/>
        <w:gridCol w:w="3300"/>
      </w:tblGrid>
      <w:tr w14:paraId="3214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53" w:type="dxa"/>
            <w:gridSpan w:val="2"/>
            <w:noWrap w:val="0"/>
            <w:vAlign w:val="center"/>
          </w:tcPr>
          <w:p w14:paraId="024E14A4">
            <w:pPr>
              <w:pStyle w:val="101"/>
              <w:rPr>
                <w:rFonts w:hint="eastAsia" w:asciiTheme="minorEastAsia" w:hAnsiTheme="minorEastAsia" w:eastAsiaTheme="minorEastAsia" w:cstheme="minorEastAsia"/>
                <w:b/>
                <w:bCs/>
                <w:color w:val="auto"/>
                <w:sz w:val="24"/>
                <w:szCs w:val="44"/>
              </w:rPr>
            </w:pPr>
            <w:r>
              <w:rPr>
                <w:rFonts w:hint="eastAsia" w:asciiTheme="minorEastAsia" w:hAnsiTheme="minorEastAsia" w:eastAsiaTheme="minorEastAsia" w:cstheme="minorEastAsia"/>
                <w:b/>
                <w:bCs/>
                <w:color w:val="auto"/>
                <w:sz w:val="24"/>
                <w:szCs w:val="44"/>
              </w:rPr>
              <w:t>序号</w:t>
            </w:r>
          </w:p>
        </w:tc>
        <w:tc>
          <w:tcPr>
            <w:tcW w:w="2081" w:type="dxa"/>
            <w:gridSpan w:val="2"/>
            <w:noWrap w:val="0"/>
            <w:vAlign w:val="center"/>
          </w:tcPr>
          <w:p w14:paraId="4B217BB2">
            <w:pPr>
              <w:pStyle w:val="101"/>
              <w:rPr>
                <w:rFonts w:hint="eastAsia" w:asciiTheme="minorEastAsia" w:hAnsiTheme="minorEastAsia" w:eastAsiaTheme="minorEastAsia" w:cstheme="minorEastAsia"/>
                <w:b/>
                <w:bCs/>
                <w:color w:val="auto"/>
                <w:sz w:val="24"/>
                <w:szCs w:val="44"/>
              </w:rPr>
            </w:pPr>
            <w:r>
              <w:rPr>
                <w:rFonts w:hint="eastAsia" w:asciiTheme="minorEastAsia" w:hAnsiTheme="minorEastAsia" w:eastAsiaTheme="minorEastAsia" w:cstheme="minorEastAsia"/>
                <w:b/>
                <w:bCs/>
                <w:color w:val="auto"/>
                <w:sz w:val="24"/>
                <w:szCs w:val="44"/>
              </w:rPr>
              <w:t>考核项目</w:t>
            </w:r>
          </w:p>
        </w:tc>
        <w:tc>
          <w:tcPr>
            <w:tcW w:w="3908" w:type="dxa"/>
            <w:gridSpan w:val="2"/>
            <w:noWrap w:val="0"/>
            <w:vAlign w:val="center"/>
          </w:tcPr>
          <w:p w14:paraId="11F91ECD">
            <w:pPr>
              <w:pStyle w:val="101"/>
              <w:rPr>
                <w:rFonts w:hint="eastAsia" w:asciiTheme="minorEastAsia" w:hAnsiTheme="minorEastAsia" w:eastAsiaTheme="minorEastAsia" w:cstheme="minorEastAsia"/>
                <w:b/>
                <w:bCs/>
                <w:color w:val="auto"/>
                <w:sz w:val="24"/>
                <w:szCs w:val="44"/>
              </w:rPr>
            </w:pPr>
            <w:r>
              <w:rPr>
                <w:rFonts w:hint="eastAsia" w:asciiTheme="minorEastAsia" w:hAnsiTheme="minorEastAsia" w:eastAsiaTheme="minorEastAsia" w:cstheme="minorEastAsia"/>
                <w:b/>
                <w:bCs/>
                <w:color w:val="auto"/>
                <w:sz w:val="24"/>
                <w:szCs w:val="44"/>
              </w:rPr>
              <w:t>基本指标</w:t>
            </w:r>
          </w:p>
        </w:tc>
        <w:tc>
          <w:tcPr>
            <w:tcW w:w="3300" w:type="dxa"/>
            <w:noWrap w:val="0"/>
            <w:vAlign w:val="center"/>
          </w:tcPr>
          <w:p w14:paraId="29AE3DBF">
            <w:pPr>
              <w:pStyle w:val="101"/>
              <w:rPr>
                <w:rFonts w:hint="eastAsia" w:asciiTheme="minorEastAsia" w:hAnsiTheme="minorEastAsia" w:eastAsiaTheme="minorEastAsia" w:cstheme="minorEastAsia"/>
                <w:b/>
                <w:bCs/>
                <w:color w:val="auto"/>
                <w:sz w:val="24"/>
                <w:szCs w:val="44"/>
              </w:rPr>
            </w:pPr>
            <w:r>
              <w:rPr>
                <w:rFonts w:hint="eastAsia" w:asciiTheme="minorEastAsia" w:hAnsiTheme="minorEastAsia" w:eastAsiaTheme="minorEastAsia" w:cstheme="minorEastAsia"/>
                <w:b/>
                <w:bCs/>
                <w:color w:val="auto"/>
                <w:sz w:val="24"/>
                <w:szCs w:val="44"/>
              </w:rPr>
              <w:t>评分标准</w:t>
            </w:r>
          </w:p>
        </w:tc>
      </w:tr>
      <w:tr w14:paraId="7989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0C5405E8">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1</w:t>
            </w:r>
          </w:p>
        </w:tc>
        <w:tc>
          <w:tcPr>
            <w:tcW w:w="975" w:type="dxa"/>
            <w:vMerge w:val="restart"/>
            <w:noWrap w:val="0"/>
            <w:vAlign w:val="center"/>
          </w:tcPr>
          <w:p w14:paraId="72E33C66">
            <w:pPr>
              <w:pStyle w:val="101"/>
              <w:rPr>
                <w:rFonts w:hint="eastAsia" w:asciiTheme="minorEastAsia" w:hAnsiTheme="minorEastAsia" w:eastAsiaTheme="minorEastAsia" w:cstheme="minorEastAsia"/>
                <w:color w:val="auto"/>
                <w:sz w:val="24"/>
                <w:szCs w:val="44"/>
              </w:rPr>
            </w:pPr>
          </w:p>
          <w:p w14:paraId="00583227">
            <w:pPr>
              <w:pStyle w:val="101"/>
              <w:rPr>
                <w:rFonts w:hint="eastAsia" w:asciiTheme="minorEastAsia" w:hAnsiTheme="minorEastAsia" w:eastAsiaTheme="minorEastAsia" w:cstheme="minorEastAsia"/>
                <w:color w:val="auto"/>
                <w:sz w:val="24"/>
                <w:szCs w:val="44"/>
              </w:rPr>
            </w:pPr>
          </w:p>
          <w:p w14:paraId="1B5BD2E1">
            <w:pPr>
              <w:pStyle w:val="101"/>
              <w:rPr>
                <w:rFonts w:hint="eastAsia" w:asciiTheme="minorEastAsia" w:hAnsiTheme="minorEastAsia" w:eastAsiaTheme="minorEastAsia" w:cstheme="minorEastAsia"/>
                <w:color w:val="auto"/>
                <w:sz w:val="24"/>
                <w:szCs w:val="44"/>
              </w:rPr>
            </w:pPr>
          </w:p>
          <w:p w14:paraId="0E7BE1F2">
            <w:pPr>
              <w:pStyle w:val="101"/>
              <w:rPr>
                <w:rFonts w:hint="eastAsia" w:asciiTheme="minorEastAsia" w:hAnsiTheme="minorEastAsia" w:eastAsiaTheme="minorEastAsia" w:cstheme="minorEastAsia"/>
                <w:color w:val="auto"/>
                <w:sz w:val="24"/>
                <w:szCs w:val="44"/>
              </w:rPr>
            </w:pPr>
          </w:p>
          <w:p w14:paraId="7D24AF05">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服务</w:t>
            </w:r>
          </w:p>
          <w:p w14:paraId="51F2DA1B">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设施</w:t>
            </w:r>
          </w:p>
          <w:p w14:paraId="6EDE9E63">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条件</w:t>
            </w:r>
          </w:p>
          <w:p w14:paraId="7A0A2BE3">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与管</w:t>
            </w:r>
          </w:p>
          <w:p w14:paraId="74F973F6">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理维</w:t>
            </w:r>
          </w:p>
          <w:p w14:paraId="1E4E147C">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护考</w:t>
            </w:r>
          </w:p>
          <w:p w14:paraId="7DFA28B1">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核</w:t>
            </w:r>
          </w:p>
          <w:p w14:paraId="606C2A34">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（12分）</w:t>
            </w:r>
          </w:p>
        </w:tc>
        <w:tc>
          <w:tcPr>
            <w:tcW w:w="1106" w:type="dxa"/>
            <w:noWrap w:val="0"/>
            <w:vAlign w:val="center"/>
          </w:tcPr>
          <w:p w14:paraId="199394A9">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构筑物（</w:t>
            </w:r>
            <w:r>
              <w:rPr>
                <w:rFonts w:hint="eastAsia" w:asciiTheme="minorEastAsia" w:hAnsiTheme="minorEastAsia" w:eastAsiaTheme="minorEastAsia" w:cstheme="minorEastAsia"/>
                <w:color w:val="auto"/>
                <w:sz w:val="24"/>
                <w:szCs w:val="44"/>
                <w:lang w:val="en-US" w:eastAsia="zh-CN"/>
              </w:rPr>
              <w:t>5</w:t>
            </w:r>
            <w:r>
              <w:rPr>
                <w:rFonts w:hint="eastAsia" w:asciiTheme="minorEastAsia" w:hAnsiTheme="minorEastAsia" w:eastAsiaTheme="minorEastAsia" w:cstheme="minorEastAsia"/>
                <w:color w:val="auto"/>
                <w:sz w:val="24"/>
                <w:szCs w:val="44"/>
              </w:rPr>
              <w:t>分）</w:t>
            </w:r>
          </w:p>
        </w:tc>
        <w:tc>
          <w:tcPr>
            <w:tcW w:w="3908" w:type="dxa"/>
            <w:gridSpan w:val="2"/>
            <w:noWrap w:val="0"/>
            <w:vAlign w:val="center"/>
          </w:tcPr>
          <w:p w14:paraId="1D06F519">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符合《城镇污水处理厂运行、维护及安全技术规程》(CJJ60-2011) 及相关规范、法规的要求：包括格栅槽、调节池、初沉池、曝气池、二沉池、巴氏计量槽、污泥池等无破损、渗漏；池面清洁，堰口出水均匀等。</w:t>
            </w:r>
          </w:p>
        </w:tc>
        <w:tc>
          <w:tcPr>
            <w:tcW w:w="3300" w:type="dxa"/>
            <w:noWrap w:val="0"/>
            <w:vAlign w:val="center"/>
          </w:tcPr>
          <w:p w14:paraId="6E147A59">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不符合要求每次</w:t>
            </w:r>
            <w:r>
              <w:rPr>
                <w:rFonts w:hint="eastAsia" w:asciiTheme="minorEastAsia" w:hAnsiTheme="minorEastAsia" w:eastAsiaTheme="minorEastAsia" w:cstheme="minorEastAsia"/>
                <w:color w:val="auto"/>
                <w:sz w:val="24"/>
                <w:szCs w:val="44"/>
                <w:lang w:val="en-US" w:eastAsia="zh-CN"/>
              </w:rPr>
              <w:t>1</w:t>
            </w:r>
            <w:r>
              <w:rPr>
                <w:rFonts w:hint="eastAsia" w:asciiTheme="minorEastAsia" w:hAnsiTheme="minorEastAsia" w:eastAsiaTheme="minorEastAsia" w:cstheme="minorEastAsia"/>
                <w:color w:val="auto"/>
                <w:sz w:val="24"/>
                <w:szCs w:val="44"/>
              </w:rPr>
              <w:t>处扣1分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并要求整改，超过规定的周期未完成整改，扣罚分数按上一周期的扣分加倍。</w:t>
            </w:r>
          </w:p>
        </w:tc>
      </w:tr>
      <w:tr w14:paraId="2154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19BDFB45">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2</w:t>
            </w:r>
          </w:p>
        </w:tc>
        <w:tc>
          <w:tcPr>
            <w:tcW w:w="975" w:type="dxa"/>
            <w:vMerge w:val="continue"/>
            <w:noWrap w:val="0"/>
            <w:vAlign w:val="center"/>
          </w:tcPr>
          <w:p w14:paraId="5FAE4040">
            <w:pPr>
              <w:widowControl/>
              <w:jc w:val="center"/>
              <w:rPr>
                <w:rFonts w:hint="eastAsia" w:asciiTheme="minorEastAsia" w:hAnsiTheme="minorEastAsia" w:eastAsiaTheme="minorEastAsia" w:cstheme="minorEastAsia"/>
                <w:color w:val="auto"/>
                <w:sz w:val="24"/>
                <w:szCs w:val="44"/>
              </w:rPr>
            </w:pPr>
          </w:p>
        </w:tc>
        <w:tc>
          <w:tcPr>
            <w:tcW w:w="1106" w:type="dxa"/>
            <w:noWrap w:val="0"/>
            <w:vAlign w:val="center"/>
          </w:tcPr>
          <w:p w14:paraId="2BA1698B">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主要</w:t>
            </w:r>
          </w:p>
          <w:p w14:paraId="26CA6F2C">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设备</w:t>
            </w:r>
          </w:p>
          <w:p w14:paraId="4EB49422">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w:t>
            </w:r>
            <w:r>
              <w:rPr>
                <w:rFonts w:hint="eastAsia" w:asciiTheme="minorEastAsia" w:hAnsiTheme="minorEastAsia" w:eastAsiaTheme="minorEastAsia" w:cstheme="minorEastAsia"/>
                <w:color w:val="auto"/>
                <w:sz w:val="24"/>
                <w:szCs w:val="44"/>
                <w:lang w:val="en-US" w:eastAsia="zh-CN"/>
              </w:rPr>
              <w:t>7</w:t>
            </w:r>
            <w:r>
              <w:rPr>
                <w:rFonts w:hint="eastAsia" w:asciiTheme="minorEastAsia" w:hAnsiTheme="minorEastAsia" w:eastAsiaTheme="minorEastAsia" w:cstheme="minorEastAsia"/>
                <w:color w:val="auto"/>
                <w:sz w:val="24"/>
                <w:szCs w:val="44"/>
              </w:rPr>
              <w:t>分）</w:t>
            </w:r>
          </w:p>
        </w:tc>
        <w:tc>
          <w:tcPr>
            <w:tcW w:w="3908" w:type="dxa"/>
            <w:gridSpan w:val="2"/>
            <w:noWrap w:val="0"/>
            <w:vAlign w:val="center"/>
          </w:tcPr>
          <w:p w14:paraId="6C0E7842">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符合《城镇污水处理厂运行、维护及安全技术规程》(CJJ60-2011) 及相关规范的要求：污水处理所有设备如监测系统、曝气设备、消毒设备、池内设备、加药装置设备、风机、水泵等运行正常，外观整洁，螺栓齐全牢固；设备无渗漏，计量仪表、设施设备定期检定、设备台账及维护档案齐全等。定期开展设施、设备厂保养，防止损坏及生锈氧化。</w:t>
            </w:r>
          </w:p>
        </w:tc>
        <w:tc>
          <w:tcPr>
            <w:tcW w:w="3300" w:type="dxa"/>
            <w:noWrap w:val="0"/>
            <w:vAlign w:val="center"/>
          </w:tcPr>
          <w:p w14:paraId="78854B81">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设施设备至少每周维护保养1次，发现设备故障及损坏未及时修复；油漆无锈蚀，每次</w:t>
            </w:r>
            <w:r>
              <w:rPr>
                <w:rFonts w:hint="eastAsia" w:asciiTheme="minorEastAsia" w:hAnsiTheme="minorEastAsia" w:eastAsiaTheme="minorEastAsia" w:cstheme="minorEastAsia"/>
                <w:color w:val="auto"/>
                <w:sz w:val="24"/>
                <w:szCs w:val="44"/>
                <w:lang w:val="en-US" w:eastAsia="zh-CN"/>
              </w:rPr>
              <w:t>1</w:t>
            </w:r>
            <w:r>
              <w:rPr>
                <w:rFonts w:hint="eastAsia" w:asciiTheme="minorEastAsia" w:hAnsiTheme="minorEastAsia" w:eastAsiaTheme="minorEastAsia" w:cstheme="minorEastAsia"/>
                <w:color w:val="auto"/>
                <w:sz w:val="24"/>
                <w:szCs w:val="44"/>
              </w:rPr>
              <w:t>处扣2分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。并在规定时间内完成整改，超过规定的周期未完成整 改，扣罚分数按上一周期的扣分加倍。</w:t>
            </w:r>
          </w:p>
        </w:tc>
      </w:tr>
      <w:tr w14:paraId="5543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3980F3A1">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3</w:t>
            </w:r>
          </w:p>
        </w:tc>
        <w:tc>
          <w:tcPr>
            <w:tcW w:w="975" w:type="dxa"/>
            <w:noWrap w:val="0"/>
            <w:vAlign w:val="center"/>
          </w:tcPr>
          <w:p w14:paraId="5296FF1B">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人工湿地管理（3分）</w:t>
            </w:r>
          </w:p>
        </w:tc>
        <w:tc>
          <w:tcPr>
            <w:tcW w:w="1106" w:type="dxa"/>
            <w:noWrap w:val="0"/>
            <w:vAlign w:val="center"/>
          </w:tcPr>
          <w:p w14:paraId="00D83A9C">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人工湿地(3分)</w:t>
            </w:r>
          </w:p>
        </w:tc>
        <w:tc>
          <w:tcPr>
            <w:tcW w:w="3908" w:type="dxa"/>
            <w:gridSpan w:val="2"/>
            <w:noWrap w:val="0"/>
            <w:vAlign w:val="center"/>
          </w:tcPr>
          <w:p w14:paraId="26B399AC">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定期开展人工湿地植被养护、收割、除杂草、干枯枝叶、植被补种更新及日常维护管理等。</w:t>
            </w:r>
          </w:p>
        </w:tc>
        <w:tc>
          <w:tcPr>
            <w:tcW w:w="3300" w:type="dxa"/>
            <w:noWrap w:val="0"/>
            <w:vAlign w:val="center"/>
          </w:tcPr>
          <w:p w14:paraId="3732DDE5">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每半年定期对人工湿地开展植被收割、除杂草、干枯枝叶、植被补种更新及日常维护管理，未按要求每次扣3分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并在规定时间内完成整改，超过规定的周期未完成整改，扣罚分数按上一周期的扣分加倍。</w:t>
            </w:r>
          </w:p>
        </w:tc>
      </w:tr>
      <w:tr w14:paraId="1C0F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538F947B">
            <w:pPr>
              <w:pStyle w:val="101"/>
              <w:rPr>
                <w:rFonts w:hint="eastAsia" w:asciiTheme="minorEastAsia" w:hAnsiTheme="minorEastAsia" w:eastAsiaTheme="minorEastAsia" w:cstheme="minorEastAsia"/>
                <w:color w:val="auto"/>
                <w:sz w:val="24"/>
                <w:szCs w:val="44"/>
                <w:lang w:val="en-US" w:eastAsia="zh-CN"/>
              </w:rPr>
            </w:pPr>
            <w:r>
              <w:rPr>
                <w:rFonts w:hint="eastAsia" w:asciiTheme="minorEastAsia" w:hAnsiTheme="minorEastAsia" w:eastAsiaTheme="minorEastAsia" w:cstheme="minorEastAsia"/>
                <w:color w:val="auto"/>
                <w:sz w:val="24"/>
                <w:szCs w:val="44"/>
                <w:lang w:val="en-US" w:eastAsia="zh-CN"/>
              </w:rPr>
              <w:t>4</w:t>
            </w:r>
          </w:p>
        </w:tc>
        <w:tc>
          <w:tcPr>
            <w:tcW w:w="975" w:type="dxa"/>
            <w:noWrap w:val="0"/>
            <w:vAlign w:val="center"/>
          </w:tcPr>
          <w:p w14:paraId="4AC00D7B">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污泥处置</w:t>
            </w:r>
          </w:p>
          <w:p w14:paraId="76705C05">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（6分）</w:t>
            </w:r>
          </w:p>
        </w:tc>
        <w:tc>
          <w:tcPr>
            <w:tcW w:w="1106" w:type="dxa"/>
            <w:noWrap w:val="0"/>
            <w:vAlign w:val="center"/>
          </w:tcPr>
          <w:p w14:paraId="05164007">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6分</w:t>
            </w:r>
          </w:p>
        </w:tc>
        <w:tc>
          <w:tcPr>
            <w:tcW w:w="3908" w:type="dxa"/>
            <w:gridSpan w:val="2"/>
            <w:noWrap w:val="0"/>
            <w:vAlign w:val="center"/>
          </w:tcPr>
          <w:p w14:paraId="1693F8CF">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严格按照《北流市城镇污水处理厂污泥制度（试行）》文件要求，好做厂区产生、储存、运输处置过程，且及时登记厂区污泥管理台账，做到无害化处理。</w:t>
            </w:r>
          </w:p>
        </w:tc>
        <w:tc>
          <w:tcPr>
            <w:tcW w:w="3300" w:type="dxa"/>
            <w:noWrap w:val="0"/>
            <w:vAlign w:val="center"/>
          </w:tcPr>
          <w:p w14:paraId="52807A19">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擅自倾倒、堆放、露天堆放的污泥，每次</w:t>
            </w:r>
            <w:r>
              <w:rPr>
                <w:rFonts w:hint="eastAsia" w:asciiTheme="minorEastAsia" w:hAnsiTheme="minorEastAsia" w:eastAsiaTheme="minorEastAsia" w:cstheme="minorEastAsia"/>
                <w:color w:val="auto"/>
                <w:sz w:val="24"/>
                <w:szCs w:val="44"/>
                <w:lang w:val="en-US" w:eastAsia="zh-CN"/>
              </w:rPr>
              <w:t>1</w:t>
            </w:r>
            <w:r>
              <w:rPr>
                <w:rFonts w:hint="eastAsia" w:asciiTheme="minorEastAsia" w:hAnsiTheme="minorEastAsia" w:eastAsiaTheme="minorEastAsia" w:cstheme="minorEastAsia"/>
                <w:color w:val="auto"/>
                <w:sz w:val="24"/>
                <w:szCs w:val="44"/>
              </w:rPr>
              <w:t>处扣2分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；产生、运输、处置全流程记录不完整，数据不可追溯‌，每次</w:t>
            </w:r>
            <w:r>
              <w:rPr>
                <w:rFonts w:hint="eastAsia" w:asciiTheme="minorEastAsia" w:hAnsiTheme="minorEastAsia" w:eastAsiaTheme="minorEastAsia" w:cstheme="minorEastAsia"/>
                <w:color w:val="auto"/>
                <w:sz w:val="24"/>
                <w:szCs w:val="44"/>
                <w:lang w:val="en-US" w:eastAsia="zh-CN"/>
              </w:rPr>
              <w:t>1</w:t>
            </w:r>
            <w:r>
              <w:rPr>
                <w:rFonts w:hint="eastAsia" w:asciiTheme="minorEastAsia" w:hAnsiTheme="minorEastAsia" w:eastAsiaTheme="minorEastAsia" w:cstheme="minorEastAsia"/>
                <w:color w:val="auto"/>
                <w:sz w:val="24"/>
                <w:szCs w:val="44"/>
              </w:rPr>
              <w:t>处扣1分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并要求整改，超过规定的周期未完成整 改，扣罚分数按上一周期的扣分加倍。</w:t>
            </w:r>
          </w:p>
        </w:tc>
      </w:tr>
      <w:tr w14:paraId="1687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08785A81">
            <w:pPr>
              <w:pStyle w:val="101"/>
              <w:rPr>
                <w:rFonts w:hint="eastAsia" w:asciiTheme="minorEastAsia" w:hAnsiTheme="minorEastAsia" w:eastAsiaTheme="minorEastAsia" w:cstheme="minorEastAsia"/>
                <w:color w:val="auto"/>
                <w:sz w:val="24"/>
                <w:szCs w:val="44"/>
                <w:lang w:eastAsia="zh-CN"/>
              </w:rPr>
            </w:pPr>
            <w:r>
              <w:rPr>
                <w:rFonts w:hint="eastAsia" w:asciiTheme="minorEastAsia" w:hAnsiTheme="minorEastAsia" w:eastAsiaTheme="minorEastAsia" w:cstheme="minorEastAsia"/>
                <w:color w:val="auto"/>
                <w:sz w:val="24"/>
                <w:szCs w:val="44"/>
                <w:lang w:val="en-US" w:eastAsia="zh-CN"/>
              </w:rPr>
              <w:t>5</w:t>
            </w:r>
          </w:p>
        </w:tc>
        <w:tc>
          <w:tcPr>
            <w:tcW w:w="975" w:type="dxa"/>
            <w:vMerge w:val="restart"/>
            <w:noWrap w:val="0"/>
            <w:vAlign w:val="center"/>
          </w:tcPr>
          <w:p w14:paraId="76EB0251">
            <w:pPr>
              <w:pStyle w:val="101"/>
              <w:rPr>
                <w:rFonts w:hint="eastAsia" w:asciiTheme="minorEastAsia" w:hAnsiTheme="minorEastAsia" w:eastAsiaTheme="minorEastAsia" w:cstheme="minorEastAsia"/>
                <w:color w:val="auto"/>
                <w:sz w:val="24"/>
                <w:szCs w:val="44"/>
              </w:rPr>
            </w:pPr>
          </w:p>
          <w:p w14:paraId="68FBBC8C">
            <w:pPr>
              <w:pStyle w:val="101"/>
              <w:rPr>
                <w:rFonts w:hint="eastAsia" w:asciiTheme="minorEastAsia" w:hAnsiTheme="minorEastAsia" w:eastAsiaTheme="minorEastAsia" w:cstheme="minorEastAsia"/>
                <w:color w:val="auto"/>
                <w:sz w:val="24"/>
                <w:szCs w:val="44"/>
              </w:rPr>
            </w:pPr>
          </w:p>
          <w:p w14:paraId="55CCA397">
            <w:pPr>
              <w:pStyle w:val="101"/>
              <w:rPr>
                <w:rFonts w:hint="eastAsia" w:asciiTheme="minorEastAsia" w:hAnsiTheme="minorEastAsia" w:eastAsiaTheme="minorEastAsia" w:cstheme="minorEastAsia"/>
                <w:color w:val="auto"/>
                <w:sz w:val="24"/>
                <w:szCs w:val="44"/>
              </w:rPr>
            </w:pPr>
          </w:p>
          <w:p w14:paraId="3CF0A35E">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质量</w:t>
            </w:r>
          </w:p>
          <w:p w14:paraId="12D29C74">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管理</w:t>
            </w:r>
          </w:p>
          <w:p w14:paraId="227CE26C">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w:t>
            </w:r>
            <w:r>
              <w:rPr>
                <w:rFonts w:hint="eastAsia" w:asciiTheme="minorEastAsia" w:hAnsiTheme="minorEastAsia" w:eastAsiaTheme="minorEastAsia" w:cstheme="minorEastAsia"/>
                <w:color w:val="auto"/>
                <w:sz w:val="24"/>
                <w:szCs w:val="44"/>
                <w:lang w:val="en-US" w:eastAsia="zh-CN"/>
              </w:rPr>
              <w:t>38</w:t>
            </w:r>
            <w:r>
              <w:rPr>
                <w:rFonts w:hint="eastAsia" w:asciiTheme="minorEastAsia" w:hAnsiTheme="minorEastAsia" w:eastAsiaTheme="minorEastAsia" w:cstheme="minorEastAsia"/>
                <w:color w:val="auto"/>
                <w:sz w:val="24"/>
                <w:szCs w:val="44"/>
              </w:rPr>
              <w:t>分）</w:t>
            </w:r>
          </w:p>
          <w:p w14:paraId="6C23FF8A">
            <w:pPr>
              <w:pStyle w:val="101"/>
              <w:rPr>
                <w:rFonts w:hint="eastAsia" w:asciiTheme="minorEastAsia" w:hAnsiTheme="minorEastAsia" w:eastAsiaTheme="minorEastAsia" w:cstheme="minorEastAsia"/>
                <w:color w:val="auto"/>
                <w:sz w:val="24"/>
                <w:szCs w:val="44"/>
              </w:rPr>
            </w:pPr>
          </w:p>
          <w:p w14:paraId="00B72DC7">
            <w:pPr>
              <w:pStyle w:val="101"/>
              <w:rPr>
                <w:rFonts w:hint="eastAsia" w:asciiTheme="minorEastAsia" w:hAnsiTheme="minorEastAsia" w:eastAsiaTheme="minorEastAsia" w:cstheme="minorEastAsia"/>
                <w:color w:val="auto"/>
                <w:sz w:val="24"/>
                <w:szCs w:val="44"/>
              </w:rPr>
            </w:pPr>
          </w:p>
          <w:p w14:paraId="4CE2087B">
            <w:pPr>
              <w:pStyle w:val="101"/>
              <w:rPr>
                <w:rFonts w:hint="eastAsia" w:asciiTheme="minorEastAsia" w:hAnsiTheme="minorEastAsia" w:eastAsiaTheme="minorEastAsia" w:cstheme="minorEastAsia"/>
                <w:color w:val="auto"/>
                <w:sz w:val="24"/>
                <w:szCs w:val="44"/>
              </w:rPr>
            </w:pPr>
          </w:p>
        </w:tc>
        <w:tc>
          <w:tcPr>
            <w:tcW w:w="1106" w:type="dxa"/>
            <w:noWrap w:val="0"/>
            <w:vAlign w:val="center"/>
          </w:tcPr>
          <w:p w14:paraId="7681F77F">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lang w:eastAsia="zh-CN"/>
              </w:rPr>
              <w:t>进、</w:t>
            </w:r>
            <w:r>
              <w:rPr>
                <w:rFonts w:hint="eastAsia" w:asciiTheme="minorEastAsia" w:hAnsiTheme="minorEastAsia" w:eastAsiaTheme="minorEastAsia" w:cstheme="minorEastAsia"/>
                <w:color w:val="auto"/>
                <w:sz w:val="24"/>
                <w:szCs w:val="44"/>
              </w:rPr>
              <w:t>出水水质 (2</w:t>
            </w:r>
            <w:r>
              <w:rPr>
                <w:rFonts w:hint="eastAsia" w:asciiTheme="minorEastAsia" w:hAnsiTheme="minorEastAsia" w:eastAsiaTheme="minorEastAsia" w:cstheme="minorEastAsia"/>
                <w:color w:val="auto"/>
                <w:sz w:val="24"/>
                <w:szCs w:val="44"/>
                <w:lang w:val="en-US" w:eastAsia="zh-CN"/>
              </w:rPr>
              <w:t>4</w:t>
            </w:r>
            <w:r>
              <w:rPr>
                <w:rFonts w:hint="eastAsia" w:asciiTheme="minorEastAsia" w:hAnsiTheme="minorEastAsia" w:eastAsiaTheme="minorEastAsia" w:cstheme="minorEastAsia"/>
                <w:color w:val="auto"/>
                <w:sz w:val="24"/>
                <w:szCs w:val="44"/>
              </w:rPr>
              <w:t>分)</w:t>
            </w:r>
          </w:p>
        </w:tc>
        <w:tc>
          <w:tcPr>
            <w:tcW w:w="3908" w:type="dxa"/>
            <w:gridSpan w:val="2"/>
            <w:noWrap w:val="0"/>
            <w:vAlign w:val="center"/>
          </w:tcPr>
          <w:p w14:paraId="4E2B4829">
            <w:pPr>
              <w:pStyle w:val="101"/>
              <w:jc w:val="both"/>
              <w:rPr>
                <w:rFonts w:hint="eastAsia" w:asciiTheme="minorEastAsia" w:hAnsiTheme="minorEastAsia" w:eastAsiaTheme="minorEastAsia" w:cstheme="minorEastAsia"/>
                <w:color w:val="auto"/>
                <w:sz w:val="24"/>
                <w:szCs w:val="44"/>
              </w:rPr>
            </w:pPr>
            <w:r>
              <w:rPr>
                <w:rFonts w:hint="eastAsia" w:ascii="宋体" w:hAnsi="宋体" w:cs="宋体"/>
                <w:color w:val="auto"/>
                <w:sz w:val="21"/>
                <w:szCs w:val="21"/>
                <w:lang w:eastAsia="zh-CN"/>
              </w:rPr>
              <w:t>进水</w:t>
            </w:r>
            <w:r>
              <w:rPr>
                <w:rFonts w:hint="eastAsia" w:ascii="宋体" w:hAnsi="宋体" w:eastAsia="宋体" w:cs="宋体"/>
                <w:color w:val="auto"/>
                <w:sz w:val="21"/>
                <w:szCs w:val="21"/>
              </w:rPr>
              <w:t>CODcr</w:t>
            </w:r>
            <w:r>
              <w:rPr>
                <w:rFonts w:hint="eastAsia" w:ascii="宋体" w:hAnsi="宋体" w:cs="宋体"/>
                <w:color w:val="auto"/>
                <w:sz w:val="21"/>
                <w:szCs w:val="21"/>
                <w:lang w:eastAsia="zh-CN"/>
              </w:rPr>
              <w:t>平均浓度需达</w:t>
            </w:r>
            <w:r>
              <w:rPr>
                <w:rFonts w:hint="eastAsia" w:ascii="宋体" w:hAnsi="宋体" w:cs="宋体"/>
                <w:color w:val="auto"/>
                <w:sz w:val="21"/>
                <w:szCs w:val="21"/>
                <w:lang w:val="en-US" w:eastAsia="zh-CN"/>
              </w:rPr>
              <w:t>100</w:t>
            </w:r>
            <w:r>
              <w:rPr>
                <w:rFonts w:hint="eastAsia"/>
                <w:b w:val="0"/>
                <w:bCs/>
                <w:color w:val="auto"/>
                <w:vertAlign w:val="baseline"/>
                <w:lang w:val="en-US" w:eastAsia="zh-CN"/>
              </w:rPr>
              <w:t>mg/L以上，</w:t>
            </w:r>
            <w:r>
              <w:rPr>
                <w:rFonts w:hint="eastAsia" w:asciiTheme="minorEastAsia" w:hAnsiTheme="minorEastAsia" w:eastAsiaTheme="minorEastAsia" w:cstheme="minorEastAsia"/>
                <w:color w:val="auto"/>
                <w:sz w:val="24"/>
                <w:szCs w:val="44"/>
              </w:rPr>
              <w:t>出水水质中 CODcr、NH3-N、TP、TN、pH、等指标需达到《城镇污水处理厂污染物排放标准 (GB18918-2002) 中一级排放A标准。</w:t>
            </w:r>
          </w:p>
        </w:tc>
        <w:tc>
          <w:tcPr>
            <w:tcW w:w="3300" w:type="dxa"/>
            <w:noWrap w:val="0"/>
            <w:vAlign w:val="center"/>
          </w:tcPr>
          <w:p w14:paraId="51FADB0D">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根据绩效考核周期的检测水质化验报告及玉林市污染源自动监控平台数据，每发现任何一项数据不达标扣3分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并要求整改，超过规定的周期未完成整改，予以加倍扣分。</w:t>
            </w:r>
          </w:p>
        </w:tc>
      </w:tr>
      <w:tr w14:paraId="1ACC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58000D8A">
            <w:pPr>
              <w:pStyle w:val="101"/>
              <w:rPr>
                <w:rFonts w:hint="eastAsia" w:asciiTheme="minorEastAsia" w:hAnsiTheme="minorEastAsia" w:eastAsiaTheme="minorEastAsia" w:cstheme="minorEastAsia"/>
                <w:color w:val="auto"/>
                <w:sz w:val="24"/>
                <w:szCs w:val="44"/>
                <w:lang w:eastAsia="zh-CN"/>
              </w:rPr>
            </w:pPr>
            <w:r>
              <w:rPr>
                <w:rFonts w:hint="eastAsia" w:asciiTheme="minorEastAsia" w:hAnsiTheme="minorEastAsia" w:eastAsiaTheme="minorEastAsia" w:cstheme="minorEastAsia"/>
                <w:color w:val="auto"/>
                <w:sz w:val="24"/>
                <w:szCs w:val="44"/>
                <w:lang w:val="en-US" w:eastAsia="zh-CN"/>
              </w:rPr>
              <w:t>6</w:t>
            </w:r>
          </w:p>
        </w:tc>
        <w:tc>
          <w:tcPr>
            <w:tcW w:w="975" w:type="dxa"/>
            <w:vMerge w:val="continue"/>
            <w:noWrap w:val="0"/>
            <w:vAlign w:val="center"/>
          </w:tcPr>
          <w:p w14:paraId="5C7C9F00">
            <w:pPr>
              <w:widowControl/>
              <w:jc w:val="center"/>
              <w:rPr>
                <w:rFonts w:hint="eastAsia" w:asciiTheme="minorEastAsia" w:hAnsiTheme="minorEastAsia" w:eastAsiaTheme="minorEastAsia" w:cstheme="minorEastAsia"/>
                <w:color w:val="auto"/>
                <w:sz w:val="24"/>
                <w:szCs w:val="44"/>
              </w:rPr>
            </w:pPr>
          </w:p>
        </w:tc>
        <w:tc>
          <w:tcPr>
            <w:tcW w:w="1106" w:type="dxa"/>
            <w:noWrap w:val="0"/>
            <w:vAlign w:val="center"/>
          </w:tcPr>
          <w:p w14:paraId="21F37995">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厂区运营台账</w:t>
            </w:r>
          </w:p>
          <w:p w14:paraId="78EF7E8C">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 xml:space="preserve"> (4分)</w:t>
            </w:r>
          </w:p>
        </w:tc>
        <w:tc>
          <w:tcPr>
            <w:tcW w:w="3908" w:type="dxa"/>
            <w:gridSpan w:val="2"/>
            <w:noWrap w:val="0"/>
            <w:vAlign w:val="center"/>
          </w:tcPr>
          <w:p w14:paraId="59180EF2">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按要求处理集水池中被格栅拦截栅渣，外运至指定地点；交接班、生产物质、异常数据等厂区内运行记录和统计报表应做到完整、规范。</w:t>
            </w:r>
          </w:p>
        </w:tc>
        <w:tc>
          <w:tcPr>
            <w:tcW w:w="3300" w:type="dxa"/>
            <w:noWrap w:val="0"/>
            <w:vAlign w:val="center"/>
          </w:tcPr>
          <w:p w14:paraId="32BCB642">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每发现1处不合格/不完善扣0.5分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并要求整改，超过规定的周期未完成整改，予以加倍扣分。</w:t>
            </w:r>
          </w:p>
        </w:tc>
      </w:tr>
      <w:tr w14:paraId="2949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43B810CD">
            <w:pPr>
              <w:pStyle w:val="101"/>
              <w:rPr>
                <w:rFonts w:hint="eastAsia" w:asciiTheme="minorEastAsia" w:hAnsiTheme="minorEastAsia" w:eastAsiaTheme="minorEastAsia" w:cstheme="minorEastAsia"/>
                <w:color w:val="auto"/>
                <w:sz w:val="24"/>
                <w:szCs w:val="44"/>
                <w:lang w:eastAsia="zh-CN"/>
              </w:rPr>
            </w:pPr>
            <w:r>
              <w:rPr>
                <w:rFonts w:hint="eastAsia" w:asciiTheme="minorEastAsia" w:hAnsiTheme="minorEastAsia" w:eastAsiaTheme="minorEastAsia" w:cstheme="minorEastAsia"/>
                <w:color w:val="auto"/>
                <w:sz w:val="24"/>
                <w:szCs w:val="44"/>
                <w:lang w:val="en-US" w:eastAsia="zh-CN"/>
              </w:rPr>
              <w:t>7</w:t>
            </w:r>
          </w:p>
        </w:tc>
        <w:tc>
          <w:tcPr>
            <w:tcW w:w="975" w:type="dxa"/>
            <w:vMerge w:val="continue"/>
            <w:noWrap w:val="0"/>
            <w:vAlign w:val="center"/>
          </w:tcPr>
          <w:p w14:paraId="501CB0C1">
            <w:pPr>
              <w:widowControl/>
              <w:jc w:val="center"/>
              <w:rPr>
                <w:rFonts w:hint="eastAsia" w:asciiTheme="minorEastAsia" w:hAnsiTheme="minorEastAsia" w:eastAsiaTheme="minorEastAsia" w:cstheme="minorEastAsia"/>
                <w:color w:val="auto"/>
                <w:sz w:val="24"/>
                <w:szCs w:val="44"/>
              </w:rPr>
            </w:pPr>
          </w:p>
        </w:tc>
        <w:tc>
          <w:tcPr>
            <w:tcW w:w="1116" w:type="dxa"/>
            <w:gridSpan w:val="2"/>
            <w:noWrap w:val="0"/>
            <w:vAlign w:val="center"/>
          </w:tcPr>
          <w:p w14:paraId="26C50A53">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出水水质化验</w:t>
            </w:r>
          </w:p>
          <w:p w14:paraId="64451FFA">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w:t>
            </w:r>
            <w:r>
              <w:rPr>
                <w:rFonts w:hint="eastAsia" w:asciiTheme="minorEastAsia" w:hAnsiTheme="minorEastAsia" w:eastAsiaTheme="minorEastAsia" w:cstheme="minorEastAsia"/>
                <w:color w:val="auto"/>
                <w:sz w:val="24"/>
                <w:szCs w:val="44"/>
                <w:lang w:val="en-US" w:eastAsia="zh-CN"/>
              </w:rPr>
              <w:t>5</w:t>
            </w:r>
            <w:r>
              <w:rPr>
                <w:rFonts w:hint="eastAsia" w:asciiTheme="minorEastAsia" w:hAnsiTheme="minorEastAsia" w:eastAsiaTheme="minorEastAsia" w:cstheme="minorEastAsia"/>
                <w:color w:val="auto"/>
                <w:sz w:val="24"/>
                <w:szCs w:val="44"/>
              </w:rPr>
              <w:t>分）</w:t>
            </w:r>
          </w:p>
        </w:tc>
        <w:tc>
          <w:tcPr>
            <w:tcW w:w="3898" w:type="dxa"/>
            <w:noWrap w:val="0"/>
            <w:vAlign w:val="center"/>
          </w:tcPr>
          <w:p w14:paraId="08756FEC">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A 按要求配置检测仪器；</w:t>
            </w:r>
          </w:p>
          <w:p w14:paraId="7642323E">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B 制定严格的管理制度 (上墙) ；</w:t>
            </w:r>
          </w:p>
          <w:p w14:paraId="5C6A707C">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C 按相关规定对水质进行人工化验 (每周) ；</w:t>
            </w:r>
          </w:p>
          <w:p w14:paraId="0EE48D2A">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D 检测仪器、化学试剂使用规范；</w:t>
            </w:r>
          </w:p>
          <w:p w14:paraId="1043E108">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E 按相关要求对水样进行采样和保管；</w:t>
            </w:r>
          </w:p>
          <w:p w14:paraId="7D7375F4">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F 化验试剂(危险化学品、剧毒品) 管理、储存规范；</w:t>
            </w:r>
          </w:p>
          <w:p w14:paraId="66FD252F">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G 化验数据及时登记造册、上报。</w:t>
            </w:r>
          </w:p>
        </w:tc>
        <w:tc>
          <w:tcPr>
            <w:tcW w:w="3300" w:type="dxa"/>
            <w:noWrap w:val="0"/>
            <w:vAlign w:val="center"/>
          </w:tcPr>
          <w:p w14:paraId="413C3BF9">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每发现1处不合格扣2分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并要求整改，超过规定的周期未完成整改，予以加倍扣分。</w:t>
            </w:r>
          </w:p>
        </w:tc>
      </w:tr>
      <w:tr w14:paraId="6D6B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16668378">
            <w:pPr>
              <w:pStyle w:val="101"/>
              <w:rPr>
                <w:rFonts w:hint="eastAsia" w:asciiTheme="minorEastAsia" w:hAnsiTheme="minorEastAsia" w:eastAsiaTheme="minorEastAsia" w:cstheme="minorEastAsia"/>
                <w:color w:val="auto"/>
                <w:sz w:val="24"/>
                <w:szCs w:val="44"/>
                <w:lang w:eastAsia="zh-CN"/>
              </w:rPr>
            </w:pPr>
            <w:r>
              <w:rPr>
                <w:rFonts w:hint="eastAsia" w:asciiTheme="minorEastAsia" w:hAnsiTheme="minorEastAsia" w:eastAsiaTheme="minorEastAsia" w:cstheme="minorEastAsia"/>
                <w:color w:val="auto"/>
                <w:sz w:val="24"/>
                <w:szCs w:val="44"/>
                <w:lang w:val="en-US" w:eastAsia="zh-CN"/>
              </w:rPr>
              <w:t>8</w:t>
            </w:r>
          </w:p>
        </w:tc>
        <w:tc>
          <w:tcPr>
            <w:tcW w:w="975" w:type="dxa"/>
            <w:vMerge w:val="continue"/>
            <w:noWrap w:val="0"/>
            <w:vAlign w:val="center"/>
          </w:tcPr>
          <w:p w14:paraId="748F45B8">
            <w:pPr>
              <w:widowControl/>
              <w:jc w:val="center"/>
              <w:rPr>
                <w:rFonts w:hint="eastAsia" w:asciiTheme="minorEastAsia" w:hAnsiTheme="minorEastAsia" w:eastAsiaTheme="minorEastAsia" w:cstheme="minorEastAsia"/>
                <w:color w:val="auto"/>
                <w:sz w:val="24"/>
                <w:szCs w:val="44"/>
              </w:rPr>
            </w:pPr>
          </w:p>
        </w:tc>
        <w:tc>
          <w:tcPr>
            <w:tcW w:w="1116" w:type="dxa"/>
            <w:gridSpan w:val="2"/>
            <w:noWrap w:val="0"/>
            <w:vAlign w:val="center"/>
          </w:tcPr>
          <w:p w14:paraId="0B5D1C4E">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数据</w:t>
            </w:r>
          </w:p>
          <w:p w14:paraId="4D4AE1F0">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监测</w:t>
            </w:r>
          </w:p>
          <w:p w14:paraId="191243EB">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w:t>
            </w:r>
            <w:r>
              <w:rPr>
                <w:rFonts w:hint="eastAsia" w:asciiTheme="minorEastAsia" w:hAnsiTheme="minorEastAsia" w:eastAsiaTheme="minorEastAsia" w:cstheme="minorEastAsia"/>
                <w:color w:val="auto"/>
                <w:sz w:val="24"/>
                <w:szCs w:val="44"/>
                <w:lang w:val="en-US" w:eastAsia="zh-CN"/>
              </w:rPr>
              <w:t>5</w:t>
            </w:r>
            <w:r>
              <w:rPr>
                <w:rFonts w:hint="eastAsia" w:asciiTheme="minorEastAsia" w:hAnsiTheme="minorEastAsia" w:eastAsiaTheme="minorEastAsia" w:cstheme="minorEastAsia"/>
                <w:color w:val="auto"/>
                <w:sz w:val="24"/>
                <w:szCs w:val="44"/>
              </w:rPr>
              <w:t>分）</w:t>
            </w:r>
          </w:p>
        </w:tc>
        <w:tc>
          <w:tcPr>
            <w:tcW w:w="3898" w:type="dxa"/>
            <w:noWrap w:val="0"/>
            <w:vAlign w:val="center"/>
          </w:tcPr>
          <w:p w14:paraId="04498259">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有安装进出厂水在线计量、检测设备的污水厂，运营商需做好进出水流量、COD、pH、NH3-N、TN、TP等指标数据的记录，并对日常设备运行是否正常情况进行记录。监测房上锁，无关人员不得进入。记录好进出监测房时间、人员姓名。</w:t>
            </w:r>
          </w:p>
        </w:tc>
        <w:tc>
          <w:tcPr>
            <w:tcW w:w="3300" w:type="dxa"/>
            <w:noWrap w:val="0"/>
            <w:vAlign w:val="center"/>
          </w:tcPr>
          <w:p w14:paraId="413F9250">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做好日常运营记录，如未按要求做好相关项，记录每缺一项扣1分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并要求整改，超过规定的周期未完成整改，予以加倍扣分。</w:t>
            </w:r>
          </w:p>
        </w:tc>
      </w:tr>
      <w:tr w14:paraId="1C4A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52A9FE4D">
            <w:pPr>
              <w:pStyle w:val="101"/>
              <w:rPr>
                <w:rFonts w:hint="eastAsia" w:asciiTheme="minorEastAsia" w:hAnsiTheme="minorEastAsia" w:eastAsiaTheme="minorEastAsia" w:cstheme="minorEastAsia"/>
                <w:color w:val="auto"/>
                <w:sz w:val="24"/>
                <w:szCs w:val="44"/>
                <w:lang w:eastAsia="zh-CN"/>
              </w:rPr>
            </w:pPr>
            <w:r>
              <w:rPr>
                <w:rFonts w:hint="eastAsia" w:asciiTheme="minorEastAsia" w:hAnsiTheme="minorEastAsia" w:eastAsiaTheme="minorEastAsia" w:cstheme="minorEastAsia"/>
                <w:color w:val="auto"/>
                <w:sz w:val="24"/>
                <w:szCs w:val="44"/>
                <w:lang w:val="en-US" w:eastAsia="zh-CN"/>
              </w:rPr>
              <w:t>9</w:t>
            </w:r>
          </w:p>
        </w:tc>
        <w:tc>
          <w:tcPr>
            <w:tcW w:w="975" w:type="dxa"/>
            <w:vMerge w:val="restart"/>
            <w:noWrap w:val="0"/>
            <w:vAlign w:val="center"/>
          </w:tcPr>
          <w:p w14:paraId="2DA8AC77">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厂容</w:t>
            </w:r>
          </w:p>
          <w:p w14:paraId="3A4B5420">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厂貌（</w:t>
            </w:r>
            <w:r>
              <w:rPr>
                <w:rFonts w:hint="eastAsia" w:asciiTheme="minorEastAsia" w:hAnsiTheme="minorEastAsia" w:eastAsiaTheme="minorEastAsia" w:cstheme="minorEastAsia"/>
                <w:color w:val="auto"/>
                <w:sz w:val="24"/>
                <w:szCs w:val="44"/>
                <w:lang w:val="en-US" w:eastAsia="zh-CN"/>
              </w:rPr>
              <w:t>4</w:t>
            </w:r>
            <w:r>
              <w:rPr>
                <w:rFonts w:hint="eastAsia" w:asciiTheme="minorEastAsia" w:hAnsiTheme="minorEastAsia" w:eastAsiaTheme="minorEastAsia" w:cstheme="minorEastAsia"/>
                <w:color w:val="auto"/>
                <w:sz w:val="24"/>
                <w:szCs w:val="44"/>
              </w:rPr>
              <w:t>分）</w:t>
            </w:r>
          </w:p>
        </w:tc>
        <w:tc>
          <w:tcPr>
            <w:tcW w:w="1116" w:type="dxa"/>
            <w:gridSpan w:val="2"/>
            <w:noWrap w:val="0"/>
            <w:vAlign w:val="center"/>
          </w:tcPr>
          <w:p w14:paraId="0A5FACC1">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 xml:space="preserve">室内 </w:t>
            </w:r>
          </w:p>
          <w:p w14:paraId="7A8B7ECD">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w:t>
            </w:r>
            <w:r>
              <w:rPr>
                <w:rFonts w:hint="eastAsia" w:asciiTheme="minorEastAsia" w:hAnsiTheme="minorEastAsia" w:eastAsiaTheme="minorEastAsia" w:cstheme="minorEastAsia"/>
                <w:color w:val="auto"/>
                <w:sz w:val="24"/>
                <w:szCs w:val="44"/>
                <w:lang w:val="en-US" w:eastAsia="zh-CN"/>
              </w:rPr>
              <w:t>2</w:t>
            </w:r>
            <w:r>
              <w:rPr>
                <w:rFonts w:hint="eastAsia" w:asciiTheme="minorEastAsia" w:hAnsiTheme="minorEastAsia" w:eastAsiaTheme="minorEastAsia" w:cstheme="minorEastAsia"/>
                <w:color w:val="auto"/>
                <w:sz w:val="24"/>
                <w:szCs w:val="44"/>
              </w:rPr>
              <w:t>分)</w:t>
            </w:r>
          </w:p>
        </w:tc>
        <w:tc>
          <w:tcPr>
            <w:tcW w:w="3898" w:type="dxa"/>
            <w:noWrap w:val="0"/>
            <w:vAlign w:val="center"/>
          </w:tcPr>
          <w:p w14:paraId="01591B62">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厂区内所有室内无垃圾 堆放、无烟头、照明设施分布整齐完好；门、窗、玻璃明亮、无破损；室内无乱涂画、整洁；操作人员着装整齐统一工作服，文明礼貌。</w:t>
            </w:r>
          </w:p>
        </w:tc>
        <w:tc>
          <w:tcPr>
            <w:tcW w:w="3300" w:type="dxa"/>
            <w:noWrap w:val="0"/>
            <w:vAlign w:val="center"/>
          </w:tcPr>
          <w:p w14:paraId="4CFB55DB">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不符合要求每次</w:t>
            </w:r>
            <w:r>
              <w:rPr>
                <w:rFonts w:hint="eastAsia" w:asciiTheme="minorEastAsia" w:hAnsiTheme="minorEastAsia" w:eastAsiaTheme="minorEastAsia" w:cstheme="minorEastAsia"/>
                <w:color w:val="auto"/>
                <w:sz w:val="24"/>
                <w:szCs w:val="44"/>
                <w:lang w:val="en-US" w:eastAsia="zh-CN"/>
              </w:rPr>
              <w:t>1</w:t>
            </w:r>
            <w:r>
              <w:rPr>
                <w:rFonts w:hint="eastAsia" w:asciiTheme="minorEastAsia" w:hAnsiTheme="minorEastAsia" w:eastAsiaTheme="minorEastAsia" w:cstheme="minorEastAsia"/>
                <w:color w:val="auto"/>
                <w:sz w:val="24"/>
                <w:szCs w:val="44"/>
              </w:rPr>
              <w:t>处扣 0.5 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 求整改，超过规定的周期未完成整 改，扣罚分数按上一周期的扣分加倍。</w:t>
            </w:r>
          </w:p>
        </w:tc>
      </w:tr>
      <w:tr w14:paraId="24ED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479B1C9A">
            <w:pPr>
              <w:pStyle w:val="101"/>
              <w:rPr>
                <w:rFonts w:hint="eastAsia" w:asciiTheme="minorEastAsia" w:hAnsiTheme="minorEastAsia" w:eastAsiaTheme="minorEastAsia" w:cstheme="minorEastAsia"/>
                <w:color w:val="auto"/>
                <w:sz w:val="24"/>
                <w:szCs w:val="44"/>
                <w:lang w:val="en-US" w:eastAsia="zh-CN"/>
              </w:rPr>
            </w:pPr>
            <w:r>
              <w:rPr>
                <w:rFonts w:hint="eastAsia" w:asciiTheme="minorEastAsia" w:hAnsiTheme="minorEastAsia" w:eastAsiaTheme="minorEastAsia" w:cstheme="minorEastAsia"/>
                <w:color w:val="auto"/>
                <w:sz w:val="24"/>
                <w:szCs w:val="44"/>
                <w:lang w:val="en-US" w:eastAsia="zh-CN"/>
              </w:rPr>
              <w:t>10</w:t>
            </w:r>
          </w:p>
        </w:tc>
        <w:tc>
          <w:tcPr>
            <w:tcW w:w="975" w:type="dxa"/>
            <w:vMerge w:val="continue"/>
            <w:noWrap w:val="0"/>
            <w:vAlign w:val="center"/>
          </w:tcPr>
          <w:p w14:paraId="53BE490A">
            <w:pPr>
              <w:widowControl/>
              <w:jc w:val="center"/>
              <w:rPr>
                <w:rFonts w:hint="eastAsia" w:asciiTheme="minorEastAsia" w:hAnsiTheme="minorEastAsia" w:eastAsiaTheme="minorEastAsia" w:cstheme="minorEastAsia"/>
                <w:color w:val="auto"/>
                <w:sz w:val="24"/>
                <w:szCs w:val="44"/>
              </w:rPr>
            </w:pPr>
          </w:p>
        </w:tc>
        <w:tc>
          <w:tcPr>
            <w:tcW w:w="1116" w:type="dxa"/>
            <w:gridSpan w:val="2"/>
            <w:noWrap w:val="0"/>
            <w:vAlign w:val="center"/>
          </w:tcPr>
          <w:p w14:paraId="095C97F6">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 xml:space="preserve">室外 </w:t>
            </w:r>
          </w:p>
          <w:p w14:paraId="1E6300E7">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w:t>
            </w:r>
            <w:r>
              <w:rPr>
                <w:rFonts w:hint="eastAsia" w:asciiTheme="minorEastAsia" w:hAnsiTheme="minorEastAsia" w:eastAsiaTheme="minorEastAsia" w:cstheme="minorEastAsia"/>
                <w:color w:val="auto"/>
                <w:sz w:val="24"/>
                <w:szCs w:val="44"/>
                <w:lang w:val="en-US" w:eastAsia="zh-CN"/>
              </w:rPr>
              <w:t>2</w:t>
            </w:r>
            <w:r>
              <w:rPr>
                <w:rFonts w:hint="eastAsia" w:asciiTheme="minorEastAsia" w:hAnsiTheme="minorEastAsia" w:eastAsiaTheme="minorEastAsia" w:cstheme="minorEastAsia"/>
                <w:color w:val="auto"/>
                <w:sz w:val="24"/>
                <w:szCs w:val="44"/>
              </w:rPr>
              <w:t>分)</w:t>
            </w:r>
          </w:p>
        </w:tc>
        <w:tc>
          <w:tcPr>
            <w:tcW w:w="3898" w:type="dxa"/>
            <w:noWrap w:val="0"/>
            <w:vAlign w:val="center"/>
          </w:tcPr>
          <w:p w14:paraId="55C71EC6">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厂内道路畅通，道路卫生清洁；厂区照明设施分布整齐完好；厂区给排水设施完好无损；构筑物、建筑物护栏、围墙完好、无杂草、树枝；配备灭火器、救生圈等安全设备；配电柜、配电箱上锁关闭。设置固定宣传栏、移动展板等。</w:t>
            </w:r>
          </w:p>
        </w:tc>
        <w:tc>
          <w:tcPr>
            <w:tcW w:w="3300" w:type="dxa"/>
            <w:noWrap w:val="0"/>
            <w:vAlign w:val="center"/>
          </w:tcPr>
          <w:p w14:paraId="3932544F">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每发现1处不合格/不完善扣 0.5分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 整改，超过规定的周期未完成整 改，扣罚分数按上一周期的扣分加倍。</w:t>
            </w:r>
          </w:p>
        </w:tc>
      </w:tr>
      <w:tr w14:paraId="5FBC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10CB82D7">
            <w:pPr>
              <w:pStyle w:val="101"/>
              <w:rPr>
                <w:rFonts w:hint="eastAsia" w:asciiTheme="minorEastAsia" w:hAnsiTheme="minorEastAsia" w:eastAsiaTheme="minorEastAsia" w:cstheme="minorEastAsia"/>
                <w:color w:val="auto"/>
                <w:sz w:val="24"/>
                <w:szCs w:val="44"/>
                <w:lang w:val="en-US" w:eastAsia="zh-CN"/>
              </w:rPr>
            </w:pPr>
            <w:r>
              <w:rPr>
                <w:rFonts w:hint="eastAsia" w:asciiTheme="minorEastAsia" w:hAnsiTheme="minorEastAsia" w:eastAsiaTheme="minorEastAsia" w:cstheme="minorEastAsia"/>
                <w:color w:val="auto"/>
                <w:sz w:val="24"/>
                <w:szCs w:val="44"/>
                <w:lang w:val="en-US" w:eastAsia="zh-CN"/>
              </w:rPr>
              <w:t>11</w:t>
            </w:r>
          </w:p>
        </w:tc>
        <w:tc>
          <w:tcPr>
            <w:tcW w:w="975" w:type="dxa"/>
            <w:noWrap w:val="0"/>
            <w:vAlign w:val="center"/>
          </w:tcPr>
          <w:p w14:paraId="5F8E5A38">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备机备品（5分）</w:t>
            </w:r>
          </w:p>
        </w:tc>
        <w:tc>
          <w:tcPr>
            <w:tcW w:w="1116" w:type="dxa"/>
            <w:gridSpan w:val="2"/>
            <w:noWrap w:val="0"/>
            <w:vAlign w:val="center"/>
          </w:tcPr>
          <w:p w14:paraId="65672DA4">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备机备品配置完整性（5分）</w:t>
            </w:r>
          </w:p>
        </w:tc>
        <w:tc>
          <w:tcPr>
            <w:tcW w:w="3898" w:type="dxa"/>
            <w:noWrap w:val="0"/>
            <w:vAlign w:val="center"/>
          </w:tcPr>
          <w:p w14:paraId="637ADAC0">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关键设备（提升泵、消毒设备等）均按规范配备备机，数量满足应急需求（至少1台/套关键设备对应1台备机）；备机型号、参数与主机匹配，能直接投入使用，无型号不符、无法兼容情况；备品备件（易损件：密封圈、轴承、滤网等；关键件：泵轴、电机等）储备充足，种类、数量符合运维规范；建立备品备件台账，记录完整；备品备品定期检查，每月至少1次，及时更新损坏、过期备件；备机出现故障时，24小时内完成维修或更换，确保应急可用。</w:t>
            </w:r>
          </w:p>
        </w:tc>
        <w:tc>
          <w:tcPr>
            <w:tcW w:w="3300" w:type="dxa"/>
            <w:noWrap w:val="0"/>
            <w:vAlign w:val="center"/>
          </w:tcPr>
          <w:p w14:paraId="6AB194F3">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每发现1处未配备备机备品，或备机备品数量不足应急需求，每次扣1分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并要求及时配备，超过规定的周期未完成配备，扣罚分数按上一周期的扣分加倍；</w:t>
            </w:r>
          </w:p>
          <w:p w14:paraId="68295FC7">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故障处置时效超过24小时但不超过48小时，扣0.5分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；故障处置超时超过48小时，或备机故障后长期未处理扣1分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，并要求整改，超过规定周期未完成整改，扣罚分数加倍。</w:t>
            </w:r>
          </w:p>
        </w:tc>
      </w:tr>
      <w:tr w14:paraId="2855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4299601E">
            <w:pPr>
              <w:pStyle w:val="101"/>
              <w:rPr>
                <w:rFonts w:hint="eastAsia" w:asciiTheme="minorEastAsia" w:hAnsiTheme="minorEastAsia" w:eastAsiaTheme="minorEastAsia" w:cstheme="minorEastAsia"/>
                <w:color w:val="auto"/>
                <w:sz w:val="24"/>
                <w:szCs w:val="44"/>
                <w:lang w:val="en-US" w:eastAsia="zh-CN"/>
              </w:rPr>
            </w:pPr>
            <w:r>
              <w:rPr>
                <w:rFonts w:hint="eastAsia" w:asciiTheme="minorEastAsia" w:hAnsiTheme="minorEastAsia" w:eastAsiaTheme="minorEastAsia" w:cstheme="minorEastAsia"/>
                <w:color w:val="auto"/>
                <w:sz w:val="24"/>
                <w:szCs w:val="44"/>
                <w:lang w:val="en-US" w:eastAsia="zh-CN"/>
              </w:rPr>
              <w:t>12</w:t>
            </w:r>
          </w:p>
        </w:tc>
        <w:tc>
          <w:tcPr>
            <w:tcW w:w="975" w:type="dxa"/>
            <w:noWrap w:val="0"/>
            <w:vAlign w:val="center"/>
          </w:tcPr>
          <w:p w14:paraId="35B06768">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督查通报（9分）</w:t>
            </w:r>
          </w:p>
        </w:tc>
        <w:tc>
          <w:tcPr>
            <w:tcW w:w="1116" w:type="dxa"/>
            <w:gridSpan w:val="2"/>
            <w:noWrap w:val="0"/>
            <w:vAlign w:val="center"/>
          </w:tcPr>
          <w:p w14:paraId="1B3E124A">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被上级通报或收到整改通知书（9分）</w:t>
            </w:r>
          </w:p>
        </w:tc>
        <w:tc>
          <w:tcPr>
            <w:tcW w:w="3898" w:type="dxa"/>
            <w:noWrap w:val="0"/>
            <w:vAlign w:val="center"/>
          </w:tcPr>
          <w:p w14:paraId="7E9D9455">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对监管部门、上级单位督查发现的问题，在规定期限内完成整改（一般问题3个工作日内，重点问题7个工作日内，重大问题按整改方案期限）； 整改完成后，及时提交整改报告、佐证材料，确保整改闭环；针对通报中反复出现的问题，建立长效防控机制，杜绝同类问题再次发生； 无拒不落实督查通报要求、拖延整改、虚假整改情况。</w:t>
            </w:r>
          </w:p>
        </w:tc>
        <w:tc>
          <w:tcPr>
            <w:tcW w:w="3300" w:type="dxa"/>
            <w:noWrap w:val="0"/>
            <w:vAlign w:val="center"/>
          </w:tcPr>
          <w:p w14:paraId="19342861">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未在规定期限内完成整改（一般问题3个工作日内，重点问题7个工作日内，重大问题按整改方案期限）扣2分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，未提交整改报告扣2分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，整改未落实一项扣1分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w:t>
            </w:r>
          </w:p>
        </w:tc>
      </w:tr>
      <w:tr w14:paraId="60FC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5F4D0D4C">
            <w:pPr>
              <w:pStyle w:val="101"/>
              <w:rPr>
                <w:rFonts w:hint="eastAsia" w:asciiTheme="minorEastAsia" w:hAnsiTheme="minorEastAsia" w:eastAsiaTheme="minorEastAsia" w:cstheme="minorEastAsia"/>
                <w:color w:val="auto"/>
                <w:sz w:val="24"/>
                <w:szCs w:val="44"/>
                <w:lang w:eastAsia="zh-CN"/>
              </w:rPr>
            </w:pPr>
            <w:r>
              <w:rPr>
                <w:rFonts w:hint="eastAsia" w:asciiTheme="minorEastAsia" w:hAnsiTheme="minorEastAsia" w:eastAsiaTheme="minorEastAsia" w:cstheme="minorEastAsia"/>
                <w:color w:val="auto"/>
                <w:sz w:val="24"/>
                <w:szCs w:val="44"/>
              </w:rPr>
              <w:t>1</w:t>
            </w:r>
            <w:r>
              <w:rPr>
                <w:rFonts w:hint="eastAsia" w:asciiTheme="minorEastAsia" w:hAnsiTheme="minorEastAsia" w:eastAsiaTheme="minorEastAsia" w:cstheme="minorEastAsia"/>
                <w:color w:val="auto"/>
                <w:sz w:val="24"/>
                <w:szCs w:val="44"/>
                <w:lang w:val="en-US" w:eastAsia="zh-CN"/>
              </w:rPr>
              <w:t>3</w:t>
            </w:r>
          </w:p>
        </w:tc>
        <w:tc>
          <w:tcPr>
            <w:tcW w:w="975" w:type="dxa"/>
            <w:noWrap w:val="0"/>
            <w:vAlign w:val="center"/>
          </w:tcPr>
          <w:p w14:paraId="34931BDA">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配合上级部门督查（3分）</w:t>
            </w:r>
          </w:p>
        </w:tc>
        <w:tc>
          <w:tcPr>
            <w:tcW w:w="1116" w:type="dxa"/>
            <w:gridSpan w:val="2"/>
            <w:noWrap w:val="0"/>
            <w:vAlign w:val="center"/>
          </w:tcPr>
          <w:p w14:paraId="547A429F">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迎检工作</w:t>
            </w:r>
          </w:p>
          <w:p w14:paraId="4ACBAFF3">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（3 分）</w:t>
            </w:r>
          </w:p>
        </w:tc>
        <w:tc>
          <w:tcPr>
            <w:tcW w:w="3898" w:type="dxa"/>
            <w:noWrap w:val="0"/>
            <w:vAlign w:val="center"/>
          </w:tcPr>
          <w:p w14:paraId="04009DAA">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厂内工作人员需严格遵守制定的《污水处理厂生产运作管理制度及操作规程》。在任何情况下，积极配合甲方共同做好上级部门的各种检查、参观活动，并提供相应的资料。</w:t>
            </w:r>
          </w:p>
        </w:tc>
        <w:tc>
          <w:tcPr>
            <w:tcW w:w="3300" w:type="dxa"/>
            <w:noWrap w:val="0"/>
            <w:vAlign w:val="center"/>
          </w:tcPr>
          <w:p w14:paraId="20E103A4">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每发现1次不合格扣1分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并整改，未按时完成整改，予以加倍扣分。不配合迎检工作的扣3分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w:t>
            </w:r>
          </w:p>
        </w:tc>
      </w:tr>
      <w:tr w14:paraId="2288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783" w:hRule="atLeast"/>
          <w:jc w:val="center"/>
        </w:trPr>
        <w:tc>
          <w:tcPr>
            <w:tcW w:w="643" w:type="dxa"/>
            <w:noWrap w:val="0"/>
            <w:vAlign w:val="center"/>
          </w:tcPr>
          <w:p w14:paraId="6B87D408">
            <w:pPr>
              <w:pStyle w:val="101"/>
              <w:rPr>
                <w:rFonts w:hint="eastAsia" w:asciiTheme="minorEastAsia" w:hAnsiTheme="minorEastAsia" w:eastAsiaTheme="minorEastAsia" w:cstheme="minorEastAsia"/>
                <w:color w:val="auto"/>
                <w:sz w:val="24"/>
                <w:szCs w:val="44"/>
                <w:lang w:eastAsia="zh-CN"/>
              </w:rPr>
            </w:pPr>
            <w:r>
              <w:rPr>
                <w:rFonts w:hint="eastAsia" w:asciiTheme="minorEastAsia" w:hAnsiTheme="minorEastAsia" w:eastAsiaTheme="minorEastAsia" w:cstheme="minorEastAsia"/>
                <w:color w:val="auto"/>
                <w:sz w:val="24"/>
                <w:szCs w:val="44"/>
              </w:rPr>
              <w:t>1</w:t>
            </w:r>
            <w:r>
              <w:rPr>
                <w:rFonts w:hint="eastAsia" w:asciiTheme="minorEastAsia" w:hAnsiTheme="minorEastAsia" w:eastAsiaTheme="minorEastAsia" w:cstheme="minorEastAsia"/>
                <w:color w:val="auto"/>
                <w:sz w:val="24"/>
                <w:szCs w:val="44"/>
                <w:lang w:val="en-US" w:eastAsia="zh-CN"/>
              </w:rPr>
              <w:t>4</w:t>
            </w:r>
          </w:p>
        </w:tc>
        <w:tc>
          <w:tcPr>
            <w:tcW w:w="975" w:type="dxa"/>
            <w:noWrap w:val="0"/>
            <w:vAlign w:val="center"/>
          </w:tcPr>
          <w:p w14:paraId="7D9116F2">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泵站运行管理</w:t>
            </w:r>
          </w:p>
          <w:p w14:paraId="0DCC4BEB">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（1</w:t>
            </w:r>
            <w:r>
              <w:rPr>
                <w:rFonts w:hint="eastAsia" w:asciiTheme="minorEastAsia" w:hAnsiTheme="minorEastAsia" w:eastAsiaTheme="minorEastAsia" w:cstheme="minorEastAsia"/>
                <w:color w:val="auto"/>
                <w:sz w:val="24"/>
                <w:szCs w:val="44"/>
                <w:lang w:val="en-US" w:eastAsia="zh-CN"/>
              </w:rPr>
              <w:t>0</w:t>
            </w:r>
            <w:r>
              <w:rPr>
                <w:rFonts w:hint="eastAsia" w:asciiTheme="minorEastAsia" w:hAnsiTheme="minorEastAsia" w:eastAsiaTheme="minorEastAsia" w:cstheme="minorEastAsia"/>
                <w:color w:val="auto"/>
                <w:sz w:val="24"/>
                <w:szCs w:val="44"/>
              </w:rPr>
              <w:t>分）</w:t>
            </w:r>
          </w:p>
        </w:tc>
        <w:tc>
          <w:tcPr>
            <w:tcW w:w="1116" w:type="dxa"/>
            <w:gridSpan w:val="2"/>
            <w:noWrap w:val="0"/>
            <w:vAlign w:val="center"/>
          </w:tcPr>
          <w:p w14:paraId="03F9A692">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1</w:t>
            </w:r>
            <w:r>
              <w:rPr>
                <w:rFonts w:hint="eastAsia" w:asciiTheme="minorEastAsia" w:hAnsiTheme="minorEastAsia" w:eastAsiaTheme="minorEastAsia" w:cstheme="minorEastAsia"/>
                <w:color w:val="auto"/>
                <w:sz w:val="24"/>
                <w:szCs w:val="44"/>
                <w:lang w:val="en-US" w:eastAsia="zh-CN"/>
              </w:rPr>
              <w:t>0</w:t>
            </w:r>
            <w:r>
              <w:rPr>
                <w:rFonts w:hint="eastAsia" w:asciiTheme="minorEastAsia" w:hAnsiTheme="minorEastAsia" w:eastAsiaTheme="minorEastAsia" w:cstheme="minorEastAsia"/>
                <w:color w:val="auto"/>
                <w:sz w:val="24"/>
                <w:szCs w:val="44"/>
              </w:rPr>
              <w:t>分</w:t>
            </w:r>
          </w:p>
        </w:tc>
        <w:tc>
          <w:tcPr>
            <w:tcW w:w="3898" w:type="dxa"/>
            <w:noWrap w:val="0"/>
            <w:vAlign w:val="center"/>
          </w:tcPr>
          <w:p w14:paraId="78991EA5">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泵站定期清淤，不出现堵塞导致污水无法抽送现象。泵站巡查、维护日志记录及时、准确登记造册。捞出的垃圾、油污要及时入袋。</w:t>
            </w:r>
          </w:p>
        </w:tc>
        <w:tc>
          <w:tcPr>
            <w:tcW w:w="3300" w:type="dxa"/>
            <w:noWrap w:val="0"/>
            <w:vAlign w:val="center"/>
          </w:tcPr>
          <w:p w14:paraId="49518BDA">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每周定期对泵站清理不少于2次，发现泵站未清理油污、污泥、垃圾，每次扣2分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，台账不完善，每次扣1分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，发现周边有垃圾、油污堆积，每次扣0.5分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，并要求整改，超过规定周期未完成整改，扣罚分数加</w:t>
            </w:r>
            <w:r>
              <w:rPr>
                <w:rFonts w:hint="eastAsia" w:asciiTheme="minorEastAsia" w:hAnsiTheme="minorEastAsia" w:eastAsiaTheme="minorEastAsia" w:cstheme="minorEastAsia"/>
                <w:color w:val="auto"/>
                <w:sz w:val="24"/>
                <w:szCs w:val="44"/>
                <w:lang w:val="en-US" w:eastAsia="zh-CN"/>
              </w:rPr>
              <w:t>倍</w:t>
            </w:r>
            <w:r>
              <w:rPr>
                <w:rFonts w:hint="eastAsia" w:asciiTheme="minorEastAsia" w:hAnsiTheme="minorEastAsia" w:eastAsiaTheme="minorEastAsia" w:cstheme="minorEastAsia"/>
                <w:color w:val="auto"/>
                <w:sz w:val="24"/>
                <w:szCs w:val="44"/>
              </w:rPr>
              <w:t>。</w:t>
            </w:r>
          </w:p>
        </w:tc>
      </w:tr>
      <w:tr w14:paraId="5E35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1837" w:hRule="atLeast"/>
          <w:jc w:val="center"/>
        </w:trPr>
        <w:tc>
          <w:tcPr>
            <w:tcW w:w="643" w:type="dxa"/>
            <w:noWrap w:val="0"/>
            <w:vAlign w:val="center"/>
          </w:tcPr>
          <w:p w14:paraId="7BDD18B1">
            <w:pPr>
              <w:pStyle w:val="101"/>
              <w:rPr>
                <w:rFonts w:hint="eastAsia" w:asciiTheme="minorEastAsia" w:hAnsiTheme="minorEastAsia" w:eastAsiaTheme="minorEastAsia" w:cstheme="minorEastAsia"/>
                <w:color w:val="auto"/>
                <w:sz w:val="24"/>
                <w:szCs w:val="44"/>
                <w:lang w:eastAsia="zh-CN"/>
              </w:rPr>
            </w:pPr>
            <w:r>
              <w:rPr>
                <w:rFonts w:hint="eastAsia" w:asciiTheme="minorEastAsia" w:hAnsiTheme="minorEastAsia" w:eastAsiaTheme="minorEastAsia" w:cstheme="minorEastAsia"/>
                <w:color w:val="auto"/>
                <w:sz w:val="24"/>
                <w:szCs w:val="44"/>
              </w:rPr>
              <w:t>1</w:t>
            </w:r>
            <w:r>
              <w:rPr>
                <w:rFonts w:hint="eastAsia" w:asciiTheme="minorEastAsia" w:hAnsiTheme="minorEastAsia" w:eastAsiaTheme="minorEastAsia" w:cstheme="minorEastAsia"/>
                <w:color w:val="auto"/>
                <w:sz w:val="24"/>
                <w:szCs w:val="44"/>
                <w:lang w:val="en-US" w:eastAsia="zh-CN"/>
              </w:rPr>
              <w:t>5</w:t>
            </w:r>
          </w:p>
        </w:tc>
        <w:tc>
          <w:tcPr>
            <w:tcW w:w="975" w:type="dxa"/>
            <w:noWrap w:val="0"/>
            <w:vAlign w:val="center"/>
          </w:tcPr>
          <w:p w14:paraId="2623A415">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安全生产管理（1</w:t>
            </w:r>
            <w:r>
              <w:rPr>
                <w:rFonts w:hint="eastAsia" w:asciiTheme="minorEastAsia" w:hAnsiTheme="minorEastAsia" w:eastAsiaTheme="minorEastAsia" w:cstheme="minorEastAsia"/>
                <w:color w:val="auto"/>
                <w:sz w:val="24"/>
                <w:szCs w:val="44"/>
                <w:lang w:val="en-US" w:eastAsia="zh-CN"/>
              </w:rPr>
              <w:t>0</w:t>
            </w:r>
            <w:r>
              <w:rPr>
                <w:rFonts w:hint="eastAsia" w:asciiTheme="minorEastAsia" w:hAnsiTheme="minorEastAsia" w:eastAsiaTheme="minorEastAsia" w:cstheme="minorEastAsia"/>
                <w:color w:val="auto"/>
                <w:sz w:val="24"/>
                <w:szCs w:val="44"/>
              </w:rPr>
              <w:t>分）</w:t>
            </w:r>
          </w:p>
        </w:tc>
        <w:tc>
          <w:tcPr>
            <w:tcW w:w="1116" w:type="dxa"/>
            <w:gridSpan w:val="2"/>
            <w:noWrap w:val="0"/>
            <w:vAlign w:val="center"/>
          </w:tcPr>
          <w:p w14:paraId="26738E4C">
            <w:pPr>
              <w:pStyle w:val="101"/>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应急预案（1</w:t>
            </w:r>
            <w:r>
              <w:rPr>
                <w:rFonts w:hint="eastAsia" w:asciiTheme="minorEastAsia" w:hAnsiTheme="minorEastAsia" w:eastAsiaTheme="minorEastAsia" w:cstheme="minorEastAsia"/>
                <w:color w:val="auto"/>
                <w:sz w:val="24"/>
                <w:szCs w:val="44"/>
                <w:lang w:val="en-US" w:eastAsia="zh-CN"/>
              </w:rPr>
              <w:t>0</w:t>
            </w:r>
            <w:r>
              <w:rPr>
                <w:rFonts w:hint="eastAsia" w:asciiTheme="minorEastAsia" w:hAnsiTheme="minorEastAsia" w:eastAsiaTheme="minorEastAsia" w:cstheme="minorEastAsia"/>
                <w:color w:val="auto"/>
                <w:sz w:val="24"/>
                <w:szCs w:val="44"/>
              </w:rPr>
              <w:t>分）</w:t>
            </w:r>
          </w:p>
        </w:tc>
        <w:tc>
          <w:tcPr>
            <w:tcW w:w="3898" w:type="dxa"/>
            <w:noWrap w:val="0"/>
            <w:vAlign w:val="center"/>
          </w:tcPr>
          <w:p w14:paraId="7EA08114">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执行有关安全管理制度，确保安全生产。建立健全相关应急预案；制定应急训练计划，并开展培训及训练。建立完善的治安管理系统，配备必要的抢险装备、器材，且能定期组织演练。</w:t>
            </w:r>
          </w:p>
        </w:tc>
        <w:tc>
          <w:tcPr>
            <w:tcW w:w="3300" w:type="dxa"/>
            <w:noWrap w:val="0"/>
            <w:vAlign w:val="center"/>
          </w:tcPr>
          <w:p w14:paraId="109EC1D3">
            <w:pPr>
              <w:pStyle w:val="101"/>
              <w:jc w:val="both"/>
              <w:rPr>
                <w:rFonts w:hint="eastAsia" w:asciiTheme="minorEastAsia" w:hAnsiTheme="minorEastAsia" w:eastAsiaTheme="minorEastAsia" w:cstheme="minorEastAsia"/>
                <w:color w:val="auto"/>
                <w:sz w:val="24"/>
                <w:szCs w:val="44"/>
              </w:rPr>
            </w:pPr>
            <w:r>
              <w:rPr>
                <w:rFonts w:hint="eastAsia" w:asciiTheme="minorEastAsia" w:hAnsiTheme="minorEastAsia" w:eastAsiaTheme="minorEastAsia" w:cstheme="minorEastAsia"/>
                <w:color w:val="auto"/>
                <w:sz w:val="24"/>
                <w:szCs w:val="44"/>
              </w:rPr>
              <w:t>每出现一次安全事故扣 5 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；未建立健全应急预案扣4分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；无具体的训练计划扣3分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；未建立完善的治安管理系统，扣1分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。每年至少2次安全演练，未开展培训、训练及演练，每次扣2分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44"/>
              </w:rPr>
              <w:t>，并要求整改，超过规定周期未完成整改，扣罚分数加</w:t>
            </w:r>
            <w:r>
              <w:rPr>
                <w:rFonts w:hint="eastAsia" w:asciiTheme="minorEastAsia" w:hAnsiTheme="minorEastAsia" w:eastAsiaTheme="minorEastAsia" w:cstheme="minorEastAsia"/>
                <w:color w:val="auto"/>
                <w:sz w:val="24"/>
                <w:szCs w:val="44"/>
                <w:lang w:val="en-US" w:eastAsia="zh-CN"/>
              </w:rPr>
              <w:t>倍</w:t>
            </w:r>
            <w:r>
              <w:rPr>
                <w:rFonts w:hint="eastAsia" w:asciiTheme="minorEastAsia" w:hAnsiTheme="minorEastAsia" w:eastAsiaTheme="minorEastAsia" w:cstheme="minorEastAsia"/>
                <w:color w:val="auto"/>
                <w:sz w:val="24"/>
                <w:szCs w:val="44"/>
              </w:rPr>
              <w:t>。</w:t>
            </w:r>
          </w:p>
        </w:tc>
      </w:tr>
    </w:tbl>
    <w:p w14:paraId="69FEB461">
      <w:pPr>
        <w:spacing w:before="91" w:beforeAutospacing="0" w:afterAutospacing="0" w:line="218" w:lineRule="auto"/>
        <w:ind w:left="163"/>
        <w:rPr>
          <w:rFonts w:ascii="宋体" w:hAnsi="宋体" w:eastAsia="宋体" w:cs="宋体"/>
          <w:color w:val="auto"/>
          <w:spacing w:val="3"/>
          <w:sz w:val="28"/>
          <w:szCs w:val="28"/>
          <w:u w:val="none"/>
          <w:vertAlign w:val="baseline"/>
        </w:rPr>
      </w:pPr>
      <w:r>
        <w:rPr>
          <w:rFonts w:ascii="宋体" w:hAnsi="宋体" w:eastAsia="宋体" w:cs="宋体"/>
          <w:color w:val="auto"/>
          <w:spacing w:val="6"/>
          <w:sz w:val="28"/>
          <w:szCs w:val="28"/>
          <w:u w:val="none"/>
        </w:rPr>
        <w:t>(</w:t>
      </w:r>
      <w:r>
        <w:rPr>
          <w:rFonts w:ascii="宋体" w:hAnsi="宋体" w:eastAsia="宋体" w:cs="宋体"/>
          <w:color w:val="auto"/>
          <w:spacing w:val="4"/>
          <w:sz w:val="28"/>
          <w:szCs w:val="28"/>
          <w:u w:val="none"/>
        </w:rPr>
        <w:t>2</w:t>
      </w:r>
      <w:r>
        <w:rPr>
          <w:rFonts w:ascii="宋体" w:hAnsi="宋体" w:eastAsia="宋体" w:cs="宋体"/>
          <w:color w:val="auto"/>
          <w:spacing w:val="3"/>
          <w:sz w:val="28"/>
          <w:szCs w:val="28"/>
          <w:u w:val="none"/>
        </w:rPr>
        <w:t>) 表 2  污水处理水量的绩效考核指标表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3731"/>
        <w:gridCol w:w="2559"/>
        <w:gridCol w:w="2560"/>
      </w:tblGrid>
      <w:tr w14:paraId="6AFE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14:paraId="70DA5934">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r>
              <w:rPr>
                <w:rFonts w:hint="eastAsia" w:asciiTheme="minorEastAsia" w:hAnsiTheme="minorEastAsia" w:eastAsiaTheme="minorEastAsia" w:cstheme="minorEastAsia"/>
                <w:bCs w:val="0"/>
                <w:color w:val="auto"/>
                <w:sz w:val="24"/>
                <w:szCs w:val="24"/>
              </w:rPr>
              <w:t>序号</w:t>
            </w:r>
          </w:p>
        </w:tc>
        <w:tc>
          <w:tcPr>
            <w:tcW w:w="3731" w:type="dxa"/>
            <w:vAlign w:val="center"/>
          </w:tcPr>
          <w:p w14:paraId="71FD746A">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r>
              <w:rPr>
                <w:rFonts w:hint="eastAsia" w:asciiTheme="minorEastAsia" w:hAnsiTheme="minorEastAsia" w:eastAsiaTheme="minorEastAsia" w:cstheme="minorEastAsia"/>
                <w:bCs w:val="0"/>
                <w:color w:val="auto"/>
                <w:sz w:val="24"/>
                <w:szCs w:val="24"/>
              </w:rPr>
              <w:t>季度平均负荷率（B</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bCs w:val="0"/>
                <w:color w:val="auto"/>
                <w:sz w:val="24"/>
                <w:szCs w:val="24"/>
              </w:rPr>
              <w:t>）</w:t>
            </w:r>
          </w:p>
        </w:tc>
        <w:tc>
          <w:tcPr>
            <w:tcW w:w="2559" w:type="dxa"/>
            <w:vAlign w:val="center"/>
          </w:tcPr>
          <w:p w14:paraId="1E13CF67">
            <w:pPr>
              <w:spacing w:line="300" w:lineRule="exact"/>
              <w:jc w:val="center"/>
              <w:rPr>
                <w:rFonts w:hint="eastAsia"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rPr>
              <w:t>N2</w:t>
            </w:r>
          </w:p>
          <w:p w14:paraId="1A8A66BD">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r>
              <w:rPr>
                <w:rFonts w:hint="eastAsia" w:asciiTheme="minorEastAsia" w:hAnsiTheme="minorEastAsia" w:eastAsiaTheme="minorEastAsia" w:cstheme="minorEastAsia"/>
                <w:bCs w:val="0"/>
                <w:color w:val="auto"/>
                <w:sz w:val="24"/>
                <w:szCs w:val="24"/>
              </w:rPr>
              <w:t>（污水处理水量绩效考核当季度得分值）</w:t>
            </w:r>
          </w:p>
        </w:tc>
        <w:tc>
          <w:tcPr>
            <w:tcW w:w="2560" w:type="dxa"/>
            <w:vAlign w:val="center"/>
          </w:tcPr>
          <w:p w14:paraId="66AD9097">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r>
              <w:rPr>
                <w:rFonts w:hint="eastAsia" w:asciiTheme="minorEastAsia" w:hAnsiTheme="minorEastAsia" w:eastAsiaTheme="minorEastAsia" w:cstheme="minorEastAsia"/>
                <w:bCs w:val="0"/>
                <w:color w:val="auto"/>
                <w:sz w:val="24"/>
                <w:szCs w:val="24"/>
              </w:rPr>
              <w:t>备注</w:t>
            </w:r>
          </w:p>
        </w:tc>
      </w:tr>
      <w:tr w14:paraId="4750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7" w:type="dxa"/>
            <w:vAlign w:val="center"/>
          </w:tcPr>
          <w:p w14:paraId="3F43905E">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1</w:t>
            </w:r>
          </w:p>
        </w:tc>
        <w:tc>
          <w:tcPr>
            <w:tcW w:w="3731" w:type="dxa"/>
            <w:vAlign w:val="center"/>
          </w:tcPr>
          <w:p w14:paraId="553B28B9">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r>
              <w:rPr>
                <w:rFonts w:hint="eastAsia" w:asciiTheme="minorEastAsia" w:hAnsiTheme="minorEastAsia" w:eastAsiaTheme="minorEastAsia" w:cstheme="minorEastAsia"/>
                <w:bCs w:val="0"/>
                <w:color w:val="auto"/>
                <w:sz w:val="24"/>
                <w:szCs w:val="24"/>
              </w:rPr>
              <w:t>B</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bCs w:val="0"/>
                <w:color w:val="auto"/>
                <w:sz w:val="24"/>
                <w:szCs w:val="24"/>
              </w:rPr>
              <w:t>＜30%</w:t>
            </w:r>
          </w:p>
        </w:tc>
        <w:tc>
          <w:tcPr>
            <w:tcW w:w="2559" w:type="dxa"/>
            <w:vAlign w:val="center"/>
          </w:tcPr>
          <w:p w14:paraId="712E8C6D">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0</w:t>
            </w:r>
          </w:p>
        </w:tc>
        <w:tc>
          <w:tcPr>
            <w:tcW w:w="2560" w:type="dxa"/>
            <w:vAlign w:val="center"/>
          </w:tcPr>
          <w:p w14:paraId="5A133664">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p>
        </w:tc>
      </w:tr>
      <w:tr w14:paraId="72AD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7" w:type="dxa"/>
            <w:vAlign w:val="center"/>
          </w:tcPr>
          <w:p w14:paraId="50414F08">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2</w:t>
            </w:r>
          </w:p>
        </w:tc>
        <w:tc>
          <w:tcPr>
            <w:tcW w:w="3731" w:type="dxa"/>
            <w:vAlign w:val="center"/>
          </w:tcPr>
          <w:p w14:paraId="196363F8">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r>
              <w:rPr>
                <w:rFonts w:hint="eastAsia" w:asciiTheme="minorEastAsia" w:hAnsiTheme="minorEastAsia" w:eastAsiaTheme="minorEastAsia" w:cstheme="minorEastAsia"/>
                <w:bCs w:val="0"/>
                <w:color w:val="auto"/>
                <w:sz w:val="24"/>
                <w:szCs w:val="24"/>
              </w:rPr>
              <w:t>30%≤B</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bCs w:val="0"/>
                <w:color w:val="auto"/>
                <w:sz w:val="24"/>
                <w:szCs w:val="24"/>
              </w:rPr>
              <w:t>＜</w:t>
            </w:r>
            <w:r>
              <w:rPr>
                <w:rFonts w:hint="eastAsia" w:asciiTheme="minorEastAsia" w:hAnsiTheme="minorEastAsia" w:eastAsiaTheme="minorEastAsia" w:cstheme="minorEastAsia"/>
                <w:bCs w:val="0"/>
                <w:color w:val="auto"/>
                <w:sz w:val="24"/>
                <w:szCs w:val="24"/>
                <w:lang w:val="en-US" w:eastAsia="zh-CN"/>
              </w:rPr>
              <w:t>40</w:t>
            </w:r>
            <w:r>
              <w:rPr>
                <w:rFonts w:hint="eastAsia" w:asciiTheme="minorEastAsia" w:hAnsiTheme="minorEastAsia" w:eastAsiaTheme="minorEastAsia" w:cstheme="minorEastAsia"/>
                <w:bCs w:val="0"/>
                <w:color w:val="auto"/>
                <w:sz w:val="24"/>
                <w:szCs w:val="24"/>
              </w:rPr>
              <w:t>%</w:t>
            </w:r>
          </w:p>
        </w:tc>
        <w:tc>
          <w:tcPr>
            <w:tcW w:w="2559" w:type="dxa"/>
            <w:vAlign w:val="center"/>
          </w:tcPr>
          <w:p w14:paraId="17D91114">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30</w:t>
            </w:r>
          </w:p>
        </w:tc>
        <w:tc>
          <w:tcPr>
            <w:tcW w:w="2560" w:type="dxa"/>
            <w:vAlign w:val="center"/>
          </w:tcPr>
          <w:p w14:paraId="4107B1F0">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p>
        </w:tc>
      </w:tr>
      <w:tr w14:paraId="730E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7" w:type="dxa"/>
            <w:vAlign w:val="center"/>
          </w:tcPr>
          <w:p w14:paraId="7FFA0E70">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3</w:t>
            </w:r>
          </w:p>
        </w:tc>
        <w:tc>
          <w:tcPr>
            <w:tcW w:w="3731" w:type="dxa"/>
            <w:vAlign w:val="center"/>
          </w:tcPr>
          <w:p w14:paraId="3C5E9F85">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r>
              <w:rPr>
                <w:rFonts w:hint="eastAsia" w:asciiTheme="minorEastAsia" w:hAnsiTheme="minorEastAsia" w:eastAsiaTheme="minorEastAsia" w:cstheme="minorEastAsia"/>
                <w:bCs w:val="0"/>
                <w:color w:val="auto"/>
                <w:sz w:val="24"/>
                <w:szCs w:val="24"/>
                <w:lang w:val="en-US" w:eastAsia="zh-CN"/>
              </w:rPr>
              <w:t>4</w:t>
            </w:r>
            <w:r>
              <w:rPr>
                <w:rFonts w:hint="eastAsia" w:asciiTheme="minorEastAsia" w:hAnsiTheme="minorEastAsia" w:eastAsiaTheme="minorEastAsia" w:cstheme="minorEastAsia"/>
                <w:bCs w:val="0"/>
                <w:color w:val="auto"/>
                <w:sz w:val="24"/>
                <w:szCs w:val="24"/>
              </w:rPr>
              <w:t>0%≤B</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bCs w:val="0"/>
                <w:color w:val="auto"/>
                <w:sz w:val="24"/>
                <w:szCs w:val="24"/>
              </w:rPr>
              <w:t>＜</w:t>
            </w:r>
            <w:r>
              <w:rPr>
                <w:rFonts w:hint="eastAsia" w:asciiTheme="minorEastAsia" w:hAnsiTheme="minorEastAsia" w:eastAsiaTheme="minorEastAsia" w:cstheme="minorEastAsia"/>
                <w:bCs w:val="0"/>
                <w:color w:val="auto"/>
                <w:sz w:val="24"/>
                <w:szCs w:val="24"/>
                <w:lang w:val="en-US" w:eastAsia="zh-CN"/>
              </w:rPr>
              <w:t>50</w:t>
            </w:r>
            <w:r>
              <w:rPr>
                <w:rFonts w:hint="eastAsia" w:asciiTheme="minorEastAsia" w:hAnsiTheme="minorEastAsia" w:eastAsiaTheme="minorEastAsia" w:cstheme="minorEastAsia"/>
                <w:bCs w:val="0"/>
                <w:color w:val="auto"/>
                <w:sz w:val="24"/>
                <w:szCs w:val="24"/>
              </w:rPr>
              <w:t>%</w:t>
            </w:r>
          </w:p>
        </w:tc>
        <w:tc>
          <w:tcPr>
            <w:tcW w:w="2559" w:type="dxa"/>
            <w:vAlign w:val="center"/>
          </w:tcPr>
          <w:p w14:paraId="72848ADE">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40</w:t>
            </w:r>
          </w:p>
        </w:tc>
        <w:tc>
          <w:tcPr>
            <w:tcW w:w="2560" w:type="dxa"/>
            <w:vAlign w:val="center"/>
          </w:tcPr>
          <w:p w14:paraId="4CE3F2DE">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p>
        </w:tc>
      </w:tr>
      <w:tr w14:paraId="499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7" w:type="dxa"/>
            <w:vAlign w:val="center"/>
          </w:tcPr>
          <w:p w14:paraId="2CEF60A5">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4</w:t>
            </w:r>
          </w:p>
        </w:tc>
        <w:tc>
          <w:tcPr>
            <w:tcW w:w="3731" w:type="dxa"/>
            <w:vAlign w:val="center"/>
          </w:tcPr>
          <w:p w14:paraId="16BFA9DC">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r>
              <w:rPr>
                <w:rFonts w:hint="eastAsia" w:asciiTheme="minorEastAsia" w:hAnsiTheme="minorEastAsia" w:eastAsiaTheme="minorEastAsia" w:cstheme="minorEastAsia"/>
                <w:bCs w:val="0"/>
                <w:color w:val="auto"/>
                <w:sz w:val="24"/>
                <w:szCs w:val="24"/>
                <w:lang w:val="en-US" w:eastAsia="zh-CN"/>
              </w:rPr>
              <w:t>5</w:t>
            </w:r>
            <w:r>
              <w:rPr>
                <w:rFonts w:hint="eastAsia" w:asciiTheme="minorEastAsia" w:hAnsiTheme="minorEastAsia" w:eastAsiaTheme="minorEastAsia" w:cstheme="minorEastAsia"/>
                <w:bCs w:val="0"/>
                <w:color w:val="auto"/>
                <w:sz w:val="24"/>
                <w:szCs w:val="24"/>
              </w:rPr>
              <w:t>0%≤B</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bCs w:val="0"/>
                <w:color w:val="auto"/>
                <w:sz w:val="24"/>
                <w:szCs w:val="24"/>
              </w:rPr>
              <w:t>＜</w:t>
            </w:r>
            <w:r>
              <w:rPr>
                <w:rFonts w:hint="eastAsia" w:asciiTheme="minorEastAsia" w:hAnsiTheme="minorEastAsia" w:eastAsiaTheme="minorEastAsia" w:cstheme="minorEastAsia"/>
                <w:bCs w:val="0"/>
                <w:color w:val="auto"/>
                <w:sz w:val="24"/>
                <w:szCs w:val="24"/>
                <w:lang w:val="en-US" w:eastAsia="zh-CN"/>
              </w:rPr>
              <w:t>70</w:t>
            </w:r>
            <w:r>
              <w:rPr>
                <w:rFonts w:hint="eastAsia" w:asciiTheme="minorEastAsia" w:hAnsiTheme="minorEastAsia" w:eastAsiaTheme="minorEastAsia" w:cstheme="minorEastAsia"/>
                <w:bCs w:val="0"/>
                <w:color w:val="auto"/>
                <w:sz w:val="24"/>
                <w:szCs w:val="24"/>
              </w:rPr>
              <w:t>%</w:t>
            </w:r>
          </w:p>
        </w:tc>
        <w:tc>
          <w:tcPr>
            <w:tcW w:w="2559" w:type="dxa"/>
            <w:vAlign w:val="center"/>
          </w:tcPr>
          <w:p w14:paraId="431CE907">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50</w:t>
            </w:r>
          </w:p>
        </w:tc>
        <w:tc>
          <w:tcPr>
            <w:tcW w:w="2560" w:type="dxa"/>
            <w:vAlign w:val="center"/>
          </w:tcPr>
          <w:p w14:paraId="0EFBC035">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p>
        </w:tc>
      </w:tr>
      <w:tr w14:paraId="7AA9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7" w:type="dxa"/>
            <w:vAlign w:val="center"/>
          </w:tcPr>
          <w:p w14:paraId="7E515141">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5</w:t>
            </w:r>
          </w:p>
        </w:tc>
        <w:tc>
          <w:tcPr>
            <w:tcW w:w="3731" w:type="dxa"/>
            <w:vAlign w:val="center"/>
          </w:tcPr>
          <w:p w14:paraId="5BD59802">
            <w:pPr>
              <w:spacing w:before="91" w:beforeAutospacing="0" w:afterAutospacing="0" w:line="218" w:lineRule="auto"/>
              <w:jc w:val="center"/>
              <w:rPr>
                <w:rFonts w:hint="eastAsia" w:asciiTheme="minorEastAsia" w:hAnsiTheme="minorEastAsia" w:eastAsiaTheme="minorEastAsia" w:cstheme="minorEastAsia"/>
                <w:bCs w:val="0"/>
                <w:color w:val="auto"/>
                <w:sz w:val="24"/>
                <w:szCs w:val="24"/>
                <w:lang w:val="en-US" w:eastAsia="zh-CN"/>
              </w:rPr>
            </w:pPr>
            <w:r>
              <w:rPr>
                <w:rFonts w:hint="eastAsia" w:asciiTheme="minorEastAsia" w:hAnsiTheme="minorEastAsia" w:eastAsiaTheme="minorEastAsia" w:cstheme="minorEastAsia"/>
                <w:bCs w:val="0"/>
                <w:color w:val="auto"/>
                <w:sz w:val="24"/>
                <w:szCs w:val="24"/>
                <w:lang w:val="en-US" w:eastAsia="zh-CN"/>
              </w:rPr>
              <w:t>70</w:t>
            </w:r>
            <w:r>
              <w:rPr>
                <w:rFonts w:hint="eastAsia" w:asciiTheme="minorEastAsia" w:hAnsiTheme="minorEastAsia" w:eastAsiaTheme="minorEastAsia" w:cstheme="minorEastAsia"/>
                <w:bCs w:val="0"/>
                <w:color w:val="auto"/>
                <w:sz w:val="24"/>
                <w:szCs w:val="24"/>
              </w:rPr>
              <w:t>%≤B</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bCs w:val="0"/>
                <w:color w:val="auto"/>
                <w:sz w:val="24"/>
                <w:szCs w:val="24"/>
              </w:rPr>
              <w:t>＜</w:t>
            </w:r>
            <w:r>
              <w:rPr>
                <w:rFonts w:hint="eastAsia" w:asciiTheme="minorEastAsia" w:hAnsiTheme="minorEastAsia" w:eastAsiaTheme="minorEastAsia" w:cstheme="minorEastAsia"/>
                <w:bCs w:val="0"/>
                <w:color w:val="auto"/>
                <w:sz w:val="24"/>
                <w:szCs w:val="24"/>
                <w:lang w:val="en-US" w:eastAsia="zh-CN"/>
              </w:rPr>
              <w:t>90</w:t>
            </w:r>
            <w:r>
              <w:rPr>
                <w:rFonts w:hint="eastAsia" w:asciiTheme="minorEastAsia" w:hAnsiTheme="minorEastAsia" w:eastAsiaTheme="minorEastAsia" w:cstheme="minorEastAsia"/>
                <w:bCs w:val="0"/>
                <w:color w:val="auto"/>
                <w:sz w:val="24"/>
                <w:szCs w:val="24"/>
              </w:rPr>
              <w:t>%</w:t>
            </w:r>
          </w:p>
        </w:tc>
        <w:tc>
          <w:tcPr>
            <w:tcW w:w="2559" w:type="dxa"/>
            <w:vAlign w:val="center"/>
          </w:tcPr>
          <w:p w14:paraId="41300ED2">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B</w:t>
            </w:r>
          </w:p>
        </w:tc>
        <w:tc>
          <w:tcPr>
            <w:tcW w:w="2560" w:type="dxa"/>
            <w:vAlign w:val="center"/>
          </w:tcPr>
          <w:p w14:paraId="58EE44CE">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p>
        </w:tc>
      </w:tr>
      <w:tr w14:paraId="00E3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7" w:type="dxa"/>
            <w:vAlign w:val="center"/>
          </w:tcPr>
          <w:p w14:paraId="34A4BDE1">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6</w:t>
            </w:r>
          </w:p>
        </w:tc>
        <w:tc>
          <w:tcPr>
            <w:tcW w:w="3731" w:type="dxa"/>
            <w:vAlign w:val="center"/>
          </w:tcPr>
          <w:p w14:paraId="544DA8B9">
            <w:pPr>
              <w:spacing w:before="91" w:beforeAutospacing="0" w:afterAutospacing="0" w:line="218" w:lineRule="auto"/>
              <w:jc w:val="center"/>
              <w:rPr>
                <w:rFonts w:hint="eastAsia" w:asciiTheme="minorEastAsia" w:hAnsiTheme="minorEastAsia" w:eastAsiaTheme="minorEastAsia" w:cstheme="minorEastAsia"/>
                <w:bCs w:val="0"/>
                <w:color w:val="auto"/>
                <w:sz w:val="24"/>
                <w:szCs w:val="24"/>
                <w:lang w:val="en-US" w:eastAsia="zh-CN"/>
              </w:rPr>
            </w:pPr>
            <w:r>
              <w:rPr>
                <w:rFonts w:hint="eastAsia" w:asciiTheme="minorEastAsia" w:hAnsiTheme="minorEastAsia" w:eastAsiaTheme="minorEastAsia" w:cstheme="minorEastAsia"/>
                <w:bCs w:val="0"/>
                <w:color w:val="auto"/>
                <w:sz w:val="24"/>
                <w:szCs w:val="24"/>
              </w:rPr>
              <w:t>90%≤B</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bCs w:val="0"/>
                <w:color w:val="auto"/>
                <w:sz w:val="24"/>
                <w:szCs w:val="24"/>
              </w:rPr>
              <w:t>＜</w:t>
            </w:r>
            <w:r>
              <w:rPr>
                <w:rFonts w:hint="eastAsia" w:asciiTheme="minorEastAsia" w:hAnsiTheme="minorEastAsia" w:eastAsiaTheme="minorEastAsia" w:cstheme="minorEastAsia"/>
                <w:bCs w:val="0"/>
                <w:color w:val="auto"/>
                <w:sz w:val="24"/>
                <w:szCs w:val="24"/>
                <w:lang w:val="en-US" w:eastAsia="zh-CN"/>
              </w:rPr>
              <w:t>120%</w:t>
            </w:r>
          </w:p>
        </w:tc>
        <w:tc>
          <w:tcPr>
            <w:tcW w:w="2559" w:type="dxa"/>
            <w:vAlign w:val="center"/>
          </w:tcPr>
          <w:p w14:paraId="3F5D5151">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lang w:val="en-US" w:eastAsia="zh-CN"/>
              </w:rPr>
            </w:pPr>
            <w:r>
              <w:rPr>
                <w:rFonts w:hint="eastAsia" w:asciiTheme="minorEastAsia" w:hAnsiTheme="minorEastAsia" w:eastAsiaTheme="minorEastAsia" w:cstheme="minorEastAsia"/>
                <w:color w:val="auto"/>
                <w:spacing w:val="0"/>
                <w:sz w:val="24"/>
                <w:szCs w:val="24"/>
                <w:u w:val="none"/>
                <w:vertAlign w:val="baseline"/>
                <w:lang w:val="en-US" w:eastAsia="zh-CN"/>
              </w:rPr>
              <w:t>100</w:t>
            </w:r>
          </w:p>
        </w:tc>
        <w:tc>
          <w:tcPr>
            <w:tcW w:w="2560" w:type="dxa"/>
            <w:vAlign w:val="center"/>
          </w:tcPr>
          <w:p w14:paraId="5D5C706F">
            <w:pPr>
              <w:spacing w:before="91" w:beforeAutospacing="0" w:afterAutospacing="0" w:line="218" w:lineRule="auto"/>
              <w:jc w:val="center"/>
              <w:rPr>
                <w:rFonts w:hint="eastAsia" w:asciiTheme="minorEastAsia" w:hAnsiTheme="minorEastAsia" w:eastAsiaTheme="minorEastAsia" w:cstheme="minorEastAsia"/>
                <w:color w:val="auto"/>
                <w:spacing w:val="0"/>
                <w:sz w:val="24"/>
                <w:szCs w:val="24"/>
                <w:u w:val="none"/>
                <w:vertAlign w:val="baseline"/>
              </w:rPr>
            </w:pPr>
          </w:p>
        </w:tc>
      </w:tr>
    </w:tbl>
    <w:p w14:paraId="47506219">
      <w:pPr>
        <w:spacing w:before="65" w:beforeAutospacing="0" w:afterAutospacing="0" w:line="360" w:lineRule="exact"/>
        <w:ind w:left="0" w:firstLine="456" w:firstLineChars="200"/>
        <w:rPr>
          <w:rFonts w:ascii="宋体" w:hAnsi="宋体" w:eastAsia="宋体" w:cs="宋体"/>
          <w:color w:val="auto"/>
          <w:spacing w:val="6"/>
          <w:sz w:val="20"/>
          <w:szCs w:val="20"/>
          <w:u w:val="none"/>
        </w:rPr>
      </w:pPr>
      <w:r>
        <w:rPr>
          <w:rFonts w:hint="eastAsia" w:ascii="宋体" w:hAnsi="宋体" w:cs="宋体"/>
          <w:color w:val="auto"/>
          <w:spacing w:val="14"/>
          <w:sz w:val="20"/>
          <w:szCs w:val="20"/>
          <w:u w:val="none"/>
          <w:lang w:eastAsia="zh-CN"/>
        </w:rPr>
        <w:t>注</w:t>
      </w:r>
      <w:r>
        <w:rPr>
          <w:rFonts w:ascii="宋体" w:hAnsi="宋体" w:eastAsia="宋体" w:cs="宋体"/>
          <w:color w:val="auto"/>
          <w:spacing w:val="14"/>
          <w:sz w:val="20"/>
          <w:szCs w:val="20"/>
          <w:u w:val="none"/>
        </w:rPr>
        <w:t xml:space="preserve"> </w:t>
      </w:r>
      <w:r>
        <w:rPr>
          <w:rFonts w:ascii="宋体" w:hAnsi="宋体" w:eastAsia="宋体" w:cs="宋体"/>
          <w:color w:val="auto"/>
          <w:spacing w:val="11"/>
          <w:sz w:val="20"/>
          <w:szCs w:val="20"/>
          <w:u w:val="none"/>
        </w:rPr>
        <w:t>:</w:t>
      </w:r>
      <w:r>
        <w:rPr>
          <w:rFonts w:ascii="宋体" w:hAnsi="宋体" w:eastAsia="宋体" w:cs="宋体"/>
          <w:color w:val="auto"/>
          <w:spacing w:val="7"/>
          <w:sz w:val="20"/>
          <w:szCs w:val="20"/>
          <w:u w:val="none"/>
        </w:rPr>
        <w:t xml:space="preserve"> 在进厂水量符合设计水量的前提下，进厂污水需全部处理，不得擅自减产、停产，不得对周边环境</w:t>
      </w:r>
      <w:r>
        <w:rPr>
          <w:rFonts w:ascii="宋体" w:hAnsi="宋体" w:eastAsia="宋体" w:cs="宋体"/>
          <w:color w:val="auto"/>
          <w:sz w:val="20"/>
          <w:szCs w:val="20"/>
          <w:u w:val="none"/>
        </w:rPr>
        <w:t xml:space="preserve"> </w:t>
      </w:r>
      <w:r>
        <w:rPr>
          <w:rFonts w:ascii="宋体" w:hAnsi="宋体" w:eastAsia="宋体" w:cs="宋体"/>
          <w:color w:val="auto"/>
          <w:spacing w:val="10"/>
          <w:sz w:val="20"/>
          <w:szCs w:val="20"/>
          <w:u w:val="none"/>
        </w:rPr>
        <w:t>造成污染。若发现污水应抽未抽、应处理未处理的情况，除扣减绩效考核费用外，不免除环保等部门作出</w:t>
      </w:r>
      <w:r>
        <w:rPr>
          <w:rFonts w:ascii="宋体" w:hAnsi="宋体" w:eastAsia="宋体" w:cs="宋体"/>
          <w:color w:val="auto"/>
          <w:spacing w:val="8"/>
          <w:sz w:val="20"/>
          <w:szCs w:val="20"/>
          <w:u w:val="none"/>
        </w:rPr>
        <w:t>的</w:t>
      </w:r>
      <w:r>
        <w:rPr>
          <w:rFonts w:ascii="宋体" w:hAnsi="宋体" w:eastAsia="宋体" w:cs="宋体"/>
          <w:color w:val="auto"/>
          <w:spacing w:val="6"/>
          <w:sz w:val="20"/>
          <w:szCs w:val="20"/>
          <w:u w:val="none"/>
        </w:rPr>
        <w:t>相应处罚。</w:t>
      </w:r>
    </w:p>
    <w:p w14:paraId="609CBB1F">
      <w:pPr>
        <w:spacing w:before="56" w:line="218" w:lineRule="auto"/>
        <w:ind w:left="104"/>
        <w:rPr>
          <w:color w:val="auto"/>
          <w:u w:val="none"/>
        </w:rPr>
      </w:pPr>
      <w:r>
        <w:rPr>
          <w:rFonts w:ascii="宋体" w:hAnsi="宋体" w:eastAsia="宋体" w:cs="宋体"/>
          <w:color w:val="auto"/>
          <w:spacing w:val="3"/>
          <w:sz w:val="28"/>
          <w:szCs w:val="28"/>
          <w:u w:val="none"/>
        </w:rPr>
        <w:t>(3) 表 3  污水厂配套管网巡查维护绩效考核指</w:t>
      </w:r>
      <w:r>
        <w:rPr>
          <w:rFonts w:ascii="宋体" w:hAnsi="宋体" w:eastAsia="宋体" w:cs="宋体"/>
          <w:color w:val="auto"/>
          <w:spacing w:val="1"/>
          <w:sz w:val="28"/>
          <w:szCs w:val="28"/>
          <w:u w:val="none"/>
        </w:rPr>
        <w:t>标</w:t>
      </w:r>
      <w:r>
        <w:rPr>
          <w:rFonts w:ascii="宋体" w:hAnsi="宋体" w:eastAsia="宋体" w:cs="宋体"/>
          <w:color w:val="auto"/>
          <w:sz w:val="28"/>
          <w:szCs w:val="28"/>
          <w:u w:val="none"/>
        </w:rPr>
        <w:t>表</w:t>
      </w:r>
    </w:p>
    <w:tbl>
      <w:tblPr>
        <w:tblStyle w:val="43"/>
        <w:tblW w:w="992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114"/>
        <w:gridCol w:w="1208"/>
        <w:gridCol w:w="615"/>
        <w:gridCol w:w="6328"/>
      </w:tblGrid>
      <w:tr w14:paraId="2EFC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blHeader/>
        </w:trPr>
        <w:tc>
          <w:tcPr>
            <w:tcW w:w="657" w:type="dxa"/>
            <w:noWrap w:val="0"/>
            <w:vAlign w:val="center"/>
          </w:tcPr>
          <w:p w14:paraId="185F6A5D">
            <w:pPr>
              <w:pStyle w:val="98"/>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val="0"/>
                <w:color w:val="auto"/>
                <w:sz w:val="24"/>
                <w:szCs w:val="24"/>
              </w:rPr>
              <w:t>序号</w:t>
            </w:r>
          </w:p>
        </w:tc>
        <w:tc>
          <w:tcPr>
            <w:tcW w:w="1114" w:type="dxa"/>
            <w:noWrap w:val="0"/>
            <w:vAlign w:val="center"/>
          </w:tcPr>
          <w:p w14:paraId="0C1E5B6A">
            <w:pPr>
              <w:pStyle w:val="98"/>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val="0"/>
                <w:color w:val="auto"/>
                <w:sz w:val="24"/>
                <w:szCs w:val="24"/>
              </w:rPr>
              <w:t>考核项目</w:t>
            </w:r>
          </w:p>
        </w:tc>
        <w:tc>
          <w:tcPr>
            <w:tcW w:w="1208" w:type="dxa"/>
            <w:noWrap w:val="0"/>
            <w:vAlign w:val="center"/>
          </w:tcPr>
          <w:p w14:paraId="54C9B792">
            <w:pPr>
              <w:pStyle w:val="98"/>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val="0"/>
                <w:color w:val="auto"/>
                <w:sz w:val="24"/>
                <w:szCs w:val="24"/>
              </w:rPr>
              <w:t>考核内容</w:t>
            </w:r>
          </w:p>
        </w:tc>
        <w:tc>
          <w:tcPr>
            <w:tcW w:w="615" w:type="dxa"/>
            <w:noWrap w:val="0"/>
            <w:vAlign w:val="center"/>
          </w:tcPr>
          <w:p w14:paraId="49E3DE3D">
            <w:pPr>
              <w:pStyle w:val="98"/>
              <w:spacing w:before="118" w:beforeLines="0"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val="0"/>
                <w:color w:val="auto"/>
                <w:sz w:val="24"/>
                <w:szCs w:val="24"/>
              </w:rPr>
              <w:t>分值</w:t>
            </w:r>
          </w:p>
        </w:tc>
        <w:tc>
          <w:tcPr>
            <w:tcW w:w="6328" w:type="dxa"/>
            <w:noWrap w:val="0"/>
            <w:vAlign w:val="center"/>
          </w:tcPr>
          <w:p w14:paraId="42FC3746">
            <w:pPr>
              <w:pStyle w:val="98"/>
              <w:spacing w:before="118" w:beforeLines="0" w:line="300" w:lineRule="auto"/>
              <w:ind w:right="1"/>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val="0"/>
                <w:color w:val="auto"/>
                <w:sz w:val="24"/>
                <w:szCs w:val="24"/>
              </w:rPr>
              <w:t>评分标准</w:t>
            </w:r>
          </w:p>
        </w:tc>
      </w:tr>
      <w:tr w14:paraId="7DD5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657" w:type="dxa"/>
            <w:vMerge w:val="restart"/>
            <w:noWrap w:val="0"/>
            <w:vAlign w:val="center"/>
          </w:tcPr>
          <w:p w14:paraId="444C863C">
            <w:pPr>
              <w:pStyle w:val="98"/>
              <w:spacing w:line="300" w:lineRule="auto"/>
              <w:ind w:left="18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14" w:type="dxa"/>
            <w:vMerge w:val="restart"/>
            <w:noWrap w:val="0"/>
            <w:vAlign w:val="center"/>
          </w:tcPr>
          <w:p w14:paraId="1E03C7CD">
            <w:pPr>
              <w:pStyle w:val="98"/>
              <w:spacing w:line="300" w:lineRule="auto"/>
              <w:ind w:left="156" w:right="15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组织管理 (</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分)</w:t>
            </w:r>
          </w:p>
        </w:tc>
        <w:tc>
          <w:tcPr>
            <w:tcW w:w="1208" w:type="dxa"/>
            <w:noWrap w:val="0"/>
            <w:vAlign w:val="center"/>
          </w:tcPr>
          <w:p w14:paraId="036AA5BD">
            <w:pPr>
              <w:pStyle w:val="98"/>
              <w:spacing w:line="300" w:lineRule="auto"/>
              <w:ind w:right="15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人员配置情况</w:t>
            </w:r>
          </w:p>
        </w:tc>
        <w:tc>
          <w:tcPr>
            <w:tcW w:w="615" w:type="dxa"/>
            <w:noWrap w:val="0"/>
            <w:vAlign w:val="center"/>
          </w:tcPr>
          <w:p w14:paraId="4E990F3A">
            <w:pPr>
              <w:pStyle w:val="98"/>
              <w:spacing w:before="165" w:beforeLines="0" w:line="300" w:lineRule="auto"/>
              <w:ind w:left="1"/>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w:t>
            </w:r>
          </w:p>
        </w:tc>
        <w:tc>
          <w:tcPr>
            <w:tcW w:w="6328" w:type="dxa"/>
            <w:noWrap w:val="0"/>
            <w:vAlign w:val="center"/>
          </w:tcPr>
          <w:p w14:paraId="0FDAD476">
            <w:pPr>
              <w:pStyle w:val="98"/>
              <w:spacing w:line="300" w:lineRule="auto"/>
              <w:ind w:left="99" w:right="-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管网配置人员要求4人(配备1名专人负责到镇，当发现问题时，专人要及时回应、配合，不能推脱），每厂区配备专职管理人员，未配有专职管理人员，扣2分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；管网巡检维护人员占比低于65%，扣2分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；运行管理机构未配置的，扣8分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w:t>
            </w:r>
          </w:p>
        </w:tc>
      </w:tr>
      <w:tr w14:paraId="1B8A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trPr>
        <w:tc>
          <w:tcPr>
            <w:tcW w:w="657" w:type="dxa"/>
            <w:vMerge w:val="continue"/>
            <w:noWrap w:val="0"/>
            <w:vAlign w:val="center"/>
          </w:tcPr>
          <w:p w14:paraId="51DF9601">
            <w:pPr>
              <w:widowControl/>
              <w:spacing w:line="300" w:lineRule="auto"/>
              <w:jc w:val="center"/>
              <w:rPr>
                <w:rFonts w:hint="eastAsia" w:asciiTheme="minorEastAsia" w:hAnsiTheme="minorEastAsia" w:eastAsiaTheme="minorEastAsia" w:cstheme="minorEastAsia"/>
                <w:color w:val="auto"/>
                <w:sz w:val="24"/>
                <w:szCs w:val="24"/>
              </w:rPr>
            </w:pPr>
          </w:p>
        </w:tc>
        <w:tc>
          <w:tcPr>
            <w:tcW w:w="1114" w:type="dxa"/>
            <w:vMerge w:val="continue"/>
            <w:noWrap w:val="0"/>
            <w:vAlign w:val="center"/>
          </w:tcPr>
          <w:p w14:paraId="7AB2345C">
            <w:pPr>
              <w:widowControl/>
              <w:spacing w:line="300" w:lineRule="auto"/>
              <w:jc w:val="center"/>
              <w:rPr>
                <w:rFonts w:hint="eastAsia" w:asciiTheme="minorEastAsia" w:hAnsiTheme="minorEastAsia" w:eastAsiaTheme="minorEastAsia" w:cstheme="minorEastAsia"/>
                <w:color w:val="auto"/>
                <w:sz w:val="24"/>
                <w:szCs w:val="24"/>
              </w:rPr>
            </w:pPr>
          </w:p>
        </w:tc>
        <w:tc>
          <w:tcPr>
            <w:tcW w:w="1208" w:type="dxa"/>
            <w:noWrap w:val="0"/>
            <w:vAlign w:val="center"/>
          </w:tcPr>
          <w:p w14:paraId="67991DE7">
            <w:pPr>
              <w:pStyle w:val="98"/>
              <w:spacing w:before="150" w:beforeLines="0" w:line="300" w:lineRule="auto"/>
              <w:ind w:right="15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规章制度建设</w:t>
            </w:r>
          </w:p>
        </w:tc>
        <w:tc>
          <w:tcPr>
            <w:tcW w:w="615" w:type="dxa"/>
            <w:noWrap w:val="0"/>
            <w:vAlign w:val="center"/>
          </w:tcPr>
          <w:p w14:paraId="7BC664BC">
            <w:pPr>
              <w:pStyle w:val="98"/>
              <w:spacing w:line="300" w:lineRule="auto"/>
              <w:ind w:left="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328" w:type="dxa"/>
            <w:noWrap w:val="0"/>
            <w:vAlign w:val="center"/>
          </w:tcPr>
          <w:p w14:paraId="257D0608">
            <w:pPr>
              <w:pStyle w:val="98"/>
              <w:spacing w:before="31" w:beforeLines="0" w:line="300" w:lineRule="auto"/>
              <w:ind w:left="99" w:right="11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管理体制和运营机制、机构设置和人员配备、规章制度、档案管理等工作准备完善；缺一项扣1分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w:t>
            </w:r>
          </w:p>
        </w:tc>
      </w:tr>
      <w:tr w14:paraId="49A2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trPr>
        <w:tc>
          <w:tcPr>
            <w:tcW w:w="657" w:type="dxa"/>
            <w:vMerge w:val="continue"/>
            <w:noWrap w:val="0"/>
            <w:vAlign w:val="center"/>
          </w:tcPr>
          <w:p w14:paraId="2E9CC2E9">
            <w:pPr>
              <w:widowControl/>
              <w:spacing w:line="300" w:lineRule="auto"/>
              <w:jc w:val="center"/>
              <w:rPr>
                <w:rFonts w:hint="eastAsia" w:asciiTheme="minorEastAsia" w:hAnsiTheme="minorEastAsia" w:eastAsiaTheme="minorEastAsia" w:cstheme="minorEastAsia"/>
                <w:color w:val="auto"/>
                <w:sz w:val="24"/>
                <w:szCs w:val="24"/>
              </w:rPr>
            </w:pPr>
          </w:p>
        </w:tc>
        <w:tc>
          <w:tcPr>
            <w:tcW w:w="1114" w:type="dxa"/>
            <w:vMerge w:val="continue"/>
            <w:noWrap w:val="0"/>
            <w:vAlign w:val="center"/>
          </w:tcPr>
          <w:p w14:paraId="7D0A9ED0">
            <w:pPr>
              <w:widowControl/>
              <w:spacing w:line="300" w:lineRule="auto"/>
              <w:jc w:val="center"/>
              <w:rPr>
                <w:rFonts w:hint="eastAsia" w:asciiTheme="minorEastAsia" w:hAnsiTheme="minorEastAsia" w:eastAsiaTheme="minorEastAsia" w:cstheme="minorEastAsia"/>
                <w:color w:val="auto"/>
                <w:sz w:val="24"/>
                <w:szCs w:val="24"/>
              </w:rPr>
            </w:pPr>
          </w:p>
        </w:tc>
        <w:tc>
          <w:tcPr>
            <w:tcW w:w="1208" w:type="dxa"/>
            <w:noWrap w:val="0"/>
            <w:vAlign w:val="center"/>
          </w:tcPr>
          <w:p w14:paraId="28194D86">
            <w:pPr>
              <w:pStyle w:val="98"/>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员工技能培训</w:t>
            </w:r>
          </w:p>
        </w:tc>
        <w:tc>
          <w:tcPr>
            <w:tcW w:w="615" w:type="dxa"/>
            <w:noWrap w:val="0"/>
            <w:vAlign w:val="center"/>
          </w:tcPr>
          <w:p w14:paraId="66ACD865">
            <w:pPr>
              <w:pStyle w:val="98"/>
              <w:spacing w:before="173" w:beforeLines="0" w:line="300" w:lineRule="auto"/>
              <w:ind w:left="1"/>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6328" w:type="dxa"/>
            <w:noWrap w:val="0"/>
            <w:vAlign w:val="center"/>
          </w:tcPr>
          <w:p w14:paraId="5922237A">
            <w:pPr>
              <w:pStyle w:val="98"/>
              <w:spacing w:line="300" w:lineRule="auto"/>
              <w:ind w:left="9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每月无具体的员工技能培训计划，未按计划培训，扣2分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pacing w:val="-6"/>
                <w:sz w:val="24"/>
                <w:szCs w:val="24"/>
              </w:rPr>
              <w:t>；每月未开展员工技能培训，扣1分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pacing w:val="-6"/>
                <w:sz w:val="24"/>
                <w:szCs w:val="24"/>
              </w:rPr>
              <w:t>，培训材料、培训相片作为佐证材料。</w:t>
            </w:r>
          </w:p>
        </w:tc>
      </w:tr>
      <w:tr w14:paraId="2651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trPr>
        <w:tc>
          <w:tcPr>
            <w:tcW w:w="657" w:type="dxa"/>
            <w:vMerge w:val="restart"/>
            <w:noWrap w:val="0"/>
            <w:vAlign w:val="center"/>
          </w:tcPr>
          <w:p w14:paraId="37CA5019">
            <w:pPr>
              <w:pStyle w:val="98"/>
              <w:spacing w:line="300" w:lineRule="auto"/>
              <w:ind w:left="18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14" w:type="dxa"/>
            <w:vMerge w:val="restart"/>
            <w:noWrap w:val="0"/>
            <w:vAlign w:val="center"/>
          </w:tcPr>
          <w:p w14:paraId="57FF4AA4">
            <w:pPr>
              <w:pStyle w:val="98"/>
              <w:spacing w:before="173" w:beforeLines="0" w:line="300" w:lineRule="auto"/>
              <w:ind w:left="156" w:right="15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管网维</w:t>
            </w:r>
          </w:p>
          <w:p w14:paraId="53F18C7C">
            <w:pPr>
              <w:pStyle w:val="98"/>
              <w:spacing w:before="173" w:beforeLines="0" w:line="300" w:lineRule="auto"/>
              <w:ind w:left="156" w:right="15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护质量</w:t>
            </w:r>
          </w:p>
          <w:p w14:paraId="43ACFEC1">
            <w:pPr>
              <w:pStyle w:val="98"/>
              <w:spacing w:before="173" w:beforeLines="0" w:line="300" w:lineRule="auto"/>
              <w:ind w:left="156" w:right="15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分)</w:t>
            </w:r>
          </w:p>
        </w:tc>
        <w:tc>
          <w:tcPr>
            <w:tcW w:w="1208" w:type="dxa"/>
            <w:noWrap w:val="0"/>
            <w:vAlign w:val="center"/>
          </w:tcPr>
          <w:p w14:paraId="54A81385">
            <w:pPr>
              <w:pStyle w:val="98"/>
              <w:spacing w:before="116" w:beforeLines="0"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井盖</w:t>
            </w:r>
          </w:p>
          <w:p w14:paraId="63292C1B">
            <w:pPr>
              <w:pStyle w:val="98"/>
              <w:spacing w:before="116" w:beforeLines="0"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维护</w:t>
            </w:r>
          </w:p>
        </w:tc>
        <w:tc>
          <w:tcPr>
            <w:tcW w:w="615" w:type="dxa"/>
            <w:noWrap w:val="0"/>
            <w:vAlign w:val="center"/>
          </w:tcPr>
          <w:p w14:paraId="6309D0DB">
            <w:pPr>
              <w:pStyle w:val="98"/>
              <w:spacing w:before="172" w:beforeLines="0" w:line="300" w:lineRule="auto"/>
              <w:ind w:left="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p>
        </w:tc>
        <w:tc>
          <w:tcPr>
            <w:tcW w:w="6328" w:type="dxa"/>
            <w:noWrap w:val="0"/>
            <w:vAlign w:val="center"/>
          </w:tcPr>
          <w:p w14:paraId="317D2FA1">
            <w:pPr>
              <w:pStyle w:val="98"/>
              <w:spacing w:line="30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发现井盖缺失、损坏及移位等事故后，应当在事故发生或接到投诉2h内到达现场，组织抢修，必须及时安放护栏和警示标志，并应在8h内恢复。未提交整改报告扣2分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lang w:val="en-US" w:eastAsia="zh-CN"/>
              </w:rPr>
              <w:t>，未按照要求完成整改扣5分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lang w:val="en-US" w:eastAsia="zh-CN"/>
              </w:rPr>
              <w:t>，超过2天未完成整改扣10分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lang w:val="en-US" w:eastAsia="zh-CN"/>
              </w:rPr>
              <w:t>。</w:t>
            </w:r>
          </w:p>
        </w:tc>
      </w:tr>
      <w:tr w14:paraId="3B74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trPr>
        <w:tc>
          <w:tcPr>
            <w:tcW w:w="657" w:type="dxa"/>
            <w:vMerge w:val="continue"/>
            <w:noWrap w:val="0"/>
            <w:vAlign w:val="center"/>
          </w:tcPr>
          <w:p w14:paraId="2301358C">
            <w:pPr>
              <w:widowControl/>
              <w:spacing w:line="300" w:lineRule="auto"/>
              <w:jc w:val="center"/>
              <w:rPr>
                <w:rFonts w:hint="eastAsia" w:asciiTheme="minorEastAsia" w:hAnsiTheme="minorEastAsia" w:eastAsiaTheme="minorEastAsia" w:cstheme="minorEastAsia"/>
                <w:color w:val="auto"/>
                <w:sz w:val="24"/>
                <w:szCs w:val="24"/>
              </w:rPr>
            </w:pPr>
          </w:p>
        </w:tc>
        <w:tc>
          <w:tcPr>
            <w:tcW w:w="1114" w:type="dxa"/>
            <w:vMerge w:val="continue"/>
            <w:noWrap w:val="0"/>
            <w:vAlign w:val="center"/>
          </w:tcPr>
          <w:p w14:paraId="1AB8F688">
            <w:pPr>
              <w:widowControl/>
              <w:spacing w:line="300" w:lineRule="auto"/>
              <w:jc w:val="center"/>
              <w:rPr>
                <w:rFonts w:hint="eastAsia" w:asciiTheme="minorEastAsia" w:hAnsiTheme="minorEastAsia" w:eastAsiaTheme="minorEastAsia" w:cstheme="minorEastAsia"/>
                <w:color w:val="auto"/>
                <w:sz w:val="24"/>
                <w:szCs w:val="24"/>
              </w:rPr>
            </w:pPr>
          </w:p>
        </w:tc>
        <w:tc>
          <w:tcPr>
            <w:tcW w:w="1208" w:type="dxa"/>
            <w:noWrap w:val="0"/>
            <w:vAlign w:val="center"/>
          </w:tcPr>
          <w:p w14:paraId="3F8FAFDD">
            <w:pPr>
              <w:pStyle w:val="98"/>
              <w:spacing w:before="117" w:beforeLines="0"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检查井及污水管道</w:t>
            </w:r>
          </w:p>
        </w:tc>
        <w:tc>
          <w:tcPr>
            <w:tcW w:w="615" w:type="dxa"/>
            <w:noWrap w:val="0"/>
            <w:vAlign w:val="center"/>
          </w:tcPr>
          <w:p w14:paraId="0E943ACC">
            <w:pPr>
              <w:pStyle w:val="98"/>
              <w:spacing w:before="173" w:beforeLines="0" w:line="300" w:lineRule="auto"/>
              <w:ind w:left="1"/>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14</w:t>
            </w:r>
          </w:p>
        </w:tc>
        <w:tc>
          <w:tcPr>
            <w:tcW w:w="6328" w:type="dxa"/>
            <w:noWrap w:val="0"/>
            <w:vAlign w:val="center"/>
          </w:tcPr>
          <w:p w14:paraId="7AFC98C4">
            <w:pPr>
              <w:pStyle w:val="98"/>
              <w:spacing w:line="300" w:lineRule="auto"/>
              <w:ind w:left="9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每发现一个检查井、污水管道破损、堵塞、淤积造成污水直排的，按时整改及提交整改报告不扣分，未提交整改报告扣2分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lang w:val="en-US" w:eastAsia="zh-CN"/>
              </w:rPr>
              <w:t>，5天内未完成整改扣5分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lang w:val="en-US" w:eastAsia="zh-CN"/>
              </w:rPr>
              <w:t>。检查井内无防坠网，扣0.5分/次/个，扣完为止。</w:t>
            </w:r>
          </w:p>
        </w:tc>
      </w:tr>
      <w:tr w14:paraId="49B7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trPr>
        <w:tc>
          <w:tcPr>
            <w:tcW w:w="657" w:type="dxa"/>
            <w:vMerge w:val="continue"/>
            <w:noWrap w:val="0"/>
            <w:vAlign w:val="center"/>
          </w:tcPr>
          <w:p w14:paraId="3117D153">
            <w:pPr>
              <w:widowControl/>
              <w:spacing w:line="300" w:lineRule="auto"/>
              <w:jc w:val="center"/>
              <w:rPr>
                <w:rFonts w:hint="eastAsia" w:asciiTheme="minorEastAsia" w:hAnsiTheme="minorEastAsia" w:eastAsiaTheme="minorEastAsia" w:cstheme="minorEastAsia"/>
                <w:color w:val="auto"/>
                <w:sz w:val="24"/>
                <w:szCs w:val="24"/>
              </w:rPr>
            </w:pPr>
          </w:p>
        </w:tc>
        <w:tc>
          <w:tcPr>
            <w:tcW w:w="1114" w:type="dxa"/>
            <w:vMerge w:val="continue"/>
            <w:noWrap w:val="0"/>
            <w:vAlign w:val="center"/>
          </w:tcPr>
          <w:p w14:paraId="187BC96F">
            <w:pPr>
              <w:widowControl/>
              <w:spacing w:line="300" w:lineRule="auto"/>
              <w:jc w:val="center"/>
              <w:rPr>
                <w:rFonts w:hint="eastAsia" w:asciiTheme="minorEastAsia" w:hAnsiTheme="minorEastAsia" w:eastAsiaTheme="minorEastAsia" w:cstheme="minorEastAsia"/>
                <w:color w:val="auto"/>
                <w:sz w:val="24"/>
                <w:szCs w:val="24"/>
              </w:rPr>
            </w:pPr>
          </w:p>
        </w:tc>
        <w:tc>
          <w:tcPr>
            <w:tcW w:w="1208" w:type="dxa"/>
            <w:noWrap w:val="0"/>
            <w:vAlign w:val="center"/>
          </w:tcPr>
          <w:p w14:paraId="4A97245A">
            <w:pPr>
              <w:pStyle w:val="98"/>
              <w:spacing w:before="118" w:beforeLines="0"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截污井</w:t>
            </w:r>
          </w:p>
        </w:tc>
        <w:tc>
          <w:tcPr>
            <w:tcW w:w="615" w:type="dxa"/>
            <w:noWrap w:val="0"/>
            <w:vAlign w:val="center"/>
          </w:tcPr>
          <w:p w14:paraId="17901E70">
            <w:pPr>
              <w:pStyle w:val="98"/>
              <w:spacing w:before="174" w:beforeLines="0" w:line="300" w:lineRule="auto"/>
              <w:ind w:left="1"/>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6328" w:type="dxa"/>
            <w:noWrap w:val="0"/>
            <w:vAlign w:val="center"/>
          </w:tcPr>
          <w:p w14:paraId="2B827A13">
            <w:pPr>
              <w:pStyle w:val="98"/>
              <w:spacing w:line="300" w:lineRule="auto"/>
              <w:ind w:left="9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rPr>
              <w:t>每周定期对管网（检查井、截污井等）进行清理不少于2次（含井、井盖周边1米内无杂草），未按要求发现1次扣2分。及时对截流设施及其上下游检查井进行清疏维护，清除截污管段内的堵塞物，确保截流设施不堵塞，晴天污水不溢流。考核周期发现截污井、检查井内有大量积淤垃圾、油污、油渣的1次扣2分，清理出的垃圾、油污等未入袋处理，每次扣0.5分，扣完为止。</w:t>
            </w:r>
          </w:p>
        </w:tc>
      </w:tr>
      <w:tr w14:paraId="22D9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trPr>
        <w:tc>
          <w:tcPr>
            <w:tcW w:w="657" w:type="dxa"/>
            <w:vMerge w:val="continue"/>
            <w:noWrap w:val="0"/>
            <w:vAlign w:val="center"/>
          </w:tcPr>
          <w:p w14:paraId="36ED4409">
            <w:pPr>
              <w:widowControl/>
              <w:spacing w:line="300" w:lineRule="auto"/>
              <w:jc w:val="center"/>
              <w:rPr>
                <w:rFonts w:hint="eastAsia" w:asciiTheme="minorEastAsia" w:hAnsiTheme="minorEastAsia" w:eastAsiaTheme="minorEastAsia" w:cstheme="minorEastAsia"/>
                <w:color w:val="auto"/>
                <w:sz w:val="24"/>
                <w:szCs w:val="24"/>
              </w:rPr>
            </w:pPr>
          </w:p>
        </w:tc>
        <w:tc>
          <w:tcPr>
            <w:tcW w:w="1114" w:type="dxa"/>
            <w:vMerge w:val="continue"/>
            <w:noWrap w:val="0"/>
            <w:vAlign w:val="center"/>
          </w:tcPr>
          <w:p w14:paraId="58198CC8">
            <w:pPr>
              <w:widowControl/>
              <w:spacing w:line="300" w:lineRule="auto"/>
              <w:jc w:val="center"/>
              <w:rPr>
                <w:rFonts w:hint="eastAsia" w:asciiTheme="minorEastAsia" w:hAnsiTheme="minorEastAsia" w:eastAsiaTheme="minorEastAsia" w:cstheme="minorEastAsia"/>
                <w:color w:val="auto"/>
                <w:sz w:val="24"/>
                <w:szCs w:val="24"/>
              </w:rPr>
            </w:pPr>
          </w:p>
        </w:tc>
        <w:tc>
          <w:tcPr>
            <w:tcW w:w="1208" w:type="dxa"/>
            <w:noWrap w:val="0"/>
            <w:vAlign w:val="center"/>
          </w:tcPr>
          <w:p w14:paraId="5881DCC5">
            <w:pPr>
              <w:pStyle w:val="98"/>
              <w:spacing w:before="118" w:beforeLines="0"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制定管网设施巡查养护计划表</w:t>
            </w:r>
          </w:p>
        </w:tc>
        <w:tc>
          <w:tcPr>
            <w:tcW w:w="615" w:type="dxa"/>
            <w:noWrap w:val="0"/>
            <w:vAlign w:val="center"/>
          </w:tcPr>
          <w:p w14:paraId="1D547D40">
            <w:pPr>
              <w:pStyle w:val="98"/>
              <w:spacing w:before="174" w:beforeLines="0" w:line="300" w:lineRule="auto"/>
              <w:ind w:left="1"/>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6328" w:type="dxa"/>
            <w:noWrap w:val="0"/>
            <w:vAlign w:val="center"/>
          </w:tcPr>
          <w:p w14:paraId="1D8EA7EE">
            <w:pPr>
              <w:pStyle w:val="98"/>
              <w:spacing w:line="300" w:lineRule="auto"/>
              <w:ind w:left="99"/>
              <w:jc w:val="both"/>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编制并执行《月度管网设施巡查养护计划表》，对辖区范围内全覆盖检查井、截污口建立常态化巡查，发现问题要及时上报且处理，形成闭环管理，未编制、执行《月度管网设施巡查养护计划表》扣2分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kern w:val="0"/>
                <w:sz w:val="24"/>
                <w:szCs w:val="24"/>
                <w:lang w:val="en-US" w:eastAsia="zh-CN"/>
              </w:rPr>
              <w:t>。</w:t>
            </w:r>
          </w:p>
        </w:tc>
      </w:tr>
      <w:tr w14:paraId="0780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5" w:hRule="atLeast"/>
        </w:trPr>
        <w:tc>
          <w:tcPr>
            <w:tcW w:w="657" w:type="dxa"/>
            <w:vMerge w:val="restart"/>
            <w:noWrap w:val="0"/>
            <w:vAlign w:val="center"/>
          </w:tcPr>
          <w:p w14:paraId="519DBA80">
            <w:pPr>
              <w:pStyle w:val="98"/>
              <w:spacing w:before="160" w:beforeLines="0" w:line="300" w:lineRule="auto"/>
              <w:ind w:left="18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114" w:type="dxa"/>
            <w:vMerge w:val="restart"/>
            <w:noWrap w:val="0"/>
            <w:vAlign w:val="center"/>
          </w:tcPr>
          <w:p w14:paraId="5830BF67">
            <w:pPr>
              <w:pStyle w:val="98"/>
              <w:spacing w:line="300" w:lineRule="auto"/>
              <w:ind w:left="101" w:right="-1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日常管理（1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tc>
        <w:tc>
          <w:tcPr>
            <w:tcW w:w="1208" w:type="dxa"/>
            <w:noWrap w:val="0"/>
            <w:vAlign w:val="center"/>
          </w:tcPr>
          <w:p w14:paraId="20B8FCA9">
            <w:pPr>
              <w:pStyle w:val="98"/>
              <w:spacing w:before="185" w:beforeLines="0" w:line="300" w:lineRule="auto"/>
              <w:ind w:right="15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日常维护制度</w:t>
            </w:r>
          </w:p>
        </w:tc>
        <w:tc>
          <w:tcPr>
            <w:tcW w:w="615" w:type="dxa"/>
            <w:noWrap w:val="0"/>
            <w:vAlign w:val="center"/>
          </w:tcPr>
          <w:p w14:paraId="445B72D7">
            <w:pPr>
              <w:pStyle w:val="98"/>
              <w:spacing w:before="171" w:beforeLines="0" w:line="300" w:lineRule="auto"/>
              <w:ind w:left="1"/>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13</w:t>
            </w:r>
          </w:p>
        </w:tc>
        <w:tc>
          <w:tcPr>
            <w:tcW w:w="6328" w:type="dxa"/>
            <w:noWrap w:val="0"/>
            <w:vAlign w:val="center"/>
          </w:tcPr>
          <w:p w14:paraId="3CE218D6">
            <w:pPr>
              <w:pStyle w:val="98"/>
              <w:spacing w:before="115" w:beforeLines="0" w:line="300" w:lineRule="auto"/>
              <w:ind w:left="9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阀门井、井盖、截流井等不完好，每处扣2分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；阀门井、计量井等井内和露地管阀、管件有缺损，每处扣2分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；检查井、截污口等存在滞水、溢流现象、痕迹，未及时整改恢复原状，每次扣2分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，扣完为止。</w:t>
            </w:r>
          </w:p>
        </w:tc>
      </w:tr>
      <w:tr w14:paraId="2F28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657" w:type="dxa"/>
            <w:vMerge w:val="continue"/>
            <w:noWrap w:val="0"/>
            <w:vAlign w:val="center"/>
          </w:tcPr>
          <w:p w14:paraId="1B46A357">
            <w:pPr>
              <w:widowControl/>
              <w:spacing w:line="300" w:lineRule="auto"/>
              <w:jc w:val="center"/>
              <w:rPr>
                <w:rFonts w:hint="eastAsia" w:asciiTheme="minorEastAsia" w:hAnsiTheme="minorEastAsia" w:eastAsiaTheme="minorEastAsia" w:cstheme="minorEastAsia"/>
                <w:color w:val="auto"/>
                <w:sz w:val="24"/>
                <w:szCs w:val="24"/>
              </w:rPr>
            </w:pPr>
          </w:p>
        </w:tc>
        <w:tc>
          <w:tcPr>
            <w:tcW w:w="1114" w:type="dxa"/>
            <w:vMerge w:val="continue"/>
            <w:noWrap w:val="0"/>
            <w:vAlign w:val="center"/>
          </w:tcPr>
          <w:p w14:paraId="02727F44">
            <w:pPr>
              <w:widowControl/>
              <w:spacing w:line="300" w:lineRule="auto"/>
              <w:jc w:val="center"/>
              <w:rPr>
                <w:rFonts w:hint="eastAsia" w:asciiTheme="minorEastAsia" w:hAnsiTheme="minorEastAsia" w:eastAsiaTheme="minorEastAsia" w:cstheme="minorEastAsia"/>
                <w:color w:val="auto"/>
                <w:sz w:val="24"/>
                <w:szCs w:val="24"/>
              </w:rPr>
            </w:pPr>
          </w:p>
        </w:tc>
        <w:tc>
          <w:tcPr>
            <w:tcW w:w="1208" w:type="dxa"/>
            <w:noWrap w:val="0"/>
            <w:vAlign w:val="center"/>
          </w:tcPr>
          <w:p w14:paraId="3F461AEA">
            <w:pPr>
              <w:pStyle w:val="98"/>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维护日志</w:t>
            </w:r>
          </w:p>
        </w:tc>
        <w:tc>
          <w:tcPr>
            <w:tcW w:w="615" w:type="dxa"/>
            <w:noWrap w:val="0"/>
            <w:vAlign w:val="center"/>
          </w:tcPr>
          <w:p w14:paraId="561A51C2">
            <w:pPr>
              <w:pStyle w:val="98"/>
              <w:spacing w:before="173" w:beforeLines="0" w:line="300" w:lineRule="auto"/>
              <w:ind w:left="1"/>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6328" w:type="dxa"/>
            <w:noWrap w:val="0"/>
            <w:vAlign w:val="center"/>
          </w:tcPr>
          <w:p w14:paraId="3E3BC2CD">
            <w:pPr>
              <w:pStyle w:val="98"/>
              <w:spacing w:line="300" w:lineRule="auto"/>
              <w:ind w:left="9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根据实际情况记录维护日志，发现问题要及时上报、登记。维护记录不齐全，缺一项扣0.5分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pacing w:val="-6"/>
                <w:sz w:val="24"/>
                <w:szCs w:val="24"/>
              </w:rPr>
              <w:t>；记录数据不真实，不得分。</w:t>
            </w:r>
          </w:p>
        </w:tc>
      </w:tr>
      <w:tr w14:paraId="4CED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trPr>
        <w:tc>
          <w:tcPr>
            <w:tcW w:w="657" w:type="dxa"/>
            <w:vMerge w:val="restart"/>
            <w:noWrap w:val="0"/>
            <w:vAlign w:val="center"/>
          </w:tcPr>
          <w:p w14:paraId="6A7A1FD0">
            <w:pPr>
              <w:pStyle w:val="98"/>
              <w:spacing w:line="300" w:lineRule="auto"/>
              <w:ind w:left="18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114" w:type="dxa"/>
            <w:vMerge w:val="restart"/>
            <w:noWrap w:val="0"/>
            <w:vAlign w:val="center"/>
          </w:tcPr>
          <w:p w14:paraId="330E1D16">
            <w:pPr>
              <w:pStyle w:val="98"/>
              <w:spacing w:line="300" w:lineRule="auto"/>
              <w:ind w:left="101" w:right="-1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安全管理（</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5分）</w:t>
            </w:r>
          </w:p>
        </w:tc>
        <w:tc>
          <w:tcPr>
            <w:tcW w:w="1208" w:type="dxa"/>
            <w:noWrap w:val="0"/>
            <w:vAlign w:val="center"/>
          </w:tcPr>
          <w:p w14:paraId="2EFFFAD9">
            <w:pPr>
              <w:pStyle w:val="98"/>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安全管理制度建设</w:t>
            </w:r>
          </w:p>
        </w:tc>
        <w:tc>
          <w:tcPr>
            <w:tcW w:w="615" w:type="dxa"/>
            <w:noWrap w:val="0"/>
            <w:vAlign w:val="center"/>
          </w:tcPr>
          <w:p w14:paraId="1B4038ED">
            <w:pPr>
              <w:pStyle w:val="98"/>
              <w:spacing w:line="300" w:lineRule="auto"/>
              <w:ind w:left="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328" w:type="dxa"/>
            <w:noWrap w:val="0"/>
            <w:vAlign w:val="center"/>
          </w:tcPr>
          <w:p w14:paraId="5AA792B9">
            <w:pPr>
              <w:pStyle w:val="98"/>
              <w:spacing w:before="31" w:beforeLines="0" w:line="300" w:lineRule="auto"/>
              <w:ind w:left="99" w:right="9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无安全管理制度或不健全，安全管理制度未上墙，扣1分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；每季度无逐级签订安全生产责任书，责任未落实，扣1分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w:t>
            </w:r>
          </w:p>
        </w:tc>
      </w:tr>
      <w:tr w14:paraId="62C1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657" w:type="dxa"/>
            <w:vMerge w:val="continue"/>
            <w:noWrap w:val="0"/>
            <w:vAlign w:val="center"/>
          </w:tcPr>
          <w:p w14:paraId="231FE3F3">
            <w:pPr>
              <w:widowControl/>
              <w:spacing w:line="300" w:lineRule="auto"/>
              <w:jc w:val="center"/>
              <w:rPr>
                <w:rFonts w:hint="eastAsia" w:asciiTheme="minorEastAsia" w:hAnsiTheme="minorEastAsia" w:eastAsiaTheme="minorEastAsia" w:cstheme="minorEastAsia"/>
                <w:color w:val="auto"/>
                <w:sz w:val="24"/>
                <w:szCs w:val="24"/>
              </w:rPr>
            </w:pPr>
          </w:p>
        </w:tc>
        <w:tc>
          <w:tcPr>
            <w:tcW w:w="1114" w:type="dxa"/>
            <w:vMerge w:val="continue"/>
            <w:noWrap w:val="0"/>
            <w:vAlign w:val="center"/>
          </w:tcPr>
          <w:p w14:paraId="3787E885">
            <w:pPr>
              <w:widowControl/>
              <w:spacing w:line="300" w:lineRule="auto"/>
              <w:jc w:val="center"/>
              <w:rPr>
                <w:rFonts w:hint="eastAsia" w:asciiTheme="minorEastAsia" w:hAnsiTheme="minorEastAsia" w:eastAsiaTheme="minorEastAsia" w:cstheme="minorEastAsia"/>
                <w:color w:val="auto"/>
                <w:sz w:val="24"/>
                <w:szCs w:val="24"/>
              </w:rPr>
            </w:pPr>
          </w:p>
        </w:tc>
        <w:tc>
          <w:tcPr>
            <w:tcW w:w="1208" w:type="dxa"/>
            <w:noWrap w:val="0"/>
            <w:vAlign w:val="center"/>
          </w:tcPr>
          <w:p w14:paraId="0D4CABF6">
            <w:pPr>
              <w:pStyle w:val="98"/>
              <w:spacing w:before="147" w:beforeLines="0" w:line="300" w:lineRule="auto"/>
              <w:ind w:right="15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应急预案</w:t>
            </w:r>
          </w:p>
        </w:tc>
        <w:tc>
          <w:tcPr>
            <w:tcW w:w="615" w:type="dxa"/>
            <w:noWrap w:val="0"/>
            <w:vAlign w:val="center"/>
          </w:tcPr>
          <w:p w14:paraId="6F472AFD">
            <w:pPr>
              <w:pStyle w:val="98"/>
              <w:spacing w:line="300" w:lineRule="auto"/>
              <w:ind w:left="1"/>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6328" w:type="dxa"/>
            <w:noWrap w:val="0"/>
            <w:vAlign w:val="center"/>
          </w:tcPr>
          <w:p w14:paraId="5D094B85">
            <w:pPr>
              <w:pStyle w:val="98"/>
              <w:spacing w:before="20" w:beforeLines="0" w:line="300" w:lineRule="auto"/>
              <w:ind w:left="99" w:right="98"/>
              <w:jc w:val="both"/>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未建立安全应急预案，扣2分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pacing w:val="-6"/>
                <w:sz w:val="24"/>
                <w:szCs w:val="24"/>
              </w:rPr>
              <w:t>；</w:t>
            </w:r>
          </w:p>
          <w:p w14:paraId="6F6550A2">
            <w:pPr>
              <w:pStyle w:val="98"/>
              <w:spacing w:before="20" w:beforeLines="0" w:line="300" w:lineRule="auto"/>
              <w:ind w:left="99" w:right="9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每季度无具体的安全培训计划，扣1分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pacing w:val="-6"/>
                <w:sz w:val="24"/>
                <w:szCs w:val="24"/>
              </w:rPr>
              <w:t>；</w:t>
            </w:r>
          </w:p>
        </w:tc>
      </w:tr>
      <w:tr w14:paraId="6D94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trPr>
        <w:tc>
          <w:tcPr>
            <w:tcW w:w="657" w:type="dxa"/>
            <w:vMerge w:val="continue"/>
            <w:noWrap w:val="0"/>
            <w:vAlign w:val="center"/>
          </w:tcPr>
          <w:p w14:paraId="1B66083F">
            <w:pPr>
              <w:widowControl/>
              <w:spacing w:line="300" w:lineRule="auto"/>
              <w:jc w:val="center"/>
              <w:rPr>
                <w:rFonts w:hint="eastAsia" w:asciiTheme="minorEastAsia" w:hAnsiTheme="minorEastAsia" w:eastAsiaTheme="minorEastAsia" w:cstheme="minorEastAsia"/>
                <w:color w:val="auto"/>
                <w:sz w:val="24"/>
                <w:szCs w:val="24"/>
              </w:rPr>
            </w:pPr>
          </w:p>
        </w:tc>
        <w:tc>
          <w:tcPr>
            <w:tcW w:w="1114" w:type="dxa"/>
            <w:vMerge w:val="continue"/>
            <w:noWrap w:val="0"/>
            <w:vAlign w:val="center"/>
          </w:tcPr>
          <w:p w14:paraId="2EFC3272">
            <w:pPr>
              <w:widowControl/>
              <w:spacing w:line="300" w:lineRule="auto"/>
              <w:jc w:val="center"/>
              <w:rPr>
                <w:rFonts w:hint="eastAsia" w:asciiTheme="minorEastAsia" w:hAnsiTheme="minorEastAsia" w:eastAsiaTheme="minorEastAsia" w:cstheme="minorEastAsia"/>
                <w:color w:val="auto"/>
                <w:sz w:val="24"/>
                <w:szCs w:val="24"/>
              </w:rPr>
            </w:pPr>
          </w:p>
        </w:tc>
        <w:tc>
          <w:tcPr>
            <w:tcW w:w="1208" w:type="dxa"/>
            <w:noWrap w:val="0"/>
            <w:vAlign w:val="center"/>
          </w:tcPr>
          <w:p w14:paraId="261557D0">
            <w:pPr>
              <w:pStyle w:val="98"/>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安全事故</w:t>
            </w:r>
          </w:p>
        </w:tc>
        <w:tc>
          <w:tcPr>
            <w:tcW w:w="615" w:type="dxa"/>
            <w:noWrap w:val="0"/>
            <w:vAlign w:val="center"/>
          </w:tcPr>
          <w:p w14:paraId="0312A43F">
            <w:pPr>
              <w:pStyle w:val="98"/>
              <w:spacing w:before="172" w:beforeLines="0" w:line="300" w:lineRule="auto"/>
              <w:ind w:left="1"/>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6328" w:type="dxa"/>
            <w:noWrap w:val="0"/>
            <w:vAlign w:val="center"/>
          </w:tcPr>
          <w:p w14:paraId="2666D7E5">
            <w:pPr>
              <w:pStyle w:val="98"/>
              <w:spacing w:before="116" w:beforeLines="0" w:line="300" w:lineRule="auto"/>
              <w:ind w:left="9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发生重大安全事故，扣11分/次，此项扣分不封顶。</w:t>
            </w:r>
          </w:p>
        </w:tc>
      </w:tr>
      <w:tr w14:paraId="09DA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1" w:hRule="atLeast"/>
        </w:trPr>
        <w:tc>
          <w:tcPr>
            <w:tcW w:w="657" w:type="dxa"/>
            <w:vMerge w:val="restart"/>
            <w:noWrap w:val="0"/>
            <w:vAlign w:val="center"/>
          </w:tcPr>
          <w:p w14:paraId="12580460">
            <w:pPr>
              <w:pStyle w:val="98"/>
              <w:spacing w:line="300" w:lineRule="auto"/>
              <w:ind w:left="18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114" w:type="dxa"/>
            <w:vMerge w:val="restart"/>
            <w:noWrap w:val="0"/>
            <w:vAlign w:val="center"/>
          </w:tcPr>
          <w:p w14:paraId="176FC272">
            <w:pPr>
              <w:pStyle w:val="98"/>
              <w:spacing w:line="300" w:lineRule="auto"/>
              <w:ind w:left="101" w:right="9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档案管理（4分）</w:t>
            </w:r>
          </w:p>
        </w:tc>
        <w:tc>
          <w:tcPr>
            <w:tcW w:w="1208" w:type="dxa"/>
            <w:noWrap w:val="0"/>
            <w:vAlign w:val="center"/>
          </w:tcPr>
          <w:p w14:paraId="76C309DD">
            <w:pPr>
              <w:pStyle w:val="98"/>
              <w:spacing w:before="119" w:beforeLines="0" w:line="300" w:lineRule="auto"/>
              <w:ind w:right="15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档案管理制度建设</w:t>
            </w:r>
          </w:p>
        </w:tc>
        <w:tc>
          <w:tcPr>
            <w:tcW w:w="615" w:type="dxa"/>
            <w:noWrap w:val="0"/>
            <w:vAlign w:val="center"/>
          </w:tcPr>
          <w:p w14:paraId="2C437697">
            <w:pPr>
              <w:pStyle w:val="98"/>
              <w:spacing w:before="206" w:beforeLines="0" w:line="300" w:lineRule="auto"/>
              <w:ind w:left="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328" w:type="dxa"/>
            <w:noWrap w:val="0"/>
            <w:vAlign w:val="center"/>
          </w:tcPr>
          <w:p w14:paraId="027556B4">
            <w:pPr>
              <w:pStyle w:val="98"/>
              <w:spacing w:before="1" w:beforeLines="0" w:line="300" w:lineRule="auto"/>
              <w:ind w:left="99" w:right="-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档案管理不规范、不完整扣1分；未按要求建立有生产运行、水质、设备、材料管理、 安全、人事等档案，少一项，扣 0.5 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pacing w:val="-6"/>
                <w:sz w:val="24"/>
                <w:szCs w:val="24"/>
              </w:rPr>
              <w:t>。最高2分。</w:t>
            </w:r>
          </w:p>
        </w:tc>
      </w:tr>
      <w:tr w14:paraId="6074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1" w:hRule="atLeast"/>
        </w:trPr>
        <w:tc>
          <w:tcPr>
            <w:tcW w:w="657" w:type="dxa"/>
            <w:vMerge w:val="continue"/>
            <w:noWrap w:val="0"/>
            <w:vAlign w:val="center"/>
          </w:tcPr>
          <w:p w14:paraId="2C2C771D">
            <w:pPr>
              <w:widowControl/>
              <w:spacing w:line="300" w:lineRule="auto"/>
              <w:jc w:val="center"/>
              <w:rPr>
                <w:rFonts w:hint="eastAsia" w:asciiTheme="minorEastAsia" w:hAnsiTheme="minorEastAsia" w:eastAsiaTheme="minorEastAsia" w:cstheme="minorEastAsia"/>
                <w:color w:val="auto"/>
                <w:sz w:val="24"/>
                <w:szCs w:val="24"/>
              </w:rPr>
            </w:pPr>
          </w:p>
        </w:tc>
        <w:tc>
          <w:tcPr>
            <w:tcW w:w="1114" w:type="dxa"/>
            <w:vMerge w:val="continue"/>
            <w:noWrap w:val="0"/>
            <w:vAlign w:val="center"/>
          </w:tcPr>
          <w:p w14:paraId="08C45AAD">
            <w:pPr>
              <w:widowControl/>
              <w:spacing w:line="300" w:lineRule="auto"/>
              <w:jc w:val="center"/>
              <w:rPr>
                <w:rFonts w:hint="eastAsia" w:asciiTheme="minorEastAsia" w:hAnsiTheme="minorEastAsia" w:eastAsiaTheme="minorEastAsia" w:cstheme="minorEastAsia"/>
                <w:color w:val="auto"/>
                <w:sz w:val="24"/>
                <w:szCs w:val="24"/>
              </w:rPr>
            </w:pPr>
          </w:p>
        </w:tc>
        <w:tc>
          <w:tcPr>
            <w:tcW w:w="1208" w:type="dxa"/>
            <w:noWrap w:val="0"/>
            <w:vAlign w:val="center"/>
          </w:tcPr>
          <w:p w14:paraId="7B39E7BF">
            <w:pPr>
              <w:pStyle w:val="98"/>
              <w:spacing w:before="119" w:beforeLines="0" w:line="300" w:lineRule="auto"/>
              <w:ind w:right="15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档案信息化程度</w:t>
            </w:r>
          </w:p>
        </w:tc>
        <w:tc>
          <w:tcPr>
            <w:tcW w:w="615" w:type="dxa"/>
            <w:noWrap w:val="0"/>
            <w:vAlign w:val="center"/>
          </w:tcPr>
          <w:p w14:paraId="6A4D4757">
            <w:pPr>
              <w:pStyle w:val="98"/>
              <w:spacing w:before="206" w:beforeLines="0" w:line="300" w:lineRule="auto"/>
              <w:ind w:left="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328" w:type="dxa"/>
            <w:noWrap w:val="0"/>
            <w:vAlign w:val="center"/>
          </w:tcPr>
          <w:p w14:paraId="4173FA1C">
            <w:pPr>
              <w:pStyle w:val="98"/>
              <w:spacing w:line="300" w:lineRule="auto"/>
              <w:ind w:left="9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按要求及时归集管网巡检记录台账、维护与运行记录台账，得0.5分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；记录数据真实可靠，得分0.5分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。无台账、管理混乱、记录省略最高扣2分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w:t>
            </w:r>
          </w:p>
        </w:tc>
      </w:tr>
      <w:tr w14:paraId="24FD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0" w:hRule="atLeast"/>
        </w:trPr>
        <w:tc>
          <w:tcPr>
            <w:tcW w:w="657" w:type="dxa"/>
            <w:vMerge w:val="restart"/>
            <w:noWrap w:val="0"/>
            <w:vAlign w:val="center"/>
          </w:tcPr>
          <w:p w14:paraId="521EED1E">
            <w:pPr>
              <w:pStyle w:val="98"/>
              <w:spacing w:line="300" w:lineRule="auto"/>
              <w:ind w:left="18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114" w:type="dxa"/>
            <w:vMerge w:val="restart"/>
            <w:noWrap w:val="0"/>
            <w:vAlign w:val="center"/>
          </w:tcPr>
          <w:p w14:paraId="2C7A3A1A">
            <w:pPr>
              <w:pStyle w:val="98"/>
              <w:spacing w:before="193" w:beforeLines="0" w:line="300" w:lineRule="auto"/>
              <w:ind w:left="101" w:right="-1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维护质量（1</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w:t>
            </w:r>
          </w:p>
        </w:tc>
        <w:tc>
          <w:tcPr>
            <w:tcW w:w="1208" w:type="dxa"/>
            <w:noWrap w:val="0"/>
            <w:vAlign w:val="center"/>
          </w:tcPr>
          <w:p w14:paraId="384F542E">
            <w:pPr>
              <w:pStyle w:val="98"/>
              <w:spacing w:before="150" w:beforeLines="0" w:line="300" w:lineRule="auto"/>
              <w:ind w:right="15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维护效率</w:t>
            </w:r>
          </w:p>
        </w:tc>
        <w:tc>
          <w:tcPr>
            <w:tcW w:w="615" w:type="dxa"/>
            <w:noWrap w:val="0"/>
            <w:vAlign w:val="center"/>
          </w:tcPr>
          <w:p w14:paraId="39B1C742">
            <w:pPr>
              <w:pStyle w:val="98"/>
              <w:spacing w:line="300" w:lineRule="auto"/>
              <w:ind w:left="1"/>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6328" w:type="dxa"/>
            <w:noWrap w:val="0"/>
            <w:vAlign w:val="center"/>
          </w:tcPr>
          <w:p w14:paraId="16C2B47E">
            <w:pPr>
              <w:pStyle w:val="98"/>
              <w:spacing w:before="31" w:beforeLines="0" w:line="300" w:lineRule="auto"/>
              <w:ind w:left="99" w:right="-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对各项检查中存在的问题能及时整改，得8分</w:t>
            </w:r>
            <w:r>
              <w:rPr>
                <w:rFonts w:hint="eastAsia" w:asciiTheme="minorEastAsia" w:hAnsiTheme="minorEastAsia" w:eastAsiaTheme="minorEastAsia" w:cstheme="minorEastAsia"/>
                <w:color w:val="auto"/>
                <w:sz w:val="24"/>
                <w:szCs w:val="44"/>
                <w:lang w:val="en-US" w:eastAsia="zh-CN"/>
              </w:rPr>
              <w:t>/次</w:t>
            </w:r>
            <w:r>
              <w:rPr>
                <w:rFonts w:hint="eastAsia" w:asciiTheme="minorEastAsia" w:hAnsiTheme="minorEastAsia" w:eastAsiaTheme="minorEastAsia" w:cstheme="minorEastAsia"/>
                <w:color w:val="auto"/>
                <w:sz w:val="24"/>
                <w:szCs w:val="24"/>
              </w:rPr>
              <w:t>；整改不到位，扣1分/次。</w:t>
            </w:r>
          </w:p>
        </w:tc>
      </w:tr>
      <w:tr w14:paraId="122B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657" w:type="dxa"/>
            <w:vMerge w:val="continue"/>
            <w:noWrap w:val="0"/>
            <w:vAlign w:val="center"/>
          </w:tcPr>
          <w:p w14:paraId="36FB8A8E">
            <w:pPr>
              <w:widowControl/>
              <w:spacing w:line="300" w:lineRule="auto"/>
              <w:jc w:val="center"/>
              <w:rPr>
                <w:rFonts w:hint="eastAsia" w:asciiTheme="minorEastAsia" w:hAnsiTheme="minorEastAsia" w:eastAsiaTheme="minorEastAsia" w:cstheme="minorEastAsia"/>
                <w:color w:val="auto"/>
                <w:sz w:val="24"/>
                <w:szCs w:val="24"/>
              </w:rPr>
            </w:pPr>
          </w:p>
        </w:tc>
        <w:tc>
          <w:tcPr>
            <w:tcW w:w="1114" w:type="dxa"/>
            <w:vMerge w:val="continue"/>
            <w:noWrap w:val="0"/>
            <w:vAlign w:val="center"/>
          </w:tcPr>
          <w:p w14:paraId="6FB87507">
            <w:pPr>
              <w:widowControl/>
              <w:spacing w:line="300" w:lineRule="auto"/>
              <w:jc w:val="center"/>
              <w:rPr>
                <w:rFonts w:hint="eastAsia" w:asciiTheme="minorEastAsia" w:hAnsiTheme="minorEastAsia" w:eastAsiaTheme="minorEastAsia" w:cstheme="minorEastAsia"/>
                <w:color w:val="auto"/>
                <w:sz w:val="24"/>
                <w:szCs w:val="24"/>
              </w:rPr>
            </w:pPr>
          </w:p>
        </w:tc>
        <w:tc>
          <w:tcPr>
            <w:tcW w:w="1208" w:type="dxa"/>
            <w:noWrap w:val="0"/>
            <w:vAlign w:val="center"/>
          </w:tcPr>
          <w:p w14:paraId="616C800E">
            <w:pPr>
              <w:pStyle w:val="98"/>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投诉情况</w:t>
            </w:r>
          </w:p>
        </w:tc>
        <w:tc>
          <w:tcPr>
            <w:tcW w:w="615" w:type="dxa"/>
            <w:noWrap w:val="0"/>
            <w:vAlign w:val="center"/>
          </w:tcPr>
          <w:p w14:paraId="46C39EA2">
            <w:pPr>
              <w:pStyle w:val="98"/>
              <w:spacing w:before="173" w:beforeLines="0" w:line="300" w:lineRule="auto"/>
              <w:ind w:left="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6328" w:type="dxa"/>
            <w:noWrap w:val="0"/>
            <w:vAlign w:val="center"/>
          </w:tcPr>
          <w:p w14:paraId="28CBE8F5">
            <w:pPr>
              <w:pStyle w:val="98"/>
              <w:spacing w:line="300" w:lineRule="auto"/>
              <w:ind w:left="9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如有投诉并经查属实的，扣1分/次。</w:t>
            </w:r>
          </w:p>
        </w:tc>
      </w:tr>
    </w:tbl>
    <w:p w14:paraId="12F10299">
      <w:pPr>
        <w:rPr>
          <w:color w:val="auto"/>
          <w:u w:val="none"/>
        </w:rPr>
        <w:sectPr>
          <w:footerReference r:id="rId8" w:type="default"/>
          <w:pgSz w:w="11906" w:h="16839"/>
          <w:pgMar w:top="1134" w:right="897" w:bottom="1091" w:left="988" w:header="0" w:footer="931" w:gutter="0"/>
          <w:cols w:space="720" w:num="1"/>
          <w:docGrid w:linePitch="0" w:charSpace="0"/>
        </w:sectPr>
      </w:pPr>
    </w:p>
    <w:p w14:paraId="3B981082">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（二）污水厂区、泵站设施运营维护绩效考核绩效考核计分方法以及考核费用 </w:t>
      </w:r>
    </w:p>
    <w:p w14:paraId="376B176A">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支付方式 </w:t>
      </w:r>
    </w:p>
    <w:p w14:paraId="44103BB8">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1.计分方法。运营期绩效考核办法采用季度考核方式进行，考核方式采用满分100分制，实行扣分制 。每季度运营期绩效考核得分按照如下公式计算：N=Nl×</w:t>
      </w:r>
      <w:r>
        <w:rPr>
          <w:rFonts w:hint="eastAsia" w:ascii="宋体" w:cs="Times New Roman"/>
          <w:color w:val="auto"/>
          <w:sz w:val="28"/>
          <w:szCs w:val="28"/>
          <w:u w:val="none"/>
          <w:lang w:val="en-US" w:eastAsia="zh-CN"/>
        </w:rPr>
        <w:t>5</w:t>
      </w:r>
      <w:r>
        <w:rPr>
          <w:rFonts w:hint="eastAsia" w:ascii="宋体" w:hAnsi="Times New Roman" w:cs="Times New Roman"/>
          <w:color w:val="auto"/>
          <w:sz w:val="28"/>
          <w:szCs w:val="28"/>
          <w:u w:val="none"/>
          <w:lang w:val="en-US" w:eastAsia="zh-CN"/>
        </w:rPr>
        <w:t>0%+N2×</w:t>
      </w:r>
      <w:r>
        <w:rPr>
          <w:rFonts w:hint="eastAsia" w:ascii="宋体" w:cs="Times New Roman"/>
          <w:color w:val="auto"/>
          <w:sz w:val="28"/>
          <w:szCs w:val="28"/>
          <w:u w:val="none"/>
          <w:lang w:val="en-US" w:eastAsia="zh-CN"/>
        </w:rPr>
        <w:t>2</w:t>
      </w:r>
      <w:r>
        <w:rPr>
          <w:rFonts w:hint="eastAsia" w:ascii="宋体" w:hAnsi="Times New Roman" w:cs="Times New Roman"/>
          <w:color w:val="auto"/>
          <w:sz w:val="28"/>
          <w:szCs w:val="28"/>
          <w:u w:val="none"/>
          <w:lang w:val="en-US" w:eastAsia="zh-CN"/>
        </w:rPr>
        <w:t xml:space="preserve">0%+N3×30%。 </w:t>
      </w:r>
    </w:p>
    <w:p w14:paraId="1C0B347D">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N为运营期当季度绩效考核得分； </w:t>
      </w:r>
    </w:p>
    <w:p w14:paraId="3187B847">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Nl为污水处理厂及其泵站设施运营维护绩效考核当季度得分值，分值按照上述表 1 考核评定； </w:t>
      </w:r>
    </w:p>
    <w:p w14:paraId="2E8D52DC">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N2为污水处理水量绩效考核当季度得分值，分值按照上述表2考核评定； </w:t>
      </w:r>
    </w:p>
    <w:p w14:paraId="49FBB81D">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N3为为污水厂配套管网巡查维护绩效考核当季度得分值，分值按照上述表表3考核评定。 </w:t>
      </w:r>
    </w:p>
    <w:p w14:paraId="063C2367">
      <w:pPr>
        <w:spacing w:beforeAutospacing="0" w:afterAutospacing="0" w:line="540" w:lineRule="exact"/>
        <w:ind w:firstLine="560" w:firstLineChars="200"/>
        <w:rPr>
          <w:rFonts w:hint="eastAsia" w:ascii="宋体" w:hAnsi="Times New Roman" w:eastAsia="宋体" w:cs="Times New Roman"/>
          <w:color w:val="auto"/>
          <w:sz w:val="28"/>
          <w:szCs w:val="28"/>
          <w:u w:val="none"/>
          <w:lang w:val="en-US" w:eastAsia="zh-CN"/>
        </w:rPr>
      </w:pPr>
      <w:r>
        <w:rPr>
          <w:rFonts w:hint="eastAsia" w:ascii="宋体" w:hAnsi="Times New Roman" w:eastAsia="宋体" w:cs="Times New Roman"/>
          <w:color w:val="auto"/>
          <w:sz w:val="28"/>
          <w:szCs w:val="28"/>
          <w:u w:val="none"/>
          <w:lang w:val="en-US" w:eastAsia="zh-CN"/>
        </w:rPr>
        <w:t xml:space="preserve">2.季度考核绩效费用 </w:t>
      </w:r>
    </w:p>
    <w:p w14:paraId="6BA9437C">
      <w:pPr>
        <w:spacing w:beforeAutospacing="0" w:afterAutospacing="0" w:line="540" w:lineRule="exact"/>
        <w:ind w:firstLine="560" w:firstLineChars="200"/>
        <w:rPr>
          <w:rFonts w:hint="eastAsia" w:ascii="宋体" w:hAnsi="Times New Roman" w:cs="Times New Roman"/>
          <w:color w:val="auto"/>
          <w:sz w:val="28"/>
          <w:szCs w:val="28"/>
          <w:u w:val="none"/>
          <w:lang w:val="en-US" w:eastAsia="zh-CN"/>
        </w:rPr>
      </w:pPr>
      <w:r>
        <w:rPr>
          <w:rFonts w:hint="eastAsia" w:ascii="宋体" w:hAnsi="Times New Roman" w:cs="Times New Roman"/>
          <w:color w:val="auto"/>
          <w:sz w:val="28"/>
          <w:szCs w:val="28"/>
          <w:u w:val="none"/>
          <w:lang w:val="en-US" w:eastAsia="zh-CN"/>
        </w:rPr>
        <w:t>当季度业主支付的绩效考核费用与当期的绩效考核评分挂钩，计算公式为当季度实际支付的绩效考核 费用（F)＝厂区、配套污水管网、泵站当季度考核绩效费用（G）×绩效考核系数（β），其中： F为当季度实际支付的绩效考核费用；当季度受考核的绩效费用G= 厂区、配套污水管网、泵站年费用／4季度； β为绩效考核系数，根据表4计算得出；</w:t>
      </w:r>
    </w:p>
    <w:p w14:paraId="2FE7C053">
      <w:pPr>
        <w:spacing w:beforeAutospacing="0" w:afterAutospacing="0" w:line="540" w:lineRule="exact"/>
        <w:ind w:firstLine="560" w:firstLineChars="200"/>
        <w:rPr>
          <w:rFonts w:hint="eastAsia" w:ascii="宋体" w:hAnsi="Times New Roman" w:cs="Times New Roman"/>
          <w:color w:val="auto"/>
          <w:sz w:val="28"/>
          <w:szCs w:val="28"/>
          <w:u w:val="none"/>
          <w:lang w:val="en-US" w:eastAsia="zh-CN"/>
        </w:rPr>
      </w:pPr>
    </w:p>
    <w:p w14:paraId="7FAEF702">
      <w:pPr>
        <w:spacing w:beforeAutospacing="0" w:afterAutospacing="0" w:line="540" w:lineRule="exact"/>
        <w:ind w:firstLine="560" w:firstLineChars="200"/>
        <w:rPr>
          <w:rFonts w:hint="eastAsia" w:ascii="宋体" w:hAnsi="Times New Roman" w:cs="Times New Roman"/>
          <w:color w:val="auto"/>
          <w:sz w:val="28"/>
          <w:szCs w:val="28"/>
          <w:u w:val="none"/>
          <w:lang w:val="en-US" w:eastAsia="zh-CN"/>
        </w:rPr>
      </w:pPr>
    </w:p>
    <w:p w14:paraId="30733DA0">
      <w:pPr>
        <w:spacing w:beforeAutospacing="0" w:afterAutospacing="0" w:line="540" w:lineRule="exact"/>
        <w:ind w:firstLine="560" w:firstLineChars="200"/>
        <w:rPr>
          <w:rFonts w:hint="eastAsia" w:ascii="宋体" w:hAnsi="Times New Roman" w:cs="Times New Roman"/>
          <w:color w:val="auto"/>
          <w:sz w:val="28"/>
          <w:szCs w:val="28"/>
          <w:u w:val="none"/>
          <w:lang w:val="en-US" w:eastAsia="zh-CN"/>
        </w:rPr>
      </w:pPr>
    </w:p>
    <w:p w14:paraId="45CD144D">
      <w:pPr>
        <w:spacing w:beforeAutospacing="0" w:afterAutospacing="0" w:line="540" w:lineRule="exact"/>
        <w:ind w:firstLine="560" w:firstLineChars="200"/>
        <w:rPr>
          <w:rFonts w:hint="eastAsia" w:ascii="宋体" w:hAnsi="Times New Roman" w:cs="Times New Roman"/>
          <w:color w:val="auto"/>
          <w:sz w:val="28"/>
          <w:szCs w:val="28"/>
          <w:u w:val="none"/>
          <w:lang w:val="en-US" w:eastAsia="zh-CN"/>
        </w:rPr>
      </w:pPr>
    </w:p>
    <w:p w14:paraId="6527EBD4">
      <w:pPr>
        <w:pStyle w:val="16"/>
        <w:rPr>
          <w:rFonts w:hint="eastAsia"/>
          <w:color w:val="auto"/>
          <w:u w:val="none"/>
          <w:lang w:val="en-US" w:eastAsia="zh-CN"/>
        </w:rPr>
      </w:pPr>
    </w:p>
    <w:p w14:paraId="1E639F69">
      <w:pPr>
        <w:spacing w:beforeAutospacing="0" w:afterAutospacing="0" w:line="540" w:lineRule="exact"/>
        <w:ind w:firstLine="560" w:firstLineChars="200"/>
        <w:rPr>
          <w:rFonts w:hint="eastAsia" w:ascii="宋体" w:hAnsi="Times New Roman" w:cs="Times New Roman"/>
          <w:color w:val="auto"/>
          <w:sz w:val="28"/>
          <w:szCs w:val="28"/>
          <w:u w:val="none"/>
          <w:lang w:val="en-US" w:eastAsia="zh-CN"/>
        </w:rPr>
      </w:pPr>
    </w:p>
    <w:p w14:paraId="6C0D5137">
      <w:pPr>
        <w:spacing w:beforeAutospacing="0" w:afterAutospacing="0" w:line="540" w:lineRule="exact"/>
        <w:ind w:firstLine="560" w:firstLineChars="200"/>
        <w:rPr>
          <w:rFonts w:hint="eastAsia" w:ascii="宋体" w:hAnsi="Times New Roman" w:cs="Times New Roman"/>
          <w:color w:val="auto"/>
          <w:sz w:val="28"/>
          <w:szCs w:val="28"/>
          <w:u w:val="none"/>
          <w:lang w:val="en-US" w:eastAsia="zh-CN"/>
        </w:rPr>
      </w:pPr>
      <w:r>
        <w:rPr>
          <w:rFonts w:hint="eastAsia" w:ascii="宋体" w:hAnsi="Times New Roman" w:cs="Times New Roman"/>
          <w:color w:val="auto"/>
          <w:sz w:val="28"/>
          <w:szCs w:val="28"/>
          <w:u w:val="none"/>
          <w:lang w:val="en-US" w:eastAsia="zh-CN"/>
        </w:rPr>
        <w:t xml:space="preserve">表 4 考核得分与绩效考核系数表 </w:t>
      </w:r>
    </w:p>
    <w:tbl>
      <w:tblPr>
        <w:tblStyle w:val="43"/>
        <w:tblpPr w:leftFromText="180" w:rightFromText="180" w:vertAnchor="text" w:horzAnchor="page" w:tblpX="1731" w:tblpY="177"/>
        <w:tblOverlap w:val="never"/>
        <w:tblW w:w="86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3"/>
        <w:gridCol w:w="2491"/>
        <w:gridCol w:w="3607"/>
      </w:tblGrid>
      <w:tr w14:paraId="7203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3" w:type="dxa"/>
            <w:tcBorders>
              <w:top w:val="single" w:color="auto" w:sz="4" w:space="0"/>
              <w:left w:val="single" w:color="auto" w:sz="4" w:space="0"/>
              <w:bottom w:val="single" w:color="auto" w:sz="4" w:space="0"/>
              <w:right w:val="single" w:color="auto" w:sz="4" w:space="0"/>
            </w:tcBorders>
            <w:vAlign w:val="center"/>
          </w:tcPr>
          <w:p w14:paraId="6E610178">
            <w:pPr>
              <w:spacing w:beforeAutospacing="0" w:afterAutospacing="0" w:line="400" w:lineRule="exact"/>
              <w:jc w:val="center"/>
              <w:rPr>
                <w:rFonts w:ascii="仿宋_GB2312" w:hAnsi="仿宋_GB2312" w:eastAsia="仿宋_GB2312" w:cs="仿宋_GB2312"/>
                <w:b/>
                <w:bCs/>
                <w:color w:val="auto"/>
                <w:sz w:val="24"/>
                <w:szCs w:val="44"/>
                <w:u w:val="none"/>
              </w:rPr>
            </w:pPr>
            <w:r>
              <w:rPr>
                <w:rFonts w:hint="eastAsia" w:ascii="仿宋_GB2312" w:hAnsi="仿宋_GB2312" w:eastAsia="仿宋_GB2312" w:cs="仿宋_GB2312"/>
                <w:b/>
                <w:bCs/>
                <w:color w:val="auto"/>
                <w:sz w:val="24"/>
                <w:szCs w:val="44"/>
                <w:u w:val="none"/>
              </w:rPr>
              <w:t>绩效考核得分（N）</w:t>
            </w:r>
          </w:p>
        </w:tc>
        <w:tc>
          <w:tcPr>
            <w:tcW w:w="2491" w:type="dxa"/>
            <w:tcBorders>
              <w:top w:val="single" w:color="auto" w:sz="4" w:space="0"/>
              <w:left w:val="nil"/>
              <w:bottom w:val="single" w:color="auto" w:sz="4" w:space="0"/>
              <w:right w:val="single" w:color="auto" w:sz="4" w:space="0"/>
            </w:tcBorders>
            <w:vAlign w:val="center"/>
          </w:tcPr>
          <w:p w14:paraId="1393722A">
            <w:pPr>
              <w:spacing w:beforeAutospacing="0" w:afterAutospacing="0" w:line="400" w:lineRule="exact"/>
              <w:jc w:val="center"/>
              <w:rPr>
                <w:rFonts w:ascii="仿宋_GB2312" w:hAnsi="仿宋_GB2312" w:eastAsia="仿宋_GB2312" w:cs="仿宋_GB2312"/>
                <w:b/>
                <w:bCs/>
                <w:color w:val="auto"/>
                <w:sz w:val="24"/>
                <w:szCs w:val="44"/>
                <w:u w:val="none"/>
              </w:rPr>
            </w:pPr>
            <w:r>
              <w:rPr>
                <w:rFonts w:hint="eastAsia" w:ascii="仿宋_GB2312" w:hAnsi="仿宋_GB2312" w:eastAsia="仿宋_GB2312" w:cs="仿宋_GB2312"/>
                <w:b/>
                <w:bCs/>
                <w:color w:val="auto"/>
                <w:sz w:val="24"/>
                <w:szCs w:val="44"/>
                <w:u w:val="none"/>
              </w:rPr>
              <w:t>绩效考核系数（β）</w:t>
            </w:r>
          </w:p>
        </w:tc>
        <w:tc>
          <w:tcPr>
            <w:tcW w:w="3607" w:type="dxa"/>
            <w:tcBorders>
              <w:top w:val="single" w:color="auto" w:sz="4" w:space="0"/>
              <w:left w:val="nil"/>
              <w:bottom w:val="single" w:color="auto" w:sz="4" w:space="0"/>
              <w:right w:val="single" w:color="auto" w:sz="4" w:space="0"/>
            </w:tcBorders>
            <w:vAlign w:val="center"/>
          </w:tcPr>
          <w:p w14:paraId="15071963">
            <w:pPr>
              <w:spacing w:beforeAutospacing="0" w:afterAutospacing="0" w:line="400" w:lineRule="exact"/>
              <w:jc w:val="center"/>
              <w:rPr>
                <w:rFonts w:ascii="仿宋_GB2312" w:hAnsi="仿宋_GB2312" w:eastAsia="仿宋_GB2312" w:cs="仿宋_GB2312"/>
                <w:b/>
                <w:bCs/>
                <w:color w:val="auto"/>
                <w:sz w:val="24"/>
                <w:szCs w:val="44"/>
                <w:u w:val="none"/>
              </w:rPr>
            </w:pPr>
            <w:r>
              <w:rPr>
                <w:rFonts w:hint="eastAsia" w:ascii="仿宋_GB2312" w:hAnsi="仿宋_GB2312" w:eastAsia="仿宋_GB2312" w:cs="仿宋_GB2312"/>
                <w:b/>
                <w:bCs/>
                <w:color w:val="auto"/>
                <w:sz w:val="24"/>
                <w:szCs w:val="44"/>
                <w:u w:val="none"/>
              </w:rPr>
              <w:t>备注</w:t>
            </w:r>
          </w:p>
        </w:tc>
      </w:tr>
      <w:tr w14:paraId="243E1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3" w:type="dxa"/>
            <w:tcBorders>
              <w:top w:val="single" w:color="auto" w:sz="4" w:space="0"/>
              <w:left w:val="single" w:color="auto" w:sz="4" w:space="0"/>
              <w:bottom w:val="single" w:color="auto" w:sz="4" w:space="0"/>
              <w:right w:val="single" w:color="auto" w:sz="4" w:space="0"/>
            </w:tcBorders>
            <w:vAlign w:val="center"/>
          </w:tcPr>
          <w:p w14:paraId="0C7FA861">
            <w:pPr>
              <w:spacing w:beforeAutospacing="0" w:afterAutospacing="0" w:line="300" w:lineRule="auto"/>
              <w:ind w:firstLine="0"/>
              <w:jc w:val="center"/>
              <w:rPr>
                <w:rFonts w:ascii="仿宋_GB2312" w:hAnsi="仿宋_GB2312" w:eastAsia="仿宋_GB2312" w:cs="仿宋_GB2312"/>
                <w:color w:val="auto"/>
                <w:sz w:val="24"/>
                <w:szCs w:val="44"/>
                <w:u w:val="none"/>
              </w:rPr>
            </w:pPr>
            <w:r>
              <w:rPr>
                <w:rFonts w:hint="eastAsia" w:ascii="仿宋_GB2312" w:hAnsi="仿宋_GB2312" w:eastAsia="仿宋_GB2312" w:cs="仿宋_GB2312"/>
                <w:color w:val="auto"/>
                <w:sz w:val="24"/>
                <w:szCs w:val="44"/>
                <w:u w:val="none"/>
              </w:rPr>
              <w:t>9</w:t>
            </w:r>
            <w:r>
              <w:rPr>
                <w:rFonts w:hint="eastAsia" w:ascii="仿宋_GB2312" w:hAnsi="仿宋_GB2312" w:eastAsia="仿宋_GB2312" w:cs="仿宋_GB2312"/>
                <w:color w:val="auto"/>
                <w:sz w:val="24"/>
                <w:szCs w:val="44"/>
                <w:u w:val="none"/>
                <w:lang w:val="en-US" w:eastAsia="zh-CN"/>
              </w:rPr>
              <w:t>0</w:t>
            </w:r>
            <w:r>
              <w:rPr>
                <w:rFonts w:hint="eastAsia" w:ascii="仿宋_GB2312" w:hAnsi="仿宋_GB2312" w:eastAsia="仿宋_GB2312" w:cs="仿宋_GB2312"/>
                <w:color w:val="auto"/>
                <w:sz w:val="24"/>
                <w:szCs w:val="44"/>
                <w:u w:val="none"/>
              </w:rPr>
              <w:t>≤N≤100</w:t>
            </w:r>
          </w:p>
        </w:tc>
        <w:tc>
          <w:tcPr>
            <w:tcW w:w="2491" w:type="dxa"/>
            <w:tcBorders>
              <w:top w:val="single" w:color="auto" w:sz="4" w:space="0"/>
              <w:left w:val="nil"/>
              <w:bottom w:val="single" w:color="auto" w:sz="4" w:space="0"/>
              <w:right w:val="single" w:color="auto" w:sz="4" w:space="0"/>
            </w:tcBorders>
            <w:vAlign w:val="center"/>
          </w:tcPr>
          <w:p w14:paraId="6863565D">
            <w:pPr>
              <w:spacing w:beforeAutospacing="0" w:afterAutospacing="0" w:line="300" w:lineRule="auto"/>
              <w:ind w:firstLine="0"/>
              <w:jc w:val="center"/>
              <w:rPr>
                <w:rFonts w:ascii="仿宋_GB2312" w:hAnsi="仿宋_GB2312" w:eastAsia="仿宋_GB2312" w:cs="仿宋_GB2312"/>
                <w:color w:val="auto"/>
                <w:sz w:val="24"/>
                <w:szCs w:val="44"/>
                <w:u w:val="none"/>
              </w:rPr>
            </w:pPr>
            <w:r>
              <w:rPr>
                <w:rFonts w:hint="eastAsia" w:ascii="仿宋_GB2312" w:hAnsi="仿宋_GB2312" w:eastAsia="仿宋_GB2312" w:cs="仿宋_GB2312"/>
                <w:color w:val="auto"/>
                <w:sz w:val="24"/>
                <w:szCs w:val="44"/>
                <w:u w:val="none"/>
              </w:rPr>
              <w:t>β=1</w:t>
            </w:r>
          </w:p>
        </w:tc>
        <w:tc>
          <w:tcPr>
            <w:tcW w:w="3607" w:type="dxa"/>
            <w:tcBorders>
              <w:top w:val="single" w:color="auto" w:sz="4" w:space="0"/>
              <w:left w:val="nil"/>
              <w:bottom w:val="single" w:color="auto" w:sz="4" w:space="0"/>
              <w:right w:val="single" w:color="auto" w:sz="4" w:space="0"/>
            </w:tcBorders>
            <w:vAlign w:val="center"/>
          </w:tcPr>
          <w:p w14:paraId="16FC67AD">
            <w:pPr>
              <w:spacing w:beforeAutospacing="0" w:afterAutospacing="0" w:line="300" w:lineRule="auto"/>
              <w:ind w:firstLine="0"/>
              <w:jc w:val="both"/>
              <w:rPr>
                <w:rFonts w:ascii="仿宋_GB2312" w:hAnsi="仿宋_GB2312" w:eastAsia="仿宋_GB2312" w:cs="仿宋_GB2312"/>
                <w:color w:val="auto"/>
                <w:sz w:val="24"/>
                <w:szCs w:val="44"/>
                <w:u w:val="none"/>
              </w:rPr>
            </w:pPr>
            <w:r>
              <w:rPr>
                <w:rFonts w:hint="eastAsia" w:ascii="仿宋_GB2312" w:hAnsi="仿宋_GB2312" w:eastAsia="仿宋_GB2312" w:cs="仿宋_GB2312"/>
                <w:color w:val="auto"/>
                <w:sz w:val="24"/>
                <w:szCs w:val="44"/>
                <w:u w:val="none"/>
              </w:rPr>
              <w:t>全额支付</w:t>
            </w:r>
            <w:r>
              <w:rPr>
                <w:rFonts w:hint="eastAsia" w:ascii="仿宋_GB2312" w:hAnsi="仿宋_GB2312" w:eastAsia="仿宋_GB2312" w:cs="仿宋_GB2312"/>
                <w:color w:val="auto"/>
                <w:sz w:val="24"/>
                <w:szCs w:val="44"/>
                <w:u w:val="none"/>
                <w:lang w:eastAsia="zh-CN"/>
              </w:rPr>
              <w:t>受</w:t>
            </w:r>
            <w:r>
              <w:rPr>
                <w:rFonts w:hint="eastAsia" w:ascii="仿宋_GB2312" w:hAnsi="仿宋_GB2312" w:eastAsia="仿宋_GB2312" w:cs="仿宋_GB2312"/>
                <w:color w:val="auto"/>
                <w:sz w:val="24"/>
                <w:szCs w:val="44"/>
                <w:u w:val="none"/>
              </w:rPr>
              <w:t>绩效考核费用</w:t>
            </w:r>
          </w:p>
        </w:tc>
      </w:tr>
      <w:tr w14:paraId="2A498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583" w:type="dxa"/>
            <w:tcBorders>
              <w:top w:val="single" w:color="auto" w:sz="4" w:space="0"/>
              <w:left w:val="single" w:color="auto" w:sz="4" w:space="0"/>
              <w:bottom w:val="single" w:color="auto" w:sz="4" w:space="0"/>
              <w:right w:val="single" w:color="auto" w:sz="4" w:space="0"/>
            </w:tcBorders>
            <w:vAlign w:val="center"/>
          </w:tcPr>
          <w:p w14:paraId="57D9532B">
            <w:pPr>
              <w:spacing w:beforeAutospacing="0" w:afterAutospacing="0" w:line="300" w:lineRule="auto"/>
              <w:ind w:firstLine="0"/>
              <w:jc w:val="center"/>
              <w:rPr>
                <w:rFonts w:hint="default" w:ascii="仿宋_GB2312" w:hAnsi="仿宋_GB2312" w:eastAsia="仿宋_GB2312" w:cs="仿宋_GB2312"/>
                <w:color w:val="auto"/>
                <w:sz w:val="24"/>
                <w:szCs w:val="44"/>
                <w:u w:val="none"/>
                <w:lang w:val="en-US" w:eastAsia="zh-CN"/>
              </w:rPr>
            </w:pPr>
            <w:r>
              <w:rPr>
                <w:rFonts w:hint="eastAsia" w:ascii="仿宋_GB2312" w:hAnsi="仿宋_GB2312" w:eastAsia="仿宋_GB2312" w:cs="仿宋_GB2312"/>
                <w:color w:val="auto"/>
                <w:sz w:val="24"/>
                <w:szCs w:val="44"/>
                <w:u w:val="none"/>
                <w:lang w:val="en-US" w:eastAsia="zh-CN"/>
              </w:rPr>
              <w:t>6</w:t>
            </w:r>
            <w:r>
              <w:rPr>
                <w:rFonts w:hint="eastAsia" w:ascii="仿宋_GB2312" w:hAnsi="仿宋_GB2312" w:eastAsia="仿宋_GB2312" w:cs="仿宋_GB2312"/>
                <w:color w:val="auto"/>
                <w:sz w:val="24"/>
                <w:szCs w:val="44"/>
                <w:u w:val="none"/>
              </w:rPr>
              <w:t>0≤N≤</w:t>
            </w:r>
            <w:r>
              <w:rPr>
                <w:rFonts w:hint="eastAsia" w:ascii="仿宋_GB2312" w:hAnsi="仿宋_GB2312" w:eastAsia="仿宋_GB2312" w:cs="仿宋_GB2312"/>
                <w:color w:val="auto"/>
                <w:sz w:val="24"/>
                <w:szCs w:val="44"/>
                <w:u w:val="none"/>
                <w:lang w:val="en-US" w:eastAsia="zh-CN"/>
              </w:rPr>
              <w:t>89</w:t>
            </w:r>
          </w:p>
        </w:tc>
        <w:tc>
          <w:tcPr>
            <w:tcW w:w="2491" w:type="dxa"/>
            <w:tcBorders>
              <w:top w:val="single" w:color="auto" w:sz="4" w:space="0"/>
              <w:left w:val="nil"/>
              <w:bottom w:val="single" w:color="auto" w:sz="4" w:space="0"/>
              <w:right w:val="single" w:color="auto" w:sz="4" w:space="0"/>
            </w:tcBorders>
            <w:vAlign w:val="center"/>
          </w:tcPr>
          <w:p w14:paraId="21B5A297">
            <w:pPr>
              <w:spacing w:beforeAutospacing="0" w:afterAutospacing="0" w:line="300" w:lineRule="auto"/>
              <w:ind w:firstLine="0"/>
              <w:jc w:val="center"/>
              <w:rPr>
                <w:rFonts w:ascii="仿宋_GB2312" w:hAnsi="仿宋_GB2312" w:eastAsia="仿宋_GB2312" w:cs="仿宋_GB2312"/>
                <w:color w:val="auto"/>
                <w:sz w:val="24"/>
                <w:szCs w:val="44"/>
                <w:u w:val="none"/>
              </w:rPr>
            </w:pPr>
            <w:r>
              <w:rPr>
                <w:rFonts w:hint="eastAsia" w:ascii="仿宋_GB2312" w:hAnsi="仿宋_GB2312" w:eastAsia="仿宋_GB2312" w:cs="仿宋_GB2312"/>
                <w:color w:val="auto"/>
                <w:sz w:val="24"/>
                <w:szCs w:val="44"/>
                <w:u w:val="none"/>
              </w:rPr>
              <w:t>β=N/100</w:t>
            </w:r>
          </w:p>
        </w:tc>
        <w:tc>
          <w:tcPr>
            <w:tcW w:w="3607" w:type="dxa"/>
            <w:tcBorders>
              <w:top w:val="single" w:color="auto" w:sz="4" w:space="0"/>
              <w:left w:val="nil"/>
              <w:bottom w:val="single" w:color="auto" w:sz="4" w:space="0"/>
              <w:right w:val="single" w:color="auto" w:sz="4" w:space="0"/>
            </w:tcBorders>
            <w:vAlign w:val="center"/>
          </w:tcPr>
          <w:p w14:paraId="5C24C14A">
            <w:pPr>
              <w:spacing w:beforeAutospacing="0" w:afterAutospacing="0" w:line="300" w:lineRule="auto"/>
              <w:ind w:firstLine="0"/>
              <w:jc w:val="both"/>
              <w:rPr>
                <w:rFonts w:ascii="仿宋_GB2312" w:hAnsi="仿宋_GB2312" w:eastAsia="仿宋_GB2312" w:cs="仿宋_GB2312"/>
                <w:color w:val="auto"/>
                <w:sz w:val="24"/>
                <w:szCs w:val="44"/>
                <w:u w:val="none"/>
              </w:rPr>
            </w:pPr>
            <w:r>
              <w:rPr>
                <w:rFonts w:hint="eastAsia" w:ascii="仿宋_GB2312" w:hAnsi="仿宋_GB2312" w:eastAsia="仿宋_GB2312" w:cs="仿宋_GB2312"/>
                <w:color w:val="auto"/>
                <w:sz w:val="24"/>
                <w:szCs w:val="44"/>
                <w:u w:val="none"/>
                <w:lang w:eastAsia="zh-CN"/>
              </w:rPr>
              <w:t>按比例</w:t>
            </w:r>
            <w:r>
              <w:rPr>
                <w:rFonts w:hint="eastAsia" w:ascii="仿宋_GB2312" w:hAnsi="仿宋_GB2312" w:eastAsia="仿宋_GB2312" w:cs="仿宋_GB2312"/>
                <w:color w:val="auto"/>
                <w:sz w:val="24"/>
                <w:szCs w:val="44"/>
                <w:u w:val="none"/>
              </w:rPr>
              <w:t>支付</w:t>
            </w:r>
            <w:r>
              <w:rPr>
                <w:rFonts w:hint="eastAsia" w:ascii="仿宋_GB2312" w:hAnsi="仿宋_GB2312" w:eastAsia="仿宋_GB2312" w:cs="仿宋_GB2312"/>
                <w:color w:val="auto"/>
                <w:sz w:val="24"/>
                <w:szCs w:val="44"/>
                <w:u w:val="none"/>
                <w:lang w:eastAsia="zh-CN"/>
              </w:rPr>
              <w:t>受</w:t>
            </w:r>
            <w:r>
              <w:rPr>
                <w:rFonts w:hint="eastAsia" w:ascii="仿宋_GB2312" w:hAnsi="仿宋_GB2312" w:eastAsia="仿宋_GB2312" w:cs="仿宋_GB2312"/>
                <w:color w:val="auto"/>
                <w:sz w:val="24"/>
                <w:szCs w:val="44"/>
                <w:u w:val="none"/>
              </w:rPr>
              <w:t>绩效考核费用</w:t>
            </w:r>
          </w:p>
        </w:tc>
      </w:tr>
      <w:tr w14:paraId="635F1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3" w:type="dxa"/>
            <w:tcBorders>
              <w:top w:val="single" w:color="auto" w:sz="4" w:space="0"/>
              <w:left w:val="single" w:color="auto" w:sz="4" w:space="0"/>
              <w:bottom w:val="single" w:color="auto" w:sz="4" w:space="0"/>
              <w:right w:val="single" w:color="auto" w:sz="4" w:space="0"/>
            </w:tcBorders>
            <w:vAlign w:val="center"/>
          </w:tcPr>
          <w:p w14:paraId="268C780C">
            <w:pPr>
              <w:spacing w:beforeAutospacing="0" w:afterAutospacing="0" w:line="300" w:lineRule="auto"/>
              <w:ind w:firstLine="0"/>
              <w:jc w:val="center"/>
              <w:rPr>
                <w:rFonts w:ascii="仿宋_GB2312" w:hAnsi="仿宋_GB2312" w:eastAsia="仿宋_GB2312" w:cs="仿宋_GB2312"/>
                <w:color w:val="auto"/>
                <w:sz w:val="24"/>
                <w:szCs w:val="44"/>
                <w:u w:val="none"/>
              </w:rPr>
            </w:pPr>
            <w:r>
              <w:rPr>
                <w:rFonts w:hint="eastAsia" w:ascii="仿宋_GB2312" w:hAnsi="仿宋_GB2312" w:eastAsia="仿宋_GB2312" w:cs="仿宋_GB2312"/>
                <w:color w:val="auto"/>
                <w:sz w:val="24"/>
                <w:szCs w:val="44"/>
                <w:u w:val="none"/>
              </w:rPr>
              <w:t>N&lt;</w:t>
            </w:r>
            <w:r>
              <w:rPr>
                <w:rFonts w:hint="eastAsia" w:ascii="仿宋_GB2312" w:hAnsi="仿宋_GB2312" w:eastAsia="仿宋_GB2312" w:cs="仿宋_GB2312"/>
                <w:color w:val="auto"/>
                <w:sz w:val="24"/>
                <w:szCs w:val="44"/>
                <w:u w:val="none"/>
                <w:lang w:val="en-US" w:eastAsia="zh-CN"/>
              </w:rPr>
              <w:t>6</w:t>
            </w:r>
            <w:r>
              <w:rPr>
                <w:rFonts w:hint="eastAsia" w:ascii="仿宋_GB2312" w:hAnsi="仿宋_GB2312" w:eastAsia="仿宋_GB2312" w:cs="仿宋_GB2312"/>
                <w:color w:val="auto"/>
                <w:sz w:val="24"/>
                <w:szCs w:val="44"/>
                <w:u w:val="none"/>
              </w:rPr>
              <w:t>0</w:t>
            </w:r>
          </w:p>
        </w:tc>
        <w:tc>
          <w:tcPr>
            <w:tcW w:w="2491" w:type="dxa"/>
            <w:tcBorders>
              <w:top w:val="single" w:color="auto" w:sz="4" w:space="0"/>
              <w:left w:val="nil"/>
              <w:bottom w:val="single" w:color="auto" w:sz="4" w:space="0"/>
              <w:right w:val="single" w:color="auto" w:sz="4" w:space="0"/>
            </w:tcBorders>
            <w:vAlign w:val="center"/>
          </w:tcPr>
          <w:p w14:paraId="2EAEE7FD">
            <w:pPr>
              <w:spacing w:beforeAutospacing="0" w:afterAutospacing="0" w:line="300" w:lineRule="auto"/>
              <w:ind w:firstLine="0"/>
              <w:jc w:val="center"/>
              <w:rPr>
                <w:rFonts w:ascii="仿宋_GB2312" w:hAnsi="仿宋_GB2312" w:eastAsia="仿宋_GB2312" w:cs="仿宋_GB2312"/>
                <w:color w:val="auto"/>
                <w:sz w:val="24"/>
                <w:szCs w:val="44"/>
                <w:u w:val="none"/>
              </w:rPr>
            </w:pPr>
            <w:r>
              <w:rPr>
                <w:rFonts w:hint="eastAsia" w:ascii="仿宋_GB2312" w:hAnsi="仿宋_GB2312" w:eastAsia="仿宋_GB2312" w:cs="仿宋_GB2312"/>
                <w:color w:val="auto"/>
                <w:sz w:val="24"/>
                <w:szCs w:val="44"/>
                <w:u w:val="none"/>
              </w:rPr>
              <w:t>β=0</w:t>
            </w:r>
          </w:p>
        </w:tc>
        <w:tc>
          <w:tcPr>
            <w:tcW w:w="3607" w:type="dxa"/>
            <w:tcBorders>
              <w:top w:val="single" w:color="auto" w:sz="4" w:space="0"/>
              <w:left w:val="nil"/>
              <w:bottom w:val="single" w:color="auto" w:sz="4" w:space="0"/>
              <w:right w:val="single" w:color="auto" w:sz="4" w:space="0"/>
            </w:tcBorders>
            <w:vAlign w:val="center"/>
          </w:tcPr>
          <w:p w14:paraId="160D668E">
            <w:pPr>
              <w:spacing w:beforeAutospacing="0" w:afterAutospacing="0" w:line="300" w:lineRule="auto"/>
              <w:ind w:firstLine="0"/>
              <w:jc w:val="both"/>
              <w:rPr>
                <w:rFonts w:ascii="仿宋_GB2312" w:hAnsi="仿宋_GB2312" w:eastAsia="仿宋_GB2312" w:cs="仿宋_GB2312"/>
                <w:color w:val="auto"/>
                <w:sz w:val="24"/>
                <w:szCs w:val="44"/>
                <w:u w:val="none"/>
              </w:rPr>
            </w:pPr>
            <w:r>
              <w:rPr>
                <w:rFonts w:hint="eastAsia" w:ascii="仿宋_GB2312" w:hAnsi="仿宋_GB2312" w:eastAsia="仿宋_GB2312" w:cs="仿宋_GB2312"/>
                <w:color w:val="auto"/>
                <w:sz w:val="24"/>
                <w:szCs w:val="44"/>
                <w:u w:val="none"/>
              </w:rPr>
              <w:t>不支付</w:t>
            </w:r>
            <w:r>
              <w:rPr>
                <w:rFonts w:hint="eastAsia" w:ascii="仿宋_GB2312" w:hAnsi="仿宋_GB2312" w:eastAsia="仿宋_GB2312" w:cs="仿宋_GB2312"/>
                <w:color w:val="auto"/>
                <w:sz w:val="24"/>
                <w:szCs w:val="44"/>
                <w:u w:val="none"/>
                <w:lang w:eastAsia="zh-CN"/>
              </w:rPr>
              <w:t>受</w:t>
            </w:r>
            <w:r>
              <w:rPr>
                <w:rFonts w:hint="eastAsia" w:ascii="仿宋_GB2312" w:hAnsi="仿宋_GB2312" w:eastAsia="仿宋_GB2312" w:cs="仿宋_GB2312"/>
                <w:color w:val="auto"/>
                <w:sz w:val="24"/>
                <w:szCs w:val="44"/>
                <w:u w:val="none"/>
              </w:rPr>
              <w:t>绩效考核费用</w:t>
            </w:r>
          </w:p>
        </w:tc>
      </w:tr>
    </w:tbl>
    <w:p w14:paraId="7FF361AB">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 xml:space="preserve">运营期考核采用厂区及泵站绩效考核费用与项目运营绩效考核挂钩的方式，绩效考核费用支付有以下三种情形： </w:t>
      </w:r>
    </w:p>
    <w:p w14:paraId="25AA4694">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① 9</w:t>
      </w:r>
      <w:r>
        <w:rPr>
          <w:rFonts w:hint="eastAsia" w:ascii="宋体" w:cs="Times New Roman"/>
          <w:color w:val="auto"/>
          <w:sz w:val="28"/>
          <w:szCs w:val="28"/>
          <w:u w:val="none"/>
          <w:lang w:val="en-US" w:eastAsia="zh-CN"/>
        </w:rPr>
        <w:t>0</w:t>
      </w:r>
      <w:r>
        <w:rPr>
          <w:rFonts w:hint="eastAsia" w:ascii="宋体" w:hAnsi="Times New Roman" w:cs="Times New Roman"/>
          <w:color w:val="auto"/>
          <w:sz w:val="28"/>
          <w:szCs w:val="28"/>
          <w:u w:val="none"/>
          <w:lang w:val="en-US" w:eastAsia="zh-CN"/>
        </w:rPr>
        <w:t xml:space="preserve">≤运营期当季度绩效考核得分≤100：全额支付受绩效考核费用；即:当季度实际支付的绩效考核费用（F）=厂区、配套污水管网、泵站 当季度考核绩效费用（G）×1； </w:t>
      </w:r>
    </w:p>
    <w:p w14:paraId="4AEAAC76">
      <w:pPr>
        <w:spacing w:beforeAutospacing="0" w:afterAutospacing="0" w:line="540" w:lineRule="exact"/>
        <w:ind w:firstLine="560" w:firstLineChars="200"/>
        <w:rPr>
          <w:rFonts w:hint="eastAsia" w:ascii="宋体" w:hAnsi="Times New Roman" w:cs="Times New Roman"/>
          <w:color w:val="auto"/>
          <w:sz w:val="28"/>
          <w:szCs w:val="28"/>
          <w:u w:val="none"/>
        </w:rPr>
      </w:pPr>
      <w:r>
        <w:rPr>
          <w:rFonts w:hint="eastAsia" w:ascii="宋体" w:hAnsi="Times New Roman" w:cs="Times New Roman"/>
          <w:color w:val="auto"/>
          <w:sz w:val="28"/>
          <w:szCs w:val="28"/>
          <w:u w:val="none"/>
          <w:lang w:val="en-US" w:eastAsia="zh-CN"/>
        </w:rPr>
        <w:t>② 60≤运营期当季度绩效考核得分≤</w:t>
      </w:r>
      <w:r>
        <w:rPr>
          <w:rFonts w:hint="eastAsia" w:ascii="宋体" w:cs="Times New Roman"/>
          <w:color w:val="auto"/>
          <w:sz w:val="28"/>
          <w:szCs w:val="28"/>
          <w:u w:val="none"/>
          <w:lang w:val="en-US" w:eastAsia="zh-CN"/>
        </w:rPr>
        <w:t>89</w:t>
      </w:r>
      <w:r>
        <w:rPr>
          <w:rFonts w:hint="eastAsia" w:ascii="宋体" w:hAnsi="Times New Roman" w:cs="Times New Roman"/>
          <w:color w:val="auto"/>
          <w:sz w:val="28"/>
          <w:szCs w:val="28"/>
          <w:u w:val="none"/>
          <w:lang w:val="en-US" w:eastAsia="zh-CN"/>
        </w:rPr>
        <w:t xml:space="preserve">： 按比例支付受绩效考核费用；即:当季度实际支付的绩效考核费用（F）=厂区、配套污水管网、泵 站当季度绩效考核费用（G）×（季度考核得分 N/100）； </w:t>
      </w:r>
    </w:p>
    <w:p w14:paraId="15097DD2">
      <w:pPr>
        <w:pStyle w:val="16"/>
        <w:ind w:firstLine="560" w:firstLineChars="200"/>
        <w:rPr>
          <w:rFonts w:hint="default" w:eastAsia="宋体"/>
          <w:color w:val="auto"/>
          <w:u w:val="none"/>
          <w:lang w:val="en-US" w:eastAsia="zh-CN"/>
        </w:rPr>
      </w:pPr>
      <w:r>
        <w:rPr>
          <w:rFonts w:hint="eastAsia" w:ascii="宋体" w:hAnsi="Times New Roman" w:cs="Times New Roman"/>
          <w:color w:val="auto"/>
          <w:sz w:val="28"/>
          <w:szCs w:val="28"/>
          <w:u w:val="none"/>
          <w:lang w:val="en-US" w:eastAsia="zh-CN"/>
        </w:rPr>
        <w:t>③ 运营期当季度绩效考核得分&lt;60运营绩效考核不合格，当季度不支付绩效考核费用，责令乙方限期整改合格。对于乙方怠于或延误 整改时限的，可根据整改事项作出相应的处罚金额。</w:t>
      </w:r>
      <w:r>
        <w:rPr>
          <w:rFonts w:hint="eastAsia" w:ascii="宋体" w:hAnsi="宋体"/>
          <w:color w:val="auto"/>
          <w:spacing w:val="-10"/>
          <w:sz w:val="28"/>
          <w:szCs w:val="28"/>
          <w:u w:val="none"/>
          <w:lang w:val="en-US" w:eastAsia="zh-CN"/>
        </w:rPr>
        <w:t>连续两季度绩效考核不合格（＜60分）的，终止合同。</w:t>
      </w:r>
    </w:p>
    <w:p w14:paraId="0B23D48E">
      <w:pPr>
        <w:spacing w:beforeAutospacing="0" w:afterAutospacing="0" w:line="540" w:lineRule="exact"/>
        <w:ind w:firstLine="560" w:firstLineChars="200"/>
        <w:rPr>
          <w:rFonts w:hint="eastAsia" w:ascii="宋体" w:hAnsi="Times New Roman" w:cs="Times New Roman"/>
          <w:color w:val="auto"/>
          <w:sz w:val="28"/>
          <w:szCs w:val="28"/>
          <w:u w:val="none"/>
        </w:rPr>
      </w:pPr>
    </w:p>
    <w:p w14:paraId="6C4E1F33">
      <w:pPr>
        <w:pStyle w:val="16"/>
        <w:rPr>
          <w:rFonts w:hint="eastAsia"/>
          <w:color w:val="auto"/>
          <w:u w:val="none"/>
        </w:rPr>
      </w:pPr>
    </w:p>
    <w:p w14:paraId="5DE5226E">
      <w:pPr>
        <w:pStyle w:val="16"/>
        <w:rPr>
          <w:rFonts w:hint="eastAsia"/>
          <w:color w:val="auto"/>
          <w:u w:val="none"/>
        </w:rPr>
      </w:pPr>
    </w:p>
    <w:p w14:paraId="0676697A">
      <w:pPr>
        <w:rPr>
          <w:color w:val="auto"/>
          <w:u w:val="none"/>
        </w:rPr>
      </w:pPr>
    </w:p>
    <w:p w14:paraId="790744BA">
      <w:pPr>
        <w:rPr>
          <w:color w:val="auto"/>
          <w:u w:val="none"/>
        </w:rPr>
      </w:pPr>
    </w:p>
    <w:p w14:paraId="69666795">
      <w:pPr>
        <w:pStyle w:val="16"/>
        <w:jc w:val="center"/>
        <w:rPr>
          <w:rFonts w:ascii="宋体" w:hAnsi="宋体"/>
          <w:b/>
          <w:color w:val="auto"/>
          <w:szCs w:val="21"/>
        </w:rPr>
      </w:pPr>
    </w:p>
    <w:p w14:paraId="28D89902">
      <w:pPr>
        <w:pStyle w:val="16"/>
        <w:jc w:val="center"/>
        <w:rPr>
          <w:rFonts w:ascii="宋体" w:hAnsi="宋体"/>
          <w:bCs/>
          <w:color w:val="auto"/>
          <w:sz w:val="32"/>
          <w:szCs w:val="32"/>
        </w:rPr>
      </w:pPr>
      <w:r>
        <w:rPr>
          <w:rFonts w:ascii="宋体" w:hAnsi="宋体"/>
          <w:b/>
          <w:color w:val="auto"/>
          <w:szCs w:val="21"/>
        </w:rPr>
        <w:br w:type="page"/>
      </w:r>
    </w:p>
    <w:p w14:paraId="18729DE6">
      <w:pPr>
        <w:snapToGrid w:val="0"/>
        <w:spacing w:line="480" w:lineRule="auto"/>
        <w:rPr>
          <w:rFonts w:ascii="宋体" w:hAnsi="宋体"/>
          <w:bCs/>
          <w:color w:val="auto"/>
          <w:sz w:val="32"/>
          <w:szCs w:val="32"/>
        </w:rPr>
      </w:pPr>
    </w:p>
    <w:p w14:paraId="00202E91">
      <w:pPr>
        <w:snapToGrid w:val="0"/>
        <w:jc w:val="center"/>
        <w:rPr>
          <w:rFonts w:ascii="宋体" w:hAnsi="宋体"/>
          <w:bCs/>
          <w:color w:val="auto"/>
          <w:sz w:val="32"/>
          <w:szCs w:val="32"/>
        </w:rPr>
      </w:pPr>
    </w:p>
    <w:p w14:paraId="6DA71204">
      <w:pPr>
        <w:snapToGrid w:val="0"/>
        <w:jc w:val="center"/>
        <w:rPr>
          <w:rFonts w:ascii="宋体" w:hAnsi="宋体"/>
          <w:bCs/>
          <w:color w:val="auto"/>
          <w:sz w:val="32"/>
          <w:szCs w:val="32"/>
        </w:rPr>
      </w:pPr>
    </w:p>
    <w:p w14:paraId="3D6B1D23">
      <w:pPr>
        <w:snapToGrid w:val="0"/>
        <w:jc w:val="center"/>
        <w:rPr>
          <w:rFonts w:ascii="宋体" w:hAnsi="宋体"/>
          <w:bCs/>
          <w:color w:val="auto"/>
          <w:sz w:val="32"/>
          <w:szCs w:val="32"/>
        </w:rPr>
      </w:pPr>
    </w:p>
    <w:p w14:paraId="5149AF57">
      <w:pPr>
        <w:snapToGrid w:val="0"/>
        <w:jc w:val="center"/>
        <w:rPr>
          <w:rFonts w:ascii="宋体" w:hAnsi="宋体"/>
          <w:bCs/>
          <w:color w:val="auto"/>
          <w:sz w:val="32"/>
          <w:szCs w:val="32"/>
        </w:rPr>
      </w:pPr>
    </w:p>
    <w:p w14:paraId="12D87E77">
      <w:pPr>
        <w:snapToGrid w:val="0"/>
        <w:jc w:val="center"/>
        <w:rPr>
          <w:rFonts w:ascii="宋体" w:hAnsi="宋体"/>
          <w:bCs/>
          <w:color w:val="auto"/>
          <w:sz w:val="32"/>
          <w:szCs w:val="32"/>
        </w:rPr>
      </w:pPr>
    </w:p>
    <w:p w14:paraId="16785740">
      <w:pPr>
        <w:snapToGrid w:val="0"/>
        <w:jc w:val="center"/>
        <w:rPr>
          <w:rFonts w:ascii="宋体" w:hAnsi="宋体"/>
          <w:bCs/>
          <w:color w:val="auto"/>
          <w:sz w:val="32"/>
          <w:szCs w:val="32"/>
        </w:rPr>
      </w:pPr>
    </w:p>
    <w:p w14:paraId="21B7F8AF">
      <w:pPr>
        <w:snapToGrid w:val="0"/>
        <w:jc w:val="center"/>
        <w:rPr>
          <w:rFonts w:ascii="宋体" w:hAnsi="宋体"/>
          <w:bCs/>
          <w:color w:val="auto"/>
          <w:sz w:val="32"/>
          <w:szCs w:val="32"/>
        </w:rPr>
      </w:pPr>
    </w:p>
    <w:p w14:paraId="29CC2186">
      <w:pPr>
        <w:snapToGrid w:val="0"/>
        <w:jc w:val="center"/>
        <w:rPr>
          <w:rFonts w:ascii="宋体" w:hAnsi="宋体"/>
          <w:bCs/>
          <w:color w:val="auto"/>
          <w:sz w:val="32"/>
          <w:szCs w:val="32"/>
        </w:rPr>
      </w:pPr>
    </w:p>
    <w:p w14:paraId="172EE441">
      <w:pPr>
        <w:snapToGrid w:val="0"/>
        <w:jc w:val="center"/>
        <w:rPr>
          <w:rFonts w:ascii="宋体" w:hAnsi="宋体"/>
          <w:bCs/>
          <w:color w:val="auto"/>
          <w:sz w:val="32"/>
          <w:szCs w:val="32"/>
        </w:rPr>
      </w:pPr>
    </w:p>
    <w:p w14:paraId="7CF74B88">
      <w:pPr>
        <w:snapToGrid w:val="0"/>
        <w:jc w:val="center"/>
        <w:rPr>
          <w:rFonts w:ascii="宋体" w:hAnsi="宋体"/>
          <w:bCs/>
          <w:color w:val="auto"/>
          <w:sz w:val="32"/>
          <w:szCs w:val="32"/>
        </w:rPr>
      </w:pPr>
    </w:p>
    <w:p w14:paraId="361989E8">
      <w:pPr>
        <w:snapToGrid w:val="0"/>
        <w:jc w:val="center"/>
        <w:rPr>
          <w:rFonts w:ascii="宋体" w:hAnsi="宋体"/>
          <w:bCs/>
          <w:color w:val="auto"/>
          <w:sz w:val="32"/>
          <w:szCs w:val="32"/>
        </w:rPr>
      </w:pPr>
    </w:p>
    <w:p w14:paraId="0CCC5988">
      <w:pPr>
        <w:pStyle w:val="2"/>
        <w:jc w:val="center"/>
        <w:rPr>
          <w:color w:val="auto"/>
        </w:rPr>
      </w:pPr>
      <w:bookmarkStart w:id="134" w:name="_Toc25289"/>
      <w:r>
        <w:rPr>
          <w:rFonts w:hint="eastAsia"/>
          <w:color w:val="auto"/>
        </w:rPr>
        <w:t>第六章　投标文件格式</w:t>
      </w:r>
      <w:bookmarkEnd w:id="134"/>
    </w:p>
    <w:p w14:paraId="16937E7D">
      <w:pPr>
        <w:snapToGrid w:val="0"/>
        <w:spacing w:before="50" w:after="50"/>
        <w:outlineLvl w:val="1"/>
        <w:rPr>
          <w:rFonts w:ascii="宋体" w:hAnsi="宋体"/>
          <w:color w:val="auto"/>
          <w:sz w:val="32"/>
          <w:szCs w:val="20"/>
        </w:rPr>
      </w:pPr>
    </w:p>
    <w:p w14:paraId="33685136">
      <w:pPr>
        <w:snapToGrid w:val="0"/>
        <w:spacing w:before="50" w:after="50"/>
        <w:outlineLvl w:val="1"/>
        <w:rPr>
          <w:rFonts w:ascii="宋体" w:hAnsi="宋体"/>
          <w:color w:val="auto"/>
          <w:sz w:val="32"/>
          <w:szCs w:val="20"/>
        </w:rPr>
      </w:pPr>
    </w:p>
    <w:p w14:paraId="44004940">
      <w:pPr>
        <w:snapToGrid w:val="0"/>
        <w:spacing w:before="50" w:after="50"/>
        <w:outlineLvl w:val="1"/>
        <w:rPr>
          <w:rFonts w:ascii="宋体" w:hAnsi="宋体"/>
          <w:color w:val="auto"/>
          <w:sz w:val="32"/>
          <w:szCs w:val="20"/>
        </w:rPr>
      </w:pPr>
    </w:p>
    <w:p w14:paraId="5A0704C6">
      <w:pPr>
        <w:snapToGrid w:val="0"/>
        <w:spacing w:before="50" w:after="50"/>
        <w:outlineLvl w:val="1"/>
        <w:rPr>
          <w:rFonts w:ascii="宋体" w:hAnsi="宋体"/>
          <w:color w:val="auto"/>
          <w:sz w:val="32"/>
          <w:szCs w:val="20"/>
        </w:rPr>
      </w:pPr>
    </w:p>
    <w:p w14:paraId="5A4F08AE">
      <w:pPr>
        <w:snapToGrid w:val="0"/>
        <w:spacing w:before="50" w:after="50"/>
        <w:outlineLvl w:val="1"/>
        <w:rPr>
          <w:rFonts w:ascii="宋体" w:hAnsi="宋体"/>
          <w:color w:val="auto"/>
          <w:sz w:val="32"/>
          <w:szCs w:val="20"/>
        </w:rPr>
      </w:pPr>
    </w:p>
    <w:p w14:paraId="250CD281">
      <w:pPr>
        <w:snapToGrid w:val="0"/>
        <w:spacing w:before="50" w:after="50"/>
        <w:outlineLvl w:val="1"/>
        <w:rPr>
          <w:rFonts w:ascii="宋体" w:hAnsi="宋体"/>
          <w:color w:val="auto"/>
          <w:sz w:val="32"/>
          <w:szCs w:val="20"/>
        </w:rPr>
      </w:pPr>
    </w:p>
    <w:p w14:paraId="77F469CA">
      <w:pPr>
        <w:snapToGrid w:val="0"/>
        <w:spacing w:before="50" w:after="50"/>
        <w:outlineLvl w:val="1"/>
        <w:rPr>
          <w:rFonts w:ascii="宋体" w:hAnsi="宋体"/>
          <w:color w:val="auto"/>
          <w:sz w:val="32"/>
          <w:szCs w:val="20"/>
        </w:rPr>
      </w:pPr>
    </w:p>
    <w:p w14:paraId="768B5CCC">
      <w:pPr>
        <w:snapToGrid w:val="0"/>
        <w:spacing w:before="50" w:after="50"/>
        <w:outlineLvl w:val="1"/>
        <w:rPr>
          <w:rFonts w:ascii="宋体" w:hAnsi="宋体"/>
          <w:color w:val="auto"/>
          <w:sz w:val="32"/>
          <w:szCs w:val="20"/>
        </w:rPr>
      </w:pPr>
    </w:p>
    <w:p w14:paraId="5B73E609">
      <w:pPr>
        <w:snapToGrid w:val="0"/>
        <w:spacing w:before="50" w:after="50"/>
        <w:outlineLvl w:val="1"/>
        <w:rPr>
          <w:rFonts w:ascii="宋体" w:hAnsi="宋体"/>
          <w:color w:val="auto"/>
          <w:sz w:val="32"/>
          <w:szCs w:val="20"/>
        </w:rPr>
      </w:pPr>
    </w:p>
    <w:p w14:paraId="084CBEB7">
      <w:pPr>
        <w:snapToGrid w:val="0"/>
        <w:spacing w:before="50" w:after="50"/>
        <w:outlineLvl w:val="1"/>
        <w:rPr>
          <w:rFonts w:ascii="宋体" w:hAnsi="宋体"/>
          <w:color w:val="auto"/>
          <w:sz w:val="32"/>
          <w:szCs w:val="20"/>
        </w:rPr>
      </w:pPr>
    </w:p>
    <w:p w14:paraId="033D24FC">
      <w:pPr>
        <w:snapToGrid w:val="0"/>
        <w:spacing w:before="50" w:after="50"/>
        <w:outlineLvl w:val="1"/>
        <w:rPr>
          <w:rFonts w:ascii="宋体" w:hAnsi="宋体"/>
          <w:color w:val="auto"/>
          <w:sz w:val="32"/>
          <w:szCs w:val="20"/>
        </w:rPr>
      </w:pPr>
    </w:p>
    <w:p w14:paraId="5BC09B5B">
      <w:pPr>
        <w:snapToGrid w:val="0"/>
        <w:spacing w:before="50" w:after="50"/>
        <w:outlineLvl w:val="1"/>
        <w:rPr>
          <w:rFonts w:ascii="宋体" w:hAnsi="宋体"/>
          <w:color w:val="auto"/>
          <w:sz w:val="32"/>
          <w:szCs w:val="20"/>
        </w:rPr>
      </w:pPr>
    </w:p>
    <w:p w14:paraId="0714DAAA">
      <w:pPr>
        <w:rPr>
          <w:b/>
          <w:color w:val="auto"/>
          <w:sz w:val="28"/>
          <w:szCs w:val="28"/>
        </w:rPr>
      </w:pPr>
      <w:r>
        <w:rPr>
          <w:color w:val="auto"/>
          <w:sz w:val="32"/>
          <w:szCs w:val="20"/>
        </w:rPr>
        <w:br w:type="page"/>
      </w:r>
      <w:bookmarkStart w:id="135" w:name="_Toc19686836"/>
      <w:bookmarkStart w:id="136" w:name="_Toc254970698"/>
      <w:bookmarkStart w:id="137" w:name="_Toc254970557"/>
      <w:r>
        <w:rPr>
          <w:rFonts w:hint="eastAsia"/>
          <w:b/>
          <w:color w:val="auto"/>
          <w:sz w:val="28"/>
          <w:szCs w:val="28"/>
        </w:rPr>
        <w:t>一、报价文件格式</w:t>
      </w:r>
      <w:bookmarkEnd w:id="135"/>
    </w:p>
    <w:p w14:paraId="461565C1">
      <w:pPr>
        <w:snapToGrid w:val="0"/>
        <w:spacing w:before="120" w:beforeLines="50" w:after="50" w:line="360" w:lineRule="auto"/>
        <w:ind w:left="142"/>
        <w:jc w:val="left"/>
        <w:rPr>
          <w:rFonts w:ascii="宋体" w:hAnsi="宋体"/>
          <w:color w:val="auto"/>
          <w:sz w:val="24"/>
          <w:szCs w:val="20"/>
        </w:rPr>
      </w:pPr>
      <w:r>
        <w:rPr>
          <w:rFonts w:hint="eastAsia" w:ascii="宋体" w:hAnsi="宋体"/>
          <w:b/>
          <w:color w:val="auto"/>
          <w:sz w:val="24"/>
        </w:rPr>
        <w:t xml:space="preserve">1. 报价文件封面格式： </w:t>
      </w:r>
    </w:p>
    <w:p w14:paraId="3DED6738">
      <w:pPr>
        <w:snapToGrid w:val="0"/>
        <w:spacing w:before="120" w:beforeLines="50" w:after="50" w:line="360" w:lineRule="auto"/>
        <w:ind w:left="142"/>
        <w:jc w:val="center"/>
        <w:rPr>
          <w:rFonts w:ascii="宋体" w:hAnsi="宋体" w:eastAsia="微软雅黑"/>
          <w:bCs/>
          <w:color w:val="auto"/>
          <w:sz w:val="48"/>
          <w:szCs w:val="48"/>
        </w:rPr>
      </w:pPr>
      <w:r>
        <w:rPr>
          <w:rFonts w:hint="eastAsia" w:ascii="宋体" w:hAnsi="宋体" w:eastAsia="微软雅黑"/>
          <w:bCs/>
          <w:color w:val="auto"/>
          <w:sz w:val="48"/>
          <w:szCs w:val="48"/>
        </w:rPr>
        <w:t>电子投标文件</w:t>
      </w:r>
    </w:p>
    <w:p w14:paraId="579D9B78">
      <w:pPr>
        <w:snapToGrid w:val="0"/>
        <w:spacing w:before="120" w:beforeLines="50" w:after="50" w:line="400" w:lineRule="exact"/>
        <w:rPr>
          <w:rFonts w:ascii="宋体" w:hAnsi="宋体"/>
          <w:bCs/>
          <w:color w:val="auto"/>
          <w:sz w:val="32"/>
          <w:szCs w:val="20"/>
        </w:rPr>
      </w:pPr>
      <w:r>
        <w:rPr>
          <w:rFonts w:hint="eastAsia" w:ascii="宋体" w:hAnsi="宋体"/>
          <w:color w:val="auto"/>
          <w:sz w:val="24"/>
        </w:rPr>
        <w:t xml:space="preserve">                 </w:t>
      </w:r>
    </w:p>
    <w:p w14:paraId="54623969">
      <w:pPr>
        <w:snapToGrid w:val="0"/>
        <w:spacing w:before="120" w:beforeLines="50" w:after="50" w:line="400" w:lineRule="exact"/>
        <w:jc w:val="center"/>
        <w:rPr>
          <w:rFonts w:ascii="宋体" w:hAnsi="宋体"/>
          <w:bCs/>
          <w:color w:val="auto"/>
          <w:sz w:val="24"/>
          <w:szCs w:val="20"/>
        </w:rPr>
      </w:pPr>
    </w:p>
    <w:p w14:paraId="574163C9">
      <w:pPr>
        <w:snapToGrid w:val="0"/>
        <w:spacing w:before="120" w:beforeLines="50" w:after="50" w:line="400" w:lineRule="exact"/>
        <w:jc w:val="center"/>
        <w:rPr>
          <w:rFonts w:ascii="宋体" w:hAnsi="宋体"/>
          <w:b/>
          <w:bCs/>
          <w:color w:val="auto"/>
          <w:sz w:val="32"/>
          <w:szCs w:val="32"/>
        </w:rPr>
      </w:pPr>
      <w:r>
        <w:rPr>
          <w:rFonts w:hint="eastAsia" w:ascii="宋体" w:hAnsi="宋体"/>
          <w:b/>
          <w:bCs/>
          <w:color w:val="auto"/>
          <w:sz w:val="32"/>
          <w:szCs w:val="32"/>
        </w:rPr>
        <w:t>报价文件</w:t>
      </w:r>
    </w:p>
    <w:p w14:paraId="029DEC6A">
      <w:pPr>
        <w:snapToGrid w:val="0"/>
        <w:spacing w:before="120" w:beforeLines="50" w:after="50" w:line="400" w:lineRule="exact"/>
        <w:rPr>
          <w:rFonts w:ascii="宋体" w:hAnsi="宋体"/>
          <w:bCs/>
          <w:color w:val="auto"/>
          <w:sz w:val="24"/>
          <w:szCs w:val="20"/>
        </w:rPr>
      </w:pPr>
    </w:p>
    <w:p w14:paraId="7F83628A">
      <w:pPr>
        <w:snapToGrid w:val="0"/>
        <w:spacing w:before="120" w:beforeLines="50" w:after="50" w:line="400" w:lineRule="exact"/>
        <w:rPr>
          <w:rFonts w:ascii="宋体" w:hAnsi="宋体"/>
          <w:bCs/>
          <w:color w:val="auto"/>
          <w:sz w:val="24"/>
          <w:szCs w:val="20"/>
        </w:rPr>
      </w:pPr>
    </w:p>
    <w:p w14:paraId="6E6845A3">
      <w:pPr>
        <w:snapToGrid w:val="0"/>
        <w:spacing w:before="120" w:beforeLines="50" w:after="50" w:line="400" w:lineRule="exact"/>
        <w:rPr>
          <w:rFonts w:ascii="宋体" w:hAnsi="宋体"/>
          <w:bCs/>
          <w:color w:val="auto"/>
          <w:sz w:val="24"/>
          <w:szCs w:val="20"/>
        </w:rPr>
      </w:pPr>
    </w:p>
    <w:p w14:paraId="31447893">
      <w:pPr>
        <w:snapToGrid w:val="0"/>
        <w:spacing w:before="120" w:beforeLines="50" w:after="50" w:line="400" w:lineRule="exact"/>
        <w:rPr>
          <w:rFonts w:ascii="宋体" w:hAnsi="宋体"/>
          <w:bCs/>
          <w:color w:val="auto"/>
          <w:sz w:val="24"/>
          <w:szCs w:val="20"/>
        </w:rPr>
      </w:pPr>
    </w:p>
    <w:p w14:paraId="2AD26AB5">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65546A48">
      <w:pPr>
        <w:snapToGrid w:val="0"/>
        <w:spacing w:before="120" w:beforeLines="50" w:after="50" w:line="400" w:lineRule="exact"/>
        <w:ind w:firstLine="360" w:firstLineChars="150"/>
        <w:rPr>
          <w:rFonts w:ascii="宋体" w:hAnsi="宋体"/>
          <w:bCs/>
          <w:color w:val="auto"/>
          <w:sz w:val="24"/>
        </w:rPr>
      </w:pPr>
    </w:p>
    <w:p w14:paraId="727E45C3">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71474279">
      <w:pPr>
        <w:snapToGrid w:val="0"/>
        <w:spacing w:before="120" w:beforeLines="50" w:after="50" w:line="400" w:lineRule="exact"/>
        <w:ind w:firstLine="360" w:firstLineChars="150"/>
        <w:rPr>
          <w:rFonts w:ascii="宋体" w:hAnsi="宋体"/>
          <w:bCs/>
          <w:color w:val="auto"/>
          <w:sz w:val="24"/>
        </w:rPr>
      </w:pPr>
    </w:p>
    <w:p w14:paraId="55CE06E1">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所投分标：</w:t>
      </w:r>
    </w:p>
    <w:p w14:paraId="5BEAC75E">
      <w:pPr>
        <w:snapToGrid w:val="0"/>
        <w:spacing w:before="120" w:beforeLines="50" w:after="50" w:line="400" w:lineRule="exact"/>
        <w:ind w:firstLine="360" w:firstLineChars="150"/>
        <w:rPr>
          <w:rFonts w:ascii="宋体" w:hAnsi="宋体"/>
          <w:bCs/>
          <w:color w:val="auto"/>
          <w:sz w:val="24"/>
        </w:rPr>
      </w:pPr>
    </w:p>
    <w:p w14:paraId="58EF54FD">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709C40B4">
      <w:pPr>
        <w:snapToGrid w:val="0"/>
        <w:spacing w:before="120" w:beforeLines="50" w:after="50" w:line="400" w:lineRule="exact"/>
        <w:ind w:firstLine="360" w:firstLineChars="150"/>
        <w:rPr>
          <w:rFonts w:ascii="宋体" w:hAnsi="宋体"/>
          <w:bCs/>
          <w:color w:val="auto"/>
          <w:sz w:val="24"/>
        </w:rPr>
      </w:pPr>
    </w:p>
    <w:p w14:paraId="356B2E94">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6BE6C0E6">
      <w:pPr>
        <w:pStyle w:val="6"/>
        <w:snapToGrid w:val="0"/>
        <w:spacing w:before="50" w:after="50" w:line="400" w:lineRule="exact"/>
        <w:ind w:firstLine="960" w:firstLineChars="400"/>
        <w:rPr>
          <w:rFonts w:ascii="宋体" w:hAnsi="宋体"/>
          <w:bCs/>
          <w:color w:val="auto"/>
          <w:sz w:val="24"/>
          <w:szCs w:val="24"/>
        </w:rPr>
      </w:pPr>
    </w:p>
    <w:p w14:paraId="0E832F4B">
      <w:pPr>
        <w:snapToGrid w:val="0"/>
        <w:spacing w:before="120" w:beforeLines="50" w:after="50" w:line="400" w:lineRule="exact"/>
        <w:rPr>
          <w:rFonts w:ascii="宋体" w:hAnsi="宋体"/>
          <w:color w:val="auto"/>
          <w:sz w:val="30"/>
          <w:szCs w:val="20"/>
        </w:rPr>
      </w:pPr>
      <w:r>
        <w:rPr>
          <w:rFonts w:hint="eastAsia" w:ascii="宋体" w:hAnsi="宋体"/>
          <w:color w:val="auto"/>
          <w:sz w:val="24"/>
        </w:rPr>
        <w:t xml:space="preserve">                                   年  月  日</w:t>
      </w:r>
    </w:p>
    <w:p w14:paraId="59BA0DE9">
      <w:pPr>
        <w:snapToGrid w:val="0"/>
        <w:spacing w:before="120" w:beforeLines="50" w:after="50" w:line="360" w:lineRule="auto"/>
        <w:jc w:val="left"/>
        <w:rPr>
          <w:rFonts w:ascii="宋体" w:hAnsi="宋体"/>
          <w:color w:val="auto"/>
          <w:sz w:val="24"/>
          <w:szCs w:val="20"/>
        </w:rPr>
      </w:pPr>
      <w:r>
        <w:rPr>
          <w:rFonts w:ascii="宋体" w:hAnsi="宋体"/>
          <w:b/>
          <w:color w:val="auto"/>
          <w:sz w:val="24"/>
        </w:rPr>
        <w:br w:type="page"/>
      </w:r>
      <w:r>
        <w:rPr>
          <w:rFonts w:hint="eastAsia" w:ascii="宋体" w:hAnsi="宋体"/>
          <w:b/>
          <w:color w:val="auto"/>
          <w:sz w:val="24"/>
        </w:rPr>
        <w:t>2.</w:t>
      </w:r>
      <w:r>
        <w:rPr>
          <w:rFonts w:hint="eastAsia" w:ascii="宋体" w:hAnsi="宋体"/>
          <w:b/>
          <w:bCs/>
          <w:color w:val="auto"/>
          <w:sz w:val="24"/>
        </w:rPr>
        <w:t>报价文件目录</w:t>
      </w:r>
    </w:p>
    <w:p w14:paraId="51B4904A">
      <w:pPr>
        <w:snapToGrid w:val="0"/>
        <w:spacing w:before="50" w:after="120" w:afterLines="50" w:line="360" w:lineRule="auto"/>
        <w:jc w:val="left"/>
        <w:rPr>
          <w:rFonts w:ascii="宋体" w:hAnsi="宋体"/>
          <w:b/>
          <w:color w:val="auto"/>
          <w:sz w:val="24"/>
        </w:rPr>
      </w:pPr>
      <w:r>
        <w:rPr>
          <w:rFonts w:hint="eastAsia" w:ascii="宋体" w:hAnsi="宋体"/>
          <w:color w:val="auto"/>
          <w:szCs w:val="21"/>
        </w:rPr>
        <w:t>根据招标文件规定及投标人提供的材料自行编写目录。</w:t>
      </w:r>
    </w:p>
    <w:p w14:paraId="17104F43">
      <w:pPr>
        <w:snapToGrid w:val="0"/>
        <w:spacing w:before="120" w:beforeLines="50" w:after="50"/>
        <w:rPr>
          <w:rFonts w:ascii="宋体" w:hAnsi="宋体"/>
          <w:b/>
          <w:color w:val="auto"/>
          <w:sz w:val="24"/>
        </w:rPr>
      </w:pPr>
    </w:p>
    <w:p w14:paraId="67BD71CA">
      <w:pPr>
        <w:snapToGrid w:val="0"/>
        <w:spacing w:before="120" w:beforeLines="50" w:after="50"/>
        <w:rPr>
          <w:rFonts w:ascii="宋体" w:hAnsi="宋体"/>
          <w:b/>
          <w:color w:val="auto"/>
          <w:sz w:val="24"/>
        </w:rPr>
      </w:pPr>
    </w:p>
    <w:p w14:paraId="69C331EA">
      <w:pPr>
        <w:snapToGrid w:val="0"/>
        <w:spacing w:before="120" w:beforeLines="50" w:after="50"/>
        <w:rPr>
          <w:rFonts w:ascii="宋体" w:hAnsi="宋体"/>
          <w:b/>
          <w:color w:val="auto"/>
          <w:sz w:val="24"/>
        </w:rPr>
      </w:pPr>
    </w:p>
    <w:p w14:paraId="005ECE8E">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 投标函格式：</w:t>
      </w:r>
    </w:p>
    <w:p w14:paraId="5026CA51">
      <w:pPr>
        <w:snapToGrid w:val="0"/>
        <w:spacing w:before="120" w:beforeLines="50" w:after="50" w:line="320" w:lineRule="exact"/>
        <w:jc w:val="center"/>
        <w:rPr>
          <w:rFonts w:ascii="宋体" w:hAnsi="宋体"/>
          <w:b/>
          <w:color w:val="auto"/>
          <w:sz w:val="32"/>
          <w:szCs w:val="32"/>
        </w:rPr>
      </w:pPr>
      <w:r>
        <w:rPr>
          <w:rFonts w:hint="eastAsia" w:ascii="宋体" w:hAnsi="宋体"/>
          <w:b/>
          <w:color w:val="auto"/>
          <w:sz w:val="32"/>
          <w:szCs w:val="32"/>
        </w:rPr>
        <w:t>投 标 函</w:t>
      </w:r>
    </w:p>
    <w:p w14:paraId="7B2C701F">
      <w:pPr>
        <w:snapToGrid w:val="0"/>
        <w:spacing w:before="120" w:beforeLines="50" w:after="50" w:line="320" w:lineRule="exact"/>
        <w:jc w:val="center"/>
        <w:rPr>
          <w:rFonts w:ascii="宋体" w:hAnsi="宋体"/>
          <w:b/>
          <w:color w:val="auto"/>
          <w:sz w:val="24"/>
          <w:szCs w:val="20"/>
        </w:rPr>
      </w:pPr>
    </w:p>
    <w:p w14:paraId="72D656A9">
      <w:pPr>
        <w:snapToGrid w:val="0"/>
        <w:spacing w:before="120" w:beforeLines="50" w:after="50" w:line="320" w:lineRule="exact"/>
        <w:jc w:val="center"/>
        <w:rPr>
          <w:rFonts w:ascii="宋体" w:hAnsi="宋体"/>
          <w:b/>
          <w:color w:val="auto"/>
          <w:sz w:val="24"/>
          <w:szCs w:val="20"/>
        </w:rPr>
      </w:pPr>
    </w:p>
    <w:p w14:paraId="23C785E9">
      <w:pPr>
        <w:snapToGrid w:val="0"/>
        <w:spacing w:before="120" w:beforeLines="50" w:after="50" w:line="320" w:lineRule="exact"/>
        <w:jc w:val="center"/>
        <w:rPr>
          <w:rFonts w:ascii="宋体" w:hAnsi="宋体"/>
          <w:b/>
          <w:color w:val="auto"/>
          <w:sz w:val="24"/>
          <w:szCs w:val="20"/>
        </w:rPr>
      </w:pPr>
    </w:p>
    <w:p w14:paraId="38690081">
      <w:pPr>
        <w:snapToGrid w:val="0"/>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2F452BEE">
      <w:pPr>
        <w:snapToGrid w:val="0"/>
        <w:spacing w:line="360" w:lineRule="auto"/>
        <w:ind w:firstLine="480"/>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项目名称</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）的招标文件，签字代表______</w:t>
      </w:r>
      <w:r>
        <w:rPr>
          <w:rFonts w:hint="eastAsia" w:ascii="宋体" w:hAnsi="宋体"/>
          <w:color w:val="auto"/>
          <w:sz w:val="24"/>
          <w:u w:val="single"/>
        </w:rPr>
        <w:t xml:space="preserve">     </w:t>
      </w:r>
      <w:r>
        <w:rPr>
          <w:rFonts w:hint="eastAsia" w:ascii="宋体" w:hAnsi="宋体"/>
          <w:color w:val="auto"/>
          <w:sz w:val="24"/>
        </w:rPr>
        <w:t>（姓名）经正式授权并代表投标人</w:t>
      </w:r>
      <w:r>
        <w:rPr>
          <w:rFonts w:hint="eastAsia" w:ascii="宋体" w:hAnsi="宋体"/>
          <w:color w:val="auto"/>
          <w:sz w:val="24"/>
          <w:u w:val="single"/>
        </w:rPr>
        <w:t xml:space="preserve">              </w:t>
      </w:r>
      <w:r>
        <w:rPr>
          <w:rFonts w:hint="eastAsia" w:ascii="宋体" w:hAnsi="宋体"/>
          <w:color w:val="auto"/>
          <w:sz w:val="24"/>
        </w:rPr>
        <w:t>（投标人名称）提交投标文件。</w:t>
      </w:r>
    </w:p>
    <w:p w14:paraId="0BB325DA">
      <w:pPr>
        <w:snapToGrid w:val="0"/>
        <w:spacing w:line="360" w:lineRule="auto"/>
        <w:ind w:firstLine="480" w:firstLineChars="200"/>
        <w:rPr>
          <w:rFonts w:ascii="宋体" w:hAnsi="宋体"/>
          <w:color w:val="auto"/>
          <w:sz w:val="24"/>
        </w:rPr>
      </w:pPr>
      <w:r>
        <w:rPr>
          <w:rFonts w:hint="eastAsia" w:ascii="宋体" w:hAnsi="宋体"/>
          <w:color w:val="auto"/>
          <w:sz w:val="24"/>
        </w:rPr>
        <w:t>据此函，我方宣布同意如下：</w:t>
      </w:r>
    </w:p>
    <w:p w14:paraId="72BFCE3F">
      <w:pPr>
        <w:snapToGrid w:val="0"/>
        <w:spacing w:line="360" w:lineRule="auto"/>
        <w:ind w:firstLine="480" w:firstLineChars="200"/>
        <w:rPr>
          <w:rFonts w:ascii="宋体" w:hAnsi="宋体"/>
          <w:color w:val="auto"/>
          <w:sz w:val="24"/>
        </w:rPr>
      </w:pPr>
      <w:r>
        <w:rPr>
          <w:rFonts w:hint="eastAsia" w:ascii="宋体" w:hAnsi="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43582D9D">
      <w:pPr>
        <w:snapToGrid w:val="0"/>
        <w:spacing w:line="360" w:lineRule="auto"/>
        <w:ind w:firstLine="480" w:firstLineChars="200"/>
        <w:rPr>
          <w:rFonts w:ascii="宋体" w:hAnsi="宋体"/>
          <w:color w:val="auto"/>
          <w:sz w:val="24"/>
        </w:rPr>
      </w:pPr>
      <w:r>
        <w:rPr>
          <w:rFonts w:hint="eastAsia" w:ascii="宋体" w:hAnsi="宋体"/>
          <w:color w:val="auto"/>
          <w:sz w:val="24"/>
        </w:rPr>
        <w:t>2.我方在投标之前已经完全理解并接受招标文件的各项规定和要求，对招标文件的合理性、合法性不再有异议。</w:t>
      </w:r>
    </w:p>
    <w:p w14:paraId="28DABB13">
      <w:pPr>
        <w:snapToGrid w:val="0"/>
        <w:spacing w:line="360" w:lineRule="auto"/>
        <w:ind w:firstLine="480" w:firstLineChars="200"/>
        <w:rPr>
          <w:rFonts w:ascii="宋体" w:hAnsi="宋体"/>
          <w:color w:val="auto"/>
          <w:sz w:val="24"/>
        </w:rPr>
      </w:pPr>
      <w:r>
        <w:rPr>
          <w:rFonts w:hint="eastAsia" w:ascii="宋体" w:hAnsi="宋体"/>
          <w:color w:val="auto"/>
          <w:sz w:val="24"/>
        </w:rPr>
        <w:t>3.本投标有效期自投标截止之日起</w:t>
      </w:r>
      <w:r>
        <w:rPr>
          <w:rFonts w:ascii="宋体" w:hAnsi="宋体"/>
          <w:color w:val="auto"/>
          <w:sz w:val="24"/>
          <w:u w:val="single"/>
        </w:rPr>
        <w:t xml:space="preserve">    </w:t>
      </w:r>
      <w:r>
        <w:rPr>
          <w:rFonts w:hint="eastAsia" w:ascii="宋体" w:hAnsi="宋体"/>
          <w:color w:val="auto"/>
          <w:sz w:val="24"/>
        </w:rPr>
        <w:t>日。</w:t>
      </w:r>
    </w:p>
    <w:p w14:paraId="6A4795FA">
      <w:pPr>
        <w:snapToGrid w:val="0"/>
        <w:spacing w:line="360" w:lineRule="auto"/>
        <w:ind w:firstLine="480" w:firstLineChars="200"/>
        <w:rPr>
          <w:rFonts w:ascii="宋体" w:hAnsi="宋体"/>
          <w:color w:val="auto"/>
          <w:sz w:val="24"/>
        </w:rPr>
      </w:pPr>
      <w:r>
        <w:rPr>
          <w:rFonts w:hint="eastAsia" w:ascii="宋体" w:hAnsi="宋体"/>
          <w:color w:val="auto"/>
          <w:sz w:val="24"/>
        </w:rPr>
        <w:t>4.如中标，本投标文件至本项目合同履行完毕止均保持有效，我方将按“招标文件”及政府采购法律、法规的规定履行合同责任和义务。</w:t>
      </w:r>
    </w:p>
    <w:p w14:paraId="57517C00">
      <w:pPr>
        <w:snapToGrid w:val="0"/>
        <w:spacing w:line="360" w:lineRule="auto"/>
        <w:ind w:firstLine="480" w:firstLineChars="200"/>
        <w:rPr>
          <w:rFonts w:ascii="宋体" w:hAnsi="宋体"/>
          <w:color w:val="auto"/>
          <w:sz w:val="24"/>
        </w:rPr>
      </w:pPr>
      <w:r>
        <w:rPr>
          <w:rFonts w:hint="eastAsia" w:ascii="宋体" w:hAnsi="宋体"/>
          <w:color w:val="auto"/>
          <w:sz w:val="24"/>
        </w:rPr>
        <w:t>5.我方同意按照贵方要求提供与投标有关的一切数据或者资料。</w:t>
      </w:r>
    </w:p>
    <w:p w14:paraId="6C0EE038">
      <w:pPr>
        <w:snapToGrid w:val="0"/>
        <w:spacing w:line="360" w:lineRule="auto"/>
        <w:ind w:firstLine="480" w:firstLineChars="200"/>
        <w:rPr>
          <w:rFonts w:ascii="宋体" w:hAnsi="宋体"/>
          <w:color w:val="auto"/>
          <w:sz w:val="24"/>
        </w:rPr>
      </w:pPr>
      <w:r>
        <w:rPr>
          <w:rFonts w:hint="eastAsia" w:ascii="宋体" w:hAnsi="宋体"/>
          <w:color w:val="auto"/>
          <w:sz w:val="24"/>
        </w:rPr>
        <w:t>6.我方向贵方提交的所有投标文件、资料都是准确的和真实的。</w:t>
      </w:r>
    </w:p>
    <w:p w14:paraId="11BCA47B">
      <w:pPr>
        <w:snapToGrid w:val="0"/>
        <w:spacing w:line="360" w:lineRule="auto"/>
        <w:ind w:firstLine="480" w:firstLineChars="200"/>
        <w:rPr>
          <w:rFonts w:ascii="宋体" w:hAnsi="宋体"/>
          <w:color w:val="auto"/>
          <w:sz w:val="24"/>
        </w:rPr>
      </w:pPr>
      <w:r>
        <w:rPr>
          <w:rFonts w:hint="eastAsia" w:ascii="宋体" w:hAnsi="宋体"/>
          <w:color w:val="auto"/>
          <w:sz w:val="24"/>
        </w:rPr>
        <w:t>7.以上事项如有虚假或者隐瞒，我方愿意承担一切后果，并不再寻求任何旨在减轻或者免除法律责任的辩解。</w:t>
      </w:r>
    </w:p>
    <w:p w14:paraId="0CFEB7F6">
      <w:pPr>
        <w:spacing w:line="360" w:lineRule="auto"/>
        <w:ind w:firstLine="480" w:firstLineChars="200"/>
        <w:rPr>
          <w:rFonts w:ascii="宋体" w:hAnsi="宋体"/>
          <w:color w:val="auto"/>
          <w:sz w:val="24"/>
        </w:rPr>
      </w:pPr>
      <w:r>
        <w:rPr>
          <w:rFonts w:hint="eastAsia" w:ascii="宋体" w:hAnsi="宋体"/>
          <w:color w:val="auto"/>
          <w:sz w:val="24"/>
        </w:rPr>
        <w:t>8.根据</w:t>
      </w:r>
      <w:r>
        <w:rPr>
          <w:rFonts w:ascii="宋体" w:hAnsi="宋体"/>
          <w:color w:val="auto"/>
          <w:sz w:val="24"/>
        </w:rPr>
        <w:t>《中华人民共和国政府采购法实施条例》第五十条要求对政府采购合同进行公告</w:t>
      </w:r>
      <w:r>
        <w:rPr>
          <w:rFonts w:hint="eastAsia" w:ascii="宋体" w:hAnsi="宋体"/>
          <w:color w:val="auto"/>
          <w:sz w:val="24"/>
        </w:rPr>
        <w:t>，</w:t>
      </w:r>
      <w:r>
        <w:rPr>
          <w:rFonts w:ascii="宋体" w:hAnsi="宋体"/>
          <w:color w:val="auto"/>
          <w:sz w:val="24"/>
        </w:rPr>
        <w:t>但政府采购合同中涉及国家秘密、商业秘密的内容除外。</w:t>
      </w:r>
      <w:r>
        <w:rPr>
          <w:rFonts w:hint="eastAsia" w:ascii="宋体" w:hAnsi="宋体"/>
          <w:color w:val="auto"/>
          <w:sz w:val="24"/>
        </w:rPr>
        <w:t>我方就对本次投标文件进行注明如下：（两项内容中必须选择一项）</w:t>
      </w:r>
    </w:p>
    <w:p w14:paraId="22E41177">
      <w:pPr>
        <w:spacing w:line="360" w:lineRule="auto"/>
        <w:ind w:firstLine="480" w:firstLineChars="200"/>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内容中</w:t>
      </w:r>
      <w:r>
        <w:rPr>
          <w:rFonts w:hint="eastAsia" w:ascii="宋体" w:hAnsi="宋体"/>
          <w:color w:val="auto"/>
          <w:sz w:val="24"/>
        </w:rPr>
        <w:t>未</w:t>
      </w:r>
      <w:r>
        <w:rPr>
          <w:rFonts w:ascii="宋体" w:hAnsi="宋体" w:cs="宋体"/>
          <w:color w:val="auto"/>
          <w:kern w:val="0"/>
          <w:sz w:val="24"/>
        </w:rPr>
        <w:t>涉及商业秘密</w:t>
      </w:r>
      <w:r>
        <w:rPr>
          <w:rFonts w:hint="eastAsia" w:ascii="宋体" w:hAnsi="宋体" w:cs="宋体"/>
          <w:color w:val="auto"/>
          <w:kern w:val="0"/>
          <w:sz w:val="24"/>
        </w:rPr>
        <w:t>；</w:t>
      </w:r>
    </w:p>
    <w:p w14:paraId="227EC571">
      <w:pPr>
        <w:snapToGrid w:val="0"/>
        <w:spacing w:line="360" w:lineRule="auto"/>
        <w:ind w:firstLine="480" w:firstLineChars="200"/>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涉及商业秘密</w:t>
      </w:r>
      <w:r>
        <w:rPr>
          <w:rFonts w:hint="eastAsia" w:ascii="宋体" w:hAnsi="宋体" w:cs="宋体"/>
          <w:color w:val="auto"/>
          <w:kern w:val="0"/>
          <w:sz w:val="24"/>
        </w:rPr>
        <w:t>的</w:t>
      </w:r>
      <w:r>
        <w:rPr>
          <w:rFonts w:ascii="宋体" w:hAnsi="宋体" w:cs="宋体"/>
          <w:color w:val="auto"/>
          <w:kern w:val="0"/>
          <w:sz w:val="24"/>
        </w:rPr>
        <w:t>内容</w:t>
      </w:r>
      <w:r>
        <w:rPr>
          <w:rFonts w:hint="eastAsia" w:ascii="宋体" w:hAnsi="宋体" w:cs="宋体"/>
          <w:color w:val="auto"/>
          <w:kern w:val="0"/>
          <w:sz w:val="24"/>
        </w:rPr>
        <w:t>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4695744">
      <w:pPr>
        <w:snapToGrid w:val="0"/>
        <w:spacing w:line="360" w:lineRule="auto"/>
        <w:ind w:firstLine="480" w:firstLineChars="200"/>
        <w:rPr>
          <w:rFonts w:ascii="宋体" w:hAnsi="宋体"/>
          <w:color w:val="auto"/>
          <w:sz w:val="24"/>
        </w:rPr>
      </w:pPr>
      <w:r>
        <w:rPr>
          <w:rFonts w:hint="eastAsia" w:ascii="宋体" w:hAnsi="宋体"/>
          <w:color w:val="auto"/>
          <w:sz w:val="24"/>
        </w:rPr>
        <w:t>9.与本项目有关的一切正式往来信函请寄：</w:t>
      </w:r>
    </w:p>
    <w:p w14:paraId="0845B608">
      <w:pPr>
        <w:snapToGrid w:val="0"/>
        <w:spacing w:line="360" w:lineRule="auto"/>
        <w:ind w:firstLine="480" w:firstLineChars="200"/>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7564FACA">
      <w:pPr>
        <w:snapToGrid w:val="0"/>
        <w:spacing w:line="360" w:lineRule="auto"/>
        <w:ind w:firstLine="480" w:firstLineChars="200"/>
        <w:rPr>
          <w:rFonts w:ascii="宋体" w:hAnsi="宋体"/>
          <w:color w:val="auto"/>
          <w:sz w:val="24"/>
        </w:rPr>
      </w:pPr>
      <w:r>
        <w:rPr>
          <w:rFonts w:hint="eastAsia" w:ascii="宋体" w:hAnsi="宋体"/>
          <w:color w:val="auto"/>
          <w:sz w:val="24"/>
        </w:rPr>
        <w:t>联系人：</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电子邮箱：</w:t>
      </w:r>
      <w:r>
        <w:rPr>
          <w:rFonts w:hint="eastAsia" w:ascii="宋体" w:hAnsi="宋体"/>
          <w:color w:val="auto"/>
          <w:sz w:val="24"/>
          <w:u w:val="single"/>
        </w:rPr>
        <w:t xml:space="preserve"> </w:t>
      </w:r>
      <w:r>
        <w:rPr>
          <w:rFonts w:ascii="宋体" w:hAnsi="宋体"/>
          <w:color w:val="auto"/>
          <w:sz w:val="24"/>
          <w:u w:val="single"/>
        </w:rPr>
        <w:t xml:space="preserve">        </w:t>
      </w:r>
    </w:p>
    <w:p w14:paraId="3DF605D4">
      <w:pPr>
        <w:snapToGrid w:val="0"/>
        <w:spacing w:line="360" w:lineRule="auto"/>
        <w:ind w:firstLine="480" w:firstLineChars="200"/>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14:paraId="224A65F7">
      <w:pPr>
        <w:snapToGrid w:val="0"/>
        <w:spacing w:line="360" w:lineRule="auto"/>
        <w:ind w:firstLine="480" w:firstLineChars="200"/>
        <w:jc w:val="left"/>
        <w:rPr>
          <w:rFonts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银行账号：</w:t>
      </w:r>
      <w:r>
        <w:rPr>
          <w:rFonts w:hint="eastAsia" w:ascii="宋体" w:hAnsi="宋体"/>
          <w:color w:val="auto"/>
          <w:sz w:val="24"/>
          <w:u w:val="single"/>
        </w:rPr>
        <w:t xml:space="preserve">                    </w:t>
      </w:r>
      <w:r>
        <w:rPr>
          <w:rFonts w:hint="eastAsia" w:ascii="宋体" w:hAnsi="宋体"/>
          <w:color w:val="auto"/>
          <w:sz w:val="24"/>
        </w:rPr>
        <w:t xml:space="preserve"> </w:t>
      </w:r>
    </w:p>
    <w:p w14:paraId="1B36874E">
      <w:pPr>
        <w:snapToGrid w:val="0"/>
        <w:spacing w:line="360" w:lineRule="auto"/>
        <w:ind w:firstLine="480" w:firstLineChars="200"/>
        <w:jc w:val="left"/>
        <w:rPr>
          <w:rFonts w:ascii="宋体" w:hAnsi="宋体"/>
          <w:color w:val="auto"/>
          <w:sz w:val="24"/>
        </w:rPr>
      </w:pPr>
    </w:p>
    <w:p w14:paraId="15F17542">
      <w:pPr>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                法定代表人或者委托代理人（签字或者电子签名）：_______ </w:t>
      </w:r>
    </w:p>
    <w:p w14:paraId="6B2C281C">
      <w:pPr>
        <w:pStyle w:val="22"/>
        <w:snapToGrid w:val="0"/>
        <w:spacing w:before="295" w:after="295" w:line="360" w:lineRule="auto"/>
        <w:jc w:val="center"/>
        <w:rPr>
          <w:rFonts w:hAnsi="宋体"/>
          <w:color w:val="auto"/>
          <w:sz w:val="24"/>
          <w:szCs w:val="24"/>
          <w:u w:val="single"/>
        </w:rPr>
      </w:pPr>
      <w:r>
        <w:rPr>
          <w:rFonts w:hint="eastAsia" w:hAnsi="宋体"/>
          <w:color w:val="auto"/>
          <w:sz w:val="24"/>
        </w:rPr>
        <w:t xml:space="preserve"> </w:t>
      </w:r>
      <w:r>
        <w:rPr>
          <w:rFonts w:hAnsi="宋体"/>
          <w:color w:val="auto"/>
          <w:sz w:val="24"/>
        </w:rPr>
        <w:t xml:space="preserve">                                    </w:t>
      </w:r>
      <w:r>
        <w:rPr>
          <w:rFonts w:hint="eastAsia" w:hAnsi="宋体"/>
          <w:color w:val="auto"/>
          <w:sz w:val="24"/>
        </w:rPr>
        <w:t>投标人名称（电子签章）：</w:t>
      </w:r>
    </w:p>
    <w:p w14:paraId="180BB0C9">
      <w:pPr>
        <w:pStyle w:val="22"/>
        <w:snapToGrid w:val="0"/>
        <w:spacing w:before="295" w:after="295" w:line="360" w:lineRule="auto"/>
        <w:rPr>
          <w:rFonts w:hAnsi="宋体"/>
          <w:color w:val="auto"/>
          <w:sz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1389D72E">
      <w:pPr>
        <w:snapToGrid w:val="0"/>
        <w:spacing w:before="120" w:beforeLines="50" w:after="50"/>
        <w:jc w:val="left"/>
        <w:rPr>
          <w:rFonts w:ascii="宋体" w:hAnsi="宋体"/>
          <w:b/>
          <w:color w:val="auto"/>
          <w:sz w:val="24"/>
          <w:szCs w:val="20"/>
        </w:rPr>
      </w:pPr>
      <w:r>
        <w:rPr>
          <w:rFonts w:hAnsi="宋体"/>
          <w:color w:val="auto"/>
          <w:u w:val="single"/>
        </w:rPr>
        <w:br w:type="page"/>
      </w:r>
      <w:r>
        <w:rPr>
          <w:rFonts w:hint="eastAsia" w:ascii="宋体" w:hAnsi="宋体"/>
          <w:b/>
          <w:color w:val="auto"/>
          <w:sz w:val="24"/>
        </w:rPr>
        <w:t>4. 开标一览表</w:t>
      </w:r>
    </w:p>
    <w:p w14:paraId="2A10B01E">
      <w:pPr>
        <w:snapToGrid w:val="0"/>
        <w:spacing w:before="50" w:after="50"/>
        <w:jc w:val="center"/>
        <w:rPr>
          <w:rFonts w:ascii="宋体" w:hAnsi="宋体"/>
          <w:b/>
          <w:color w:val="auto"/>
          <w:sz w:val="30"/>
        </w:rPr>
      </w:pPr>
      <w:r>
        <w:rPr>
          <w:rFonts w:hint="eastAsia" w:ascii="宋体" w:hAnsi="宋体"/>
          <w:b/>
          <w:color w:val="auto"/>
          <w:sz w:val="30"/>
        </w:rPr>
        <w:t>开标一览表</w:t>
      </w:r>
    </w:p>
    <w:p w14:paraId="5D412F69">
      <w:pPr>
        <w:snapToGrid w:val="0"/>
        <w:spacing w:before="50" w:after="50"/>
        <w:jc w:val="center"/>
        <w:rPr>
          <w:rFonts w:ascii="宋体" w:hAnsi="宋体"/>
          <w:b/>
          <w:color w:val="auto"/>
          <w:sz w:val="30"/>
          <w:szCs w:val="20"/>
        </w:rPr>
      </w:pPr>
    </w:p>
    <w:p w14:paraId="28C4B80C">
      <w:pPr>
        <w:snapToGrid w:val="0"/>
        <w:spacing w:before="50" w:after="50" w:line="360" w:lineRule="auto"/>
        <w:rPr>
          <w:rFonts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分标：</w:t>
      </w:r>
      <w:r>
        <w:rPr>
          <w:rFonts w:hint="eastAsia" w:ascii="宋体" w:hAnsi="宋体"/>
          <w:color w:val="auto"/>
          <w:sz w:val="24"/>
          <w:u w:val="single"/>
        </w:rPr>
        <w:t xml:space="preserve">           </w:t>
      </w:r>
    </w:p>
    <w:p w14:paraId="1DD5633A">
      <w:pPr>
        <w:snapToGrid w:val="0"/>
        <w:spacing w:before="50" w:after="50" w:line="360" w:lineRule="auto"/>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单位：元</w:t>
      </w:r>
    </w:p>
    <w:p w14:paraId="1E4C6AC2">
      <w:pPr>
        <w:snapToGrid w:val="0"/>
        <w:spacing w:before="50" w:after="50" w:line="360" w:lineRule="auto"/>
        <w:rPr>
          <w:rFonts w:ascii="宋体" w:hAnsi="宋体" w:cs="仿宋_GB2312"/>
          <w:color w:val="auto"/>
          <w:sz w:val="24"/>
        </w:rPr>
      </w:pPr>
      <w:r>
        <w:rPr>
          <w:rFonts w:hint="eastAsia" w:ascii="宋体" w:hAnsi="宋体" w:cs="仿宋_GB2312"/>
          <w:color w:val="auto"/>
          <w:sz w:val="24"/>
        </w:rPr>
        <w:t xml:space="preserve">                                           </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625"/>
        <w:gridCol w:w="1009"/>
        <w:gridCol w:w="1108"/>
        <w:gridCol w:w="1064"/>
        <w:gridCol w:w="1413"/>
        <w:gridCol w:w="725"/>
      </w:tblGrid>
      <w:tr w14:paraId="4933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339" w:type="pct"/>
            <w:tcBorders>
              <w:top w:val="single" w:color="auto" w:sz="4" w:space="0"/>
              <w:left w:val="single" w:color="auto" w:sz="4" w:space="0"/>
              <w:bottom w:val="single" w:color="auto" w:sz="4" w:space="0"/>
              <w:right w:val="single" w:color="auto" w:sz="4" w:space="0"/>
            </w:tcBorders>
            <w:vAlign w:val="center"/>
          </w:tcPr>
          <w:p w14:paraId="74A86146">
            <w:pPr>
              <w:spacing w:line="360" w:lineRule="auto"/>
              <w:jc w:val="center"/>
              <w:rPr>
                <w:rFonts w:ascii="宋体" w:hAnsi="宋体" w:cs="仿宋_GB2312"/>
                <w:color w:val="auto"/>
                <w:sz w:val="24"/>
              </w:rPr>
            </w:pPr>
            <w:r>
              <w:rPr>
                <w:rFonts w:ascii="宋体" w:hAnsi="宋体" w:cs="仿宋_GB2312"/>
                <w:color w:val="auto"/>
                <w:sz w:val="24"/>
              </w:rPr>
              <w:t>序号</w:t>
            </w:r>
          </w:p>
        </w:tc>
        <w:tc>
          <w:tcPr>
            <w:tcW w:w="1539" w:type="pct"/>
            <w:tcBorders>
              <w:top w:val="single" w:color="auto" w:sz="4" w:space="0"/>
              <w:left w:val="single" w:color="auto" w:sz="4" w:space="0"/>
              <w:bottom w:val="single" w:color="auto" w:sz="4" w:space="0"/>
              <w:right w:val="single" w:color="auto" w:sz="4" w:space="0"/>
            </w:tcBorders>
            <w:vAlign w:val="center"/>
          </w:tcPr>
          <w:p w14:paraId="3717FE7F">
            <w:pPr>
              <w:spacing w:line="360" w:lineRule="auto"/>
              <w:jc w:val="center"/>
              <w:rPr>
                <w:rFonts w:ascii="宋体" w:hAnsi="宋体" w:cs="仿宋_GB2312"/>
                <w:color w:val="auto"/>
                <w:sz w:val="24"/>
              </w:rPr>
            </w:pPr>
            <w:r>
              <w:rPr>
                <w:rFonts w:hint="eastAsia" w:ascii="宋体" w:hAnsi="宋体"/>
                <w:b/>
                <w:color w:val="auto"/>
                <w:sz w:val="24"/>
              </w:rPr>
              <w:t>标的的名称</w:t>
            </w:r>
          </w:p>
        </w:tc>
        <w:tc>
          <w:tcPr>
            <w:tcW w:w="592" w:type="pct"/>
            <w:tcBorders>
              <w:top w:val="single" w:color="auto" w:sz="4" w:space="0"/>
              <w:left w:val="single" w:color="auto" w:sz="4" w:space="0"/>
              <w:bottom w:val="single" w:color="auto" w:sz="4" w:space="0"/>
              <w:right w:val="single" w:color="auto" w:sz="4" w:space="0"/>
            </w:tcBorders>
            <w:vAlign w:val="center"/>
          </w:tcPr>
          <w:p w14:paraId="2E8B27FA">
            <w:pPr>
              <w:spacing w:line="360" w:lineRule="auto"/>
              <w:jc w:val="center"/>
              <w:rPr>
                <w:rFonts w:ascii="宋体" w:hAnsi="宋体" w:cs="仿宋_GB2312"/>
                <w:color w:val="auto"/>
                <w:sz w:val="24"/>
              </w:rPr>
            </w:pPr>
            <w:r>
              <w:rPr>
                <w:rFonts w:hint="eastAsia" w:ascii="宋体" w:hAnsi="宋体" w:cs="仿宋_GB2312"/>
                <w:color w:val="auto"/>
                <w:sz w:val="24"/>
              </w:rPr>
              <w:t>数量及单位</w:t>
            </w:r>
          </w:p>
        </w:tc>
        <w:tc>
          <w:tcPr>
            <w:tcW w:w="650" w:type="pct"/>
            <w:tcBorders>
              <w:top w:val="single" w:color="auto" w:sz="4" w:space="0"/>
              <w:left w:val="single" w:color="auto" w:sz="4" w:space="0"/>
              <w:bottom w:val="single" w:color="auto" w:sz="4" w:space="0"/>
              <w:right w:val="single" w:color="auto" w:sz="4" w:space="0"/>
            </w:tcBorders>
            <w:vAlign w:val="center"/>
          </w:tcPr>
          <w:p w14:paraId="2B89737E">
            <w:pPr>
              <w:spacing w:line="360" w:lineRule="auto"/>
              <w:jc w:val="center"/>
              <w:rPr>
                <w:rFonts w:ascii="宋体" w:hAnsi="宋体" w:cs="仿宋_GB2312"/>
                <w:color w:val="auto"/>
                <w:sz w:val="24"/>
              </w:rPr>
            </w:pPr>
            <w:r>
              <w:rPr>
                <w:rFonts w:hint="eastAsia" w:ascii="宋体" w:hAnsi="宋体" w:cs="仿宋_GB2312"/>
                <w:color w:val="auto"/>
                <w:sz w:val="24"/>
                <w:lang w:val="en-US" w:eastAsia="zh-CN"/>
              </w:rPr>
              <w:t>服务</w:t>
            </w:r>
            <w:r>
              <w:rPr>
                <w:rFonts w:hint="eastAsia" w:ascii="宋体" w:hAnsi="宋体" w:cs="仿宋_GB2312"/>
                <w:color w:val="auto"/>
                <w:sz w:val="24"/>
              </w:rPr>
              <w:t>期（年）</w:t>
            </w:r>
          </w:p>
          <w:p w14:paraId="53208229">
            <w:pPr>
              <w:spacing w:line="360" w:lineRule="auto"/>
              <w:jc w:val="center"/>
              <w:rPr>
                <w:color w:val="auto"/>
              </w:rPr>
            </w:pPr>
            <w:r>
              <w:rPr>
                <w:rFonts w:hint="eastAsia" w:ascii="宋体" w:hAnsi="宋体" w:cs="仿宋_GB2312"/>
                <w:color w:val="auto"/>
                <w:sz w:val="24"/>
              </w:rPr>
              <w:t>①</w:t>
            </w:r>
          </w:p>
        </w:tc>
        <w:tc>
          <w:tcPr>
            <w:tcW w:w="624" w:type="pct"/>
            <w:tcBorders>
              <w:top w:val="single" w:color="auto" w:sz="4" w:space="0"/>
              <w:left w:val="single" w:color="auto" w:sz="4" w:space="0"/>
              <w:bottom w:val="single" w:color="auto" w:sz="4" w:space="0"/>
              <w:right w:val="single" w:color="auto" w:sz="4" w:space="0"/>
            </w:tcBorders>
            <w:vAlign w:val="center"/>
          </w:tcPr>
          <w:p w14:paraId="212E537C">
            <w:pPr>
              <w:spacing w:line="360" w:lineRule="auto"/>
              <w:jc w:val="center"/>
              <w:rPr>
                <w:rFonts w:ascii="宋体" w:hAnsi="宋体" w:cs="宋体"/>
                <w:color w:val="auto"/>
                <w:kern w:val="0"/>
                <w:sz w:val="24"/>
              </w:rPr>
            </w:pPr>
            <w:r>
              <w:rPr>
                <w:rFonts w:hint="eastAsia" w:ascii="宋体" w:hAnsi="宋体" w:cs="仿宋_GB2312"/>
                <w:color w:val="auto"/>
                <w:sz w:val="24"/>
              </w:rPr>
              <w:t>单价</w:t>
            </w:r>
            <w:r>
              <w:rPr>
                <w:rFonts w:hint="eastAsia" w:ascii="宋体" w:hAnsi="宋体" w:cs="宋体"/>
                <w:color w:val="auto"/>
                <w:kern w:val="0"/>
                <w:sz w:val="24"/>
              </w:rPr>
              <w:t>（元/年）</w:t>
            </w:r>
          </w:p>
          <w:p w14:paraId="094587CE">
            <w:pPr>
              <w:spacing w:line="360" w:lineRule="auto"/>
              <w:jc w:val="center"/>
              <w:rPr>
                <w:color w:val="auto"/>
              </w:rPr>
            </w:pPr>
            <w:r>
              <w:rPr>
                <w:rFonts w:hint="eastAsia" w:ascii="宋体" w:hAnsi="宋体" w:cs="仿宋_GB2312"/>
                <w:color w:val="auto"/>
                <w:sz w:val="24"/>
              </w:rPr>
              <w:t>②</w:t>
            </w:r>
          </w:p>
        </w:tc>
        <w:tc>
          <w:tcPr>
            <w:tcW w:w="829" w:type="pct"/>
            <w:tcBorders>
              <w:top w:val="single" w:color="auto" w:sz="4" w:space="0"/>
              <w:left w:val="single" w:color="auto" w:sz="4" w:space="0"/>
              <w:bottom w:val="single" w:color="auto" w:sz="4" w:space="0"/>
              <w:right w:val="single" w:color="auto" w:sz="4" w:space="0"/>
            </w:tcBorders>
            <w:vAlign w:val="center"/>
          </w:tcPr>
          <w:p w14:paraId="4B778F73">
            <w:pPr>
              <w:spacing w:line="360" w:lineRule="auto"/>
              <w:jc w:val="center"/>
              <w:rPr>
                <w:rFonts w:ascii="宋体" w:hAnsi="宋体" w:cs="仿宋_GB2312"/>
                <w:color w:val="auto"/>
                <w:sz w:val="24"/>
              </w:rPr>
            </w:pPr>
            <w:r>
              <w:rPr>
                <w:rFonts w:hint="eastAsia" w:ascii="宋体" w:hAnsi="宋体" w:cs="仿宋_GB2312"/>
                <w:color w:val="auto"/>
                <w:sz w:val="24"/>
              </w:rPr>
              <w:t>总价（元）</w:t>
            </w:r>
          </w:p>
          <w:p w14:paraId="44C70FA9">
            <w:pPr>
              <w:spacing w:line="360" w:lineRule="auto"/>
              <w:jc w:val="center"/>
              <w:rPr>
                <w:rFonts w:ascii="宋体" w:hAnsi="宋体" w:cs="仿宋_GB2312"/>
                <w:color w:val="auto"/>
                <w:sz w:val="24"/>
              </w:rPr>
            </w:pPr>
            <w:r>
              <w:rPr>
                <w:rFonts w:hint="eastAsia" w:ascii="仿宋" w:hAnsi="仿宋" w:eastAsia="仿宋" w:cs="仿宋"/>
                <w:color w:val="auto"/>
                <w:sz w:val="24"/>
              </w:rPr>
              <w:t>③</w:t>
            </w:r>
            <w:r>
              <w:rPr>
                <w:rFonts w:hint="eastAsia" w:ascii="宋体" w:hAnsi="宋体" w:eastAsia="仿宋" w:cs="仿宋_GB2312"/>
                <w:color w:val="auto"/>
                <w:sz w:val="24"/>
              </w:rPr>
              <w:t>=</w:t>
            </w:r>
            <w:r>
              <w:rPr>
                <w:rFonts w:hint="eastAsia" w:ascii="宋体" w:hAnsi="宋体" w:cs="仿宋_GB2312"/>
                <w:color w:val="auto"/>
                <w:sz w:val="24"/>
              </w:rPr>
              <w:t>①×②</w:t>
            </w:r>
          </w:p>
        </w:tc>
        <w:tc>
          <w:tcPr>
            <w:tcW w:w="425" w:type="pct"/>
            <w:tcBorders>
              <w:top w:val="single" w:color="auto" w:sz="4" w:space="0"/>
              <w:left w:val="single" w:color="auto" w:sz="4" w:space="0"/>
              <w:bottom w:val="single" w:color="auto" w:sz="4" w:space="0"/>
              <w:right w:val="single" w:color="auto" w:sz="4" w:space="0"/>
            </w:tcBorders>
            <w:vAlign w:val="center"/>
          </w:tcPr>
          <w:p w14:paraId="23B09AEA">
            <w:pPr>
              <w:spacing w:line="360" w:lineRule="auto"/>
              <w:jc w:val="center"/>
              <w:rPr>
                <w:rFonts w:ascii="宋体" w:hAnsi="宋体" w:cs="仿宋_GB2312"/>
                <w:color w:val="auto"/>
                <w:sz w:val="24"/>
              </w:rPr>
            </w:pPr>
            <w:r>
              <w:rPr>
                <w:rFonts w:ascii="宋体" w:hAnsi="宋体" w:cs="仿宋_GB2312"/>
                <w:color w:val="auto"/>
                <w:sz w:val="24"/>
              </w:rPr>
              <w:t>备注</w:t>
            </w:r>
          </w:p>
        </w:tc>
      </w:tr>
      <w:tr w14:paraId="5090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339" w:type="pct"/>
            <w:tcBorders>
              <w:top w:val="single" w:color="auto" w:sz="4" w:space="0"/>
              <w:left w:val="single" w:color="auto" w:sz="4" w:space="0"/>
              <w:bottom w:val="single" w:color="auto" w:sz="4" w:space="0"/>
              <w:right w:val="single" w:color="auto" w:sz="4" w:space="0"/>
            </w:tcBorders>
            <w:vAlign w:val="center"/>
          </w:tcPr>
          <w:p w14:paraId="650B49BF">
            <w:pPr>
              <w:spacing w:line="360" w:lineRule="auto"/>
              <w:jc w:val="center"/>
              <w:rPr>
                <w:rFonts w:ascii="宋体" w:hAnsi="宋体" w:cs="仿宋_GB2312"/>
                <w:color w:val="auto"/>
                <w:sz w:val="24"/>
              </w:rPr>
            </w:pPr>
            <w:r>
              <w:rPr>
                <w:rFonts w:ascii="宋体" w:hAnsi="宋体" w:cs="仿宋_GB2312"/>
                <w:color w:val="auto"/>
                <w:sz w:val="24"/>
              </w:rPr>
              <w:t>1</w:t>
            </w:r>
          </w:p>
        </w:tc>
        <w:tc>
          <w:tcPr>
            <w:tcW w:w="1539" w:type="pct"/>
            <w:tcBorders>
              <w:top w:val="single" w:color="auto" w:sz="4" w:space="0"/>
              <w:left w:val="single" w:color="auto" w:sz="4" w:space="0"/>
              <w:bottom w:val="single" w:color="auto" w:sz="4" w:space="0"/>
              <w:right w:val="single" w:color="auto" w:sz="4" w:space="0"/>
            </w:tcBorders>
            <w:vAlign w:val="center"/>
          </w:tcPr>
          <w:p w14:paraId="42E3887C">
            <w:pPr>
              <w:widowControl/>
              <w:adjustRightInd w:val="0"/>
              <w:snapToGrid w:val="0"/>
              <w:jc w:val="center"/>
              <w:textAlignment w:val="center"/>
              <w:rPr>
                <w:rFonts w:ascii="宋体" w:hAnsi="宋体" w:cs="仿宋_GB2312"/>
                <w:color w:val="auto"/>
                <w:sz w:val="24"/>
              </w:rPr>
            </w:pPr>
          </w:p>
        </w:tc>
        <w:tc>
          <w:tcPr>
            <w:tcW w:w="592" w:type="pct"/>
            <w:tcBorders>
              <w:top w:val="single" w:color="auto" w:sz="4" w:space="0"/>
              <w:left w:val="single" w:color="auto" w:sz="4" w:space="0"/>
              <w:bottom w:val="single" w:color="auto" w:sz="4" w:space="0"/>
              <w:right w:val="single" w:color="auto" w:sz="4" w:space="0"/>
            </w:tcBorders>
            <w:vAlign w:val="center"/>
          </w:tcPr>
          <w:p w14:paraId="2DF7CE32">
            <w:pPr>
              <w:spacing w:line="360" w:lineRule="auto"/>
              <w:jc w:val="center"/>
              <w:rPr>
                <w:rFonts w:ascii="宋体" w:hAnsi="宋体" w:cs="仿宋_GB2312"/>
                <w:color w:val="auto"/>
                <w:sz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16AE2324">
            <w:pPr>
              <w:spacing w:line="360" w:lineRule="auto"/>
              <w:jc w:val="center"/>
              <w:rPr>
                <w:rFonts w:ascii="宋体" w:hAnsi="宋体" w:cs="仿宋_GB2312"/>
                <w:color w:val="auto"/>
                <w:sz w:val="24"/>
              </w:rPr>
            </w:pPr>
          </w:p>
        </w:tc>
        <w:tc>
          <w:tcPr>
            <w:tcW w:w="624" w:type="pct"/>
            <w:tcBorders>
              <w:top w:val="single" w:color="auto" w:sz="4" w:space="0"/>
              <w:left w:val="single" w:color="auto" w:sz="4" w:space="0"/>
              <w:bottom w:val="single" w:color="auto" w:sz="4" w:space="0"/>
              <w:right w:val="single" w:color="auto" w:sz="4" w:space="0"/>
            </w:tcBorders>
            <w:vAlign w:val="center"/>
          </w:tcPr>
          <w:p w14:paraId="3186E0CA">
            <w:pPr>
              <w:spacing w:line="360" w:lineRule="auto"/>
              <w:jc w:val="center"/>
              <w:rPr>
                <w:rFonts w:ascii="宋体" w:hAnsi="宋体" w:cs="仿宋_GB2312"/>
                <w:color w:val="auto"/>
                <w:sz w:val="24"/>
              </w:rPr>
            </w:pPr>
          </w:p>
        </w:tc>
        <w:tc>
          <w:tcPr>
            <w:tcW w:w="829" w:type="pct"/>
            <w:tcBorders>
              <w:top w:val="single" w:color="auto" w:sz="4" w:space="0"/>
              <w:left w:val="single" w:color="auto" w:sz="4" w:space="0"/>
              <w:bottom w:val="single" w:color="auto" w:sz="4" w:space="0"/>
              <w:right w:val="single" w:color="auto" w:sz="4" w:space="0"/>
            </w:tcBorders>
            <w:vAlign w:val="center"/>
          </w:tcPr>
          <w:p w14:paraId="1E6A6E84">
            <w:pPr>
              <w:spacing w:line="360" w:lineRule="auto"/>
              <w:jc w:val="center"/>
              <w:rPr>
                <w:rFonts w:ascii="宋体" w:hAnsi="宋体" w:cs="仿宋_GB2312"/>
                <w:color w:val="auto"/>
                <w:sz w:val="24"/>
              </w:rPr>
            </w:pPr>
          </w:p>
        </w:tc>
        <w:tc>
          <w:tcPr>
            <w:tcW w:w="425" w:type="pct"/>
            <w:tcBorders>
              <w:top w:val="single" w:color="auto" w:sz="4" w:space="0"/>
              <w:left w:val="single" w:color="auto" w:sz="4" w:space="0"/>
              <w:bottom w:val="single" w:color="auto" w:sz="4" w:space="0"/>
              <w:right w:val="single" w:color="auto" w:sz="4" w:space="0"/>
            </w:tcBorders>
            <w:vAlign w:val="center"/>
          </w:tcPr>
          <w:p w14:paraId="741E7C37">
            <w:pPr>
              <w:spacing w:line="360" w:lineRule="auto"/>
              <w:jc w:val="center"/>
              <w:rPr>
                <w:rFonts w:ascii="宋体" w:hAnsi="宋体" w:cs="仿宋_GB2312"/>
                <w:color w:val="auto"/>
                <w:sz w:val="24"/>
              </w:rPr>
            </w:pPr>
          </w:p>
        </w:tc>
      </w:tr>
      <w:tr w14:paraId="4397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339" w:type="pct"/>
            <w:tcBorders>
              <w:top w:val="single" w:color="auto" w:sz="4" w:space="0"/>
              <w:left w:val="single" w:color="auto" w:sz="4" w:space="0"/>
              <w:bottom w:val="single" w:color="auto" w:sz="4" w:space="0"/>
              <w:right w:val="single" w:color="auto" w:sz="4" w:space="0"/>
            </w:tcBorders>
            <w:vAlign w:val="center"/>
          </w:tcPr>
          <w:p w14:paraId="2D8ECF5C">
            <w:pPr>
              <w:spacing w:line="360" w:lineRule="auto"/>
              <w:jc w:val="center"/>
              <w:rPr>
                <w:rFonts w:hint="default" w:ascii="宋体" w:hAnsi="宋体" w:eastAsia="宋体" w:cs="仿宋_GB2312"/>
                <w:color w:val="auto"/>
                <w:sz w:val="24"/>
                <w:lang w:val="en-US" w:eastAsia="zh-CN"/>
              </w:rPr>
            </w:pPr>
            <w:r>
              <w:rPr>
                <w:rFonts w:hint="eastAsia" w:ascii="宋体" w:hAnsi="宋体" w:cs="仿宋_GB2312"/>
                <w:color w:val="auto"/>
                <w:sz w:val="24"/>
                <w:lang w:val="en-US" w:eastAsia="zh-CN"/>
              </w:rPr>
              <w:t>...</w:t>
            </w:r>
          </w:p>
        </w:tc>
        <w:tc>
          <w:tcPr>
            <w:tcW w:w="1539" w:type="pct"/>
            <w:tcBorders>
              <w:top w:val="single" w:color="auto" w:sz="4" w:space="0"/>
              <w:left w:val="single" w:color="auto" w:sz="4" w:space="0"/>
              <w:bottom w:val="single" w:color="auto" w:sz="4" w:space="0"/>
              <w:right w:val="single" w:color="auto" w:sz="4" w:space="0"/>
            </w:tcBorders>
            <w:vAlign w:val="center"/>
          </w:tcPr>
          <w:p w14:paraId="6FEB195E">
            <w:pPr>
              <w:widowControl/>
              <w:adjustRightInd w:val="0"/>
              <w:snapToGrid w:val="0"/>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w:t>
            </w:r>
          </w:p>
        </w:tc>
        <w:tc>
          <w:tcPr>
            <w:tcW w:w="592" w:type="pct"/>
            <w:tcBorders>
              <w:top w:val="single" w:color="auto" w:sz="4" w:space="0"/>
              <w:left w:val="single" w:color="auto" w:sz="4" w:space="0"/>
              <w:bottom w:val="single" w:color="auto" w:sz="4" w:space="0"/>
              <w:right w:val="single" w:color="auto" w:sz="4" w:space="0"/>
            </w:tcBorders>
            <w:vAlign w:val="center"/>
          </w:tcPr>
          <w:p w14:paraId="206A952A">
            <w:pPr>
              <w:spacing w:line="360" w:lineRule="auto"/>
              <w:jc w:val="center"/>
              <w:rPr>
                <w:rFonts w:hint="eastAsia" w:ascii="宋体" w:hAnsi="宋体" w:cs="仿宋_GB2312"/>
                <w:color w:val="auto"/>
                <w:sz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43643BA5">
            <w:pPr>
              <w:spacing w:line="360" w:lineRule="auto"/>
              <w:jc w:val="center"/>
              <w:rPr>
                <w:rFonts w:hint="eastAsia" w:ascii="宋体" w:hAnsi="宋体" w:cs="仿宋_GB2312"/>
                <w:color w:val="auto"/>
                <w:sz w:val="24"/>
              </w:rPr>
            </w:pPr>
          </w:p>
        </w:tc>
        <w:tc>
          <w:tcPr>
            <w:tcW w:w="624" w:type="pct"/>
            <w:tcBorders>
              <w:top w:val="single" w:color="auto" w:sz="4" w:space="0"/>
              <w:left w:val="single" w:color="auto" w:sz="4" w:space="0"/>
              <w:bottom w:val="single" w:color="auto" w:sz="4" w:space="0"/>
              <w:right w:val="single" w:color="auto" w:sz="4" w:space="0"/>
            </w:tcBorders>
            <w:vAlign w:val="center"/>
          </w:tcPr>
          <w:p w14:paraId="1DD336BF">
            <w:pPr>
              <w:spacing w:line="360" w:lineRule="auto"/>
              <w:jc w:val="center"/>
              <w:rPr>
                <w:rFonts w:ascii="宋体" w:hAnsi="宋体" w:cs="仿宋_GB2312"/>
                <w:color w:val="auto"/>
                <w:sz w:val="24"/>
              </w:rPr>
            </w:pPr>
          </w:p>
        </w:tc>
        <w:tc>
          <w:tcPr>
            <w:tcW w:w="829" w:type="pct"/>
            <w:tcBorders>
              <w:top w:val="single" w:color="auto" w:sz="4" w:space="0"/>
              <w:left w:val="single" w:color="auto" w:sz="4" w:space="0"/>
              <w:bottom w:val="single" w:color="auto" w:sz="4" w:space="0"/>
              <w:right w:val="single" w:color="auto" w:sz="4" w:space="0"/>
            </w:tcBorders>
            <w:vAlign w:val="center"/>
          </w:tcPr>
          <w:p w14:paraId="7CA25174">
            <w:pPr>
              <w:spacing w:line="360" w:lineRule="auto"/>
              <w:jc w:val="center"/>
              <w:rPr>
                <w:rFonts w:ascii="宋体" w:hAnsi="宋体" w:cs="仿宋_GB2312"/>
                <w:color w:val="auto"/>
                <w:sz w:val="24"/>
              </w:rPr>
            </w:pPr>
          </w:p>
        </w:tc>
        <w:tc>
          <w:tcPr>
            <w:tcW w:w="425" w:type="pct"/>
            <w:tcBorders>
              <w:top w:val="single" w:color="auto" w:sz="4" w:space="0"/>
              <w:left w:val="single" w:color="auto" w:sz="4" w:space="0"/>
              <w:bottom w:val="single" w:color="auto" w:sz="4" w:space="0"/>
              <w:right w:val="single" w:color="auto" w:sz="4" w:space="0"/>
            </w:tcBorders>
            <w:vAlign w:val="center"/>
          </w:tcPr>
          <w:p w14:paraId="668A3AFE">
            <w:pPr>
              <w:spacing w:line="360" w:lineRule="auto"/>
              <w:jc w:val="center"/>
              <w:rPr>
                <w:rFonts w:ascii="宋体" w:hAnsi="宋体" w:cs="仿宋_GB2312"/>
                <w:color w:val="auto"/>
                <w:sz w:val="24"/>
              </w:rPr>
            </w:pPr>
          </w:p>
        </w:tc>
      </w:tr>
      <w:tr w14:paraId="01A9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D8D52B0">
            <w:pPr>
              <w:snapToGrid w:val="0"/>
              <w:spacing w:before="50" w:after="50" w:line="360" w:lineRule="auto"/>
              <w:rPr>
                <w:rFonts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6B49EC91">
      <w:pPr>
        <w:snapToGrid w:val="0"/>
        <w:spacing w:line="360" w:lineRule="auto"/>
        <w:jc w:val="left"/>
        <w:rPr>
          <w:rFonts w:ascii="宋体" w:hAnsi="宋体"/>
          <w:color w:val="auto"/>
          <w:sz w:val="24"/>
        </w:rPr>
      </w:pPr>
      <w:r>
        <w:rPr>
          <w:rFonts w:hint="eastAsia" w:ascii="宋体" w:hAnsi="宋体"/>
          <w:color w:val="auto"/>
          <w:sz w:val="24"/>
        </w:rPr>
        <w:t xml:space="preserve">注： </w:t>
      </w:r>
    </w:p>
    <w:p w14:paraId="0E056E1E">
      <w:pPr>
        <w:snapToGrid w:val="0"/>
        <w:spacing w:line="360" w:lineRule="auto"/>
        <w:ind w:firstLine="480" w:firstLineChars="200"/>
        <w:jc w:val="left"/>
        <w:rPr>
          <w:rFonts w:ascii="宋体" w:hAnsi="宋体"/>
          <w:color w:val="auto"/>
          <w:sz w:val="24"/>
        </w:rPr>
      </w:pPr>
      <w:r>
        <w:rPr>
          <w:rFonts w:hint="eastAsia" w:ascii="宋体" w:hAnsi="宋体"/>
          <w:color w:val="auto"/>
          <w:sz w:val="24"/>
        </w:rPr>
        <w:t>报价一经涂改，应在涂改处加盖投标人公章</w:t>
      </w:r>
      <w:r>
        <w:rPr>
          <w:rFonts w:hint="eastAsia" w:ascii="宋体" w:hAnsi="宋体" w:cs="仿宋_GB2312"/>
          <w:color w:val="auto"/>
          <w:sz w:val="24"/>
        </w:rPr>
        <w:t>或者加盖电子签章</w:t>
      </w:r>
      <w:r>
        <w:rPr>
          <w:rFonts w:hint="eastAsia" w:ascii="宋体" w:hAnsi="宋体"/>
          <w:color w:val="auto"/>
          <w:sz w:val="24"/>
        </w:rPr>
        <w:t>或者由法定代表人或者委托代理人签字（或者电子签名）</w:t>
      </w:r>
      <w:r>
        <w:rPr>
          <w:rFonts w:hint="eastAsia" w:ascii="宋体" w:hAnsi="宋体"/>
          <w:b/>
          <w:color w:val="auto"/>
          <w:sz w:val="24"/>
        </w:rPr>
        <w:t>，否则其投标作无效标处理。</w:t>
      </w:r>
    </w:p>
    <w:p w14:paraId="1EA4BFF2">
      <w:pPr>
        <w:snapToGrid w:val="0"/>
        <w:spacing w:line="360" w:lineRule="auto"/>
        <w:ind w:firstLine="482" w:firstLineChars="200"/>
        <w:rPr>
          <w:rFonts w:ascii="宋体" w:hAnsi="宋体"/>
          <w:b/>
          <w:color w:val="auto"/>
          <w:sz w:val="24"/>
        </w:rPr>
      </w:pPr>
    </w:p>
    <w:p w14:paraId="31647630">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 </w:t>
      </w:r>
    </w:p>
    <w:p w14:paraId="7616F004">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6902CED3">
      <w:pPr>
        <w:snapToGrid w:val="0"/>
        <w:spacing w:line="360" w:lineRule="auto"/>
        <w:ind w:left="-3" w:leftChars="-15" w:right="-817" w:rightChars="-389" w:hanging="28" w:hangingChars="12"/>
        <w:rPr>
          <w:rFonts w:ascii="宋体" w:hAnsi="宋体"/>
          <w:color w:val="auto"/>
          <w:szCs w:val="21"/>
        </w:rPr>
      </w:pPr>
      <w:r>
        <w:rPr>
          <w:rFonts w:hint="eastAsia" w:ascii="宋体" w:hAnsi="宋体"/>
          <w:color w:val="auto"/>
          <w:sz w:val="24"/>
        </w:rPr>
        <w:t xml:space="preserve">                                  日期：    年   月   日</w:t>
      </w:r>
    </w:p>
    <w:p w14:paraId="2BC55AC8">
      <w:pPr>
        <w:snapToGrid w:val="0"/>
        <w:spacing w:before="50" w:after="50" w:line="360" w:lineRule="auto"/>
        <w:ind w:left="-6" w:leftChars="-15" w:right="-817" w:rightChars="-389" w:hanging="25" w:hangingChars="12"/>
        <w:rPr>
          <w:rFonts w:ascii="宋体" w:hAnsi="宋体"/>
          <w:color w:val="auto"/>
          <w:szCs w:val="21"/>
        </w:rPr>
      </w:pPr>
    </w:p>
    <w:p w14:paraId="4D38743C">
      <w:pPr>
        <w:rPr>
          <w:b/>
          <w:color w:val="auto"/>
          <w:sz w:val="28"/>
          <w:szCs w:val="28"/>
        </w:rPr>
      </w:pPr>
      <w:r>
        <w:rPr>
          <w:rFonts w:ascii="宋体" w:hAnsi="宋体"/>
          <w:b/>
          <w:bCs/>
          <w:color w:val="auto"/>
          <w:sz w:val="24"/>
        </w:rPr>
        <w:br w:type="page"/>
      </w:r>
      <w:bookmarkStart w:id="138" w:name="_Toc19686837"/>
      <w:r>
        <w:rPr>
          <w:rFonts w:hint="eastAsia"/>
          <w:b/>
          <w:color w:val="auto"/>
          <w:sz w:val="28"/>
          <w:szCs w:val="28"/>
        </w:rPr>
        <w:t>二、资格证明文件格式</w:t>
      </w:r>
      <w:bookmarkEnd w:id="136"/>
      <w:bookmarkEnd w:id="137"/>
      <w:bookmarkEnd w:id="138"/>
    </w:p>
    <w:p w14:paraId="09D009E0">
      <w:pPr>
        <w:snapToGrid w:val="0"/>
        <w:spacing w:before="120" w:beforeLines="50" w:after="50" w:line="360" w:lineRule="auto"/>
        <w:jc w:val="left"/>
        <w:rPr>
          <w:rFonts w:ascii="宋体" w:hAnsi="宋体"/>
          <w:b/>
          <w:color w:val="auto"/>
          <w:sz w:val="24"/>
        </w:rPr>
      </w:pPr>
      <w:r>
        <w:rPr>
          <w:rFonts w:hint="eastAsia" w:ascii="宋体" w:hAnsi="宋体"/>
          <w:b/>
          <w:color w:val="auto"/>
          <w:sz w:val="24"/>
        </w:rPr>
        <w:t xml:space="preserve">1.资格证明文件封面格式： </w:t>
      </w:r>
    </w:p>
    <w:p w14:paraId="0D179551">
      <w:pPr>
        <w:snapToGrid w:val="0"/>
        <w:spacing w:before="120" w:beforeLines="50" w:after="50"/>
        <w:jc w:val="center"/>
        <w:rPr>
          <w:rFonts w:ascii="宋体" w:hAnsi="宋体" w:eastAsia="微软雅黑"/>
          <w:bCs/>
          <w:color w:val="auto"/>
          <w:sz w:val="48"/>
          <w:szCs w:val="48"/>
        </w:rPr>
      </w:pPr>
      <w:r>
        <w:rPr>
          <w:rFonts w:hint="eastAsia" w:ascii="宋体" w:hAnsi="宋体" w:eastAsia="微软雅黑"/>
          <w:bCs/>
          <w:color w:val="auto"/>
          <w:sz w:val="48"/>
          <w:szCs w:val="48"/>
        </w:rPr>
        <w:t>电子投标文件</w:t>
      </w:r>
    </w:p>
    <w:p w14:paraId="5CC80E14">
      <w:pPr>
        <w:snapToGrid w:val="0"/>
        <w:spacing w:before="120" w:beforeLines="50" w:after="50"/>
        <w:rPr>
          <w:rFonts w:ascii="宋体" w:hAnsi="宋体"/>
          <w:color w:val="auto"/>
          <w:sz w:val="24"/>
          <w:szCs w:val="20"/>
        </w:rPr>
      </w:pPr>
      <w:r>
        <w:rPr>
          <w:rFonts w:hint="eastAsia" w:ascii="宋体" w:hAnsi="宋体"/>
          <w:color w:val="auto"/>
          <w:sz w:val="24"/>
        </w:rPr>
        <w:t xml:space="preserve">                 </w:t>
      </w:r>
    </w:p>
    <w:p w14:paraId="01D10450">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资格证明文件</w:t>
      </w:r>
    </w:p>
    <w:p w14:paraId="4A9F2BE2">
      <w:pPr>
        <w:snapToGrid w:val="0"/>
        <w:spacing w:before="120" w:beforeLines="50" w:after="50"/>
        <w:rPr>
          <w:rFonts w:ascii="宋体" w:hAnsi="宋体"/>
          <w:bCs/>
          <w:color w:val="auto"/>
          <w:sz w:val="24"/>
          <w:szCs w:val="20"/>
        </w:rPr>
      </w:pPr>
    </w:p>
    <w:p w14:paraId="57634722">
      <w:pPr>
        <w:snapToGrid w:val="0"/>
        <w:spacing w:before="120" w:beforeLines="50" w:after="50"/>
        <w:rPr>
          <w:rFonts w:ascii="宋体" w:hAnsi="宋体"/>
          <w:bCs/>
          <w:color w:val="auto"/>
          <w:sz w:val="24"/>
          <w:szCs w:val="20"/>
        </w:rPr>
      </w:pPr>
    </w:p>
    <w:p w14:paraId="16ACBF84">
      <w:pPr>
        <w:snapToGrid w:val="0"/>
        <w:spacing w:before="120" w:beforeLines="50" w:after="50"/>
        <w:rPr>
          <w:rFonts w:ascii="宋体" w:hAnsi="宋体"/>
          <w:bCs/>
          <w:color w:val="auto"/>
          <w:sz w:val="24"/>
          <w:szCs w:val="20"/>
        </w:rPr>
      </w:pPr>
    </w:p>
    <w:p w14:paraId="7C3BEE76">
      <w:pPr>
        <w:snapToGrid w:val="0"/>
        <w:spacing w:before="120" w:beforeLines="50" w:after="50"/>
        <w:rPr>
          <w:rFonts w:ascii="宋体" w:hAnsi="宋体"/>
          <w:bCs/>
          <w:color w:val="auto"/>
          <w:sz w:val="24"/>
          <w:szCs w:val="20"/>
        </w:rPr>
      </w:pPr>
    </w:p>
    <w:p w14:paraId="223817F6">
      <w:pPr>
        <w:snapToGrid w:val="0"/>
        <w:spacing w:before="120" w:beforeLines="50" w:after="50"/>
        <w:rPr>
          <w:rFonts w:ascii="宋体" w:hAnsi="宋体"/>
          <w:bCs/>
          <w:color w:val="auto"/>
          <w:sz w:val="24"/>
          <w:szCs w:val="20"/>
        </w:rPr>
      </w:pPr>
    </w:p>
    <w:p w14:paraId="5CFBEBD7">
      <w:pPr>
        <w:snapToGrid w:val="0"/>
        <w:spacing w:before="120" w:beforeLines="50" w:after="50"/>
        <w:rPr>
          <w:rFonts w:ascii="宋体" w:hAnsi="宋体"/>
          <w:bCs/>
          <w:color w:val="auto"/>
          <w:sz w:val="24"/>
          <w:szCs w:val="20"/>
        </w:rPr>
      </w:pPr>
    </w:p>
    <w:p w14:paraId="47938F24">
      <w:pPr>
        <w:snapToGrid w:val="0"/>
        <w:spacing w:before="120" w:beforeLines="50" w:after="50"/>
        <w:rPr>
          <w:rFonts w:ascii="宋体" w:hAnsi="宋体"/>
          <w:bCs/>
          <w:color w:val="auto"/>
          <w:sz w:val="24"/>
          <w:szCs w:val="20"/>
        </w:rPr>
      </w:pPr>
    </w:p>
    <w:p w14:paraId="02E73179">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7A6196D1">
      <w:pPr>
        <w:snapToGrid w:val="0"/>
        <w:spacing w:before="120" w:beforeLines="50" w:after="50"/>
        <w:ind w:firstLine="540" w:firstLineChars="225"/>
        <w:rPr>
          <w:rFonts w:ascii="宋体" w:hAnsi="宋体"/>
          <w:bCs/>
          <w:color w:val="auto"/>
          <w:sz w:val="24"/>
          <w:szCs w:val="20"/>
        </w:rPr>
      </w:pPr>
    </w:p>
    <w:p w14:paraId="0CE3C20C">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189802FB">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1AB708A4">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p>
    <w:p w14:paraId="7AD32A8E">
      <w:pPr>
        <w:pStyle w:val="6"/>
        <w:snapToGrid w:val="0"/>
        <w:spacing w:before="50" w:after="50"/>
        <w:ind w:firstLine="540" w:firstLineChars="225"/>
        <w:rPr>
          <w:rFonts w:ascii="宋体" w:hAnsi="宋体"/>
          <w:bCs/>
          <w:color w:val="auto"/>
          <w:sz w:val="24"/>
          <w:szCs w:val="24"/>
        </w:rPr>
      </w:pPr>
    </w:p>
    <w:p w14:paraId="12148585">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38530394">
      <w:pPr>
        <w:pStyle w:val="6"/>
        <w:snapToGrid w:val="0"/>
        <w:spacing w:before="50" w:after="50"/>
        <w:ind w:firstLine="540" w:firstLineChars="225"/>
        <w:rPr>
          <w:rFonts w:ascii="宋体" w:hAnsi="宋体"/>
          <w:bCs/>
          <w:color w:val="auto"/>
          <w:sz w:val="24"/>
          <w:szCs w:val="24"/>
        </w:rPr>
      </w:pPr>
    </w:p>
    <w:p w14:paraId="63BD0A72">
      <w:pPr>
        <w:pStyle w:val="6"/>
        <w:snapToGrid w:val="0"/>
        <w:spacing w:before="50" w:after="50"/>
        <w:ind w:firstLine="960" w:firstLineChars="400"/>
        <w:rPr>
          <w:rFonts w:ascii="宋体" w:hAnsi="宋体"/>
          <w:bCs/>
          <w:color w:val="auto"/>
          <w:sz w:val="24"/>
          <w:szCs w:val="24"/>
        </w:rPr>
      </w:pPr>
    </w:p>
    <w:p w14:paraId="6646B4C4">
      <w:pPr>
        <w:snapToGrid w:val="0"/>
        <w:spacing w:before="120" w:beforeLines="50" w:after="50"/>
        <w:ind w:firstLine="645"/>
        <w:jc w:val="center"/>
        <w:rPr>
          <w:rFonts w:ascii="宋体" w:hAnsi="宋体"/>
          <w:color w:val="auto"/>
          <w:sz w:val="24"/>
        </w:rPr>
      </w:pPr>
      <w:r>
        <w:rPr>
          <w:rFonts w:hint="eastAsia" w:ascii="宋体" w:hAnsi="宋体"/>
          <w:color w:val="auto"/>
          <w:sz w:val="24"/>
        </w:rPr>
        <w:t>年  月  日</w:t>
      </w:r>
    </w:p>
    <w:p w14:paraId="4191BEFC">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0F58A616">
      <w:pPr>
        <w:snapToGrid w:val="0"/>
        <w:spacing w:before="120" w:beforeLines="50" w:after="50"/>
        <w:rPr>
          <w:rFonts w:ascii="宋体" w:hAnsi="宋体"/>
          <w:color w:val="auto"/>
          <w:sz w:val="24"/>
          <w:szCs w:val="20"/>
        </w:rPr>
      </w:pPr>
    </w:p>
    <w:p w14:paraId="56E859FB">
      <w:pPr>
        <w:snapToGrid w:val="0"/>
        <w:spacing w:before="120" w:beforeLines="50" w:after="50" w:line="360" w:lineRule="auto"/>
        <w:jc w:val="left"/>
        <w:rPr>
          <w:rFonts w:ascii="宋体" w:hAnsi="宋体"/>
          <w:color w:val="auto"/>
          <w:sz w:val="24"/>
          <w:szCs w:val="20"/>
        </w:rPr>
      </w:pPr>
      <w:r>
        <w:rPr>
          <w:rFonts w:ascii="宋体" w:hAnsi="宋体"/>
          <w:b/>
          <w:bCs/>
          <w:color w:val="auto"/>
          <w:sz w:val="24"/>
        </w:rPr>
        <w:br w:type="page"/>
      </w:r>
      <w:r>
        <w:rPr>
          <w:rFonts w:hint="eastAsia" w:ascii="宋体" w:hAnsi="宋体"/>
          <w:b/>
          <w:bCs/>
          <w:color w:val="auto"/>
          <w:sz w:val="24"/>
        </w:rPr>
        <w:t>2.资格证明文件目录</w:t>
      </w:r>
    </w:p>
    <w:p w14:paraId="2AD0D0AB">
      <w:pPr>
        <w:snapToGrid w:val="0"/>
        <w:spacing w:line="360" w:lineRule="auto"/>
        <w:ind w:firstLine="420" w:firstLineChars="200"/>
        <w:jc w:val="left"/>
        <w:rPr>
          <w:rFonts w:ascii="宋体" w:hAnsi="宋体"/>
          <w:color w:val="auto"/>
          <w:szCs w:val="21"/>
        </w:rPr>
      </w:pPr>
      <w:r>
        <w:rPr>
          <w:rFonts w:hint="eastAsia" w:ascii="宋体" w:hAnsi="宋体"/>
          <w:color w:val="auto"/>
          <w:szCs w:val="21"/>
        </w:rPr>
        <w:t>根据招标文件规定及投标人提供的材料自行编写目录。</w:t>
      </w:r>
    </w:p>
    <w:p w14:paraId="27E20BD6">
      <w:pPr>
        <w:snapToGrid w:val="0"/>
        <w:spacing w:before="50" w:after="120" w:afterLines="50"/>
        <w:jc w:val="left"/>
        <w:rPr>
          <w:rFonts w:ascii="宋体" w:hAnsi="宋体"/>
          <w:color w:val="auto"/>
          <w:sz w:val="24"/>
        </w:rPr>
      </w:pPr>
    </w:p>
    <w:p w14:paraId="25ECD0CF">
      <w:pPr>
        <w:snapToGrid w:val="0"/>
        <w:spacing w:before="50" w:after="120" w:afterLines="50"/>
        <w:jc w:val="left"/>
        <w:rPr>
          <w:rFonts w:ascii="宋体" w:hAnsi="宋体"/>
          <w:color w:val="auto"/>
          <w:sz w:val="24"/>
        </w:rPr>
      </w:pPr>
    </w:p>
    <w:p w14:paraId="0913544B">
      <w:pPr>
        <w:snapToGrid w:val="0"/>
        <w:spacing w:before="120"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w:t>
      </w:r>
      <w:r>
        <w:rPr>
          <w:rFonts w:hint="eastAsia" w:ascii="宋体" w:hAnsi="宋体"/>
          <w:b/>
          <w:color w:val="auto"/>
          <w:sz w:val="28"/>
          <w:szCs w:val="28"/>
        </w:rPr>
        <w:t>投标人直接控股股东信息表</w:t>
      </w:r>
    </w:p>
    <w:p w14:paraId="45957279">
      <w:pPr>
        <w:snapToGrid w:val="0"/>
        <w:spacing w:before="50" w:after="120" w:afterLines="50"/>
        <w:jc w:val="center"/>
        <w:rPr>
          <w:rFonts w:ascii="宋体" w:hAnsi="宋体"/>
          <w:b/>
          <w:color w:val="auto"/>
          <w:sz w:val="28"/>
          <w:szCs w:val="28"/>
        </w:rPr>
      </w:pPr>
    </w:p>
    <w:p w14:paraId="115572C3">
      <w:pPr>
        <w:snapToGrid w:val="0"/>
        <w:spacing w:before="50" w:after="120" w:afterLines="50" w:line="360" w:lineRule="auto"/>
        <w:jc w:val="center"/>
        <w:rPr>
          <w:rFonts w:ascii="宋体" w:hAnsi="宋体"/>
          <w:b/>
          <w:color w:val="auto"/>
          <w:sz w:val="32"/>
          <w:szCs w:val="32"/>
        </w:rPr>
      </w:pPr>
      <w:r>
        <w:rPr>
          <w:rFonts w:hint="eastAsia" w:ascii="宋体" w:hAnsi="宋体"/>
          <w:b/>
          <w:color w:val="auto"/>
          <w:sz w:val="32"/>
          <w:szCs w:val="32"/>
        </w:rPr>
        <w:t>投标人直接控股股东信息表</w:t>
      </w:r>
    </w:p>
    <w:tbl>
      <w:tblPr>
        <w:tblStyle w:val="4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E27FDC7">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205E6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D2A52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15CBA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330928">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F3198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14E5453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3FA70A">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F80C1D">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F59A84">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3575AC">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F0186A">
            <w:pPr>
              <w:spacing w:line="360" w:lineRule="auto"/>
              <w:jc w:val="center"/>
              <w:rPr>
                <w:rFonts w:ascii="宋体" w:hAnsi="宋体" w:cs="宋体"/>
                <w:color w:val="auto"/>
                <w:kern w:val="0"/>
                <w:sz w:val="24"/>
              </w:rPr>
            </w:pPr>
          </w:p>
        </w:tc>
      </w:tr>
      <w:tr w14:paraId="190A538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D3D5A">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476E87">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67F9CC">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E6EF42">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75A367">
            <w:pPr>
              <w:spacing w:line="360" w:lineRule="auto"/>
              <w:jc w:val="center"/>
              <w:rPr>
                <w:rFonts w:ascii="宋体" w:hAnsi="宋体" w:cs="宋体"/>
                <w:color w:val="auto"/>
                <w:kern w:val="0"/>
                <w:sz w:val="24"/>
              </w:rPr>
            </w:pPr>
          </w:p>
        </w:tc>
      </w:tr>
      <w:tr w14:paraId="10C00D8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3322DC">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CD1579">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BD7FF3">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26192">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60524">
            <w:pPr>
              <w:spacing w:line="360" w:lineRule="auto"/>
              <w:jc w:val="center"/>
              <w:rPr>
                <w:rFonts w:ascii="宋体" w:hAnsi="宋体" w:cs="宋体"/>
                <w:color w:val="auto"/>
                <w:kern w:val="0"/>
                <w:sz w:val="24"/>
              </w:rPr>
            </w:pPr>
          </w:p>
        </w:tc>
      </w:tr>
      <w:tr w14:paraId="0205612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D3802F">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E94EE2">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841CB3">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4DEEBF">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CCE8A1">
            <w:pPr>
              <w:spacing w:line="360" w:lineRule="auto"/>
              <w:jc w:val="center"/>
              <w:rPr>
                <w:rFonts w:ascii="宋体" w:hAnsi="宋体" w:cs="宋体"/>
                <w:color w:val="auto"/>
                <w:kern w:val="0"/>
                <w:sz w:val="24"/>
              </w:rPr>
            </w:pPr>
          </w:p>
        </w:tc>
      </w:tr>
    </w:tbl>
    <w:p w14:paraId="236BCD09">
      <w:pPr>
        <w:snapToGrid w:val="0"/>
        <w:spacing w:line="360" w:lineRule="auto"/>
        <w:jc w:val="left"/>
        <w:rPr>
          <w:rFonts w:ascii="宋体" w:hAnsi="宋体"/>
          <w:color w:val="auto"/>
          <w:sz w:val="24"/>
        </w:rPr>
      </w:pPr>
      <w:r>
        <w:rPr>
          <w:rFonts w:hint="eastAsia" w:ascii="宋体" w:hAnsi="宋体"/>
          <w:color w:val="auto"/>
          <w:sz w:val="24"/>
        </w:rPr>
        <w:t>注：</w:t>
      </w:r>
    </w:p>
    <w:p w14:paraId="79A5A5E3">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2DA0194">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607B7E61">
      <w:pPr>
        <w:snapToGrid w:val="0"/>
        <w:spacing w:line="360" w:lineRule="auto"/>
        <w:jc w:val="left"/>
        <w:rPr>
          <w:rFonts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olor w:val="auto"/>
          <w:sz w:val="24"/>
        </w:rPr>
        <w:t>”中填“无”。</w:t>
      </w:r>
    </w:p>
    <w:p w14:paraId="7CAC337D">
      <w:pPr>
        <w:snapToGrid w:val="0"/>
        <w:spacing w:line="360" w:lineRule="auto"/>
        <w:jc w:val="left"/>
        <w:rPr>
          <w:rFonts w:ascii="宋体" w:hAnsi="宋体"/>
          <w:color w:val="auto"/>
          <w:sz w:val="24"/>
        </w:rPr>
      </w:pPr>
    </w:p>
    <w:p w14:paraId="754043F5">
      <w:pPr>
        <w:snapToGrid w:val="0"/>
        <w:spacing w:line="360" w:lineRule="auto"/>
        <w:jc w:val="left"/>
        <w:rPr>
          <w:rFonts w:ascii="宋体" w:hAnsi="宋体"/>
          <w:color w:val="auto"/>
          <w:sz w:val="24"/>
        </w:rPr>
      </w:pPr>
    </w:p>
    <w:p w14:paraId="3D7C1074">
      <w:pPr>
        <w:snapToGrid w:val="0"/>
        <w:spacing w:line="360" w:lineRule="auto"/>
        <w:jc w:val="left"/>
        <w:rPr>
          <w:rFonts w:ascii="宋体" w:hAnsi="宋体"/>
          <w:color w:val="auto"/>
          <w:sz w:val="24"/>
        </w:rPr>
      </w:pPr>
    </w:p>
    <w:p w14:paraId="5B90151F">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w:t>
      </w:r>
    </w:p>
    <w:p w14:paraId="41871E14">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7799BA9B">
      <w:pPr>
        <w:snapToGrid w:val="0"/>
        <w:spacing w:line="360" w:lineRule="auto"/>
        <w:jc w:val="left"/>
        <w:rPr>
          <w:rFonts w:ascii="宋体" w:hAnsi="宋体"/>
          <w:color w:val="auto"/>
          <w:szCs w:val="21"/>
        </w:rPr>
      </w:pPr>
      <w:r>
        <w:rPr>
          <w:rFonts w:hint="eastAsia" w:ascii="宋体" w:hAnsi="宋体"/>
          <w:color w:val="auto"/>
          <w:sz w:val="24"/>
        </w:rPr>
        <w:t xml:space="preserve">                                    日期：    年   月   日</w:t>
      </w:r>
    </w:p>
    <w:p w14:paraId="5F98C83D">
      <w:pPr>
        <w:snapToGrid w:val="0"/>
        <w:jc w:val="center"/>
        <w:rPr>
          <w:rFonts w:ascii="宋体" w:hAnsi="宋体"/>
          <w:b/>
          <w:color w:val="auto"/>
          <w:sz w:val="28"/>
          <w:szCs w:val="28"/>
        </w:rPr>
      </w:pPr>
    </w:p>
    <w:p w14:paraId="0346B6CA">
      <w:pPr>
        <w:snapToGrid w:val="0"/>
        <w:spacing w:line="360" w:lineRule="auto"/>
        <w:jc w:val="left"/>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24"/>
        </w:rPr>
        <w:t>4.</w:t>
      </w:r>
      <w:r>
        <w:rPr>
          <w:color w:val="auto"/>
        </w:rPr>
        <w:t xml:space="preserve"> </w:t>
      </w:r>
      <w:r>
        <w:rPr>
          <w:rFonts w:hint="eastAsia" w:ascii="宋体" w:hAnsi="宋体"/>
          <w:b/>
          <w:color w:val="auto"/>
          <w:sz w:val="28"/>
          <w:szCs w:val="28"/>
        </w:rPr>
        <w:t>投标人直接管理关系信息表</w:t>
      </w:r>
    </w:p>
    <w:p w14:paraId="4ADF02B4">
      <w:pPr>
        <w:snapToGrid w:val="0"/>
        <w:spacing w:line="360" w:lineRule="auto"/>
        <w:jc w:val="center"/>
        <w:rPr>
          <w:rFonts w:ascii="宋体" w:hAnsi="宋体"/>
          <w:color w:val="auto"/>
          <w:sz w:val="32"/>
          <w:szCs w:val="32"/>
        </w:rPr>
      </w:pPr>
      <w:r>
        <w:rPr>
          <w:rFonts w:hint="eastAsia" w:ascii="宋体" w:hAnsi="宋体"/>
          <w:b/>
          <w:color w:val="auto"/>
          <w:sz w:val="32"/>
          <w:szCs w:val="32"/>
        </w:rPr>
        <w:t>投标人直接管理关系信息表</w:t>
      </w:r>
    </w:p>
    <w:tbl>
      <w:tblPr>
        <w:tblStyle w:val="4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9458F1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778A62">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04BE0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FABFA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972A7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1EC6C3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F6077">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74796A">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2BC96">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9A1AF">
            <w:pPr>
              <w:spacing w:line="360" w:lineRule="auto"/>
              <w:jc w:val="center"/>
              <w:rPr>
                <w:rFonts w:ascii="宋体" w:hAnsi="宋体" w:cs="宋体"/>
                <w:color w:val="auto"/>
                <w:kern w:val="0"/>
                <w:sz w:val="24"/>
              </w:rPr>
            </w:pPr>
          </w:p>
        </w:tc>
      </w:tr>
      <w:tr w14:paraId="488A233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00A2A5">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6C68E8">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018BBB">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5A8416">
            <w:pPr>
              <w:spacing w:line="360" w:lineRule="auto"/>
              <w:jc w:val="center"/>
              <w:rPr>
                <w:rFonts w:ascii="宋体" w:hAnsi="宋体" w:cs="宋体"/>
                <w:color w:val="auto"/>
                <w:kern w:val="0"/>
                <w:sz w:val="24"/>
              </w:rPr>
            </w:pPr>
          </w:p>
        </w:tc>
      </w:tr>
      <w:tr w14:paraId="4A6FCA4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7521E2">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A1CA73">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E04E42">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270175">
            <w:pPr>
              <w:spacing w:line="360" w:lineRule="auto"/>
              <w:jc w:val="center"/>
              <w:rPr>
                <w:rFonts w:ascii="宋体" w:hAnsi="宋体" w:cs="宋体"/>
                <w:color w:val="auto"/>
                <w:kern w:val="0"/>
                <w:sz w:val="24"/>
              </w:rPr>
            </w:pPr>
          </w:p>
        </w:tc>
      </w:tr>
      <w:tr w14:paraId="0776E1D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B011C2">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A62502">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675EC">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46C169">
            <w:pPr>
              <w:spacing w:line="360" w:lineRule="auto"/>
              <w:jc w:val="center"/>
              <w:rPr>
                <w:rFonts w:ascii="宋体" w:hAnsi="宋体" w:cs="宋体"/>
                <w:color w:val="auto"/>
                <w:kern w:val="0"/>
                <w:sz w:val="24"/>
              </w:rPr>
            </w:pPr>
          </w:p>
        </w:tc>
      </w:tr>
    </w:tbl>
    <w:p w14:paraId="76C1CE63">
      <w:pPr>
        <w:snapToGrid w:val="0"/>
        <w:spacing w:line="360" w:lineRule="auto"/>
        <w:jc w:val="left"/>
        <w:rPr>
          <w:rFonts w:ascii="宋体" w:hAnsi="宋体"/>
          <w:color w:val="auto"/>
          <w:sz w:val="24"/>
        </w:rPr>
      </w:pPr>
      <w:r>
        <w:rPr>
          <w:rFonts w:hint="eastAsia" w:ascii="宋体" w:hAnsi="宋体"/>
          <w:color w:val="auto"/>
          <w:sz w:val="24"/>
        </w:rPr>
        <w:t>注：</w:t>
      </w:r>
    </w:p>
    <w:p w14:paraId="0417A667">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1A576967">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26735FCC">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olor w:val="auto"/>
          <w:sz w:val="24"/>
        </w:rPr>
        <w:t>”中填“无”。</w:t>
      </w:r>
    </w:p>
    <w:p w14:paraId="332EE49C">
      <w:pPr>
        <w:snapToGrid w:val="0"/>
        <w:spacing w:line="360" w:lineRule="auto"/>
        <w:jc w:val="left"/>
        <w:rPr>
          <w:rFonts w:ascii="宋体" w:hAnsi="宋体"/>
          <w:color w:val="auto"/>
          <w:sz w:val="24"/>
        </w:rPr>
      </w:pPr>
    </w:p>
    <w:p w14:paraId="290503CC">
      <w:pPr>
        <w:snapToGrid w:val="0"/>
        <w:spacing w:line="360" w:lineRule="auto"/>
        <w:jc w:val="left"/>
        <w:rPr>
          <w:rFonts w:ascii="宋体" w:hAnsi="宋体"/>
          <w:color w:val="auto"/>
          <w:sz w:val="24"/>
        </w:rPr>
      </w:pPr>
    </w:p>
    <w:p w14:paraId="406F7BC1">
      <w:pPr>
        <w:snapToGrid w:val="0"/>
        <w:spacing w:line="360" w:lineRule="auto"/>
        <w:jc w:val="left"/>
        <w:rPr>
          <w:rFonts w:ascii="宋体" w:hAnsi="宋体"/>
          <w:color w:val="auto"/>
          <w:sz w:val="24"/>
        </w:rPr>
      </w:pPr>
    </w:p>
    <w:p w14:paraId="0FEB825E">
      <w:pPr>
        <w:snapToGrid w:val="0"/>
        <w:spacing w:line="360" w:lineRule="auto"/>
        <w:jc w:val="left"/>
        <w:rPr>
          <w:color w:val="auto"/>
          <w:sz w:val="24"/>
        </w:rPr>
      </w:pPr>
    </w:p>
    <w:p w14:paraId="58F50F29">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w:t>
      </w:r>
    </w:p>
    <w:p w14:paraId="4C538EE1">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3C9D38A9">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    年   月   日</w:t>
      </w:r>
    </w:p>
    <w:p w14:paraId="76938CF3">
      <w:pPr>
        <w:snapToGrid w:val="0"/>
        <w:spacing w:before="120" w:beforeLines="50" w:after="50"/>
        <w:jc w:val="left"/>
        <w:rPr>
          <w:rFonts w:ascii="宋体" w:hAnsi="宋体"/>
          <w:color w:val="auto"/>
          <w:sz w:val="24"/>
        </w:rPr>
      </w:pPr>
    </w:p>
    <w:p w14:paraId="15933327">
      <w:pPr>
        <w:snapToGrid w:val="0"/>
        <w:spacing w:before="50" w:after="120" w:afterLines="50"/>
        <w:jc w:val="left"/>
        <w:rPr>
          <w:rFonts w:ascii="宋体" w:hAnsi="宋体"/>
          <w:color w:val="auto"/>
          <w:szCs w:val="21"/>
        </w:rPr>
      </w:pPr>
    </w:p>
    <w:p w14:paraId="4B1E0FCC">
      <w:pPr>
        <w:snapToGrid w:val="0"/>
        <w:spacing w:before="120" w:beforeLines="50" w:after="50"/>
        <w:jc w:val="left"/>
        <w:rPr>
          <w:rFonts w:ascii="宋体" w:hAnsi="宋体"/>
          <w:b/>
          <w:color w:val="auto"/>
          <w:sz w:val="24"/>
          <w:szCs w:val="20"/>
        </w:rPr>
      </w:pPr>
    </w:p>
    <w:p w14:paraId="5B50DA87">
      <w:pPr>
        <w:snapToGrid w:val="0"/>
        <w:spacing w:before="120" w:beforeLines="50" w:after="50"/>
        <w:ind w:left="142"/>
        <w:jc w:val="left"/>
        <w:rPr>
          <w:rFonts w:ascii="宋体" w:hAnsi="宋体"/>
          <w:b/>
          <w:color w:val="auto"/>
          <w:sz w:val="24"/>
        </w:rPr>
      </w:pPr>
    </w:p>
    <w:p w14:paraId="47DC4994">
      <w:pPr>
        <w:snapToGrid w:val="0"/>
        <w:spacing w:before="120" w:beforeLines="50" w:after="50"/>
        <w:ind w:left="142"/>
        <w:jc w:val="left"/>
        <w:rPr>
          <w:rFonts w:ascii="宋体" w:hAnsi="宋体"/>
          <w:b/>
          <w:color w:val="auto"/>
          <w:sz w:val="24"/>
        </w:rPr>
      </w:pPr>
    </w:p>
    <w:p w14:paraId="68FF991E">
      <w:pPr>
        <w:snapToGrid w:val="0"/>
        <w:spacing w:before="120" w:beforeLines="50" w:after="50"/>
        <w:ind w:left="142"/>
        <w:jc w:val="left"/>
        <w:rPr>
          <w:rFonts w:ascii="宋体" w:hAnsi="宋体"/>
          <w:b/>
          <w:color w:val="auto"/>
          <w:sz w:val="24"/>
        </w:rPr>
      </w:pPr>
    </w:p>
    <w:p w14:paraId="30A1F262">
      <w:pPr>
        <w:snapToGrid w:val="0"/>
        <w:spacing w:before="120" w:beforeLines="50" w:after="50"/>
        <w:ind w:left="142"/>
        <w:jc w:val="left"/>
        <w:rPr>
          <w:rFonts w:ascii="宋体" w:hAnsi="宋体"/>
          <w:b/>
          <w:color w:val="auto"/>
          <w:sz w:val="24"/>
        </w:rPr>
      </w:pPr>
    </w:p>
    <w:p w14:paraId="4FDC7550">
      <w:pPr>
        <w:snapToGrid w:val="0"/>
        <w:spacing w:before="120" w:beforeLines="50" w:after="50"/>
        <w:ind w:left="142"/>
        <w:jc w:val="left"/>
        <w:rPr>
          <w:rFonts w:ascii="宋体" w:hAnsi="宋体"/>
          <w:b/>
          <w:color w:val="auto"/>
          <w:sz w:val="24"/>
          <w:szCs w:val="20"/>
        </w:rPr>
      </w:pPr>
      <w:r>
        <w:rPr>
          <w:rFonts w:hint="eastAsia" w:ascii="宋体" w:hAnsi="宋体"/>
          <w:b/>
          <w:color w:val="auto"/>
          <w:sz w:val="24"/>
        </w:rPr>
        <w:t>5.投标声明</w:t>
      </w:r>
    </w:p>
    <w:p w14:paraId="578D647D">
      <w:pPr>
        <w:snapToGrid w:val="0"/>
        <w:spacing w:before="50" w:after="120" w:afterLines="50"/>
        <w:jc w:val="left"/>
        <w:rPr>
          <w:rFonts w:ascii="宋体" w:hAnsi="宋体"/>
          <w:color w:val="auto"/>
        </w:rPr>
      </w:pPr>
    </w:p>
    <w:p w14:paraId="6654F4DC">
      <w:pPr>
        <w:snapToGrid w:val="0"/>
        <w:spacing w:before="50" w:after="120" w:afterLines="50"/>
        <w:jc w:val="center"/>
        <w:rPr>
          <w:rFonts w:ascii="宋体" w:hAnsi="宋体"/>
          <w:b/>
          <w:color w:val="auto"/>
          <w:sz w:val="32"/>
          <w:szCs w:val="32"/>
        </w:rPr>
      </w:pPr>
      <w:r>
        <w:rPr>
          <w:rFonts w:hint="eastAsia" w:ascii="宋体" w:hAnsi="宋体"/>
          <w:b/>
          <w:color w:val="auto"/>
          <w:sz w:val="32"/>
          <w:szCs w:val="32"/>
        </w:rPr>
        <w:t>投标声明</w:t>
      </w:r>
    </w:p>
    <w:p w14:paraId="644299E0">
      <w:pPr>
        <w:spacing w:line="400" w:lineRule="exact"/>
        <w:contextualSpacing/>
        <w:jc w:val="left"/>
        <w:rPr>
          <w:color w:val="auto"/>
          <w:sz w:val="24"/>
        </w:rPr>
      </w:pPr>
      <w:r>
        <w:rPr>
          <w:rFonts w:hint="eastAsia"/>
          <w:color w:val="auto"/>
          <w:sz w:val="24"/>
        </w:rPr>
        <w:t>（采购人名称）：</w:t>
      </w:r>
    </w:p>
    <w:p w14:paraId="6A160D2D">
      <w:pPr>
        <w:spacing w:line="400" w:lineRule="exact"/>
        <w:ind w:firstLine="523" w:firstLineChars="218"/>
        <w:contextualSpacing/>
        <w:jc w:val="left"/>
        <w:rPr>
          <w:rFonts w:ascii="宋体" w:hAnsi="宋体"/>
          <w:color w:val="auto"/>
          <w:sz w:val="24"/>
        </w:rPr>
      </w:pPr>
      <w:r>
        <w:rPr>
          <w:rFonts w:hint="eastAsia" w:ascii="宋体" w:hAnsi="宋体"/>
          <w:color w:val="auto"/>
          <w:sz w:val="24"/>
        </w:rPr>
        <w:t>我方参加贵单位组织</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u w:val="single"/>
        </w:rPr>
        <w:t xml:space="preserve">       </w:t>
      </w:r>
      <w:r>
        <w:rPr>
          <w:rFonts w:hint="eastAsia" w:ascii="宋体" w:hAnsi="宋体"/>
          <w:color w:val="auto"/>
          <w:sz w:val="24"/>
        </w:rPr>
        <w:t>）的政府采购活动。我方在此郑重声明：</w:t>
      </w:r>
    </w:p>
    <w:p w14:paraId="6B045947">
      <w:pPr>
        <w:spacing w:line="400" w:lineRule="exact"/>
        <w:ind w:firstLine="480" w:firstLineChars="200"/>
        <w:contextualSpacing/>
        <w:jc w:val="left"/>
        <w:rPr>
          <w:rFonts w:ascii="宋体" w:hAnsi="宋体"/>
          <w:color w:val="auto"/>
          <w:sz w:val="24"/>
        </w:rPr>
      </w:pPr>
      <w:r>
        <w:rPr>
          <w:rFonts w:hint="eastAsia" w:ascii="宋体" w:hAnsi="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0E1E225">
      <w:pPr>
        <w:spacing w:line="400" w:lineRule="exact"/>
        <w:ind w:firstLine="480" w:firstLineChars="200"/>
        <w:contextualSpacing/>
        <w:jc w:val="left"/>
        <w:rPr>
          <w:rFonts w:ascii="宋体" w:hAnsi="宋体"/>
          <w:color w:val="auto"/>
          <w:sz w:val="24"/>
        </w:rPr>
      </w:pPr>
      <w:r>
        <w:rPr>
          <w:rFonts w:hint="eastAsia" w:ascii="宋体" w:hAnsi="宋体"/>
          <w:color w:val="auto"/>
          <w:sz w:val="24"/>
        </w:rPr>
        <w:t>2.我方不是为本次采购项目提供整体设计、规范编制或者项目管理、监理、检测等服务的供应商。</w:t>
      </w:r>
    </w:p>
    <w:p w14:paraId="14AD67E8">
      <w:pPr>
        <w:spacing w:line="400" w:lineRule="exact"/>
        <w:ind w:firstLine="480" w:firstLineChars="200"/>
        <w:contextualSpacing/>
        <w:jc w:val="left"/>
        <w:rPr>
          <w:rFonts w:ascii="宋体" w:hAnsi="宋体"/>
          <w:color w:val="auto"/>
          <w:sz w:val="24"/>
        </w:rPr>
      </w:pPr>
      <w:r>
        <w:rPr>
          <w:rFonts w:hint="eastAsia" w:ascii="宋体" w:hAnsi="宋体"/>
          <w:color w:val="auto"/>
          <w:sz w:val="24"/>
        </w:rPr>
        <w:t>3. 我方承诺符合《中华人民共和国政府采购法》第二十二条规定：</w:t>
      </w:r>
    </w:p>
    <w:p w14:paraId="5B77E72D">
      <w:pPr>
        <w:spacing w:line="400" w:lineRule="exact"/>
        <w:ind w:firstLine="480" w:firstLineChars="200"/>
        <w:contextualSpacing/>
        <w:jc w:val="left"/>
        <w:rPr>
          <w:rFonts w:ascii="宋体" w:hAnsi="宋体"/>
          <w:color w:val="auto"/>
          <w:sz w:val="24"/>
        </w:rPr>
      </w:pPr>
      <w:r>
        <w:rPr>
          <w:rFonts w:hint="eastAsia" w:ascii="宋体" w:hAnsi="宋体"/>
          <w:color w:val="auto"/>
          <w:sz w:val="24"/>
        </w:rPr>
        <w:t>（一）具有独立承担民事责任的能力；</w:t>
      </w:r>
    </w:p>
    <w:p w14:paraId="21EC9685">
      <w:pPr>
        <w:spacing w:line="400" w:lineRule="exact"/>
        <w:ind w:firstLine="480" w:firstLineChars="200"/>
        <w:contextualSpacing/>
        <w:jc w:val="left"/>
        <w:rPr>
          <w:rFonts w:ascii="宋体" w:hAnsi="宋体"/>
          <w:color w:val="auto"/>
          <w:sz w:val="24"/>
        </w:rPr>
      </w:pPr>
      <w:r>
        <w:rPr>
          <w:rFonts w:hint="eastAsia" w:ascii="宋体" w:hAnsi="宋体"/>
          <w:color w:val="auto"/>
          <w:sz w:val="24"/>
        </w:rPr>
        <w:t>（二）具有良好的商业信誉和健全的财务会计制度；</w:t>
      </w:r>
    </w:p>
    <w:p w14:paraId="0C5738BF">
      <w:pPr>
        <w:spacing w:line="400" w:lineRule="exact"/>
        <w:ind w:firstLine="480" w:firstLineChars="200"/>
        <w:contextualSpacing/>
        <w:jc w:val="left"/>
        <w:rPr>
          <w:rFonts w:ascii="宋体" w:hAnsi="宋体"/>
          <w:color w:val="auto"/>
          <w:sz w:val="24"/>
        </w:rPr>
      </w:pPr>
      <w:r>
        <w:rPr>
          <w:rFonts w:hint="eastAsia" w:ascii="宋体" w:hAnsi="宋体"/>
          <w:color w:val="auto"/>
          <w:sz w:val="24"/>
        </w:rPr>
        <w:t>（三）具有履行合同所必需的设备和专业技术能力；</w:t>
      </w:r>
    </w:p>
    <w:p w14:paraId="0928B55B">
      <w:pPr>
        <w:spacing w:line="400" w:lineRule="exact"/>
        <w:ind w:firstLine="480" w:firstLineChars="200"/>
        <w:contextualSpacing/>
        <w:jc w:val="left"/>
        <w:rPr>
          <w:rFonts w:ascii="宋体" w:hAnsi="宋体"/>
          <w:color w:val="auto"/>
          <w:sz w:val="24"/>
        </w:rPr>
      </w:pPr>
      <w:r>
        <w:rPr>
          <w:rFonts w:hint="eastAsia" w:ascii="宋体" w:hAnsi="宋体"/>
          <w:color w:val="auto"/>
          <w:sz w:val="24"/>
        </w:rPr>
        <w:t>（四）有依法缴纳税收和社会保障资金的良好记录；</w:t>
      </w:r>
    </w:p>
    <w:p w14:paraId="79C21FD9">
      <w:pPr>
        <w:spacing w:line="400" w:lineRule="exact"/>
        <w:ind w:firstLine="480" w:firstLineChars="200"/>
        <w:contextualSpacing/>
        <w:jc w:val="left"/>
        <w:rPr>
          <w:rFonts w:ascii="宋体" w:hAnsi="宋体"/>
          <w:color w:val="auto"/>
          <w:sz w:val="24"/>
        </w:rPr>
      </w:pPr>
      <w:r>
        <w:rPr>
          <w:rFonts w:hint="eastAsia" w:ascii="宋体" w:hAnsi="宋体"/>
          <w:color w:val="auto"/>
          <w:sz w:val="24"/>
        </w:rPr>
        <w:t>（五）参加政府采购活动前三年内，在经营活动中没有重大违法记录；</w:t>
      </w:r>
    </w:p>
    <w:p w14:paraId="274CC617">
      <w:pPr>
        <w:spacing w:line="400" w:lineRule="exact"/>
        <w:ind w:firstLine="480" w:firstLineChars="200"/>
        <w:contextualSpacing/>
        <w:jc w:val="left"/>
        <w:rPr>
          <w:rFonts w:ascii="宋体" w:hAnsi="宋体"/>
          <w:color w:val="auto"/>
          <w:sz w:val="24"/>
        </w:rPr>
      </w:pPr>
      <w:r>
        <w:rPr>
          <w:rFonts w:hint="eastAsia" w:ascii="宋体" w:hAnsi="宋体"/>
          <w:color w:val="auto"/>
          <w:sz w:val="24"/>
        </w:rPr>
        <w:t>（六）法律、行政法规规定的其他条件。</w:t>
      </w:r>
    </w:p>
    <w:p w14:paraId="47581661">
      <w:pPr>
        <w:spacing w:line="400" w:lineRule="exact"/>
        <w:ind w:firstLine="480" w:firstLineChars="200"/>
        <w:contextualSpacing/>
        <w:jc w:val="left"/>
        <w:rPr>
          <w:rFonts w:ascii="宋体" w:hAnsi="宋体"/>
          <w:color w:val="auto"/>
          <w:sz w:val="24"/>
        </w:rPr>
      </w:pPr>
      <w:r>
        <w:rPr>
          <w:rFonts w:hint="eastAsia" w:ascii="宋体" w:hAnsi="宋体"/>
          <w:color w:val="auto"/>
          <w:sz w:val="24"/>
        </w:rPr>
        <w:t>4.以上事项如有虚假或者隐瞒，我方愿意承担一切后果，并不再寻求任何旨在减轻或者免除法律责任的辩解。</w:t>
      </w:r>
    </w:p>
    <w:p w14:paraId="195F5FA8">
      <w:pPr>
        <w:spacing w:line="400" w:lineRule="exact"/>
        <w:contextualSpacing/>
        <w:jc w:val="left"/>
        <w:rPr>
          <w:rFonts w:ascii="宋体" w:hAnsi="宋体"/>
          <w:color w:val="auto"/>
          <w:sz w:val="24"/>
        </w:rPr>
      </w:pPr>
      <w:r>
        <w:rPr>
          <w:rFonts w:hint="eastAsia" w:ascii="宋体" w:hAnsi="宋体"/>
          <w:color w:val="auto"/>
          <w:sz w:val="24"/>
        </w:rPr>
        <w:t xml:space="preserve">    特此承诺。</w:t>
      </w:r>
    </w:p>
    <w:p w14:paraId="7AE57064">
      <w:pPr>
        <w:snapToGrid w:val="0"/>
        <w:spacing w:before="50" w:after="50"/>
        <w:ind w:firstLine="1063" w:firstLineChars="441"/>
        <w:rPr>
          <w:rFonts w:ascii="宋体" w:hAnsi="宋体"/>
          <w:color w:val="auto"/>
          <w:spacing w:val="20"/>
          <w:sz w:val="24"/>
          <w:u w:val="single"/>
        </w:rPr>
      </w:pPr>
      <w:r>
        <w:rPr>
          <w:rFonts w:hint="eastAsia" w:ascii="宋体" w:hAnsi="宋体"/>
          <w:b/>
          <w:color w:val="auto"/>
          <w:sz w:val="24"/>
        </w:rPr>
        <w:t xml:space="preserve"> </w:t>
      </w: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F15ADA7">
      <w:pPr>
        <w:spacing w:line="400" w:lineRule="exact"/>
        <w:contextualSpacing/>
        <w:jc w:val="left"/>
        <w:rPr>
          <w:rFonts w:ascii="宋体" w:hAnsi="宋体"/>
          <w:color w:val="auto"/>
          <w:sz w:val="24"/>
        </w:rPr>
      </w:pPr>
    </w:p>
    <w:p w14:paraId="0DB3CD4B">
      <w:pPr>
        <w:spacing w:line="400" w:lineRule="exact"/>
        <w:contextualSpacing/>
        <w:jc w:val="left"/>
        <w:rPr>
          <w:rFonts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45D75FC2">
      <w:pPr>
        <w:spacing w:line="400" w:lineRule="exact"/>
        <w:contextualSpacing/>
        <w:jc w:val="left"/>
        <w:rPr>
          <w:rFonts w:ascii="宋体" w:hAnsi="宋体"/>
          <w:color w:val="auto"/>
        </w:rPr>
      </w:pPr>
      <w:r>
        <w:rPr>
          <w:rFonts w:hint="eastAsia" w:ascii="宋体" w:hAnsi="宋体"/>
          <w:color w:val="auto"/>
          <w:sz w:val="24"/>
        </w:rPr>
        <w:t xml:space="preserve">                                                  年    月    日</w:t>
      </w:r>
    </w:p>
    <w:p w14:paraId="687620AB">
      <w:pPr>
        <w:spacing w:line="400" w:lineRule="exact"/>
        <w:contextualSpacing/>
        <w:jc w:val="left"/>
        <w:rPr>
          <w:rFonts w:ascii="宋体" w:hAnsi="宋体"/>
          <w:color w:val="auto"/>
          <w:sz w:val="24"/>
        </w:rPr>
      </w:pPr>
    </w:p>
    <w:p w14:paraId="16D02940">
      <w:pPr>
        <w:rPr>
          <w:rFonts w:ascii="宋体" w:hAnsi="宋体"/>
          <w:color w:val="auto"/>
          <w:sz w:val="24"/>
        </w:rPr>
      </w:pPr>
      <w:r>
        <w:rPr>
          <w:rFonts w:ascii="宋体" w:hAnsi="宋体"/>
          <w:color w:val="auto"/>
          <w:sz w:val="24"/>
        </w:rPr>
        <w:br w:type="page"/>
      </w:r>
    </w:p>
    <w:p w14:paraId="15365C51">
      <w:pPr>
        <w:jc w:val="center"/>
        <w:rPr>
          <w:rFonts w:hint="default"/>
          <w:color w:val="auto"/>
          <w:lang w:val="en-US"/>
        </w:rPr>
      </w:pPr>
      <w:r>
        <w:rPr>
          <w:rFonts w:hint="eastAsia" w:ascii="楷体" w:hAnsi="楷体" w:eastAsia="楷体" w:cs="楷体"/>
          <w:b/>
          <w:bCs/>
          <w:color w:val="auto"/>
          <w:sz w:val="30"/>
          <w:szCs w:val="30"/>
          <w:lang w:val="en-US" w:eastAsia="zh-CN"/>
        </w:rPr>
        <w:t>6.无违法违纪记录承诺函</w:t>
      </w:r>
    </w:p>
    <w:p w14:paraId="333C90C4">
      <w:pPr>
        <w:pStyle w:val="16"/>
        <w:widowControl w:val="0"/>
        <w:numPr>
          <w:ilvl w:val="0"/>
          <w:numId w:val="0"/>
        </w:numPr>
        <w:spacing w:after="120"/>
        <w:jc w:val="both"/>
        <w:rPr>
          <w:rFonts w:hint="default"/>
          <w:color w:val="auto"/>
          <w:lang w:val="en-US" w:eastAsia="zh-CN"/>
        </w:rPr>
      </w:pPr>
    </w:p>
    <w:p w14:paraId="01C79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14:paraId="5CBC1A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致：__________（采购人 / 采购代理机构）</w:t>
      </w:r>
    </w:p>
    <w:p w14:paraId="25AD0F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p>
    <w:p w14:paraId="751E858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我方在此郑重声明：我方参加本项目采购活动前 （2015年至今），在经营活动中未被列入失信被执行人名单、重大税收违法失信主体名单、政府采购严重违法失信行为记录名单。本函所称重大违法记录，是指供应商因违法经营受到刑事处罚，或者责令停产停业、吊销许可证或者执照、较大数额罚款等行政处罚。</w:t>
      </w:r>
    </w:p>
    <w:p w14:paraId="619255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我方自2016年至今，未被中央、省（自治区）环保督察及省、市、县生态环境主管部门点名批评或行政处罚。</w:t>
      </w:r>
    </w:p>
    <w:p w14:paraId="6B410F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我方完全符合《中华人民共和国政府采购法》第二十二条规定的供应商资格条件，上述声明真实有效，如有虚假，我方自愿承担全部法律责任及投标无效后果。</w:t>
      </w:r>
    </w:p>
    <w:p w14:paraId="59AD90A8">
      <w:pPr>
        <w:pStyle w:val="16"/>
        <w:rPr>
          <w:rFonts w:hint="eastAsia" w:ascii="宋体" w:hAnsi="宋体" w:eastAsia="宋体" w:cs="宋体"/>
          <w:color w:val="auto"/>
          <w:sz w:val="24"/>
          <w:szCs w:val="24"/>
        </w:rPr>
      </w:pPr>
    </w:p>
    <w:p w14:paraId="1383A7BE">
      <w:pPr>
        <w:rPr>
          <w:rFonts w:hint="eastAsia" w:ascii="宋体" w:hAnsi="宋体" w:eastAsia="宋体" w:cs="宋体"/>
          <w:color w:val="auto"/>
          <w:sz w:val="24"/>
          <w:szCs w:val="24"/>
        </w:rPr>
      </w:pPr>
    </w:p>
    <w:p w14:paraId="2374B623">
      <w:pPr>
        <w:pStyle w:val="16"/>
        <w:rPr>
          <w:rFonts w:hint="eastAsia" w:ascii="宋体" w:hAnsi="宋体" w:eastAsia="宋体" w:cs="宋体"/>
          <w:color w:val="auto"/>
          <w:sz w:val="24"/>
          <w:szCs w:val="24"/>
        </w:rPr>
      </w:pPr>
    </w:p>
    <w:p w14:paraId="68B40C2C">
      <w:pPr>
        <w:keepNext w:val="0"/>
        <w:keepLines w:val="0"/>
        <w:pageBreakBefore w:val="0"/>
        <w:widowControl w:val="0"/>
        <w:kinsoku/>
        <w:wordWrap/>
        <w:overflowPunct/>
        <w:topLinePunct w:val="0"/>
        <w:autoSpaceDE/>
        <w:autoSpaceDN/>
        <w:bidi w:val="0"/>
        <w:adjustRightInd/>
        <w:snapToGrid/>
        <w:spacing w:line="360" w:lineRule="auto"/>
        <w:ind w:left="0" w:leftChars="0" w:firstLine="5258" w:firstLineChars="2191"/>
        <w:textAlignment w:val="auto"/>
        <w:rPr>
          <w:rFonts w:hint="eastAsia" w:ascii="宋体" w:hAnsi="宋体" w:eastAsia="宋体" w:cs="宋体"/>
          <w:color w:val="auto"/>
          <w:sz w:val="24"/>
          <w:szCs w:val="24"/>
          <w:u w:val="single"/>
        </w:rPr>
      </w:pPr>
      <w:r>
        <w:rPr>
          <w:rFonts w:hint="eastAsia" w:ascii="宋体" w:hAnsi="宋体"/>
          <w:color w:val="auto"/>
          <w:sz w:val="24"/>
        </w:rPr>
        <w:t>投标人名称</w:t>
      </w:r>
      <w:r>
        <w:rPr>
          <w:rFonts w:hint="eastAsia" w:ascii="宋体" w:hAnsi="宋体" w:eastAsia="宋体" w:cs="宋体"/>
          <w:color w:val="auto"/>
          <w:sz w:val="24"/>
          <w:szCs w:val="24"/>
        </w:rPr>
        <w:t>：</w:t>
      </w:r>
      <w:r>
        <w:rPr>
          <w:rFonts w:hint="eastAsia" w:ascii="宋体" w:hAnsi="宋体" w:eastAsia="宋体" w:cs="宋体"/>
          <w:color w:val="auto"/>
          <w:sz w:val="24"/>
          <w:szCs w:val="24"/>
          <w:u w:val="none"/>
        </w:rPr>
        <w:t>（</w:t>
      </w:r>
      <w:r>
        <w:rPr>
          <w:rFonts w:hint="eastAsia" w:ascii="宋体" w:hAnsi="宋体"/>
          <w:color w:val="auto"/>
          <w:sz w:val="24"/>
        </w:rPr>
        <w:t>电子签章</w:t>
      </w:r>
      <w:r>
        <w:rPr>
          <w:rFonts w:hint="eastAsia" w:ascii="宋体" w:hAnsi="宋体" w:eastAsia="宋体" w:cs="宋体"/>
          <w:color w:val="auto"/>
          <w:sz w:val="24"/>
          <w:szCs w:val="24"/>
          <w:u w:val="none"/>
        </w:rPr>
        <w:t>）</w:t>
      </w:r>
    </w:p>
    <w:p w14:paraId="4FA0BF7B">
      <w:pPr>
        <w:keepNext w:val="0"/>
        <w:keepLines w:val="0"/>
        <w:pageBreakBefore w:val="0"/>
        <w:widowControl w:val="0"/>
        <w:kinsoku/>
        <w:wordWrap/>
        <w:overflowPunct/>
        <w:topLinePunct w:val="0"/>
        <w:autoSpaceDE/>
        <w:autoSpaceDN/>
        <w:bidi w:val="0"/>
        <w:adjustRightInd/>
        <w:snapToGrid/>
        <w:spacing w:line="360" w:lineRule="auto"/>
        <w:ind w:left="0" w:leftChars="0" w:firstLine="5258" w:firstLineChars="2191"/>
        <w:textAlignment w:val="auto"/>
        <w:rPr>
          <w:rFonts w:hint="eastAsia" w:ascii="宋体" w:hAnsi="宋体" w:eastAsia="宋体" w:cs="宋体"/>
          <w:b w:val="0"/>
          <w:bCs/>
          <w:color w:val="auto"/>
          <w:sz w:val="24"/>
          <w:szCs w:val="24"/>
        </w:rPr>
      </w:pPr>
      <w:r>
        <w:rPr>
          <w:rFonts w:hint="eastAsia" w:ascii="宋体" w:hAnsi="宋体" w:eastAsia="宋体" w:cs="宋体"/>
          <w:b w:val="0"/>
          <w:bCs w:val="0"/>
          <w:color w:val="auto"/>
          <w:sz w:val="24"/>
          <w:szCs w:val="24"/>
        </w:rPr>
        <w:t>日</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期：</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eastAsia="zh-CN"/>
        </w:rPr>
        <w:t>年</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eastAsia="zh-CN"/>
        </w:rPr>
        <w:t>月</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eastAsia="zh-CN"/>
        </w:rPr>
        <w:t>日</w:t>
      </w:r>
    </w:p>
    <w:p w14:paraId="37974A34">
      <w:pPr>
        <w:spacing w:line="400" w:lineRule="exact"/>
        <w:contextualSpacing/>
        <w:jc w:val="left"/>
        <w:rPr>
          <w:rFonts w:ascii="宋体" w:hAnsi="宋体"/>
          <w:color w:val="auto"/>
          <w:sz w:val="24"/>
        </w:rPr>
      </w:pPr>
    </w:p>
    <w:p w14:paraId="4ACB29A8">
      <w:pPr>
        <w:spacing w:line="400" w:lineRule="exact"/>
        <w:contextualSpacing/>
        <w:jc w:val="left"/>
        <w:rPr>
          <w:rFonts w:ascii="宋体" w:hAnsi="宋体"/>
          <w:color w:val="auto"/>
          <w:sz w:val="24"/>
        </w:rPr>
      </w:pPr>
    </w:p>
    <w:p w14:paraId="0186F51C">
      <w:pPr>
        <w:rPr>
          <w:rFonts w:hint="eastAsia"/>
          <w:b/>
          <w:color w:val="auto"/>
          <w:sz w:val="28"/>
          <w:szCs w:val="28"/>
        </w:rPr>
      </w:pPr>
      <w:bookmarkStart w:id="139" w:name="_Toc19686838"/>
      <w:r>
        <w:rPr>
          <w:rFonts w:hint="eastAsia"/>
          <w:b/>
          <w:color w:val="auto"/>
          <w:sz w:val="28"/>
          <w:szCs w:val="28"/>
        </w:rPr>
        <w:br w:type="page"/>
      </w:r>
    </w:p>
    <w:p w14:paraId="6F09EEB7">
      <w:pPr>
        <w:rPr>
          <w:b/>
          <w:color w:val="auto"/>
          <w:sz w:val="28"/>
          <w:szCs w:val="28"/>
        </w:rPr>
      </w:pPr>
      <w:r>
        <w:rPr>
          <w:rFonts w:hint="eastAsia"/>
          <w:b/>
          <w:color w:val="auto"/>
          <w:sz w:val="28"/>
          <w:szCs w:val="28"/>
        </w:rPr>
        <w:t>三、商务及技术文件格式</w:t>
      </w:r>
      <w:bookmarkEnd w:id="139"/>
    </w:p>
    <w:p w14:paraId="6B17D6C4">
      <w:pPr>
        <w:snapToGrid w:val="0"/>
        <w:spacing w:before="120" w:beforeLines="50" w:after="50" w:line="360" w:lineRule="auto"/>
        <w:jc w:val="left"/>
        <w:rPr>
          <w:rFonts w:ascii="宋体" w:hAnsi="宋体"/>
          <w:b/>
          <w:color w:val="auto"/>
          <w:sz w:val="24"/>
        </w:rPr>
      </w:pPr>
      <w:r>
        <w:rPr>
          <w:rFonts w:hint="eastAsia" w:ascii="宋体" w:hAnsi="宋体"/>
          <w:b/>
          <w:color w:val="auto"/>
          <w:sz w:val="24"/>
        </w:rPr>
        <w:t xml:space="preserve">1.商务及技术文件封面格式： </w:t>
      </w:r>
    </w:p>
    <w:p w14:paraId="0C9719D0">
      <w:pPr>
        <w:snapToGrid w:val="0"/>
        <w:spacing w:before="120" w:beforeLines="50" w:after="50"/>
        <w:jc w:val="center"/>
        <w:rPr>
          <w:rFonts w:ascii="宋体" w:hAnsi="宋体"/>
          <w:color w:val="auto"/>
          <w:sz w:val="24"/>
        </w:rPr>
      </w:pPr>
      <w:r>
        <w:rPr>
          <w:rFonts w:hint="eastAsia" w:ascii="宋体" w:hAnsi="宋体" w:eastAsia="微软雅黑"/>
          <w:bCs/>
          <w:color w:val="auto"/>
          <w:sz w:val="48"/>
          <w:szCs w:val="48"/>
        </w:rPr>
        <w:t>电子投标文件</w:t>
      </w:r>
    </w:p>
    <w:p w14:paraId="1BC5F6BD">
      <w:pPr>
        <w:snapToGrid w:val="0"/>
        <w:spacing w:before="120" w:beforeLines="50" w:after="50"/>
        <w:rPr>
          <w:rFonts w:ascii="宋体" w:hAnsi="宋体"/>
          <w:color w:val="auto"/>
          <w:sz w:val="24"/>
          <w:szCs w:val="20"/>
        </w:rPr>
      </w:pPr>
      <w:r>
        <w:rPr>
          <w:rFonts w:hint="eastAsia" w:ascii="宋体" w:hAnsi="宋体"/>
          <w:color w:val="auto"/>
          <w:sz w:val="24"/>
        </w:rPr>
        <w:t xml:space="preserve">                </w:t>
      </w:r>
    </w:p>
    <w:p w14:paraId="149770A7">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商务及技术文件</w:t>
      </w:r>
    </w:p>
    <w:p w14:paraId="10C96ECB">
      <w:pPr>
        <w:snapToGrid w:val="0"/>
        <w:spacing w:before="120" w:beforeLines="50" w:after="50"/>
        <w:rPr>
          <w:rFonts w:ascii="宋体" w:hAnsi="宋体"/>
          <w:bCs/>
          <w:color w:val="auto"/>
          <w:sz w:val="24"/>
          <w:szCs w:val="20"/>
        </w:rPr>
      </w:pPr>
    </w:p>
    <w:p w14:paraId="1AAC1719">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56FEDA25">
      <w:pPr>
        <w:snapToGrid w:val="0"/>
        <w:spacing w:before="120" w:beforeLines="50" w:after="50"/>
        <w:ind w:firstLine="540" w:firstLineChars="225"/>
        <w:rPr>
          <w:rFonts w:ascii="宋体" w:hAnsi="宋体"/>
          <w:bCs/>
          <w:color w:val="auto"/>
          <w:sz w:val="24"/>
          <w:szCs w:val="20"/>
        </w:rPr>
      </w:pPr>
    </w:p>
    <w:p w14:paraId="0A03A2E6">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488D02C8">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64B09975">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p>
    <w:p w14:paraId="65FBFF6F">
      <w:pPr>
        <w:snapToGrid w:val="0"/>
        <w:spacing w:before="120" w:beforeLines="50" w:after="50"/>
        <w:ind w:firstLine="540" w:firstLineChars="225"/>
        <w:rPr>
          <w:rFonts w:ascii="宋体" w:hAnsi="宋体"/>
          <w:bCs/>
          <w:color w:val="auto"/>
          <w:sz w:val="24"/>
          <w:szCs w:val="20"/>
        </w:rPr>
      </w:pPr>
    </w:p>
    <w:p w14:paraId="0F832EAD">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36A26529">
      <w:pPr>
        <w:pStyle w:val="6"/>
        <w:snapToGrid w:val="0"/>
        <w:spacing w:before="50" w:after="50"/>
        <w:ind w:firstLine="540" w:firstLineChars="225"/>
        <w:rPr>
          <w:rFonts w:ascii="宋体" w:hAnsi="宋体"/>
          <w:bCs/>
          <w:color w:val="auto"/>
          <w:sz w:val="24"/>
          <w:szCs w:val="24"/>
        </w:rPr>
      </w:pPr>
    </w:p>
    <w:p w14:paraId="0F0FA639">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66688164">
      <w:pPr>
        <w:pStyle w:val="6"/>
        <w:snapToGrid w:val="0"/>
        <w:spacing w:before="50" w:after="50"/>
        <w:ind w:firstLine="960" w:firstLineChars="400"/>
        <w:rPr>
          <w:rFonts w:ascii="宋体" w:hAnsi="宋体"/>
          <w:bCs/>
          <w:color w:val="auto"/>
          <w:sz w:val="24"/>
          <w:szCs w:val="24"/>
        </w:rPr>
      </w:pPr>
    </w:p>
    <w:p w14:paraId="5238CB5E">
      <w:pPr>
        <w:snapToGrid w:val="0"/>
        <w:spacing w:before="120" w:beforeLines="50" w:after="50"/>
        <w:ind w:firstLine="645"/>
        <w:rPr>
          <w:rFonts w:ascii="宋体" w:hAnsi="宋体"/>
          <w:color w:val="auto"/>
          <w:sz w:val="24"/>
        </w:rPr>
      </w:pPr>
      <w:r>
        <w:rPr>
          <w:rFonts w:hint="eastAsia" w:ascii="宋体" w:hAnsi="宋体"/>
          <w:color w:val="auto"/>
          <w:sz w:val="24"/>
        </w:rPr>
        <w:t xml:space="preserve">                        年  月  日</w:t>
      </w:r>
    </w:p>
    <w:p w14:paraId="67DEC085">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678C9351">
      <w:pPr>
        <w:snapToGrid w:val="0"/>
        <w:spacing w:line="360" w:lineRule="auto"/>
        <w:jc w:val="left"/>
        <w:rPr>
          <w:rFonts w:ascii="宋体" w:hAnsi="宋体"/>
          <w:b/>
          <w:bCs/>
          <w:color w:val="auto"/>
          <w:sz w:val="28"/>
          <w:szCs w:val="28"/>
        </w:rPr>
      </w:pPr>
      <w:r>
        <w:rPr>
          <w:rFonts w:ascii="宋体" w:hAnsi="宋体"/>
          <w:color w:val="auto"/>
          <w:sz w:val="24"/>
          <w:szCs w:val="20"/>
        </w:rPr>
        <w:br w:type="page"/>
      </w:r>
      <w:r>
        <w:rPr>
          <w:rFonts w:hint="eastAsia" w:ascii="宋体" w:hAnsi="宋体"/>
          <w:b/>
          <w:bCs/>
          <w:color w:val="auto"/>
          <w:sz w:val="28"/>
          <w:szCs w:val="28"/>
        </w:rPr>
        <w:t>2.商务及技术文件目录</w:t>
      </w:r>
    </w:p>
    <w:p w14:paraId="16FC84F0">
      <w:pPr>
        <w:snapToGrid w:val="0"/>
        <w:spacing w:before="50" w:after="120" w:afterLines="50" w:line="360" w:lineRule="auto"/>
        <w:jc w:val="left"/>
        <w:rPr>
          <w:rFonts w:ascii="微软雅黑" w:hAnsi="微软雅黑" w:eastAsia="微软雅黑"/>
          <w:b/>
          <w:bCs/>
          <w:color w:val="auto"/>
          <w:sz w:val="24"/>
        </w:rPr>
      </w:pPr>
      <w:r>
        <w:rPr>
          <w:rFonts w:hint="eastAsia" w:ascii="宋体" w:hAnsi="宋体"/>
          <w:color w:val="auto"/>
          <w:szCs w:val="21"/>
        </w:rPr>
        <w:t>根据招标文件规定及投标人提供的材料自行编写目录。</w:t>
      </w:r>
    </w:p>
    <w:p w14:paraId="70849DFC">
      <w:pPr>
        <w:snapToGrid w:val="0"/>
        <w:spacing w:before="50" w:after="120" w:afterLines="50"/>
        <w:jc w:val="left"/>
        <w:rPr>
          <w:rFonts w:ascii="宋体" w:hAnsi="宋体"/>
          <w:color w:val="auto"/>
        </w:rPr>
      </w:pPr>
    </w:p>
    <w:p w14:paraId="2AADD298">
      <w:pPr>
        <w:snapToGrid w:val="0"/>
        <w:spacing w:before="120"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3.投标人参加本项目无围标串标行为的承诺</w:t>
      </w:r>
    </w:p>
    <w:p w14:paraId="6974E968">
      <w:pPr>
        <w:snapToGrid w:val="0"/>
        <w:spacing w:before="120" w:beforeLines="50" w:after="50"/>
        <w:jc w:val="left"/>
        <w:rPr>
          <w:rFonts w:ascii="宋体" w:hAnsi="宋体"/>
          <w:b/>
          <w:color w:val="auto"/>
          <w:sz w:val="24"/>
        </w:rPr>
      </w:pPr>
    </w:p>
    <w:p w14:paraId="452B32F7">
      <w:pPr>
        <w:snapToGrid w:val="0"/>
        <w:spacing w:before="120" w:beforeLines="50" w:after="50"/>
        <w:ind w:left="420"/>
        <w:jc w:val="center"/>
        <w:rPr>
          <w:rFonts w:ascii="宋体" w:hAnsi="宋体"/>
          <w:b/>
          <w:color w:val="auto"/>
          <w:spacing w:val="-17"/>
          <w:sz w:val="32"/>
          <w:szCs w:val="32"/>
        </w:rPr>
      </w:pPr>
      <w:r>
        <w:rPr>
          <w:rFonts w:hint="eastAsia" w:ascii="微软雅黑" w:hAnsi="微软雅黑" w:eastAsia="微软雅黑" w:cs="微软雅黑"/>
          <w:bCs/>
          <w:color w:val="auto"/>
          <w:spacing w:val="-17"/>
          <w:sz w:val="44"/>
          <w:szCs w:val="44"/>
        </w:rPr>
        <w:t>投标人参加本项目无围标串标行为的承诺函</w:t>
      </w:r>
    </w:p>
    <w:p w14:paraId="254F150F">
      <w:pPr>
        <w:snapToGrid w:val="0"/>
        <w:spacing w:before="120" w:beforeLines="50" w:after="50"/>
        <w:rPr>
          <w:rFonts w:ascii="宋体" w:hAnsi="宋体"/>
          <w:b/>
          <w:color w:val="auto"/>
          <w:sz w:val="24"/>
        </w:rPr>
      </w:pPr>
    </w:p>
    <w:p w14:paraId="65E7A66E">
      <w:pPr>
        <w:spacing w:line="400" w:lineRule="exact"/>
        <w:contextualSpacing/>
        <w:jc w:val="left"/>
        <w:rPr>
          <w:rFonts w:ascii="宋体" w:hAnsi="宋体"/>
          <w:b/>
          <w:color w:val="auto"/>
          <w:sz w:val="24"/>
        </w:rPr>
      </w:pPr>
      <w:r>
        <w:rPr>
          <w:rFonts w:hint="eastAsia" w:ascii="宋体" w:hAnsi="宋体"/>
          <w:b/>
          <w:color w:val="auto"/>
          <w:sz w:val="24"/>
        </w:rPr>
        <w:t>一、我方承诺无下列相互串通投标的情形：</w:t>
      </w:r>
    </w:p>
    <w:p w14:paraId="02E8BCD4">
      <w:pPr>
        <w:spacing w:line="400" w:lineRule="exact"/>
        <w:ind w:firstLine="470" w:firstLineChars="196"/>
        <w:contextualSpacing/>
        <w:jc w:val="left"/>
        <w:rPr>
          <w:rFonts w:ascii="宋体" w:hAnsi="宋体"/>
          <w:color w:val="auto"/>
          <w:sz w:val="24"/>
        </w:rPr>
      </w:pPr>
      <w:r>
        <w:rPr>
          <w:rFonts w:hint="eastAsia" w:ascii="宋体" w:hAnsi="宋体"/>
          <w:color w:val="auto"/>
          <w:sz w:val="24"/>
        </w:rPr>
        <w:t>1.不同投标人的投标文件由同一单位或者个人编制；或不同投标人报名的IP地址一致的；</w:t>
      </w:r>
    </w:p>
    <w:p w14:paraId="35A0D5F3">
      <w:pPr>
        <w:spacing w:line="400" w:lineRule="exact"/>
        <w:ind w:firstLine="470" w:firstLineChars="196"/>
        <w:contextualSpacing/>
        <w:jc w:val="left"/>
        <w:rPr>
          <w:rFonts w:ascii="宋体" w:hAnsi="宋体"/>
          <w:color w:val="auto"/>
          <w:sz w:val="24"/>
        </w:rPr>
      </w:pPr>
      <w:r>
        <w:rPr>
          <w:rFonts w:hint="eastAsia" w:ascii="宋体" w:hAnsi="宋体"/>
          <w:color w:val="auto"/>
          <w:sz w:val="24"/>
        </w:rPr>
        <w:t>2.不同投标人委托同一单位或者个人办理投标事宜；</w:t>
      </w:r>
    </w:p>
    <w:p w14:paraId="763CA950">
      <w:pPr>
        <w:spacing w:line="400" w:lineRule="exact"/>
        <w:ind w:firstLine="470" w:firstLineChars="196"/>
        <w:contextualSpacing/>
        <w:jc w:val="left"/>
        <w:rPr>
          <w:rFonts w:ascii="宋体" w:hAnsi="宋体"/>
          <w:color w:val="auto"/>
          <w:sz w:val="24"/>
        </w:rPr>
      </w:pPr>
      <w:r>
        <w:rPr>
          <w:rFonts w:hint="eastAsia" w:ascii="宋体" w:hAnsi="宋体"/>
          <w:color w:val="auto"/>
          <w:sz w:val="24"/>
        </w:rPr>
        <w:t>3.不同的投标人的投标文件载明的项目管理员为同一个人；</w:t>
      </w:r>
    </w:p>
    <w:p w14:paraId="10385156">
      <w:pPr>
        <w:spacing w:line="400" w:lineRule="exact"/>
        <w:ind w:firstLine="470" w:firstLineChars="196"/>
        <w:contextualSpacing/>
        <w:jc w:val="left"/>
        <w:rPr>
          <w:rFonts w:ascii="宋体" w:hAnsi="宋体"/>
          <w:color w:val="auto"/>
          <w:sz w:val="24"/>
        </w:rPr>
      </w:pPr>
      <w:r>
        <w:rPr>
          <w:rFonts w:hint="eastAsia" w:ascii="宋体" w:hAnsi="宋体"/>
          <w:color w:val="auto"/>
          <w:sz w:val="24"/>
        </w:rPr>
        <w:t>4.不同投标人的投标文件异常一致或者投标报价呈规律性差异；</w:t>
      </w:r>
    </w:p>
    <w:p w14:paraId="5B94F9AD">
      <w:pPr>
        <w:spacing w:line="400" w:lineRule="exact"/>
        <w:ind w:firstLine="470" w:firstLineChars="196"/>
        <w:contextualSpacing/>
        <w:jc w:val="left"/>
        <w:rPr>
          <w:rFonts w:ascii="宋体" w:hAnsi="宋体"/>
          <w:color w:val="auto"/>
          <w:sz w:val="24"/>
        </w:rPr>
      </w:pPr>
      <w:r>
        <w:rPr>
          <w:rFonts w:hint="eastAsia" w:ascii="宋体" w:hAnsi="宋体"/>
          <w:color w:val="auto"/>
          <w:sz w:val="24"/>
        </w:rPr>
        <w:t>5.不同投标人的投标文件相互混装；</w:t>
      </w:r>
    </w:p>
    <w:p w14:paraId="7D3B4CD8">
      <w:pPr>
        <w:spacing w:line="400" w:lineRule="exact"/>
        <w:ind w:firstLine="470" w:firstLineChars="196"/>
        <w:contextualSpacing/>
        <w:jc w:val="left"/>
        <w:rPr>
          <w:rFonts w:ascii="宋体" w:hAnsi="宋体"/>
          <w:color w:val="auto"/>
          <w:sz w:val="24"/>
        </w:rPr>
      </w:pPr>
      <w:r>
        <w:rPr>
          <w:rFonts w:hint="eastAsia" w:ascii="宋体" w:hAnsi="宋体"/>
          <w:color w:val="auto"/>
          <w:sz w:val="24"/>
        </w:rPr>
        <w:t>6.不同投标人的投标保证金从同一单位或者个人账户转出。</w:t>
      </w:r>
    </w:p>
    <w:p w14:paraId="66FFE2FE">
      <w:pPr>
        <w:spacing w:line="400" w:lineRule="exact"/>
        <w:contextualSpacing/>
        <w:jc w:val="left"/>
        <w:rPr>
          <w:rFonts w:ascii="宋体" w:hAnsi="宋体"/>
          <w:color w:val="auto"/>
          <w:sz w:val="24"/>
        </w:rPr>
      </w:pPr>
      <w:r>
        <w:rPr>
          <w:rFonts w:hint="eastAsia" w:ascii="宋体" w:hAnsi="宋体"/>
          <w:b/>
          <w:color w:val="auto"/>
          <w:sz w:val="24"/>
        </w:rPr>
        <w:t>二、我方承诺无下列恶意串通的情形：</w:t>
      </w:r>
    </w:p>
    <w:p w14:paraId="01B4131A">
      <w:pPr>
        <w:spacing w:line="400" w:lineRule="exact"/>
        <w:ind w:firstLine="470" w:firstLineChars="196"/>
        <w:contextualSpacing/>
        <w:jc w:val="left"/>
        <w:rPr>
          <w:rFonts w:ascii="宋体" w:hAnsi="宋体"/>
          <w:color w:val="auto"/>
          <w:sz w:val="24"/>
        </w:rPr>
      </w:pPr>
      <w:r>
        <w:rPr>
          <w:rFonts w:hint="eastAsia" w:ascii="宋体" w:hAnsi="宋体"/>
          <w:color w:val="auto"/>
          <w:sz w:val="24"/>
        </w:rPr>
        <w:t>1.投标人直接或者间接从采购人或者采购代理机构处获得其他投标人的相关信息并修改其投标文件或者响应文件；</w:t>
      </w:r>
    </w:p>
    <w:p w14:paraId="744D8457">
      <w:pPr>
        <w:spacing w:line="400" w:lineRule="exact"/>
        <w:ind w:firstLine="470" w:firstLineChars="196"/>
        <w:contextualSpacing/>
        <w:jc w:val="left"/>
        <w:rPr>
          <w:rFonts w:ascii="宋体" w:hAnsi="宋体"/>
          <w:color w:val="auto"/>
          <w:sz w:val="24"/>
        </w:rPr>
      </w:pPr>
      <w:r>
        <w:rPr>
          <w:rFonts w:hint="eastAsia" w:ascii="宋体" w:hAnsi="宋体"/>
          <w:color w:val="auto"/>
          <w:sz w:val="24"/>
        </w:rPr>
        <w:t>2.投标人按照采购人或者采购代理机构的授意撤换、修改投标文件或者响应文件；</w:t>
      </w:r>
    </w:p>
    <w:p w14:paraId="5CDAEAC7">
      <w:pPr>
        <w:spacing w:line="400" w:lineRule="exact"/>
        <w:ind w:firstLine="470" w:firstLineChars="196"/>
        <w:contextualSpacing/>
        <w:jc w:val="left"/>
        <w:rPr>
          <w:rFonts w:ascii="宋体" w:hAnsi="宋体"/>
          <w:color w:val="auto"/>
          <w:sz w:val="24"/>
        </w:rPr>
      </w:pPr>
      <w:r>
        <w:rPr>
          <w:rFonts w:hint="eastAsia" w:ascii="宋体" w:hAnsi="宋体"/>
          <w:color w:val="auto"/>
          <w:sz w:val="24"/>
        </w:rPr>
        <w:t>3.投标人之间协商报价、技术方案等投标文件或者响应文件的实质性内容；</w:t>
      </w:r>
    </w:p>
    <w:p w14:paraId="556DB7B9">
      <w:pPr>
        <w:spacing w:line="400" w:lineRule="exact"/>
        <w:ind w:firstLine="470" w:firstLineChars="196"/>
        <w:contextualSpacing/>
        <w:jc w:val="left"/>
        <w:rPr>
          <w:rFonts w:ascii="宋体" w:hAnsi="宋体"/>
          <w:color w:val="auto"/>
          <w:sz w:val="24"/>
        </w:rPr>
      </w:pPr>
      <w:r>
        <w:rPr>
          <w:rFonts w:hint="eastAsia" w:ascii="宋体" w:hAnsi="宋体"/>
          <w:color w:val="auto"/>
          <w:sz w:val="24"/>
        </w:rPr>
        <w:t>4.属于同一集团、协会、商会等组织成员的投标人按照该组织要求协同参加政府采购活动；</w:t>
      </w:r>
    </w:p>
    <w:p w14:paraId="6D2E0F78">
      <w:pPr>
        <w:spacing w:line="400" w:lineRule="exact"/>
        <w:ind w:firstLine="470" w:firstLineChars="196"/>
        <w:contextualSpacing/>
        <w:jc w:val="left"/>
        <w:rPr>
          <w:rFonts w:ascii="宋体" w:hAnsi="宋体"/>
          <w:color w:val="auto"/>
          <w:sz w:val="24"/>
        </w:rPr>
      </w:pPr>
      <w:r>
        <w:rPr>
          <w:rFonts w:hint="eastAsia" w:ascii="宋体" w:hAnsi="宋体"/>
          <w:color w:val="auto"/>
          <w:sz w:val="24"/>
        </w:rPr>
        <w:t>5.投标人之间事先约定一致抬高或者压低投标报价，或者在招标项目中事先约定轮流以高价位或者低价位中标，或者事先约定由某一特定投标人中标，然后再参加投标；</w:t>
      </w:r>
    </w:p>
    <w:p w14:paraId="1B145194">
      <w:pPr>
        <w:spacing w:line="400" w:lineRule="exact"/>
        <w:ind w:firstLine="470" w:firstLineChars="196"/>
        <w:contextualSpacing/>
        <w:jc w:val="left"/>
        <w:rPr>
          <w:rFonts w:ascii="宋体" w:hAnsi="宋体"/>
          <w:color w:val="auto"/>
          <w:sz w:val="24"/>
        </w:rPr>
      </w:pPr>
      <w:r>
        <w:rPr>
          <w:rFonts w:hint="eastAsia" w:ascii="宋体" w:hAnsi="宋体"/>
          <w:color w:val="auto"/>
          <w:sz w:val="24"/>
        </w:rPr>
        <w:t>6.投标人之间商定部分投标人放弃参加政府采购活动或者放弃中标；</w:t>
      </w:r>
    </w:p>
    <w:p w14:paraId="758A4C4A">
      <w:pPr>
        <w:spacing w:line="400" w:lineRule="exact"/>
        <w:ind w:firstLine="470" w:firstLineChars="196"/>
        <w:contextualSpacing/>
        <w:jc w:val="left"/>
        <w:rPr>
          <w:rFonts w:ascii="宋体" w:hAnsi="宋体"/>
          <w:color w:val="auto"/>
          <w:sz w:val="24"/>
        </w:rPr>
      </w:pPr>
      <w:r>
        <w:rPr>
          <w:rFonts w:hint="eastAsia" w:ascii="宋体" w:hAnsi="宋体"/>
          <w:color w:val="auto"/>
          <w:sz w:val="24"/>
        </w:rPr>
        <w:t>7.投标人与采购人或者采购代理机构之间、投标人相互之间，为谋求特定投标人中标或者排斥其他投标人的其他串通行为。</w:t>
      </w:r>
    </w:p>
    <w:p w14:paraId="559DB58F">
      <w:pPr>
        <w:spacing w:line="400" w:lineRule="exact"/>
        <w:ind w:firstLine="472" w:firstLineChars="196"/>
        <w:contextualSpacing/>
        <w:jc w:val="left"/>
        <w:rPr>
          <w:rFonts w:ascii="宋体" w:hAnsi="宋体"/>
          <w:b/>
          <w:color w:val="auto"/>
          <w:sz w:val="24"/>
        </w:rPr>
      </w:pPr>
      <w:r>
        <w:rPr>
          <w:rFonts w:hint="eastAsia" w:ascii="宋体" w:hAnsi="宋体"/>
          <w:b/>
          <w:color w:val="auto"/>
          <w:sz w:val="24"/>
        </w:rPr>
        <w:t>以上情形一经核查属实，我方愿意承担一切后果，并不再寻求任何旨在减轻或者免除法律责任的辩解。</w:t>
      </w:r>
    </w:p>
    <w:p w14:paraId="1E4B0066">
      <w:pPr>
        <w:spacing w:line="400" w:lineRule="exact"/>
        <w:ind w:firstLine="472" w:firstLineChars="196"/>
        <w:contextualSpacing/>
        <w:jc w:val="left"/>
        <w:rPr>
          <w:rFonts w:ascii="宋体" w:hAnsi="宋体"/>
          <w:b/>
          <w:color w:val="auto"/>
          <w:sz w:val="24"/>
        </w:rPr>
      </w:pPr>
    </w:p>
    <w:p w14:paraId="3E5B0D8A">
      <w:pPr>
        <w:pStyle w:val="22"/>
        <w:spacing w:line="440" w:lineRule="exact"/>
        <w:ind w:firstLine="960" w:firstLineChars="400"/>
        <w:rPr>
          <w:rFonts w:hAnsi="宋体"/>
          <w:color w:val="auto"/>
          <w:sz w:val="24"/>
          <w:szCs w:val="24"/>
        </w:rPr>
      </w:pPr>
      <w:r>
        <w:rPr>
          <w:rFonts w:hint="eastAsia" w:hAnsi="宋体"/>
          <w:color w:val="auto"/>
          <w:sz w:val="24"/>
        </w:rPr>
        <w:t>法定代表人或者委托代理人</w:t>
      </w:r>
      <w:r>
        <w:rPr>
          <w:rFonts w:hint="eastAsia" w:hAnsi="宋体"/>
          <w:color w:val="auto"/>
          <w:spacing w:val="20"/>
          <w:sz w:val="24"/>
        </w:rPr>
        <w:t>（签字或者电子签名）：</w:t>
      </w:r>
      <w:r>
        <w:rPr>
          <w:rFonts w:hint="eastAsia" w:hAnsi="宋体"/>
          <w:color w:val="auto"/>
          <w:spacing w:val="20"/>
          <w:sz w:val="24"/>
          <w:u w:val="single"/>
        </w:rPr>
        <w:t xml:space="preserve">        </w:t>
      </w:r>
    </w:p>
    <w:p w14:paraId="462341B9">
      <w:pPr>
        <w:pStyle w:val="22"/>
        <w:spacing w:line="400" w:lineRule="exact"/>
        <w:contextualSpacing/>
        <w:jc w:val="center"/>
        <w:rPr>
          <w:rFonts w:hAnsi="宋体"/>
          <w:color w:val="auto"/>
          <w:sz w:val="24"/>
          <w:szCs w:val="24"/>
        </w:rPr>
      </w:pPr>
      <w:r>
        <w:rPr>
          <w:rFonts w:hint="eastAsia" w:hAnsi="宋体"/>
          <w:color w:val="auto"/>
          <w:sz w:val="24"/>
          <w:szCs w:val="24"/>
        </w:rPr>
        <w:t xml:space="preserve"> </w:t>
      </w:r>
      <w:r>
        <w:rPr>
          <w:rFonts w:hAnsi="宋体"/>
          <w:color w:val="auto"/>
          <w:sz w:val="24"/>
          <w:szCs w:val="24"/>
        </w:rPr>
        <w:t xml:space="preserve">                                   </w:t>
      </w:r>
      <w:r>
        <w:rPr>
          <w:rFonts w:hint="eastAsia" w:hAnsi="宋体"/>
          <w:color w:val="auto"/>
          <w:sz w:val="24"/>
          <w:szCs w:val="24"/>
        </w:rPr>
        <w:t>投标人名称（电子签章）</w:t>
      </w:r>
    </w:p>
    <w:p w14:paraId="519D20D6">
      <w:pPr>
        <w:pStyle w:val="22"/>
        <w:spacing w:line="400" w:lineRule="exact"/>
        <w:contextualSpacing/>
        <w:rPr>
          <w:rFonts w:hAnsi="宋体"/>
          <w:color w:val="auto"/>
          <w:sz w:val="24"/>
        </w:rPr>
      </w:pPr>
      <w:r>
        <w:rPr>
          <w:rFonts w:hint="eastAsia" w:hAnsi="宋体"/>
          <w:color w:val="auto"/>
          <w:sz w:val="24"/>
        </w:rPr>
        <w:t xml:space="preserve">                                                </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1401884A">
      <w:pPr>
        <w:snapToGrid w:val="0"/>
        <w:spacing w:before="120" w:beforeLines="50" w:after="50"/>
        <w:ind w:firstLine="472" w:firstLineChars="196"/>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4.法定代表人身份证明</w:t>
      </w:r>
    </w:p>
    <w:p w14:paraId="19D62A7E">
      <w:pPr>
        <w:spacing w:before="240" w:beforeLines="100" w:after="120" w:afterLines="50"/>
        <w:ind w:left="540"/>
        <w:jc w:val="center"/>
        <w:rPr>
          <w:rFonts w:ascii="宋体" w:hAnsi="Courier New"/>
          <w:b/>
          <w:color w:val="auto"/>
          <w:sz w:val="32"/>
          <w:szCs w:val="32"/>
        </w:rPr>
      </w:pPr>
    </w:p>
    <w:p w14:paraId="4828F2AC">
      <w:pPr>
        <w:spacing w:before="240" w:beforeLines="100" w:after="120" w:afterLines="50"/>
        <w:ind w:left="540"/>
        <w:jc w:val="center"/>
        <w:rPr>
          <w:rFonts w:ascii="微软雅黑" w:hAnsi="微软雅黑" w:eastAsia="微软雅黑" w:cs="微软雅黑"/>
          <w:bCs/>
          <w:color w:val="auto"/>
          <w:sz w:val="44"/>
          <w:szCs w:val="44"/>
        </w:rPr>
      </w:pPr>
      <w:r>
        <w:rPr>
          <w:rFonts w:hint="eastAsia" w:ascii="微软雅黑" w:hAnsi="微软雅黑" w:eastAsia="微软雅黑" w:cs="微软雅黑"/>
          <w:bCs/>
          <w:color w:val="auto"/>
          <w:sz w:val="44"/>
          <w:szCs w:val="44"/>
        </w:rPr>
        <w:t>法定代表人身份证明</w:t>
      </w:r>
    </w:p>
    <w:p w14:paraId="65F29496">
      <w:pPr>
        <w:spacing w:line="500" w:lineRule="exact"/>
        <w:ind w:left="54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263B321C">
      <w:pPr>
        <w:spacing w:line="500" w:lineRule="exact"/>
        <w:ind w:left="54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47FE1A10">
      <w:pPr>
        <w:spacing w:line="500" w:lineRule="exact"/>
        <w:ind w:left="540"/>
        <w:rPr>
          <w:rFonts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7A3AB2FF">
      <w:pPr>
        <w:spacing w:line="500" w:lineRule="exact"/>
        <w:ind w:left="540"/>
        <w:rPr>
          <w:rFonts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38F1E303">
      <w:pPr>
        <w:spacing w:line="500" w:lineRule="exact"/>
        <w:ind w:left="540"/>
        <w:rPr>
          <w:rFonts w:ascii="宋体" w:hAnsi="宋体"/>
          <w:color w:val="auto"/>
          <w:sz w:val="24"/>
        </w:rPr>
      </w:pPr>
      <w:r>
        <w:rPr>
          <w:rFonts w:hint="eastAsia" w:ascii="宋体" w:hAnsi="宋体"/>
          <w:color w:val="auto"/>
          <w:sz w:val="24"/>
        </w:rPr>
        <w:t>身份证</w:t>
      </w:r>
      <w:r>
        <w:rPr>
          <w:rFonts w:hint="eastAsia"/>
          <w:color w:val="auto"/>
          <w:sz w:val="24"/>
        </w:rPr>
        <w:t>号码：</w:t>
      </w:r>
      <w:r>
        <w:rPr>
          <w:rFonts w:hint="eastAsia"/>
          <w:color w:val="auto"/>
          <w:sz w:val="24"/>
          <w:u w:val="single"/>
        </w:rPr>
        <w:t xml:space="preserve">                                 </w:t>
      </w:r>
    </w:p>
    <w:p w14:paraId="329EC607">
      <w:pPr>
        <w:spacing w:line="500" w:lineRule="exact"/>
        <w:ind w:left="54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101FCF84">
      <w:pPr>
        <w:spacing w:line="500" w:lineRule="exact"/>
        <w:ind w:left="540"/>
        <w:rPr>
          <w:rFonts w:ascii="宋体" w:hAnsi="宋体"/>
          <w:color w:val="auto"/>
          <w:sz w:val="24"/>
        </w:rPr>
      </w:pPr>
      <w:r>
        <w:rPr>
          <w:rFonts w:hint="eastAsia" w:ascii="宋体" w:hAnsi="宋体"/>
          <w:color w:val="auto"/>
          <w:sz w:val="24"/>
        </w:rPr>
        <w:t>特此证明。</w:t>
      </w:r>
    </w:p>
    <w:p w14:paraId="2F68ADAE">
      <w:pPr>
        <w:spacing w:line="500" w:lineRule="exact"/>
        <w:ind w:left="540"/>
        <w:rPr>
          <w:rFonts w:ascii="宋体" w:hAnsi="宋体"/>
          <w:color w:val="auto"/>
          <w:sz w:val="24"/>
        </w:rPr>
      </w:pPr>
    </w:p>
    <w:p w14:paraId="5DDBC4ED">
      <w:pPr>
        <w:spacing w:line="500" w:lineRule="exact"/>
        <w:ind w:left="540"/>
        <w:rPr>
          <w:rFonts w:ascii="宋体" w:hAnsi="宋体"/>
          <w:color w:val="auto"/>
          <w:sz w:val="24"/>
        </w:rPr>
      </w:pPr>
    </w:p>
    <w:p w14:paraId="531E9455">
      <w:pPr>
        <w:spacing w:line="500" w:lineRule="exact"/>
        <w:ind w:left="540"/>
        <w:rPr>
          <w:rFonts w:ascii="宋体" w:hAnsi="宋体"/>
          <w:color w:val="auto"/>
          <w:sz w:val="24"/>
        </w:rPr>
      </w:pPr>
      <w:r>
        <w:rPr>
          <w:rFonts w:hint="eastAsia" w:ascii="宋体" w:hAnsi="宋体"/>
          <w:color w:val="auto"/>
          <w:sz w:val="24"/>
        </w:rPr>
        <w:t>附件：法定代表人有效身份证正反面复印件</w:t>
      </w:r>
    </w:p>
    <w:p w14:paraId="572D71B8">
      <w:pPr>
        <w:spacing w:line="500" w:lineRule="exact"/>
        <w:ind w:left="540"/>
        <w:rPr>
          <w:rFonts w:ascii="宋体" w:hAnsi="宋体"/>
          <w:color w:val="auto"/>
          <w:sz w:val="24"/>
        </w:rPr>
      </w:pPr>
    </w:p>
    <w:p w14:paraId="05708ED1">
      <w:pPr>
        <w:spacing w:line="500" w:lineRule="exact"/>
        <w:ind w:left="540"/>
        <w:jc w:val="right"/>
        <w:rPr>
          <w:rFonts w:ascii="宋体" w:hAnsi="宋体"/>
          <w:color w:val="auto"/>
          <w:sz w:val="24"/>
        </w:rPr>
      </w:pPr>
      <w:r>
        <w:rPr>
          <w:rFonts w:hint="eastAsia" w:ascii="宋体" w:hAnsi="宋体"/>
          <w:color w:val="auto"/>
          <w:sz w:val="24"/>
        </w:rPr>
        <w:t>投标人名称（电子签章）</w:t>
      </w:r>
    </w:p>
    <w:p w14:paraId="4A239BC7">
      <w:pPr>
        <w:snapToGrid w:val="0"/>
        <w:spacing w:before="120" w:beforeLines="50" w:after="50"/>
        <w:ind w:left="540"/>
        <w:jc w:val="righ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531BEF71">
      <w:pPr>
        <w:snapToGrid w:val="0"/>
        <w:spacing w:before="120" w:beforeLines="50" w:after="50"/>
        <w:jc w:val="center"/>
        <w:rPr>
          <w:rFonts w:ascii="宋体" w:hAnsi="宋体"/>
          <w:b/>
          <w:color w:val="auto"/>
          <w:sz w:val="24"/>
        </w:rPr>
      </w:pPr>
    </w:p>
    <w:p w14:paraId="71BDAD32">
      <w:pPr>
        <w:snapToGrid w:val="0"/>
        <w:spacing w:before="120" w:beforeLines="50" w:after="50"/>
        <w:jc w:val="left"/>
        <w:rPr>
          <w:rFonts w:ascii="宋体" w:hAnsi="宋体"/>
          <w:b/>
          <w:color w:val="auto"/>
          <w:sz w:val="24"/>
          <w:szCs w:val="20"/>
        </w:rPr>
      </w:pPr>
      <w:r>
        <w:rPr>
          <w:rFonts w:hint="eastAsia" w:ascii="宋体" w:hAnsi="宋体"/>
          <w:color w:val="auto"/>
          <w:sz w:val="24"/>
        </w:rPr>
        <w:t>注：自然人投标的无需提供</w:t>
      </w:r>
    </w:p>
    <w:p w14:paraId="14AA4DA1">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5.授权委托书格式</w:t>
      </w:r>
    </w:p>
    <w:p w14:paraId="6470D3B5">
      <w:pPr>
        <w:snapToGrid w:val="0"/>
        <w:spacing w:before="120" w:beforeLines="50" w:after="50"/>
        <w:jc w:val="center"/>
        <w:rPr>
          <w:rFonts w:ascii="宋体" w:hAnsi="宋体"/>
          <w:b/>
          <w:color w:val="auto"/>
          <w:sz w:val="44"/>
          <w:szCs w:val="44"/>
        </w:rPr>
      </w:pPr>
    </w:p>
    <w:p w14:paraId="5776A5C3">
      <w:pPr>
        <w:snapToGrid w:val="0"/>
        <w:spacing w:before="120" w:beforeLines="50" w:after="50"/>
        <w:jc w:val="center"/>
        <w:rPr>
          <w:rFonts w:ascii="微软雅黑" w:hAnsi="微软雅黑" w:eastAsia="微软雅黑" w:cs="微软雅黑"/>
          <w:bCs/>
          <w:color w:val="auto"/>
          <w:sz w:val="44"/>
          <w:szCs w:val="44"/>
        </w:rPr>
      </w:pPr>
      <w:r>
        <w:rPr>
          <w:rFonts w:hint="eastAsia" w:ascii="微软雅黑" w:hAnsi="微软雅黑" w:eastAsia="微软雅黑" w:cs="微软雅黑"/>
          <w:bCs/>
          <w:color w:val="auto"/>
          <w:sz w:val="44"/>
          <w:szCs w:val="44"/>
        </w:rPr>
        <w:t>授权委托书</w:t>
      </w:r>
    </w:p>
    <w:p w14:paraId="18EB66AD">
      <w:pPr>
        <w:snapToGrid w:val="0"/>
        <w:spacing w:before="120" w:beforeLines="50" w:after="50"/>
        <w:jc w:val="center"/>
        <w:rPr>
          <w:rFonts w:ascii="宋体" w:hAnsi="宋体"/>
          <w:b/>
          <w:color w:val="auto"/>
          <w:sz w:val="24"/>
        </w:rPr>
      </w:pPr>
      <w:r>
        <w:rPr>
          <w:rFonts w:hint="eastAsia" w:ascii="宋体" w:hAnsi="宋体"/>
          <w:b/>
          <w:color w:val="auto"/>
          <w:sz w:val="32"/>
          <w:szCs w:val="32"/>
        </w:rPr>
        <w:t>（如有委托时）</w:t>
      </w:r>
    </w:p>
    <w:p w14:paraId="19CEBCB6">
      <w:pPr>
        <w:snapToGrid w:val="0"/>
        <w:spacing w:before="120" w:beforeLines="50" w:after="50"/>
        <w:jc w:val="center"/>
        <w:rPr>
          <w:rFonts w:ascii="宋体" w:hAnsi="宋体"/>
          <w:b/>
          <w:color w:val="auto"/>
          <w:sz w:val="24"/>
        </w:rPr>
      </w:pPr>
    </w:p>
    <w:p w14:paraId="2B2A5EFF">
      <w:pPr>
        <w:spacing w:line="360" w:lineRule="auto"/>
        <w:contextualSpacing/>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138B1E0D">
      <w:pPr>
        <w:spacing w:line="360" w:lineRule="auto"/>
        <w:ind w:firstLine="566" w:firstLineChars="236"/>
        <w:contextualSpacing/>
        <w:rPr>
          <w:rFonts w:ascii="宋体" w:hAnsi="宋体"/>
          <w:color w:val="auto"/>
          <w:sz w:val="24"/>
        </w:rPr>
      </w:pPr>
      <w:r>
        <w:rPr>
          <w:rFonts w:hint="eastAsia" w:ascii="宋体" w:hAnsi="宋体"/>
          <w:color w:val="auto"/>
          <w:sz w:val="24"/>
        </w:rPr>
        <w:t>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5B0CA227">
      <w:pPr>
        <w:spacing w:line="360" w:lineRule="auto"/>
        <w:contextualSpacing/>
        <w:rPr>
          <w:rFonts w:ascii="宋体" w:hAnsi="宋体"/>
          <w:color w:val="auto"/>
          <w:sz w:val="24"/>
        </w:rPr>
      </w:pPr>
      <w:r>
        <w:rPr>
          <w:rFonts w:hint="eastAsia" w:ascii="宋体" w:hAnsi="宋体"/>
          <w:color w:val="auto"/>
          <w:sz w:val="24"/>
        </w:rPr>
        <w:t xml:space="preserve">    我方对委托代理人的签字或者电子签名事项负全部责任。</w:t>
      </w:r>
    </w:p>
    <w:p w14:paraId="0EB58C4F">
      <w:pPr>
        <w:spacing w:line="360" w:lineRule="auto"/>
        <w:ind w:firstLine="480"/>
        <w:contextualSpacing/>
        <w:rPr>
          <w:rFonts w:ascii="宋体" w:hAnsi="宋体"/>
          <w:color w:val="auto"/>
          <w:sz w:val="24"/>
        </w:rPr>
      </w:pPr>
      <w:r>
        <w:rPr>
          <w:rFonts w:hint="eastAsia" w:ascii="宋体" w:hAnsi="宋体"/>
          <w:color w:val="auto"/>
          <w:sz w:val="24"/>
          <w:u w:val="single"/>
        </w:rPr>
        <w:t>本授权书自签署之日起生效，在撤销授权的书面通知以前，本授权书一直有效。委托代理人在授权书有效期内签署的所有文件不因授权的撤销而失效。</w:t>
      </w:r>
    </w:p>
    <w:p w14:paraId="65D479E1">
      <w:pPr>
        <w:spacing w:line="360" w:lineRule="auto"/>
        <w:ind w:firstLine="480"/>
        <w:contextualSpacing/>
        <w:rPr>
          <w:rFonts w:ascii="宋体" w:hAnsi="宋体"/>
          <w:color w:val="auto"/>
          <w:sz w:val="24"/>
        </w:rPr>
      </w:pPr>
      <w:r>
        <w:rPr>
          <w:rFonts w:hint="eastAsia" w:ascii="宋体" w:hAnsi="宋体"/>
          <w:color w:val="auto"/>
          <w:sz w:val="24"/>
        </w:rPr>
        <w:t>委托代理人无转委托权，特此委托。</w:t>
      </w:r>
    </w:p>
    <w:p w14:paraId="23549C02">
      <w:pPr>
        <w:spacing w:line="360" w:lineRule="auto"/>
        <w:ind w:firstLine="480"/>
        <w:contextualSpacing/>
        <w:rPr>
          <w:rFonts w:ascii="宋体" w:hAnsi="宋体"/>
          <w:color w:val="auto"/>
          <w:sz w:val="24"/>
        </w:rPr>
      </w:pPr>
      <w:r>
        <w:rPr>
          <w:rFonts w:hint="eastAsia" w:ascii="宋体" w:hAnsi="宋体"/>
          <w:color w:val="auto"/>
          <w:sz w:val="24"/>
        </w:rPr>
        <w:t>附：法定代表人身份证明及委托代理人有效身份证正反面复印件</w:t>
      </w:r>
    </w:p>
    <w:p w14:paraId="7FF1C872">
      <w:pPr>
        <w:spacing w:line="360" w:lineRule="auto"/>
        <w:contextualSpacing/>
        <w:rPr>
          <w:rFonts w:ascii="宋体" w:hAnsi="宋体"/>
          <w:color w:val="auto"/>
          <w:sz w:val="24"/>
        </w:rPr>
      </w:pPr>
    </w:p>
    <w:p w14:paraId="79A3C7CE">
      <w:pPr>
        <w:spacing w:line="440" w:lineRule="exact"/>
        <w:contextualSpacing/>
        <w:rPr>
          <w:rFonts w:ascii="宋体" w:hAnsi="宋体"/>
          <w:color w:val="auto"/>
          <w:sz w:val="24"/>
        </w:rPr>
      </w:pPr>
      <w:r>
        <w:rPr>
          <w:rFonts w:hint="eastAsia" w:ascii="宋体" w:hAnsi="宋体"/>
          <w:color w:val="auto"/>
          <w:sz w:val="24"/>
        </w:rPr>
        <w:t>委托代理人（签字或者电子签名）：</w:t>
      </w:r>
      <w:r>
        <w:rPr>
          <w:rFonts w:hint="eastAsia" w:ascii="宋体" w:hAnsi="宋体"/>
          <w:color w:val="auto"/>
          <w:sz w:val="24"/>
          <w:u w:val="single"/>
        </w:rPr>
        <w:t xml:space="preserve">               </w:t>
      </w:r>
      <w:r>
        <w:rPr>
          <w:rFonts w:hint="eastAsia" w:ascii="宋体" w:hAnsi="宋体"/>
          <w:color w:val="auto"/>
          <w:sz w:val="24"/>
        </w:rPr>
        <w:t xml:space="preserve">            </w:t>
      </w:r>
    </w:p>
    <w:p w14:paraId="1B35168F">
      <w:pPr>
        <w:spacing w:line="440" w:lineRule="exact"/>
        <w:contextualSpacing/>
        <w:rPr>
          <w:rFonts w:ascii="宋体" w:hAnsi="宋体"/>
          <w:color w:val="auto"/>
          <w:sz w:val="24"/>
          <w:u w:val="single"/>
        </w:rPr>
      </w:pPr>
      <w:r>
        <w:rPr>
          <w:rFonts w:hint="eastAsia" w:ascii="宋体" w:hAnsi="宋体"/>
          <w:color w:val="auto"/>
          <w:sz w:val="24"/>
        </w:rPr>
        <w:t>委托代理人身份证号码：</w:t>
      </w:r>
      <w:r>
        <w:rPr>
          <w:rFonts w:hint="eastAsia" w:ascii="宋体" w:hAnsi="宋体"/>
          <w:color w:val="auto"/>
          <w:sz w:val="24"/>
          <w:u w:val="single"/>
        </w:rPr>
        <w:t xml:space="preserve">                             </w:t>
      </w:r>
    </w:p>
    <w:p w14:paraId="5EAF3501">
      <w:pPr>
        <w:spacing w:line="440" w:lineRule="exact"/>
        <w:contextualSpacing/>
        <w:rPr>
          <w:rFonts w:ascii="宋体" w:hAnsi="宋体"/>
          <w:color w:val="auto"/>
          <w:sz w:val="24"/>
          <w:u w:val="single"/>
        </w:rPr>
      </w:pPr>
      <w:r>
        <w:rPr>
          <w:rFonts w:hint="eastAsia" w:ascii="宋体" w:hAnsi="宋体"/>
          <w:color w:val="auto"/>
          <w:sz w:val="24"/>
        </w:rPr>
        <w:t>法定代表人（签字或者盖章或者电子签名）：</w:t>
      </w:r>
      <w:r>
        <w:rPr>
          <w:rFonts w:hint="eastAsia" w:ascii="宋体" w:hAnsi="宋体"/>
          <w:color w:val="auto"/>
          <w:sz w:val="24"/>
          <w:u w:val="single"/>
        </w:rPr>
        <w:t xml:space="preserve">              </w:t>
      </w:r>
    </w:p>
    <w:p w14:paraId="02914507">
      <w:pPr>
        <w:spacing w:line="440" w:lineRule="exact"/>
        <w:contextualSpacing/>
        <w:rPr>
          <w:rFonts w:ascii="宋体" w:hAnsi="宋体"/>
          <w:color w:val="auto"/>
          <w:sz w:val="24"/>
        </w:rPr>
      </w:pPr>
      <w:r>
        <w:rPr>
          <w:rFonts w:hint="eastAsia" w:ascii="宋体" w:hAnsi="宋体"/>
          <w:color w:val="auto"/>
          <w:sz w:val="24"/>
        </w:rPr>
        <w:t xml:space="preserve"> </w:t>
      </w:r>
    </w:p>
    <w:p w14:paraId="1A11D2F8">
      <w:pPr>
        <w:spacing w:line="440" w:lineRule="exact"/>
        <w:contextualSpacing/>
        <w:jc w:val="center"/>
        <w:rPr>
          <w:rFonts w:ascii="宋体" w:hAnsi="宋体"/>
          <w:color w:val="auto"/>
          <w:sz w:val="24"/>
        </w:rPr>
      </w:pPr>
      <w:r>
        <w:rPr>
          <w:rFonts w:hint="eastAsia" w:ascii="宋体" w:hAnsi="宋体"/>
          <w:color w:val="auto"/>
          <w:sz w:val="24"/>
        </w:rPr>
        <w:t xml:space="preserve">                                                投标人名称（电子签章）：</w:t>
      </w:r>
    </w:p>
    <w:p w14:paraId="38D73B21">
      <w:pPr>
        <w:spacing w:line="440" w:lineRule="exact"/>
        <w:contextualSpacing/>
        <w:jc w:val="center"/>
        <w:rPr>
          <w:rFonts w:ascii="宋体" w:hAnsi="宋体"/>
          <w:color w:val="auto"/>
          <w:sz w:val="24"/>
        </w:rPr>
      </w:pPr>
      <w:r>
        <w:rPr>
          <w:rFonts w:hint="eastAsia" w:ascii="宋体" w:hAnsi="宋体"/>
          <w:color w:val="auto"/>
          <w:sz w:val="24"/>
        </w:rPr>
        <w:t xml:space="preserve">                                              年    月    日</w:t>
      </w:r>
    </w:p>
    <w:p w14:paraId="340432F6">
      <w:pPr>
        <w:spacing w:line="440" w:lineRule="exact"/>
        <w:contextualSpacing/>
        <w:rPr>
          <w:rFonts w:ascii="宋体" w:hAnsi="宋体" w:cs="仿宋_GB2312"/>
          <w:color w:val="auto"/>
          <w:sz w:val="24"/>
        </w:rPr>
      </w:pPr>
      <w:r>
        <w:rPr>
          <w:rFonts w:hint="eastAsia" w:ascii="宋体" w:hAnsi="宋体" w:cs="仿宋_GB2312"/>
          <w:color w:val="auto"/>
          <w:sz w:val="24"/>
        </w:rPr>
        <w:t>注：1.</w:t>
      </w:r>
      <w:bookmarkStart w:id="140" w:name="_Hlk65851555"/>
      <w:bookmarkStart w:id="141" w:name="_Hlk65851620"/>
      <w:r>
        <w:rPr>
          <w:rFonts w:hint="eastAsia" w:ascii="宋体" w:hAnsi="宋体" w:cs="仿宋_GB2312"/>
          <w:color w:val="auto"/>
          <w:sz w:val="24"/>
        </w:rPr>
        <w:t>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w:t>
      </w:r>
      <w:bookmarkEnd w:id="140"/>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bookmarkEnd w:id="141"/>
    </w:p>
    <w:p w14:paraId="2023D645">
      <w:pPr>
        <w:spacing w:line="440" w:lineRule="exact"/>
        <w:ind w:firstLine="480" w:firstLineChars="200"/>
        <w:contextualSpacing/>
        <w:jc w:val="left"/>
        <w:rPr>
          <w:rFonts w:ascii="宋体" w:hAnsi="宋体"/>
          <w:color w:val="auto"/>
          <w:sz w:val="24"/>
        </w:rPr>
      </w:pPr>
      <w:r>
        <w:rPr>
          <w:rFonts w:hint="eastAsia" w:ascii="宋体" w:hAnsi="宋体" w:cs="仿宋_GB2312"/>
          <w:color w:val="auto"/>
          <w:sz w:val="24"/>
        </w:rPr>
        <w:t>2.法人、其他组织投标时“我方”是指“我单位”，自然人投标时“我方”是指“本人”。</w:t>
      </w:r>
    </w:p>
    <w:p w14:paraId="681E973D">
      <w:pPr>
        <w:rPr>
          <w:rFonts w:ascii="宋体" w:hAnsi="宋体"/>
          <w:color w:val="auto"/>
          <w:sz w:val="24"/>
        </w:rPr>
      </w:pPr>
      <w:r>
        <w:rPr>
          <w:rFonts w:ascii="宋体" w:hAnsi="宋体"/>
          <w:color w:val="auto"/>
          <w:sz w:val="24"/>
        </w:rPr>
        <w:br w:type="page"/>
      </w:r>
    </w:p>
    <w:p w14:paraId="789CE955">
      <w:pPr>
        <w:rPr>
          <w:rFonts w:ascii="宋体" w:hAnsi="宋体"/>
          <w:b/>
          <w:color w:val="auto"/>
          <w:sz w:val="24"/>
          <w:szCs w:val="20"/>
        </w:rPr>
      </w:pPr>
      <w:r>
        <w:rPr>
          <w:rFonts w:hint="eastAsia" w:ascii="宋体" w:hAnsi="宋体"/>
          <w:b/>
          <w:color w:val="auto"/>
          <w:sz w:val="24"/>
        </w:rPr>
        <w:t>6.商务要求偏离表格式</w:t>
      </w:r>
    </w:p>
    <w:p w14:paraId="36B04A7B">
      <w:pPr>
        <w:snapToGrid w:val="0"/>
        <w:spacing w:before="50"/>
        <w:jc w:val="left"/>
        <w:rPr>
          <w:rFonts w:ascii="宋体" w:hAnsi="宋体"/>
          <w:color w:val="auto"/>
          <w:sz w:val="24"/>
        </w:rPr>
      </w:pPr>
    </w:p>
    <w:p w14:paraId="24261A0A">
      <w:pPr>
        <w:pStyle w:val="22"/>
        <w:rPr>
          <w:rFonts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p w14:paraId="64C1C4CD">
      <w:pPr>
        <w:snapToGrid w:val="0"/>
        <w:spacing w:before="50"/>
        <w:jc w:val="left"/>
        <w:rPr>
          <w:rFonts w:ascii="宋体" w:hAnsi="宋体"/>
          <w:color w:val="auto"/>
          <w:sz w:val="24"/>
          <w:u w:val="single"/>
        </w:rPr>
      </w:pPr>
    </w:p>
    <w:tbl>
      <w:tblPr>
        <w:tblStyle w:val="43"/>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FE2E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8A7DE23">
            <w:pPr>
              <w:snapToGrid w:val="0"/>
              <w:spacing w:before="120" w:beforeLines="50"/>
              <w:jc w:val="center"/>
              <w:rPr>
                <w:rFonts w:ascii="宋体" w:hAnsi="宋体"/>
                <w:color w:val="auto"/>
                <w:sz w:val="24"/>
              </w:rPr>
            </w:pPr>
            <w:r>
              <w:rPr>
                <w:rFonts w:hint="eastAsia" w:ascii="宋体" w:hAnsi="宋体"/>
                <w:color w:val="auto"/>
                <w:sz w:val="24"/>
              </w:rPr>
              <w:t>项目</w:t>
            </w:r>
          </w:p>
        </w:tc>
        <w:tc>
          <w:tcPr>
            <w:tcW w:w="3336" w:type="dxa"/>
            <w:tcBorders>
              <w:top w:val="single" w:color="auto" w:sz="4" w:space="0"/>
              <w:left w:val="single" w:color="auto" w:sz="4" w:space="0"/>
              <w:bottom w:val="single" w:color="auto" w:sz="4" w:space="0"/>
              <w:right w:val="single" w:color="auto" w:sz="4" w:space="0"/>
            </w:tcBorders>
          </w:tcPr>
          <w:p w14:paraId="5B01D39B">
            <w:pPr>
              <w:snapToGrid w:val="0"/>
              <w:spacing w:before="120" w:beforeLines="50"/>
              <w:jc w:val="center"/>
              <w:rPr>
                <w:rFonts w:ascii="宋体" w:hAnsi="宋体"/>
                <w:color w:val="auto"/>
                <w:sz w:val="24"/>
              </w:rPr>
            </w:pPr>
            <w:r>
              <w:rPr>
                <w:rFonts w:hint="eastAsia" w:ascii="宋体" w:hAnsi="宋体"/>
                <w:color w:val="auto"/>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01FDAEA">
            <w:pPr>
              <w:snapToGrid w:val="0"/>
              <w:spacing w:before="120" w:beforeLines="50"/>
              <w:jc w:val="center"/>
              <w:rPr>
                <w:rFonts w:ascii="宋体" w:hAnsi="宋体"/>
                <w:color w:val="auto"/>
                <w:sz w:val="24"/>
              </w:rPr>
            </w:pPr>
            <w:r>
              <w:rPr>
                <w:rFonts w:hint="eastAsia" w:ascii="宋体" w:hAnsi="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111E3BA5">
            <w:pPr>
              <w:snapToGrid w:val="0"/>
              <w:spacing w:before="120" w:beforeLines="50"/>
              <w:jc w:val="center"/>
              <w:rPr>
                <w:rFonts w:ascii="宋体" w:hAnsi="宋体"/>
                <w:color w:val="auto"/>
                <w:sz w:val="24"/>
              </w:rPr>
            </w:pPr>
            <w:r>
              <w:rPr>
                <w:rFonts w:hint="eastAsia" w:ascii="宋体" w:hAnsi="宋体"/>
                <w:color w:val="auto"/>
                <w:sz w:val="24"/>
              </w:rPr>
              <w:t>偏离说明</w:t>
            </w:r>
          </w:p>
        </w:tc>
      </w:tr>
      <w:tr w14:paraId="630E2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4FBE290E">
            <w:pPr>
              <w:jc w:val="center"/>
              <w:rPr>
                <w:rFonts w:ascii="宋体" w:hAnsi="宋体"/>
                <w:color w:val="auto"/>
                <w:sz w:val="24"/>
              </w:rPr>
            </w:pPr>
          </w:p>
        </w:tc>
        <w:tc>
          <w:tcPr>
            <w:tcW w:w="3336" w:type="dxa"/>
            <w:tcBorders>
              <w:top w:val="single" w:color="auto" w:sz="4" w:space="0"/>
              <w:left w:val="single" w:color="auto" w:sz="4" w:space="0"/>
              <w:bottom w:val="single" w:color="auto" w:sz="4" w:space="0"/>
              <w:right w:val="single" w:color="auto" w:sz="4" w:space="0"/>
            </w:tcBorders>
            <w:vAlign w:val="center"/>
          </w:tcPr>
          <w:p w14:paraId="4D39EAF5">
            <w:pPr>
              <w:jc w:val="left"/>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41F78FEC">
            <w:pPr>
              <w:snapToGrid w:val="0"/>
              <w:spacing w:before="120" w:beforeLines="50"/>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51591F2F">
            <w:pPr>
              <w:snapToGrid w:val="0"/>
              <w:spacing w:before="120" w:beforeLines="50"/>
              <w:jc w:val="center"/>
              <w:rPr>
                <w:rFonts w:ascii="宋体" w:hAnsi="宋体"/>
                <w:color w:val="auto"/>
                <w:sz w:val="24"/>
              </w:rPr>
            </w:pPr>
          </w:p>
        </w:tc>
      </w:tr>
      <w:tr w14:paraId="3E2C8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3223A1EA">
            <w:pPr>
              <w:jc w:val="center"/>
              <w:rPr>
                <w:rFonts w:ascii="宋体" w:hAnsi="宋体"/>
                <w:color w:val="auto"/>
                <w:sz w:val="24"/>
              </w:rPr>
            </w:pPr>
          </w:p>
        </w:tc>
        <w:tc>
          <w:tcPr>
            <w:tcW w:w="3336" w:type="dxa"/>
            <w:tcBorders>
              <w:top w:val="single" w:color="auto" w:sz="4" w:space="0"/>
              <w:left w:val="single" w:color="auto" w:sz="4" w:space="0"/>
              <w:bottom w:val="single" w:color="auto" w:sz="4" w:space="0"/>
              <w:right w:val="single" w:color="auto" w:sz="4" w:space="0"/>
            </w:tcBorders>
            <w:vAlign w:val="center"/>
          </w:tcPr>
          <w:p w14:paraId="1C0749A7">
            <w:pPr>
              <w:jc w:val="left"/>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5EA1559F">
            <w:pPr>
              <w:snapToGrid w:val="0"/>
              <w:spacing w:before="120" w:beforeLines="50"/>
              <w:ind w:left="43"/>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6E5E9950">
            <w:pPr>
              <w:snapToGrid w:val="0"/>
              <w:spacing w:before="120" w:beforeLines="50"/>
              <w:ind w:left="43"/>
              <w:jc w:val="center"/>
              <w:rPr>
                <w:rFonts w:ascii="宋体" w:hAnsi="宋体"/>
                <w:color w:val="auto"/>
                <w:sz w:val="24"/>
              </w:rPr>
            </w:pPr>
          </w:p>
        </w:tc>
      </w:tr>
      <w:tr w14:paraId="5C292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4D955C3A">
            <w:pPr>
              <w:snapToGrid w:val="0"/>
              <w:spacing w:before="120" w:beforeLines="50"/>
              <w:jc w:val="center"/>
              <w:rPr>
                <w:rFonts w:ascii="宋体" w:hAnsi="宋体"/>
                <w:color w:val="auto"/>
                <w:sz w:val="24"/>
              </w:rPr>
            </w:pPr>
            <w:r>
              <w:rPr>
                <w:rFonts w:hint="eastAsia" w:ascii="宋体" w:hAnsi="宋体"/>
                <w:color w:val="auto"/>
                <w:sz w:val="24"/>
              </w:rPr>
              <w:t>…</w:t>
            </w:r>
          </w:p>
        </w:tc>
        <w:tc>
          <w:tcPr>
            <w:tcW w:w="3336" w:type="dxa"/>
            <w:tcBorders>
              <w:top w:val="single" w:color="auto" w:sz="4" w:space="0"/>
              <w:left w:val="single" w:color="auto" w:sz="4" w:space="0"/>
              <w:bottom w:val="single" w:color="auto" w:sz="4" w:space="0"/>
              <w:right w:val="single" w:color="auto" w:sz="4" w:space="0"/>
            </w:tcBorders>
          </w:tcPr>
          <w:p w14:paraId="76000179">
            <w:pPr>
              <w:snapToGrid w:val="0"/>
              <w:spacing w:before="120" w:beforeLines="50"/>
              <w:jc w:val="center"/>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79456814">
            <w:pPr>
              <w:snapToGrid w:val="0"/>
              <w:spacing w:before="120" w:beforeLines="50"/>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76B6C178">
            <w:pPr>
              <w:snapToGrid w:val="0"/>
              <w:spacing w:before="120" w:beforeLines="50"/>
              <w:jc w:val="center"/>
              <w:rPr>
                <w:rFonts w:ascii="宋体" w:hAnsi="宋体"/>
                <w:color w:val="auto"/>
                <w:sz w:val="24"/>
              </w:rPr>
            </w:pPr>
          </w:p>
        </w:tc>
      </w:tr>
    </w:tbl>
    <w:p w14:paraId="31248AC9">
      <w:pPr>
        <w:pStyle w:val="15"/>
        <w:rPr>
          <w:rFonts w:ascii="宋体" w:hAnsi="宋体"/>
          <w:color w:val="auto"/>
        </w:rPr>
      </w:pPr>
      <w:r>
        <w:rPr>
          <w:rFonts w:hint="eastAsia" w:ascii="宋体" w:hAnsi="宋体"/>
          <w:color w:val="auto"/>
        </w:rPr>
        <w:t>注：</w:t>
      </w:r>
    </w:p>
    <w:p w14:paraId="61ED1A7B">
      <w:pPr>
        <w:pStyle w:val="17"/>
        <w:spacing w:line="520" w:lineRule="exact"/>
        <w:ind w:firstLine="0" w:firstLineChars="0"/>
        <w:rPr>
          <w:rFonts w:hAnsi="仿宋_GB2312" w:cs="仿宋_GB2312"/>
          <w:color w:val="auto"/>
          <w:szCs w:val="32"/>
        </w:rPr>
      </w:pPr>
      <w:r>
        <w:rPr>
          <w:rFonts w:hint="eastAsia" w:ascii="宋体" w:hAnsi="宋体" w:eastAsia="宋体"/>
          <w:color w:val="auto"/>
          <w:sz w:val="24"/>
          <w:szCs w:val="24"/>
        </w:rPr>
        <w:t>1. 说明：应对照招标文件“第二章 采购需求”中的商务要求逐条作明确的投标响应，并作出偏离说明。</w:t>
      </w:r>
    </w:p>
    <w:p w14:paraId="601DDC3D">
      <w:pPr>
        <w:pStyle w:val="15"/>
        <w:rPr>
          <w:rFonts w:ascii="宋体" w:hAnsi="宋体"/>
          <w:b w:val="0"/>
          <w:bCs w:val="0"/>
          <w:color w:val="auto"/>
        </w:rPr>
      </w:pPr>
      <w:r>
        <w:rPr>
          <w:rFonts w:ascii="宋体" w:hAnsi="宋体"/>
          <w:b w:val="0"/>
          <w:bCs w:val="0"/>
          <w:color w:val="auto"/>
        </w:rPr>
        <w:t>2.</w:t>
      </w:r>
      <w:r>
        <w:rPr>
          <w:rFonts w:hint="eastAsia" w:ascii="宋体" w:hAnsi="宋体"/>
          <w:b w:val="0"/>
          <w:bCs w:val="0"/>
          <w:color w:val="auto"/>
        </w:rPr>
        <w:t>投标人应根据自身的承诺，对照招标文件要求在“偏离说明”中注明“</w:t>
      </w:r>
      <w:r>
        <w:rPr>
          <w:rFonts w:hint="eastAsia" w:ascii="宋体" w:hAnsi="宋体"/>
          <w:color w:val="auto"/>
        </w:rPr>
        <w:t>正偏离</w:t>
      </w:r>
      <w:r>
        <w:rPr>
          <w:rFonts w:hint="eastAsia" w:ascii="宋体" w:hAnsi="宋体"/>
          <w:b w:val="0"/>
          <w:bCs w:val="0"/>
          <w:color w:val="auto"/>
        </w:rPr>
        <w:t>”“</w:t>
      </w:r>
      <w:r>
        <w:rPr>
          <w:rFonts w:hint="eastAsia" w:ascii="宋体" w:hAnsi="宋体"/>
          <w:color w:val="auto"/>
        </w:rPr>
        <w:t>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7496FE27">
      <w:pPr>
        <w:snapToGrid w:val="0"/>
        <w:spacing w:before="50" w:after="50"/>
        <w:rPr>
          <w:rFonts w:ascii="宋体" w:hAnsi="宋体"/>
          <w:color w:val="auto"/>
          <w:sz w:val="24"/>
        </w:rPr>
      </w:pPr>
    </w:p>
    <w:p w14:paraId="5FA110E2">
      <w:pPr>
        <w:snapToGrid w:val="0"/>
        <w:spacing w:before="50" w:after="50"/>
        <w:rPr>
          <w:rFonts w:ascii="宋体" w:hAnsi="宋体"/>
          <w:color w:val="auto"/>
          <w:sz w:val="24"/>
        </w:rPr>
      </w:pPr>
    </w:p>
    <w:p w14:paraId="41118B8A">
      <w:pPr>
        <w:snapToGrid w:val="0"/>
        <w:spacing w:before="50" w:after="50"/>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5922F404">
      <w:pPr>
        <w:snapToGrid w:val="0"/>
        <w:spacing w:before="120" w:beforeLines="50"/>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2CF810DA">
      <w:pPr>
        <w:snapToGrid w:val="0"/>
        <w:spacing w:before="120" w:beforeLines="50"/>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43AB350A">
      <w:pPr>
        <w:snapToGrid w:val="0"/>
        <w:spacing w:before="120" w:beforeLines="50"/>
        <w:rPr>
          <w:rFonts w:ascii="宋体" w:hAnsi="宋体"/>
          <w:color w:val="auto"/>
          <w:sz w:val="24"/>
          <w:szCs w:val="20"/>
        </w:rPr>
      </w:pPr>
    </w:p>
    <w:p w14:paraId="1A1EA32B">
      <w:pPr>
        <w:snapToGrid w:val="0"/>
        <w:spacing w:before="120" w:beforeLines="50" w:after="50"/>
        <w:jc w:val="left"/>
        <w:rPr>
          <w:rFonts w:ascii="宋体" w:hAnsi="宋体"/>
          <w:color w:val="auto"/>
          <w:sz w:val="24"/>
          <w:szCs w:val="20"/>
        </w:rPr>
        <w:sectPr>
          <w:footerReference r:id="rId12" w:type="first"/>
          <w:headerReference r:id="rId9" w:type="default"/>
          <w:footerReference r:id="rId10" w:type="default"/>
          <w:footerReference r:id="rId11" w:type="even"/>
          <w:pgSz w:w="11906" w:h="16838"/>
          <w:pgMar w:top="1440" w:right="1797" w:bottom="1440" w:left="1797" w:header="851" w:footer="992" w:gutter="0"/>
          <w:cols w:space="720" w:num="1"/>
          <w:docGrid w:linePitch="312" w:charSpace="0"/>
        </w:sectPr>
      </w:pPr>
    </w:p>
    <w:p w14:paraId="246656A1">
      <w:pPr>
        <w:snapToGrid w:val="0"/>
        <w:spacing w:before="120" w:beforeLines="50" w:after="50"/>
        <w:jc w:val="left"/>
        <w:rPr>
          <w:rFonts w:ascii="宋体" w:hAnsi="宋体"/>
          <w:b/>
          <w:color w:val="auto"/>
          <w:sz w:val="24"/>
        </w:rPr>
      </w:pPr>
      <w:r>
        <w:rPr>
          <w:rFonts w:hint="eastAsia" w:ascii="宋体" w:hAnsi="宋体"/>
          <w:b/>
          <w:color w:val="auto"/>
          <w:sz w:val="24"/>
        </w:rPr>
        <w:t>7.投标人业绩证明材料</w:t>
      </w:r>
    </w:p>
    <w:p w14:paraId="05162633">
      <w:pPr>
        <w:pStyle w:val="32"/>
        <w:snapToGrid w:val="0"/>
        <w:ind w:left="480" w:hanging="480"/>
        <w:rPr>
          <w:rFonts w:ascii="宋体" w:hAnsi="宋体"/>
          <w:color w:val="auto"/>
          <w:sz w:val="24"/>
        </w:rPr>
      </w:pPr>
    </w:p>
    <w:p w14:paraId="3DC41F7C">
      <w:pPr>
        <w:pStyle w:val="32"/>
        <w:snapToGrid w:val="0"/>
        <w:ind w:left="480" w:hanging="480"/>
        <w:rPr>
          <w:rFonts w:ascii="宋体" w:hAnsi="宋体"/>
          <w:color w:val="auto"/>
          <w:sz w:val="24"/>
        </w:rPr>
      </w:pPr>
      <w:r>
        <w:rPr>
          <w:rFonts w:hint="eastAsia" w:ascii="宋体" w:hAnsi="宋体"/>
          <w:color w:val="auto"/>
          <w:sz w:val="24"/>
        </w:rPr>
        <w:t xml:space="preserve">投标人业绩情况一览表格式： </w:t>
      </w:r>
    </w:p>
    <w:tbl>
      <w:tblPr>
        <w:tblStyle w:val="4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19EDD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7F8B14A">
            <w:pPr>
              <w:snapToGrid w:val="0"/>
              <w:spacing w:line="240" w:lineRule="exact"/>
              <w:jc w:val="center"/>
              <w:rPr>
                <w:rFonts w:ascii="宋体" w:hAnsi="宋体"/>
                <w:color w:val="auto"/>
                <w:sz w:val="24"/>
              </w:rPr>
            </w:pPr>
            <w:r>
              <w:rPr>
                <w:rFonts w:hint="eastAsia" w:ascii="宋体" w:hAnsi="宋体"/>
                <w:color w:val="auto"/>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AB6242D">
            <w:pPr>
              <w:snapToGrid w:val="0"/>
              <w:spacing w:line="240" w:lineRule="exact"/>
              <w:jc w:val="center"/>
              <w:rPr>
                <w:rFonts w:ascii="宋体" w:hAnsi="宋体"/>
                <w:color w:val="auto"/>
                <w:sz w:val="24"/>
              </w:rPr>
            </w:pPr>
            <w:r>
              <w:rPr>
                <w:rFonts w:hint="eastAsia" w:ascii="宋体" w:hAnsi="宋体"/>
                <w:color w:val="auto"/>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8967FFC">
            <w:pPr>
              <w:snapToGrid w:val="0"/>
              <w:spacing w:line="240" w:lineRule="exact"/>
              <w:jc w:val="center"/>
              <w:rPr>
                <w:rFonts w:ascii="宋体" w:hAnsi="宋体"/>
                <w:color w:val="auto"/>
                <w:sz w:val="24"/>
              </w:rPr>
            </w:pPr>
            <w:r>
              <w:rPr>
                <w:rFonts w:hint="eastAsia" w:ascii="宋体" w:hAnsi="宋体"/>
                <w:color w:val="auto"/>
                <w:sz w:val="24"/>
              </w:rPr>
              <w:t>合同金额</w:t>
            </w:r>
          </w:p>
          <w:p w14:paraId="10B88B6A">
            <w:pPr>
              <w:snapToGrid w:val="0"/>
              <w:spacing w:line="240" w:lineRule="exact"/>
              <w:jc w:val="center"/>
              <w:rPr>
                <w:rFonts w:ascii="宋体" w:hAnsi="宋体"/>
                <w:color w:val="auto"/>
                <w:sz w:val="24"/>
              </w:rPr>
            </w:pPr>
            <w:r>
              <w:rPr>
                <w:rFonts w:hint="eastAsia" w:ascii="宋体" w:hAnsi="宋体"/>
                <w:color w:val="auto"/>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12C92313">
            <w:pPr>
              <w:snapToGrid w:val="0"/>
              <w:spacing w:line="240" w:lineRule="exact"/>
              <w:jc w:val="center"/>
              <w:rPr>
                <w:rFonts w:ascii="宋体" w:hAnsi="宋体"/>
                <w:color w:val="auto"/>
                <w:sz w:val="24"/>
              </w:rPr>
            </w:pPr>
            <w:r>
              <w:rPr>
                <w:rFonts w:hint="eastAsia" w:ascii="宋体" w:hAnsi="宋体"/>
                <w:color w:val="auto"/>
                <w:sz w:val="24"/>
              </w:rPr>
              <w:t>采购人联系人及</w:t>
            </w:r>
          </w:p>
          <w:p w14:paraId="495340E8">
            <w:pPr>
              <w:snapToGrid w:val="0"/>
              <w:spacing w:line="240" w:lineRule="exact"/>
              <w:jc w:val="center"/>
              <w:rPr>
                <w:rFonts w:ascii="宋体" w:hAnsi="宋体"/>
                <w:color w:val="auto"/>
                <w:sz w:val="24"/>
              </w:rPr>
            </w:pPr>
            <w:r>
              <w:rPr>
                <w:rFonts w:hint="eastAsia" w:ascii="宋体" w:hAnsi="宋体"/>
                <w:color w:val="auto"/>
                <w:sz w:val="24"/>
              </w:rPr>
              <w:t>联系电话</w:t>
            </w:r>
          </w:p>
        </w:tc>
      </w:tr>
      <w:tr w14:paraId="6B716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543E6AA4">
            <w:pPr>
              <w:jc w:val="left"/>
              <w:rPr>
                <w:rFonts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98DFDCD">
            <w:pPr>
              <w:jc w:val="left"/>
              <w:rPr>
                <w:rFonts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74E94B6">
            <w:pPr>
              <w:jc w:val="left"/>
              <w:rPr>
                <w:rFonts w:ascii="宋体" w:hAnsi="宋体"/>
                <w:color w:val="auto"/>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CABF20A">
            <w:pPr>
              <w:jc w:val="left"/>
              <w:rPr>
                <w:rFonts w:ascii="宋体" w:hAnsi="宋体"/>
                <w:color w:val="auto"/>
                <w:sz w:val="24"/>
              </w:rPr>
            </w:pPr>
          </w:p>
        </w:tc>
      </w:tr>
      <w:tr w14:paraId="0E2DE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78972CD4">
            <w:pPr>
              <w:snapToGrid w:val="0"/>
              <w:spacing w:line="24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5A9FBD52">
            <w:pPr>
              <w:snapToGrid w:val="0"/>
              <w:spacing w:line="24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D2ED9D1">
            <w:pPr>
              <w:snapToGrid w:val="0"/>
              <w:spacing w:line="24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4966F766">
            <w:pPr>
              <w:snapToGrid w:val="0"/>
              <w:spacing w:line="240" w:lineRule="exact"/>
              <w:jc w:val="left"/>
              <w:rPr>
                <w:rFonts w:ascii="宋体" w:hAnsi="宋体"/>
                <w:color w:val="auto"/>
                <w:sz w:val="24"/>
              </w:rPr>
            </w:pPr>
          </w:p>
        </w:tc>
      </w:tr>
      <w:tr w14:paraId="04394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11F266F">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3123614">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CB1A197">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6590EF4D">
            <w:pPr>
              <w:snapToGrid w:val="0"/>
              <w:spacing w:before="50" w:after="120" w:afterLines="50" w:line="400" w:lineRule="exact"/>
              <w:jc w:val="left"/>
              <w:rPr>
                <w:rFonts w:ascii="宋体" w:hAnsi="宋体"/>
                <w:color w:val="auto"/>
                <w:sz w:val="24"/>
              </w:rPr>
            </w:pPr>
          </w:p>
        </w:tc>
      </w:tr>
      <w:tr w14:paraId="0EA1C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24851DE1">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1D80B5E">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838EBB0">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3AB6B746">
            <w:pPr>
              <w:snapToGrid w:val="0"/>
              <w:spacing w:before="50" w:after="120" w:afterLines="50" w:line="400" w:lineRule="exact"/>
              <w:jc w:val="left"/>
              <w:rPr>
                <w:rFonts w:ascii="宋体" w:hAnsi="宋体"/>
                <w:color w:val="auto"/>
                <w:sz w:val="24"/>
              </w:rPr>
            </w:pPr>
          </w:p>
        </w:tc>
      </w:tr>
      <w:tr w14:paraId="643FF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F6E855C">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DFF05CA">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B8E21D3">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56B476D7">
            <w:pPr>
              <w:snapToGrid w:val="0"/>
              <w:spacing w:before="50" w:after="120" w:afterLines="50" w:line="400" w:lineRule="exact"/>
              <w:jc w:val="left"/>
              <w:rPr>
                <w:rFonts w:ascii="宋体" w:hAnsi="宋体"/>
                <w:color w:val="auto"/>
                <w:sz w:val="24"/>
              </w:rPr>
            </w:pPr>
          </w:p>
        </w:tc>
      </w:tr>
      <w:tr w14:paraId="5CD74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43844D7">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DB59AB5">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AFD1135">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1989F70C">
            <w:pPr>
              <w:snapToGrid w:val="0"/>
              <w:spacing w:before="50" w:after="120" w:afterLines="50" w:line="400" w:lineRule="exact"/>
              <w:jc w:val="left"/>
              <w:rPr>
                <w:rFonts w:ascii="宋体" w:hAnsi="宋体"/>
                <w:color w:val="auto"/>
                <w:sz w:val="24"/>
              </w:rPr>
            </w:pPr>
          </w:p>
        </w:tc>
      </w:tr>
    </w:tbl>
    <w:p w14:paraId="4960453F">
      <w:pPr>
        <w:pStyle w:val="13"/>
        <w:spacing w:before="0" w:after="0" w:line="360" w:lineRule="auto"/>
        <w:contextualSpacing/>
        <w:rPr>
          <w:rFonts w:ascii="宋体" w:hAnsi="宋体" w:eastAsia="宋体"/>
          <w:color w:val="auto"/>
          <w:sz w:val="24"/>
          <w:szCs w:val="24"/>
        </w:rPr>
      </w:pPr>
    </w:p>
    <w:p w14:paraId="0D4D713C">
      <w:pPr>
        <w:pStyle w:val="13"/>
        <w:spacing w:before="0" w:after="0" w:line="360" w:lineRule="auto"/>
        <w:contextualSpacing/>
        <w:rPr>
          <w:rFonts w:ascii="宋体" w:hAnsi="宋体" w:eastAsia="宋体"/>
          <w:color w:val="auto"/>
          <w:sz w:val="24"/>
          <w:szCs w:val="24"/>
        </w:rPr>
      </w:pPr>
      <w:r>
        <w:rPr>
          <w:rFonts w:hint="eastAsia" w:ascii="宋体" w:hAnsi="宋体" w:eastAsia="宋体"/>
          <w:color w:val="auto"/>
          <w:sz w:val="24"/>
          <w:szCs w:val="24"/>
        </w:rPr>
        <w:t>注：</w:t>
      </w:r>
      <w:r>
        <w:rPr>
          <w:rFonts w:hint="eastAsia" w:ascii="宋体" w:hAnsi="宋体"/>
          <w:color w:val="auto"/>
          <w:sz w:val="24"/>
        </w:rPr>
        <w:t>投标人根据评标标准具体要求附业绩证明材料。</w:t>
      </w:r>
    </w:p>
    <w:p w14:paraId="6EFDBB20">
      <w:pPr>
        <w:pStyle w:val="13"/>
        <w:spacing w:before="0" w:after="0" w:line="360" w:lineRule="auto"/>
        <w:contextualSpacing/>
        <w:jc w:val="left"/>
        <w:rPr>
          <w:rFonts w:ascii="宋体" w:hAnsi="宋体" w:eastAsia="宋体"/>
          <w:color w:val="auto"/>
          <w:sz w:val="24"/>
          <w:szCs w:val="24"/>
          <w:u w:val="single"/>
        </w:rPr>
      </w:pPr>
      <w:r>
        <w:rPr>
          <w:rFonts w:hint="eastAsia" w:ascii="宋体" w:hAnsi="宋体" w:eastAsia="宋体"/>
          <w:color w:val="auto"/>
          <w:sz w:val="24"/>
          <w:szCs w:val="24"/>
        </w:rPr>
        <w:t>法定代表人或者委托代理人（签字或者电子签名）：</w:t>
      </w:r>
      <w:r>
        <w:rPr>
          <w:rFonts w:hint="eastAsia" w:ascii="宋体" w:hAnsi="宋体" w:eastAsia="宋体"/>
          <w:color w:val="auto"/>
          <w:sz w:val="24"/>
          <w:szCs w:val="24"/>
          <w:u w:val="single"/>
        </w:rPr>
        <w:t>　　　　　</w:t>
      </w:r>
    </w:p>
    <w:p w14:paraId="17009A89">
      <w:pPr>
        <w:spacing w:line="360" w:lineRule="auto"/>
        <w:ind w:right="480"/>
        <w:contextualSpacing/>
        <w:jc w:val="left"/>
        <w:rPr>
          <w:rFonts w:ascii="宋体" w:hAnsi="宋体"/>
          <w:color w:val="auto"/>
          <w:sz w:val="24"/>
          <w:szCs w:val="20"/>
        </w:rPr>
      </w:pPr>
      <w:r>
        <w:rPr>
          <w:rFonts w:hint="eastAsia" w:ascii="宋体" w:hAnsi="宋体" w:cs="Arial"/>
          <w:color w:val="auto"/>
          <w:sz w:val="24"/>
        </w:rPr>
        <w:t xml:space="preserve">投标人名称（电子签章）： </w:t>
      </w:r>
      <w:r>
        <w:rPr>
          <w:rFonts w:hint="eastAsia" w:ascii="宋体" w:hAnsi="宋体"/>
          <w:color w:val="auto"/>
          <w:sz w:val="24"/>
          <w:u w:val="single"/>
        </w:rPr>
        <w:t xml:space="preserve">                </w:t>
      </w:r>
      <w:r>
        <w:rPr>
          <w:rFonts w:hint="eastAsia" w:ascii="宋体" w:hAnsi="宋体"/>
          <w:color w:val="auto"/>
          <w:sz w:val="24"/>
        </w:rPr>
        <w:t xml:space="preserve">                                                               年    月    日</w:t>
      </w:r>
    </w:p>
    <w:p w14:paraId="0D35406E">
      <w:pPr>
        <w:snapToGrid w:val="0"/>
        <w:spacing w:before="120" w:beforeLines="50" w:after="50"/>
        <w:jc w:val="left"/>
        <w:rPr>
          <w:rFonts w:ascii="微软雅黑" w:hAnsi="微软雅黑" w:eastAsia="微软雅黑" w:cs="微软雅黑"/>
          <w:bCs/>
          <w:color w:val="auto"/>
          <w:szCs w:val="21"/>
        </w:rPr>
      </w:pPr>
      <w:r>
        <w:rPr>
          <w:rFonts w:ascii="宋体" w:hAnsi="宋体"/>
          <w:color w:val="auto"/>
          <w:sz w:val="24"/>
        </w:rPr>
        <w:br w:type="page"/>
      </w:r>
      <w:r>
        <w:rPr>
          <w:rFonts w:hint="eastAsia" w:ascii="宋体" w:hAnsi="宋体"/>
          <w:color w:val="auto"/>
          <w:sz w:val="24"/>
        </w:rPr>
        <w:t>8.</w:t>
      </w:r>
      <w:r>
        <w:rPr>
          <w:rFonts w:hint="eastAsia" w:ascii="微软雅黑" w:hAnsi="微软雅黑" w:eastAsia="微软雅黑" w:cs="微软雅黑"/>
          <w:bCs/>
          <w:color w:val="auto"/>
          <w:szCs w:val="21"/>
        </w:rPr>
        <w:t xml:space="preserve"> 代理服务费承诺书</w:t>
      </w:r>
    </w:p>
    <w:p w14:paraId="4EF57A73">
      <w:pPr>
        <w:snapToGrid w:val="0"/>
        <w:spacing w:before="120" w:beforeLines="50" w:after="50"/>
        <w:jc w:val="left"/>
        <w:rPr>
          <w:rFonts w:ascii="微软雅黑" w:hAnsi="微软雅黑" w:eastAsia="微软雅黑" w:cs="微软雅黑"/>
          <w:bCs/>
          <w:color w:val="auto"/>
          <w:szCs w:val="21"/>
        </w:rPr>
      </w:pPr>
    </w:p>
    <w:p w14:paraId="3A677A59">
      <w:pPr>
        <w:snapToGrid w:val="0"/>
        <w:spacing w:before="120" w:beforeLines="50" w:after="50"/>
        <w:jc w:val="center"/>
        <w:rPr>
          <w:rFonts w:ascii="微软雅黑" w:hAnsi="微软雅黑" w:eastAsia="微软雅黑" w:cs="微软雅黑"/>
          <w:bCs/>
          <w:color w:val="auto"/>
          <w:sz w:val="44"/>
          <w:szCs w:val="44"/>
        </w:rPr>
      </w:pPr>
      <w:r>
        <w:rPr>
          <w:rFonts w:hint="eastAsia" w:ascii="微软雅黑" w:hAnsi="微软雅黑" w:eastAsia="微软雅黑" w:cs="微软雅黑"/>
          <w:bCs/>
          <w:color w:val="auto"/>
          <w:sz w:val="44"/>
          <w:szCs w:val="44"/>
        </w:rPr>
        <w:t>代理服务费承诺书</w:t>
      </w:r>
    </w:p>
    <w:p w14:paraId="2ECD89BD">
      <w:pPr>
        <w:snapToGrid w:val="0"/>
        <w:spacing w:before="120" w:beforeLines="50" w:after="50"/>
        <w:jc w:val="center"/>
        <w:rPr>
          <w:rFonts w:ascii="宋体" w:hAnsi="宋体"/>
          <w:b/>
          <w:color w:val="auto"/>
          <w:sz w:val="24"/>
        </w:rPr>
      </w:pPr>
    </w:p>
    <w:p w14:paraId="1E29F699">
      <w:pPr>
        <w:spacing w:line="360" w:lineRule="auto"/>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代理机构名称</w:t>
      </w:r>
      <w:r>
        <w:rPr>
          <w:rFonts w:hint="eastAsia" w:ascii="宋体" w:hAnsi="宋体"/>
          <w:color w:val="auto"/>
          <w:sz w:val="24"/>
        </w:rPr>
        <w:t>：</w:t>
      </w:r>
    </w:p>
    <w:p w14:paraId="4AE60461">
      <w:pPr>
        <w:spacing w:line="360" w:lineRule="auto"/>
        <w:ind w:firstLine="480" w:firstLineChars="200"/>
        <w:rPr>
          <w:rFonts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7542CAF0">
      <w:pPr>
        <w:spacing w:line="360" w:lineRule="auto"/>
        <w:ind w:firstLine="360" w:firstLineChars="150"/>
        <w:rPr>
          <w:rFonts w:ascii="宋体" w:hAnsi="宋体"/>
          <w:color w:val="auto"/>
          <w:sz w:val="24"/>
        </w:rPr>
      </w:pPr>
      <w:r>
        <w:rPr>
          <w:rFonts w:hint="eastAsia" w:ascii="宋体" w:hAnsi="宋体"/>
          <w:color w:val="auto"/>
          <w:sz w:val="24"/>
        </w:rPr>
        <w:t>1.我方承诺，若本单位中标，保证在发出中标通知书之后，按本项目招标文件的规定标准向贵单位一次性足额支付代理服务费，在领取中标通知书后，由于被质疑、投诉或者其他原因而导致中标结果改变，我方将放弃对已缴纳的代理服务费追还的一切权利。</w:t>
      </w:r>
    </w:p>
    <w:p w14:paraId="1E7040E4">
      <w:pPr>
        <w:spacing w:line="360" w:lineRule="auto"/>
        <w:ind w:firstLine="360" w:firstLineChars="150"/>
        <w:rPr>
          <w:rFonts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53762D4A">
      <w:pPr>
        <w:spacing w:line="360" w:lineRule="auto"/>
        <w:ind w:firstLine="360" w:firstLineChars="150"/>
        <w:rPr>
          <w:rFonts w:ascii="宋体" w:hAnsi="宋体"/>
          <w:color w:val="auto"/>
          <w:sz w:val="24"/>
        </w:rPr>
      </w:pPr>
      <w:r>
        <w:rPr>
          <w:rFonts w:hint="eastAsia" w:ascii="宋体" w:hAnsi="宋体"/>
          <w:color w:val="auto"/>
          <w:sz w:val="24"/>
        </w:rPr>
        <w:t>第一种方式：开具增值税普通发票。开票信息如下：</w:t>
      </w:r>
    </w:p>
    <w:p w14:paraId="77B44E24">
      <w:pPr>
        <w:spacing w:line="360" w:lineRule="auto"/>
        <w:ind w:firstLine="360" w:firstLineChars="15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5B26A83F">
      <w:pPr>
        <w:spacing w:line="360" w:lineRule="auto"/>
        <w:ind w:firstLine="360" w:firstLineChars="15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75116BC0">
      <w:pPr>
        <w:spacing w:line="360" w:lineRule="auto"/>
        <w:ind w:firstLine="360" w:firstLineChars="150"/>
        <w:rPr>
          <w:rFonts w:ascii="宋体" w:hAnsi="宋体"/>
          <w:color w:val="auto"/>
          <w:sz w:val="24"/>
        </w:rPr>
      </w:pPr>
      <w:r>
        <w:rPr>
          <w:rFonts w:hint="eastAsia" w:ascii="宋体" w:hAnsi="宋体"/>
          <w:color w:val="auto"/>
          <w:sz w:val="24"/>
        </w:rPr>
        <w:t>第二种方式：开具增值税专用发票，开票信息如下：</w:t>
      </w:r>
    </w:p>
    <w:p w14:paraId="385F900C">
      <w:pPr>
        <w:spacing w:line="360" w:lineRule="auto"/>
        <w:ind w:firstLine="360" w:firstLineChars="15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4525FA65">
      <w:pPr>
        <w:spacing w:line="360" w:lineRule="auto"/>
        <w:ind w:firstLine="360" w:firstLineChars="15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5D03CCF5">
      <w:pPr>
        <w:spacing w:line="360" w:lineRule="auto"/>
        <w:ind w:firstLine="360" w:firstLineChars="150"/>
        <w:rPr>
          <w:rFonts w:ascii="宋体" w:hAnsi="宋体"/>
          <w:color w:val="auto"/>
          <w:sz w:val="24"/>
        </w:rPr>
      </w:pPr>
      <w:r>
        <w:rPr>
          <w:rFonts w:hint="eastAsia" w:ascii="宋体" w:hAnsi="宋体"/>
          <w:color w:val="auto"/>
          <w:sz w:val="24"/>
        </w:rPr>
        <w:t>（3）在税务局登记的地址</w:t>
      </w:r>
      <w:r>
        <w:rPr>
          <w:rFonts w:hint="eastAsia" w:ascii="宋体" w:hAnsi="宋体"/>
          <w:color w:val="auto"/>
          <w:sz w:val="24"/>
          <w:u w:val="single"/>
        </w:rPr>
        <w:t xml:space="preserve">_                 </w:t>
      </w:r>
      <w:r>
        <w:rPr>
          <w:rFonts w:hint="eastAsia" w:ascii="宋体" w:hAnsi="宋体"/>
          <w:color w:val="auto"/>
          <w:sz w:val="24"/>
        </w:rPr>
        <w:t>；</w:t>
      </w:r>
    </w:p>
    <w:p w14:paraId="75DAABCA">
      <w:pPr>
        <w:spacing w:line="360" w:lineRule="auto"/>
        <w:ind w:firstLine="360" w:firstLineChars="150"/>
        <w:rPr>
          <w:rFonts w:ascii="宋体" w:hAnsi="宋体"/>
          <w:color w:val="auto"/>
          <w:sz w:val="24"/>
        </w:rPr>
      </w:pPr>
      <w:r>
        <w:rPr>
          <w:rFonts w:hint="eastAsia" w:ascii="宋体" w:hAnsi="宋体"/>
          <w:color w:val="auto"/>
          <w:sz w:val="24"/>
        </w:rPr>
        <w:t>（4）在税务局登记的电话</w:t>
      </w:r>
      <w:r>
        <w:rPr>
          <w:rFonts w:hint="eastAsia" w:ascii="宋体" w:hAnsi="宋体"/>
          <w:color w:val="auto"/>
          <w:sz w:val="24"/>
          <w:u w:val="single"/>
        </w:rPr>
        <w:t xml:space="preserve">_                 </w:t>
      </w:r>
      <w:r>
        <w:rPr>
          <w:rFonts w:hint="eastAsia" w:ascii="宋体" w:hAnsi="宋体"/>
          <w:color w:val="auto"/>
          <w:sz w:val="24"/>
        </w:rPr>
        <w:t>；</w:t>
      </w:r>
    </w:p>
    <w:p w14:paraId="60FD6DF3">
      <w:pPr>
        <w:spacing w:line="360" w:lineRule="auto"/>
        <w:ind w:firstLine="360" w:firstLineChars="150"/>
        <w:rPr>
          <w:rFonts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_                           </w:t>
      </w:r>
      <w:r>
        <w:rPr>
          <w:rFonts w:hint="eastAsia" w:ascii="宋体" w:hAnsi="宋体"/>
          <w:color w:val="auto"/>
          <w:sz w:val="24"/>
        </w:rPr>
        <w:t>；</w:t>
      </w:r>
    </w:p>
    <w:p w14:paraId="756FEFFF">
      <w:pPr>
        <w:spacing w:line="360" w:lineRule="auto"/>
        <w:ind w:firstLine="360" w:firstLineChars="150"/>
        <w:rPr>
          <w:rFonts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_                           </w:t>
      </w:r>
      <w:r>
        <w:rPr>
          <w:rFonts w:hint="eastAsia" w:ascii="宋体" w:hAnsi="宋体"/>
          <w:color w:val="auto"/>
          <w:sz w:val="24"/>
        </w:rPr>
        <w:t>。</w:t>
      </w:r>
    </w:p>
    <w:p w14:paraId="6256F8FA">
      <w:pPr>
        <w:spacing w:line="440" w:lineRule="exact"/>
        <w:rPr>
          <w:rFonts w:ascii="宋体" w:hAnsi="宋体"/>
          <w:color w:val="auto"/>
          <w:sz w:val="24"/>
        </w:rPr>
      </w:pPr>
    </w:p>
    <w:p w14:paraId="3D9A8C07">
      <w:pPr>
        <w:spacing w:line="440" w:lineRule="exact"/>
        <w:rPr>
          <w:rFonts w:ascii="宋体" w:hAnsi="宋体"/>
          <w:color w:val="auto"/>
          <w:sz w:val="24"/>
        </w:rPr>
      </w:pPr>
    </w:p>
    <w:p w14:paraId="6CFAB006">
      <w:pPr>
        <w:spacing w:line="440" w:lineRule="exact"/>
        <w:rPr>
          <w:rFonts w:ascii="宋体" w:hAnsi="宋体"/>
          <w:color w:val="auto"/>
          <w:sz w:val="24"/>
        </w:rPr>
      </w:pPr>
    </w:p>
    <w:p w14:paraId="683FBAF5">
      <w:pPr>
        <w:snapToGrid w:val="0"/>
        <w:spacing w:line="360" w:lineRule="auto"/>
        <w:ind w:left="-2" w:leftChars="-1" w:right="-817" w:rightChars="-389" w:firstLine="1920" w:firstLineChars="800"/>
        <w:rPr>
          <w:rFonts w:ascii="宋体" w:hAnsi="宋体"/>
          <w:color w:val="auto"/>
          <w:sz w:val="24"/>
        </w:rPr>
      </w:pPr>
      <w:r>
        <w:rPr>
          <w:rFonts w:hint="eastAsia" w:ascii="宋体" w:hAnsi="宋体"/>
          <w:color w:val="auto"/>
          <w:sz w:val="24"/>
        </w:rPr>
        <w:t xml:space="preserve">法定代表人或者委托代理人（签字或者电子签名）： </w:t>
      </w:r>
    </w:p>
    <w:p w14:paraId="6FF42EAE">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供应商公章（电子签章）：</w:t>
      </w:r>
    </w:p>
    <w:p w14:paraId="05AFB5B6">
      <w:pPr>
        <w:snapToGrid w:val="0"/>
        <w:spacing w:line="360" w:lineRule="auto"/>
        <w:ind w:right="480" w:firstLine="240" w:firstLineChars="100"/>
        <w:jc w:val="left"/>
        <w:rPr>
          <w:rFonts w:ascii="宋体" w:hAnsi="宋体"/>
          <w:color w:val="auto"/>
          <w:szCs w:val="21"/>
        </w:rPr>
        <w:sectPr>
          <w:pgSz w:w="11906" w:h="16838"/>
          <w:pgMar w:top="1440" w:right="1797" w:bottom="1440" w:left="1797" w:header="851" w:footer="992" w:gutter="0"/>
          <w:cols w:space="720" w:num="1"/>
        </w:sectPr>
      </w:pPr>
      <w:r>
        <w:rPr>
          <w:rFonts w:hint="eastAsia" w:ascii="宋体" w:hAnsi="宋体"/>
          <w:color w:val="auto"/>
          <w:sz w:val="24"/>
        </w:rPr>
        <w:t xml:space="preserve">                                    日期：    年   月   日</w:t>
      </w:r>
    </w:p>
    <w:p w14:paraId="40DABB31">
      <w:pPr>
        <w:snapToGrid w:val="0"/>
        <w:spacing w:before="120" w:beforeLines="50" w:after="50"/>
        <w:jc w:val="left"/>
        <w:rPr>
          <w:rFonts w:ascii="宋体" w:hAnsi="宋体"/>
          <w:b/>
          <w:color w:val="auto"/>
          <w:sz w:val="24"/>
        </w:rPr>
      </w:pPr>
      <w:r>
        <w:rPr>
          <w:rFonts w:hint="eastAsia" w:ascii="宋体" w:hAnsi="宋体"/>
          <w:b/>
          <w:color w:val="auto"/>
          <w:sz w:val="24"/>
        </w:rPr>
        <w:t>9.技术要求偏离表格式</w:t>
      </w:r>
    </w:p>
    <w:p w14:paraId="224C29DC">
      <w:pPr>
        <w:snapToGrid w:val="0"/>
        <w:spacing w:before="120" w:beforeLines="50" w:after="50"/>
        <w:ind w:left="142"/>
        <w:jc w:val="left"/>
        <w:rPr>
          <w:rFonts w:ascii="宋体" w:hAnsi="宋体"/>
          <w:b/>
          <w:color w:val="auto"/>
          <w:sz w:val="24"/>
        </w:rPr>
      </w:pPr>
    </w:p>
    <w:p w14:paraId="5EEE9557">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技术要求偏离表</w:t>
      </w:r>
    </w:p>
    <w:p w14:paraId="01E42232">
      <w:pPr>
        <w:pStyle w:val="22"/>
        <w:rPr>
          <w:rFonts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tbl>
      <w:tblPr>
        <w:tblStyle w:val="43"/>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19A0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280087BF">
            <w:pPr>
              <w:pStyle w:val="22"/>
              <w:spacing w:line="400" w:lineRule="exact"/>
              <w:jc w:val="center"/>
              <w:rPr>
                <w:rFonts w:hAnsi="宋体" w:cs="Courier New"/>
                <w:color w:val="auto"/>
                <w:kern w:val="2"/>
                <w:sz w:val="24"/>
                <w:szCs w:val="24"/>
              </w:rPr>
            </w:pPr>
            <w:r>
              <w:rPr>
                <w:rFonts w:hint="eastAsia" w:hAnsi="宋体" w:cs="Courier New"/>
                <w:color w:val="auto"/>
                <w:kern w:val="2"/>
                <w:sz w:val="24"/>
                <w:szCs w:val="24"/>
              </w:rPr>
              <w:t>项号</w:t>
            </w:r>
          </w:p>
        </w:tc>
        <w:tc>
          <w:tcPr>
            <w:tcW w:w="2143" w:type="dxa"/>
            <w:vAlign w:val="center"/>
          </w:tcPr>
          <w:p w14:paraId="37646AFA">
            <w:pPr>
              <w:pStyle w:val="22"/>
              <w:spacing w:line="400" w:lineRule="exact"/>
              <w:jc w:val="center"/>
              <w:rPr>
                <w:rFonts w:hAnsi="宋体" w:cs="Courier New"/>
                <w:color w:val="auto"/>
                <w:kern w:val="2"/>
                <w:sz w:val="24"/>
                <w:szCs w:val="24"/>
              </w:rPr>
            </w:pPr>
            <w:r>
              <w:rPr>
                <w:rFonts w:hint="eastAsia" w:hAnsi="宋体" w:cs="Courier New"/>
                <w:color w:val="auto"/>
                <w:kern w:val="2"/>
                <w:sz w:val="24"/>
                <w:szCs w:val="24"/>
              </w:rPr>
              <w:t>标的的名称</w:t>
            </w:r>
          </w:p>
        </w:tc>
        <w:tc>
          <w:tcPr>
            <w:tcW w:w="1834" w:type="dxa"/>
            <w:vAlign w:val="center"/>
          </w:tcPr>
          <w:p w14:paraId="2268D955">
            <w:pPr>
              <w:pStyle w:val="22"/>
              <w:spacing w:line="400" w:lineRule="exact"/>
              <w:jc w:val="center"/>
              <w:rPr>
                <w:rFonts w:hAnsi="宋体" w:cs="Courier New"/>
                <w:color w:val="auto"/>
                <w:kern w:val="2"/>
                <w:sz w:val="24"/>
                <w:szCs w:val="24"/>
              </w:rPr>
            </w:pPr>
            <w:r>
              <w:rPr>
                <w:rFonts w:hint="eastAsia" w:hAnsi="宋体" w:cs="Courier New"/>
                <w:color w:val="auto"/>
                <w:kern w:val="2"/>
                <w:sz w:val="24"/>
                <w:szCs w:val="24"/>
              </w:rPr>
              <w:t>技术要求</w:t>
            </w:r>
          </w:p>
        </w:tc>
        <w:tc>
          <w:tcPr>
            <w:tcW w:w="2181" w:type="dxa"/>
            <w:vAlign w:val="center"/>
          </w:tcPr>
          <w:p w14:paraId="2B66438F">
            <w:pPr>
              <w:pStyle w:val="22"/>
              <w:spacing w:line="400" w:lineRule="exact"/>
              <w:jc w:val="center"/>
              <w:rPr>
                <w:rFonts w:hAnsi="宋体" w:cs="Courier New"/>
                <w:color w:val="auto"/>
                <w:kern w:val="2"/>
                <w:sz w:val="24"/>
                <w:szCs w:val="24"/>
              </w:rPr>
            </w:pPr>
            <w:r>
              <w:rPr>
                <w:rFonts w:hint="eastAsia" w:hAnsi="宋体" w:cs="Courier New"/>
                <w:color w:val="auto"/>
                <w:kern w:val="2"/>
                <w:sz w:val="24"/>
                <w:szCs w:val="24"/>
              </w:rPr>
              <w:t>投标响应</w:t>
            </w:r>
          </w:p>
        </w:tc>
        <w:tc>
          <w:tcPr>
            <w:tcW w:w="1934" w:type="dxa"/>
            <w:vAlign w:val="center"/>
          </w:tcPr>
          <w:p w14:paraId="0D3A88D6">
            <w:pPr>
              <w:pStyle w:val="22"/>
              <w:spacing w:line="400" w:lineRule="exact"/>
              <w:jc w:val="center"/>
              <w:rPr>
                <w:rFonts w:hAnsi="宋体" w:cs="Courier New"/>
                <w:color w:val="auto"/>
                <w:kern w:val="2"/>
                <w:sz w:val="24"/>
                <w:szCs w:val="24"/>
              </w:rPr>
            </w:pPr>
            <w:r>
              <w:rPr>
                <w:rFonts w:hint="eastAsia" w:hAnsi="宋体" w:cs="Courier New"/>
                <w:color w:val="auto"/>
                <w:kern w:val="2"/>
                <w:sz w:val="24"/>
                <w:szCs w:val="24"/>
              </w:rPr>
              <w:t>偏离说明</w:t>
            </w:r>
          </w:p>
        </w:tc>
      </w:tr>
      <w:tr w14:paraId="395B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4352983">
            <w:pPr>
              <w:pStyle w:val="22"/>
              <w:spacing w:line="600" w:lineRule="exact"/>
              <w:jc w:val="center"/>
              <w:rPr>
                <w:rFonts w:hAnsi="宋体" w:cs="Courier New"/>
                <w:color w:val="auto"/>
                <w:kern w:val="2"/>
                <w:sz w:val="24"/>
                <w:szCs w:val="24"/>
              </w:rPr>
            </w:pPr>
          </w:p>
        </w:tc>
        <w:tc>
          <w:tcPr>
            <w:tcW w:w="2143" w:type="dxa"/>
            <w:vAlign w:val="center"/>
          </w:tcPr>
          <w:p w14:paraId="76865A22">
            <w:pPr>
              <w:pStyle w:val="22"/>
              <w:spacing w:line="600" w:lineRule="exact"/>
              <w:jc w:val="center"/>
              <w:rPr>
                <w:rFonts w:hAnsi="宋体" w:cs="Courier New"/>
                <w:color w:val="auto"/>
                <w:kern w:val="2"/>
                <w:sz w:val="24"/>
                <w:szCs w:val="24"/>
              </w:rPr>
            </w:pPr>
          </w:p>
        </w:tc>
        <w:tc>
          <w:tcPr>
            <w:tcW w:w="1834" w:type="dxa"/>
            <w:vAlign w:val="center"/>
          </w:tcPr>
          <w:p w14:paraId="1B3CB880">
            <w:pPr>
              <w:pStyle w:val="22"/>
              <w:spacing w:line="600" w:lineRule="exact"/>
              <w:jc w:val="center"/>
              <w:rPr>
                <w:rFonts w:hAnsi="宋体" w:cs="Courier New"/>
                <w:color w:val="auto"/>
                <w:kern w:val="2"/>
                <w:sz w:val="24"/>
                <w:szCs w:val="24"/>
              </w:rPr>
            </w:pPr>
          </w:p>
        </w:tc>
        <w:tc>
          <w:tcPr>
            <w:tcW w:w="2181" w:type="dxa"/>
            <w:vAlign w:val="center"/>
          </w:tcPr>
          <w:p w14:paraId="037EBA94">
            <w:pPr>
              <w:pStyle w:val="22"/>
              <w:spacing w:line="600" w:lineRule="exact"/>
              <w:jc w:val="center"/>
              <w:rPr>
                <w:rFonts w:hAnsi="宋体" w:cs="Courier New"/>
                <w:color w:val="auto"/>
                <w:kern w:val="2"/>
                <w:sz w:val="24"/>
                <w:szCs w:val="24"/>
              </w:rPr>
            </w:pPr>
          </w:p>
        </w:tc>
        <w:tc>
          <w:tcPr>
            <w:tcW w:w="1934" w:type="dxa"/>
            <w:vAlign w:val="center"/>
          </w:tcPr>
          <w:p w14:paraId="2FC87C75">
            <w:pPr>
              <w:pStyle w:val="22"/>
              <w:spacing w:line="600" w:lineRule="exact"/>
              <w:jc w:val="center"/>
              <w:rPr>
                <w:rFonts w:hAnsi="宋体" w:cs="Courier New"/>
                <w:color w:val="auto"/>
                <w:kern w:val="2"/>
                <w:sz w:val="24"/>
                <w:szCs w:val="24"/>
              </w:rPr>
            </w:pPr>
          </w:p>
        </w:tc>
      </w:tr>
      <w:tr w14:paraId="3E79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462AF1C">
            <w:pPr>
              <w:pStyle w:val="22"/>
              <w:spacing w:line="600" w:lineRule="exact"/>
              <w:rPr>
                <w:rFonts w:hAnsi="宋体" w:cs="Courier New"/>
                <w:color w:val="auto"/>
                <w:kern w:val="2"/>
                <w:sz w:val="24"/>
                <w:szCs w:val="24"/>
              </w:rPr>
            </w:pPr>
          </w:p>
        </w:tc>
        <w:tc>
          <w:tcPr>
            <w:tcW w:w="2143" w:type="dxa"/>
          </w:tcPr>
          <w:p w14:paraId="58E474C0">
            <w:pPr>
              <w:pStyle w:val="22"/>
              <w:spacing w:line="600" w:lineRule="exact"/>
              <w:rPr>
                <w:rFonts w:hAnsi="宋体" w:cs="Courier New"/>
                <w:color w:val="auto"/>
                <w:kern w:val="2"/>
                <w:sz w:val="24"/>
                <w:szCs w:val="24"/>
              </w:rPr>
            </w:pPr>
          </w:p>
        </w:tc>
        <w:tc>
          <w:tcPr>
            <w:tcW w:w="1834" w:type="dxa"/>
          </w:tcPr>
          <w:p w14:paraId="4F5FD0B3">
            <w:pPr>
              <w:pStyle w:val="22"/>
              <w:spacing w:line="600" w:lineRule="exact"/>
              <w:rPr>
                <w:rFonts w:hAnsi="宋体" w:cs="Courier New"/>
                <w:color w:val="auto"/>
                <w:kern w:val="2"/>
                <w:sz w:val="24"/>
                <w:szCs w:val="24"/>
              </w:rPr>
            </w:pPr>
          </w:p>
        </w:tc>
        <w:tc>
          <w:tcPr>
            <w:tcW w:w="2181" w:type="dxa"/>
          </w:tcPr>
          <w:p w14:paraId="29D652E6">
            <w:pPr>
              <w:pStyle w:val="22"/>
              <w:spacing w:line="600" w:lineRule="exact"/>
              <w:rPr>
                <w:rFonts w:hAnsi="宋体" w:cs="Courier New"/>
                <w:color w:val="auto"/>
                <w:kern w:val="2"/>
                <w:sz w:val="24"/>
                <w:szCs w:val="24"/>
              </w:rPr>
            </w:pPr>
          </w:p>
        </w:tc>
        <w:tc>
          <w:tcPr>
            <w:tcW w:w="1934" w:type="dxa"/>
          </w:tcPr>
          <w:p w14:paraId="1E36FC4D">
            <w:pPr>
              <w:pStyle w:val="22"/>
              <w:spacing w:line="600" w:lineRule="exact"/>
              <w:rPr>
                <w:rFonts w:hAnsi="宋体" w:cs="Courier New"/>
                <w:color w:val="auto"/>
                <w:kern w:val="2"/>
                <w:sz w:val="24"/>
                <w:szCs w:val="24"/>
              </w:rPr>
            </w:pPr>
          </w:p>
        </w:tc>
      </w:tr>
      <w:tr w14:paraId="0700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387F78C">
            <w:pPr>
              <w:pStyle w:val="22"/>
              <w:spacing w:line="600" w:lineRule="exact"/>
              <w:rPr>
                <w:rFonts w:hAnsi="宋体" w:cs="Courier New"/>
                <w:color w:val="auto"/>
                <w:kern w:val="2"/>
                <w:sz w:val="24"/>
                <w:szCs w:val="24"/>
              </w:rPr>
            </w:pPr>
          </w:p>
        </w:tc>
        <w:tc>
          <w:tcPr>
            <w:tcW w:w="2143" w:type="dxa"/>
          </w:tcPr>
          <w:p w14:paraId="7230A86C">
            <w:pPr>
              <w:pStyle w:val="22"/>
              <w:spacing w:line="600" w:lineRule="exact"/>
              <w:rPr>
                <w:rFonts w:hAnsi="宋体" w:cs="Courier New"/>
                <w:color w:val="auto"/>
                <w:kern w:val="2"/>
                <w:sz w:val="24"/>
                <w:szCs w:val="24"/>
              </w:rPr>
            </w:pPr>
          </w:p>
        </w:tc>
        <w:tc>
          <w:tcPr>
            <w:tcW w:w="1834" w:type="dxa"/>
          </w:tcPr>
          <w:p w14:paraId="4FBA2D05">
            <w:pPr>
              <w:pStyle w:val="22"/>
              <w:spacing w:line="600" w:lineRule="exact"/>
              <w:rPr>
                <w:rFonts w:hAnsi="宋体" w:cs="Courier New"/>
                <w:color w:val="auto"/>
                <w:kern w:val="2"/>
                <w:sz w:val="24"/>
                <w:szCs w:val="24"/>
              </w:rPr>
            </w:pPr>
          </w:p>
        </w:tc>
        <w:tc>
          <w:tcPr>
            <w:tcW w:w="2181" w:type="dxa"/>
          </w:tcPr>
          <w:p w14:paraId="345E0756">
            <w:pPr>
              <w:pStyle w:val="22"/>
              <w:spacing w:line="600" w:lineRule="exact"/>
              <w:rPr>
                <w:rFonts w:hAnsi="宋体" w:cs="Courier New"/>
                <w:color w:val="auto"/>
                <w:kern w:val="2"/>
                <w:sz w:val="24"/>
                <w:szCs w:val="24"/>
              </w:rPr>
            </w:pPr>
          </w:p>
        </w:tc>
        <w:tc>
          <w:tcPr>
            <w:tcW w:w="1934" w:type="dxa"/>
          </w:tcPr>
          <w:p w14:paraId="164C4503">
            <w:pPr>
              <w:pStyle w:val="22"/>
              <w:spacing w:line="600" w:lineRule="exact"/>
              <w:rPr>
                <w:rFonts w:hAnsi="宋体" w:cs="Courier New"/>
                <w:color w:val="auto"/>
                <w:kern w:val="2"/>
                <w:sz w:val="24"/>
                <w:szCs w:val="24"/>
              </w:rPr>
            </w:pPr>
          </w:p>
        </w:tc>
      </w:tr>
      <w:tr w14:paraId="1A70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054B0D9">
            <w:pPr>
              <w:pStyle w:val="22"/>
              <w:spacing w:line="600" w:lineRule="exact"/>
              <w:rPr>
                <w:rFonts w:hAnsi="宋体" w:cs="Courier New"/>
                <w:color w:val="auto"/>
                <w:kern w:val="2"/>
                <w:sz w:val="24"/>
                <w:szCs w:val="24"/>
              </w:rPr>
            </w:pPr>
          </w:p>
        </w:tc>
        <w:tc>
          <w:tcPr>
            <w:tcW w:w="2143" w:type="dxa"/>
          </w:tcPr>
          <w:p w14:paraId="3C1133B3">
            <w:pPr>
              <w:pStyle w:val="22"/>
              <w:spacing w:line="600" w:lineRule="exact"/>
              <w:rPr>
                <w:rFonts w:hAnsi="宋体" w:cs="Courier New"/>
                <w:color w:val="auto"/>
                <w:kern w:val="2"/>
                <w:sz w:val="24"/>
                <w:szCs w:val="24"/>
              </w:rPr>
            </w:pPr>
          </w:p>
        </w:tc>
        <w:tc>
          <w:tcPr>
            <w:tcW w:w="1834" w:type="dxa"/>
          </w:tcPr>
          <w:p w14:paraId="7AF91CB6">
            <w:pPr>
              <w:pStyle w:val="22"/>
              <w:spacing w:line="600" w:lineRule="exact"/>
              <w:rPr>
                <w:rFonts w:hAnsi="宋体" w:cs="Courier New"/>
                <w:color w:val="auto"/>
                <w:kern w:val="2"/>
                <w:sz w:val="24"/>
                <w:szCs w:val="24"/>
              </w:rPr>
            </w:pPr>
          </w:p>
        </w:tc>
        <w:tc>
          <w:tcPr>
            <w:tcW w:w="2181" w:type="dxa"/>
          </w:tcPr>
          <w:p w14:paraId="41CF6548">
            <w:pPr>
              <w:pStyle w:val="22"/>
              <w:spacing w:line="600" w:lineRule="exact"/>
              <w:rPr>
                <w:rFonts w:hAnsi="宋体" w:cs="Courier New"/>
                <w:color w:val="auto"/>
                <w:kern w:val="2"/>
                <w:sz w:val="24"/>
                <w:szCs w:val="24"/>
              </w:rPr>
            </w:pPr>
          </w:p>
        </w:tc>
        <w:tc>
          <w:tcPr>
            <w:tcW w:w="1934" w:type="dxa"/>
          </w:tcPr>
          <w:p w14:paraId="4C6D5C0A">
            <w:pPr>
              <w:pStyle w:val="22"/>
              <w:spacing w:line="600" w:lineRule="exact"/>
              <w:rPr>
                <w:rFonts w:hAnsi="宋体" w:cs="Courier New"/>
                <w:color w:val="auto"/>
                <w:kern w:val="2"/>
                <w:sz w:val="24"/>
                <w:szCs w:val="24"/>
              </w:rPr>
            </w:pPr>
          </w:p>
        </w:tc>
      </w:tr>
      <w:tr w14:paraId="3746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2886DCF">
            <w:pPr>
              <w:pStyle w:val="22"/>
              <w:spacing w:line="600" w:lineRule="exact"/>
              <w:rPr>
                <w:rFonts w:hAnsi="宋体" w:cs="Courier New"/>
                <w:color w:val="auto"/>
                <w:kern w:val="2"/>
                <w:sz w:val="24"/>
                <w:szCs w:val="24"/>
              </w:rPr>
            </w:pPr>
          </w:p>
        </w:tc>
        <w:tc>
          <w:tcPr>
            <w:tcW w:w="2143" w:type="dxa"/>
          </w:tcPr>
          <w:p w14:paraId="76E98FA3">
            <w:pPr>
              <w:pStyle w:val="22"/>
              <w:spacing w:line="600" w:lineRule="exact"/>
              <w:rPr>
                <w:rFonts w:hAnsi="宋体" w:cs="Courier New"/>
                <w:color w:val="auto"/>
                <w:kern w:val="2"/>
                <w:sz w:val="24"/>
                <w:szCs w:val="24"/>
              </w:rPr>
            </w:pPr>
          </w:p>
        </w:tc>
        <w:tc>
          <w:tcPr>
            <w:tcW w:w="1834" w:type="dxa"/>
          </w:tcPr>
          <w:p w14:paraId="793860B7">
            <w:pPr>
              <w:pStyle w:val="22"/>
              <w:spacing w:line="600" w:lineRule="exact"/>
              <w:rPr>
                <w:rFonts w:hAnsi="宋体" w:cs="Courier New"/>
                <w:color w:val="auto"/>
                <w:kern w:val="2"/>
                <w:sz w:val="24"/>
                <w:szCs w:val="24"/>
              </w:rPr>
            </w:pPr>
          </w:p>
        </w:tc>
        <w:tc>
          <w:tcPr>
            <w:tcW w:w="2181" w:type="dxa"/>
          </w:tcPr>
          <w:p w14:paraId="02E33A1B">
            <w:pPr>
              <w:pStyle w:val="22"/>
              <w:spacing w:line="600" w:lineRule="exact"/>
              <w:rPr>
                <w:rFonts w:hAnsi="宋体" w:cs="Courier New"/>
                <w:color w:val="auto"/>
                <w:kern w:val="2"/>
                <w:sz w:val="24"/>
                <w:szCs w:val="24"/>
              </w:rPr>
            </w:pPr>
          </w:p>
        </w:tc>
        <w:tc>
          <w:tcPr>
            <w:tcW w:w="1934" w:type="dxa"/>
          </w:tcPr>
          <w:p w14:paraId="6238C764">
            <w:pPr>
              <w:pStyle w:val="22"/>
              <w:spacing w:line="600" w:lineRule="exact"/>
              <w:rPr>
                <w:rFonts w:hAnsi="宋体" w:cs="Courier New"/>
                <w:color w:val="auto"/>
                <w:kern w:val="2"/>
                <w:sz w:val="24"/>
                <w:szCs w:val="24"/>
              </w:rPr>
            </w:pPr>
          </w:p>
        </w:tc>
      </w:tr>
      <w:tr w14:paraId="653B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D1C41A1">
            <w:pPr>
              <w:pStyle w:val="22"/>
              <w:spacing w:line="600" w:lineRule="exact"/>
              <w:rPr>
                <w:rFonts w:hAnsi="宋体" w:cs="Courier New"/>
                <w:color w:val="auto"/>
                <w:kern w:val="2"/>
                <w:sz w:val="24"/>
                <w:szCs w:val="24"/>
              </w:rPr>
            </w:pPr>
          </w:p>
        </w:tc>
        <w:tc>
          <w:tcPr>
            <w:tcW w:w="2143" w:type="dxa"/>
          </w:tcPr>
          <w:p w14:paraId="600E778E">
            <w:pPr>
              <w:pStyle w:val="22"/>
              <w:spacing w:line="600" w:lineRule="exact"/>
              <w:rPr>
                <w:rFonts w:hAnsi="宋体" w:cs="Courier New"/>
                <w:color w:val="auto"/>
                <w:kern w:val="2"/>
                <w:sz w:val="24"/>
                <w:szCs w:val="24"/>
              </w:rPr>
            </w:pPr>
          </w:p>
        </w:tc>
        <w:tc>
          <w:tcPr>
            <w:tcW w:w="1834" w:type="dxa"/>
          </w:tcPr>
          <w:p w14:paraId="260D7A06">
            <w:pPr>
              <w:pStyle w:val="22"/>
              <w:spacing w:line="600" w:lineRule="exact"/>
              <w:rPr>
                <w:rFonts w:hAnsi="宋体" w:cs="Courier New"/>
                <w:color w:val="auto"/>
                <w:kern w:val="2"/>
                <w:sz w:val="24"/>
                <w:szCs w:val="24"/>
              </w:rPr>
            </w:pPr>
          </w:p>
        </w:tc>
        <w:tc>
          <w:tcPr>
            <w:tcW w:w="2181" w:type="dxa"/>
          </w:tcPr>
          <w:p w14:paraId="6E0F002F">
            <w:pPr>
              <w:pStyle w:val="22"/>
              <w:spacing w:line="600" w:lineRule="exact"/>
              <w:rPr>
                <w:rFonts w:hAnsi="宋体" w:cs="Courier New"/>
                <w:color w:val="auto"/>
                <w:kern w:val="2"/>
                <w:sz w:val="24"/>
                <w:szCs w:val="24"/>
              </w:rPr>
            </w:pPr>
          </w:p>
        </w:tc>
        <w:tc>
          <w:tcPr>
            <w:tcW w:w="1934" w:type="dxa"/>
          </w:tcPr>
          <w:p w14:paraId="5086FA44">
            <w:pPr>
              <w:pStyle w:val="22"/>
              <w:spacing w:line="600" w:lineRule="exact"/>
              <w:rPr>
                <w:rFonts w:hAnsi="宋体" w:cs="Courier New"/>
                <w:color w:val="auto"/>
                <w:kern w:val="2"/>
                <w:sz w:val="24"/>
                <w:szCs w:val="24"/>
              </w:rPr>
            </w:pPr>
          </w:p>
        </w:tc>
      </w:tr>
      <w:tr w14:paraId="1518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7B8ED70">
            <w:pPr>
              <w:pStyle w:val="22"/>
              <w:spacing w:line="600" w:lineRule="exact"/>
              <w:rPr>
                <w:rFonts w:hAnsi="宋体" w:cs="Courier New"/>
                <w:color w:val="auto"/>
                <w:kern w:val="2"/>
                <w:sz w:val="24"/>
                <w:szCs w:val="24"/>
              </w:rPr>
            </w:pPr>
          </w:p>
        </w:tc>
        <w:tc>
          <w:tcPr>
            <w:tcW w:w="2143" w:type="dxa"/>
          </w:tcPr>
          <w:p w14:paraId="1C79CDF6">
            <w:pPr>
              <w:pStyle w:val="22"/>
              <w:spacing w:line="600" w:lineRule="exact"/>
              <w:rPr>
                <w:rFonts w:hAnsi="宋体" w:cs="Courier New"/>
                <w:color w:val="auto"/>
                <w:kern w:val="2"/>
                <w:sz w:val="24"/>
                <w:szCs w:val="24"/>
              </w:rPr>
            </w:pPr>
          </w:p>
        </w:tc>
        <w:tc>
          <w:tcPr>
            <w:tcW w:w="1834" w:type="dxa"/>
          </w:tcPr>
          <w:p w14:paraId="07DF1BE8">
            <w:pPr>
              <w:pStyle w:val="22"/>
              <w:spacing w:line="600" w:lineRule="exact"/>
              <w:rPr>
                <w:rFonts w:hAnsi="宋体" w:cs="Courier New"/>
                <w:color w:val="auto"/>
                <w:kern w:val="2"/>
                <w:sz w:val="24"/>
                <w:szCs w:val="24"/>
              </w:rPr>
            </w:pPr>
          </w:p>
        </w:tc>
        <w:tc>
          <w:tcPr>
            <w:tcW w:w="2181" w:type="dxa"/>
          </w:tcPr>
          <w:p w14:paraId="153E35FA">
            <w:pPr>
              <w:pStyle w:val="22"/>
              <w:spacing w:line="600" w:lineRule="exact"/>
              <w:rPr>
                <w:rFonts w:hAnsi="宋体" w:cs="Courier New"/>
                <w:color w:val="auto"/>
                <w:kern w:val="2"/>
                <w:sz w:val="24"/>
                <w:szCs w:val="24"/>
              </w:rPr>
            </w:pPr>
          </w:p>
        </w:tc>
        <w:tc>
          <w:tcPr>
            <w:tcW w:w="1934" w:type="dxa"/>
          </w:tcPr>
          <w:p w14:paraId="0EA96F1F">
            <w:pPr>
              <w:pStyle w:val="22"/>
              <w:spacing w:line="600" w:lineRule="exact"/>
              <w:rPr>
                <w:rFonts w:hAnsi="宋体" w:cs="Courier New"/>
                <w:color w:val="auto"/>
                <w:kern w:val="2"/>
                <w:sz w:val="24"/>
                <w:szCs w:val="24"/>
              </w:rPr>
            </w:pPr>
          </w:p>
        </w:tc>
      </w:tr>
    </w:tbl>
    <w:p w14:paraId="6ECBFFF8">
      <w:pPr>
        <w:pStyle w:val="15"/>
        <w:spacing w:line="360" w:lineRule="auto"/>
        <w:contextualSpacing/>
        <w:rPr>
          <w:rFonts w:ascii="宋体" w:hAnsi="宋体"/>
          <w:color w:val="auto"/>
        </w:rPr>
      </w:pPr>
      <w:r>
        <w:rPr>
          <w:rFonts w:hint="eastAsia" w:ascii="宋体" w:hAnsi="宋体"/>
          <w:color w:val="auto"/>
        </w:rPr>
        <w:t>注：</w:t>
      </w:r>
    </w:p>
    <w:p w14:paraId="2327AE6D">
      <w:pPr>
        <w:pStyle w:val="17"/>
        <w:spacing w:line="360" w:lineRule="auto"/>
        <w:ind w:firstLine="0" w:firstLineChars="0"/>
        <w:contextualSpacing/>
        <w:rPr>
          <w:rFonts w:hAnsi="仿宋_GB2312" w:cs="仿宋_GB2312"/>
          <w:color w:val="auto"/>
          <w:szCs w:val="32"/>
        </w:rPr>
      </w:pPr>
      <w:r>
        <w:rPr>
          <w:rFonts w:hint="eastAsia" w:ascii="宋体" w:hAnsi="宋体" w:eastAsia="宋体"/>
          <w:color w:val="auto"/>
          <w:sz w:val="24"/>
          <w:szCs w:val="24"/>
        </w:rPr>
        <w:t>1. 说明：应对照招标文件“第二章 采购需求”中的技术要求逐条作明确的投标响应，并作出偏离说明。</w:t>
      </w:r>
    </w:p>
    <w:p w14:paraId="445B63A3">
      <w:pPr>
        <w:pStyle w:val="15"/>
        <w:spacing w:line="360" w:lineRule="auto"/>
        <w:contextualSpacing/>
        <w:rPr>
          <w:rFonts w:ascii="宋体" w:hAnsi="宋体"/>
          <w:color w:val="auto"/>
        </w:rPr>
      </w:pPr>
      <w:r>
        <w:rPr>
          <w:rFonts w:ascii="宋体" w:hAnsi="宋体"/>
          <w:b w:val="0"/>
          <w:bCs w:val="0"/>
          <w:color w:val="auto"/>
        </w:rPr>
        <w:t>2.</w:t>
      </w:r>
      <w:r>
        <w:rPr>
          <w:rFonts w:hint="eastAsia" w:ascii="宋体" w:hAnsi="宋体"/>
          <w:b w:val="0"/>
          <w:bCs w:val="0"/>
          <w:color w:val="auto"/>
        </w:rPr>
        <w:t>投标人应根据自身的承诺，对照招标文件要求，在“偏离说明”中注明“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010A4E78">
      <w:pPr>
        <w:pStyle w:val="15"/>
        <w:spacing w:line="360" w:lineRule="auto"/>
        <w:contextualSpacing/>
        <w:rPr>
          <w:rFonts w:ascii="宋体" w:hAnsi="宋体"/>
          <w:color w:val="auto"/>
          <w:spacing w:val="20"/>
        </w:rPr>
      </w:pPr>
    </w:p>
    <w:p w14:paraId="0370F470">
      <w:pPr>
        <w:spacing w:line="360" w:lineRule="auto"/>
        <w:contextualSpacing/>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1F5E31ED">
      <w:pPr>
        <w:spacing w:line="360" w:lineRule="auto"/>
        <w:contextualSpacing/>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7BAE09C6">
      <w:pPr>
        <w:spacing w:line="360" w:lineRule="auto"/>
        <w:contextualSpacing/>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5EB9E614">
      <w:pPr>
        <w:spacing w:line="360" w:lineRule="auto"/>
        <w:contextualSpacing/>
        <w:rPr>
          <w:rFonts w:ascii="宋体" w:hAnsi="宋体"/>
          <w:color w:val="auto"/>
          <w:spacing w:val="20"/>
          <w:sz w:val="24"/>
          <w:u w:val="single"/>
        </w:rPr>
      </w:pPr>
    </w:p>
    <w:p w14:paraId="1CBC7A24">
      <w:pPr>
        <w:spacing w:line="360" w:lineRule="auto"/>
        <w:contextualSpacing/>
        <w:rPr>
          <w:rFonts w:ascii="宋体" w:hAnsi="宋体"/>
          <w:color w:val="auto"/>
          <w:sz w:val="24"/>
          <w:szCs w:val="20"/>
        </w:rPr>
      </w:pPr>
    </w:p>
    <w:p w14:paraId="05A667A3">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10.项目实施人员一览表格式</w:t>
      </w:r>
    </w:p>
    <w:p w14:paraId="5BE2804D">
      <w:pPr>
        <w:snapToGrid w:val="0"/>
        <w:spacing w:before="120" w:beforeLines="50" w:after="50"/>
        <w:ind w:left="142"/>
        <w:jc w:val="left"/>
        <w:rPr>
          <w:rFonts w:ascii="宋体" w:hAnsi="宋体"/>
          <w:b/>
          <w:color w:val="auto"/>
          <w:sz w:val="24"/>
        </w:rPr>
      </w:pPr>
    </w:p>
    <w:p w14:paraId="1B60EAA2">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项目实施人员一览表</w:t>
      </w:r>
    </w:p>
    <w:p w14:paraId="70160877">
      <w:pPr>
        <w:pStyle w:val="22"/>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8C5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4F9F3D">
            <w:pPr>
              <w:snapToGrid w:val="0"/>
              <w:spacing w:before="50" w:after="120" w:afterLines="50"/>
              <w:jc w:val="center"/>
              <w:rPr>
                <w:rFonts w:ascii="宋体" w:hAnsi="宋体"/>
                <w:color w:val="auto"/>
                <w:sz w:val="24"/>
                <w:szCs w:val="20"/>
              </w:rPr>
            </w:pPr>
            <w:r>
              <w:rPr>
                <w:rFonts w:hint="eastAsia" w:ascii="宋体" w:hAnsi="宋体"/>
                <w:color w:val="auto"/>
                <w:sz w:val="24"/>
                <w:szCs w:val="20"/>
              </w:rPr>
              <w:t>姓名</w:t>
            </w:r>
          </w:p>
        </w:tc>
        <w:tc>
          <w:tcPr>
            <w:tcW w:w="709" w:type="dxa"/>
            <w:vAlign w:val="center"/>
          </w:tcPr>
          <w:p w14:paraId="419CB11D">
            <w:pPr>
              <w:snapToGrid w:val="0"/>
              <w:spacing w:before="50" w:after="120" w:afterLines="50"/>
              <w:jc w:val="center"/>
              <w:rPr>
                <w:rFonts w:ascii="宋体" w:hAnsi="宋体"/>
                <w:color w:val="auto"/>
                <w:sz w:val="24"/>
                <w:szCs w:val="20"/>
              </w:rPr>
            </w:pPr>
            <w:r>
              <w:rPr>
                <w:rFonts w:hint="eastAsia" w:ascii="宋体" w:hAnsi="宋体"/>
                <w:color w:val="auto"/>
                <w:sz w:val="24"/>
                <w:szCs w:val="20"/>
              </w:rPr>
              <w:t>职务</w:t>
            </w:r>
          </w:p>
        </w:tc>
        <w:tc>
          <w:tcPr>
            <w:tcW w:w="1701" w:type="dxa"/>
            <w:vAlign w:val="center"/>
          </w:tcPr>
          <w:p w14:paraId="33438A17">
            <w:pPr>
              <w:snapToGrid w:val="0"/>
              <w:spacing w:before="50" w:after="120" w:afterLines="50"/>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vAlign w:val="center"/>
          </w:tcPr>
          <w:p w14:paraId="4115650E">
            <w:pPr>
              <w:snapToGrid w:val="0"/>
              <w:spacing w:before="50" w:after="120" w:afterLines="50"/>
              <w:jc w:val="center"/>
              <w:rPr>
                <w:rFonts w:ascii="宋体" w:hAnsi="宋体"/>
                <w:color w:val="auto"/>
                <w:sz w:val="24"/>
                <w:szCs w:val="20"/>
              </w:rPr>
            </w:pPr>
            <w:r>
              <w:rPr>
                <w:rFonts w:hint="eastAsia" w:ascii="宋体" w:hAnsi="宋体"/>
                <w:color w:val="auto"/>
                <w:sz w:val="24"/>
                <w:szCs w:val="20"/>
              </w:rPr>
              <w:t>证书编号</w:t>
            </w:r>
          </w:p>
        </w:tc>
        <w:tc>
          <w:tcPr>
            <w:tcW w:w="1698" w:type="dxa"/>
            <w:vAlign w:val="center"/>
          </w:tcPr>
          <w:p w14:paraId="6CD2959C">
            <w:pPr>
              <w:snapToGrid w:val="0"/>
              <w:spacing w:before="50" w:after="120" w:afterLines="50"/>
              <w:jc w:val="center"/>
              <w:rPr>
                <w:rFonts w:ascii="宋体" w:hAnsi="宋体"/>
                <w:color w:val="auto"/>
                <w:sz w:val="24"/>
                <w:szCs w:val="20"/>
              </w:rPr>
            </w:pPr>
            <w:r>
              <w:rPr>
                <w:rFonts w:hint="eastAsia" w:ascii="宋体" w:hAnsi="宋体"/>
                <w:color w:val="auto"/>
                <w:sz w:val="24"/>
                <w:szCs w:val="20"/>
              </w:rPr>
              <w:t>参加本单位</w:t>
            </w:r>
          </w:p>
          <w:p w14:paraId="65C28578">
            <w:pPr>
              <w:snapToGrid w:val="0"/>
              <w:spacing w:before="50" w:after="120" w:afterLines="50"/>
              <w:jc w:val="center"/>
              <w:rPr>
                <w:rFonts w:ascii="宋体" w:hAnsi="宋体"/>
                <w:color w:val="auto"/>
                <w:sz w:val="24"/>
                <w:szCs w:val="20"/>
              </w:rPr>
            </w:pPr>
            <w:r>
              <w:rPr>
                <w:rFonts w:hint="eastAsia" w:ascii="宋体" w:hAnsi="宋体"/>
                <w:color w:val="auto"/>
                <w:sz w:val="24"/>
                <w:szCs w:val="20"/>
              </w:rPr>
              <w:t>工作时间</w:t>
            </w:r>
          </w:p>
        </w:tc>
        <w:tc>
          <w:tcPr>
            <w:tcW w:w="1843" w:type="dxa"/>
            <w:vAlign w:val="center"/>
          </w:tcPr>
          <w:p w14:paraId="728739E9">
            <w:pPr>
              <w:snapToGrid w:val="0"/>
              <w:spacing w:before="50" w:after="120" w:afterLines="50"/>
              <w:jc w:val="center"/>
              <w:rPr>
                <w:rFonts w:ascii="宋体" w:hAnsi="宋体"/>
                <w:color w:val="auto"/>
                <w:sz w:val="24"/>
                <w:szCs w:val="20"/>
              </w:rPr>
            </w:pPr>
            <w:r>
              <w:rPr>
                <w:rFonts w:hint="eastAsia" w:ascii="宋体" w:hAnsi="宋体"/>
                <w:color w:val="auto"/>
                <w:sz w:val="24"/>
                <w:szCs w:val="20"/>
              </w:rPr>
              <w:t>劳动合同编号</w:t>
            </w:r>
          </w:p>
        </w:tc>
      </w:tr>
      <w:tr w14:paraId="7F91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A638BF">
            <w:pPr>
              <w:snapToGrid w:val="0"/>
              <w:spacing w:before="50" w:after="120" w:afterLines="50"/>
              <w:jc w:val="center"/>
              <w:rPr>
                <w:rFonts w:ascii="宋体" w:hAnsi="宋体"/>
                <w:color w:val="auto"/>
                <w:sz w:val="24"/>
                <w:szCs w:val="20"/>
              </w:rPr>
            </w:pPr>
          </w:p>
        </w:tc>
        <w:tc>
          <w:tcPr>
            <w:tcW w:w="709" w:type="dxa"/>
            <w:vAlign w:val="center"/>
          </w:tcPr>
          <w:p w14:paraId="63DBE83A">
            <w:pPr>
              <w:snapToGrid w:val="0"/>
              <w:spacing w:before="50" w:after="120" w:afterLines="50"/>
              <w:jc w:val="center"/>
              <w:rPr>
                <w:rFonts w:ascii="宋体" w:hAnsi="宋体"/>
                <w:color w:val="auto"/>
                <w:sz w:val="24"/>
                <w:szCs w:val="20"/>
              </w:rPr>
            </w:pPr>
          </w:p>
        </w:tc>
        <w:tc>
          <w:tcPr>
            <w:tcW w:w="1701" w:type="dxa"/>
            <w:vAlign w:val="center"/>
          </w:tcPr>
          <w:p w14:paraId="0668E80B">
            <w:pPr>
              <w:snapToGrid w:val="0"/>
              <w:spacing w:before="50" w:after="120" w:afterLines="50"/>
              <w:jc w:val="center"/>
              <w:rPr>
                <w:rFonts w:ascii="宋体" w:hAnsi="宋体"/>
                <w:color w:val="auto"/>
                <w:sz w:val="24"/>
                <w:szCs w:val="20"/>
              </w:rPr>
            </w:pPr>
          </w:p>
        </w:tc>
        <w:tc>
          <w:tcPr>
            <w:tcW w:w="1420" w:type="dxa"/>
            <w:vAlign w:val="center"/>
          </w:tcPr>
          <w:p w14:paraId="019AA1DA">
            <w:pPr>
              <w:snapToGrid w:val="0"/>
              <w:spacing w:before="50" w:after="120" w:afterLines="50"/>
              <w:jc w:val="center"/>
              <w:rPr>
                <w:rFonts w:ascii="宋体" w:hAnsi="宋体"/>
                <w:color w:val="auto"/>
                <w:sz w:val="24"/>
                <w:szCs w:val="20"/>
              </w:rPr>
            </w:pPr>
          </w:p>
        </w:tc>
        <w:tc>
          <w:tcPr>
            <w:tcW w:w="1698" w:type="dxa"/>
            <w:vAlign w:val="center"/>
          </w:tcPr>
          <w:p w14:paraId="243FCFFC">
            <w:pPr>
              <w:snapToGrid w:val="0"/>
              <w:spacing w:before="50" w:after="120" w:afterLines="50"/>
              <w:jc w:val="center"/>
              <w:rPr>
                <w:rFonts w:ascii="宋体" w:hAnsi="宋体"/>
                <w:color w:val="auto"/>
                <w:sz w:val="24"/>
                <w:szCs w:val="20"/>
              </w:rPr>
            </w:pPr>
          </w:p>
        </w:tc>
        <w:tc>
          <w:tcPr>
            <w:tcW w:w="1843" w:type="dxa"/>
            <w:vAlign w:val="center"/>
          </w:tcPr>
          <w:p w14:paraId="3F1ABB55">
            <w:pPr>
              <w:snapToGrid w:val="0"/>
              <w:spacing w:before="50" w:after="120" w:afterLines="50"/>
              <w:jc w:val="center"/>
              <w:rPr>
                <w:rFonts w:ascii="宋体" w:hAnsi="宋体"/>
                <w:color w:val="auto"/>
                <w:sz w:val="24"/>
                <w:szCs w:val="20"/>
              </w:rPr>
            </w:pPr>
          </w:p>
        </w:tc>
      </w:tr>
      <w:tr w14:paraId="6E9E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074284">
            <w:pPr>
              <w:snapToGrid w:val="0"/>
              <w:spacing w:before="50" w:after="120" w:afterLines="50"/>
              <w:jc w:val="center"/>
              <w:rPr>
                <w:rFonts w:ascii="宋体" w:hAnsi="宋体"/>
                <w:color w:val="auto"/>
                <w:sz w:val="24"/>
                <w:szCs w:val="20"/>
              </w:rPr>
            </w:pPr>
          </w:p>
        </w:tc>
        <w:tc>
          <w:tcPr>
            <w:tcW w:w="709" w:type="dxa"/>
            <w:vAlign w:val="center"/>
          </w:tcPr>
          <w:p w14:paraId="6A8F8AB5">
            <w:pPr>
              <w:snapToGrid w:val="0"/>
              <w:spacing w:before="50" w:after="120" w:afterLines="50"/>
              <w:jc w:val="center"/>
              <w:rPr>
                <w:rFonts w:ascii="宋体" w:hAnsi="宋体"/>
                <w:color w:val="auto"/>
                <w:sz w:val="24"/>
                <w:szCs w:val="20"/>
              </w:rPr>
            </w:pPr>
          </w:p>
        </w:tc>
        <w:tc>
          <w:tcPr>
            <w:tcW w:w="1701" w:type="dxa"/>
            <w:vAlign w:val="center"/>
          </w:tcPr>
          <w:p w14:paraId="1FC929E8">
            <w:pPr>
              <w:snapToGrid w:val="0"/>
              <w:spacing w:before="50" w:after="120" w:afterLines="50"/>
              <w:jc w:val="center"/>
              <w:rPr>
                <w:rFonts w:ascii="宋体" w:hAnsi="宋体"/>
                <w:color w:val="auto"/>
                <w:sz w:val="24"/>
                <w:szCs w:val="20"/>
              </w:rPr>
            </w:pPr>
          </w:p>
        </w:tc>
        <w:tc>
          <w:tcPr>
            <w:tcW w:w="1420" w:type="dxa"/>
            <w:vAlign w:val="center"/>
          </w:tcPr>
          <w:p w14:paraId="03596F32">
            <w:pPr>
              <w:snapToGrid w:val="0"/>
              <w:spacing w:before="50" w:after="120" w:afterLines="50"/>
              <w:jc w:val="center"/>
              <w:rPr>
                <w:rFonts w:ascii="宋体" w:hAnsi="宋体"/>
                <w:color w:val="auto"/>
                <w:sz w:val="24"/>
                <w:szCs w:val="20"/>
              </w:rPr>
            </w:pPr>
          </w:p>
        </w:tc>
        <w:tc>
          <w:tcPr>
            <w:tcW w:w="1698" w:type="dxa"/>
            <w:vAlign w:val="center"/>
          </w:tcPr>
          <w:p w14:paraId="190B7056">
            <w:pPr>
              <w:snapToGrid w:val="0"/>
              <w:spacing w:before="50" w:after="120" w:afterLines="50"/>
              <w:jc w:val="center"/>
              <w:rPr>
                <w:rFonts w:ascii="宋体" w:hAnsi="宋体"/>
                <w:color w:val="auto"/>
                <w:sz w:val="24"/>
                <w:szCs w:val="20"/>
              </w:rPr>
            </w:pPr>
          </w:p>
        </w:tc>
        <w:tc>
          <w:tcPr>
            <w:tcW w:w="1843" w:type="dxa"/>
            <w:vAlign w:val="center"/>
          </w:tcPr>
          <w:p w14:paraId="66E15C4C">
            <w:pPr>
              <w:snapToGrid w:val="0"/>
              <w:spacing w:before="50" w:after="120" w:afterLines="50"/>
              <w:jc w:val="center"/>
              <w:rPr>
                <w:rFonts w:ascii="宋体" w:hAnsi="宋体"/>
                <w:color w:val="auto"/>
                <w:sz w:val="24"/>
                <w:szCs w:val="20"/>
              </w:rPr>
            </w:pPr>
          </w:p>
        </w:tc>
      </w:tr>
      <w:tr w14:paraId="4444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86A0BDA">
            <w:pPr>
              <w:snapToGrid w:val="0"/>
              <w:spacing w:before="50" w:after="120" w:afterLines="50"/>
              <w:jc w:val="center"/>
              <w:rPr>
                <w:rFonts w:ascii="宋体" w:hAnsi="宋体"/>
                <w:color w:val="auto"/>
                <w:sz w:val="24"/>
                <w:szCs w:val="20"/>
              </w:rPr>
            </w:pPr>
          </w:p>
        </w:tc>
        <w:tc>
          <w:tcPr>
            <w:tcW w:w="709" w:type="dxa"/>
            <w:vAlign w:val="center"/>
          </w:tcPr>
          <w:p w14:paraId="775597AA">
            <w:pPr>
              <w:snapToGrid w:val="0"/>
              <w:spacing w:before="50" w:after="120" w:afterLines="50"/>
              <w:jc w:val="center"/>
              <w:rPr>
                <w:rFonts w:ascii="宋体" w:hAnsi="宋体"/>
                <w:color w:val="auto"/>
                <w:sz w:val="24"/>
                <w:szCs w:val="20"/>
              </w:rPr>
            </w:pPr>
          </w:p>
        </w:tc>
        <w:tc>
          <w:tcPr>
            <w:tcW w:w="1701" w:type="dxa"/>
            <w:vAlign w:val="center"/>
          </w:tcPr>
          <w:p w14:paraId="29A83D0F">
            <w:pPr>
              <w:snapToGrid w:val="0"/>
              <w:spacing w:before="50" w:after="120" w:afterLines="50"/>
              <w:jc w:val="center"/>
              <w:rPr>
                <w:rFonts w:ascii="宋体" w:hAnsi="宋体"/>
                <w:color w:val="auto"/>
                <w:sz w:val="24"/>
                <w:szCs w:val="20"/>
              </w:rPr>
            </w:pPr>
          </w:p>
        </w:tc>
        <w:tc>
          <w:tcPr>
            <w:tcW w:w="1420" w:type="dxa"/>
            <w:vAlign w:val="center"/>
          </w:tcPr>
          <w:p w14:paraId="363B3C4B">
            <w:pPr>
              <w:snapToGrid w:val="0"/>
              <w:spacing w:before="50" w:after="120" w:afterLines="50"/>
              <w:jc w:val="center"/>
              <w:rPr>
                <w:rFonts w:ascii="宋体" w:hAnsi="宋体"/>
                <w:color w:val="auto"/>
                <w:sz w:val="24"/>
                <w:szCs w:val="20"/>
              </w:rPr>
            </w:pPr>
          </w:p>
        </w:tc>
        <w:tc>
          <w:tcPr>
            <w:tcW w:w="1698" w:type="dxa"/>
            <w:vAlign w:val="center"/>
          </w:tcPr>
          <w:p w14:paraId="1984ECE7">
            <w:pPr>
              <w:snapToGrid w:val="0"/>
              <w:spacing w:before="50" w:after="120" w:afterLines="50"/>
              <w:jc w:val="center"/>
              <w:rPr>
                <w:rFonts w:ascii="宋体" w:hAnsi="宋体"/>
                <w:color w:val="auto"/>
                <w:sz w:val="24"/>
                <w:szCs w:val="20"/>
              </w:rPr>
            </w:pPr>
          </w:p>
        </w:tc>
        <w:tc>
          <w:tcPr>
            <w:tcW w:w="1843" w:type="dxa"/>
            <w:vAlign w:val="center"/>
          </w:tcPr>
          <w:p w14:paraId="1B8123BA">
            <w:pPr>
              <w:snapToGrid w:val="0"/>
              <w:spacing w:before="50" w:after="120" w:afterLines="50"/>
              <w:jc w:val="center"/>
              <w:rPr>
                <w:rFonts w:ascii="宋体" w:hAnsi="宋体"/>
                <w:color w:val="auto"/>
                <w:sz w:val="24"/>
                <w:szCs w:val="20"/>
              </w:rPr>
            </w:pPr>
          </w:p>
        </w:tc>
      </w:tr>
    </w:tbl>
    <w:p w14:paraId="0A5DE599">
      <w:pPr>
        <w:snapToGrid w:val="0"/>
        <w:spacing w:before="50" w:after="120" w:afterLines="50"/>
        <w:jc w:val="left"/>
        <w:rPr>
          <w:rFonts w:ascii="宋体" w:hAnsi="宋体"/>
          <w:color w:val="auto"/>
          <w:sz w:val="24"/>
          <w:szCs w:val="20"/>
        </w:rPr>
      </w:pPr>
    </w:p>
    <w:p w14:paraId="4F3DC2FF">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0F6E951E">
      <w:pPr>
        <w:spacing w:line="360" w:lineRule="auto"/>
        <w:contextualSpacing/>
        <w:jc w:val="left"/>
        <w:rPr>
          <w:rFonts w:ascii="宋体" w:hAnsi="宋体"/>
          <w:color w:val="auto"/>
          <w:sz w:val="24"/>
          <w:szCs w:val="20"/>
        </w:rPr>
      </w:pPr>
      <w:r>
        <w:rPr>
          <w:rFonts w:hint="eastAsia" w:ascii="宋体" w:hAnsi="宋体"/>
          <w:color w:val="auto"/>
          <w:sz w:val="24"/>
          <w:szCs w:val="20"/>
        </w:rPr>
        <w:t>1.在填写时，如本表格不适合投标单位的实际情况，可根据本表格式自行制表填写。</w:t>
      </w:r>
    </w:p>
    <w:p w14:paraId="205B69A1">
      <w:pPr>
        <w:spacing w:line="360" w:lineRule="auto"/>
        <w:contextualSpacing/>
        <w:jc w:val="left"/>
        <w:rPr>
          <w:rFonts w:ascii="宋体" w:hAnsi="宋体"/>
          <w:color w:val="auto"/>
          <w:sz w:val="24"/>
          <w:szCs w:val="20"/>
        </w:rPr>
      </w:pPr>
      <w:r>
        <w:rPr>
          <w:rFonts w:hint="eastAsia" w:ascii="宋体" w:hAnsi="宋体"/>
          <w:color w:val="auto"/>
          <w:sz w:val="24"/>
          <w:szCs w:val="20"/>
        </w:rPr>
        <w:t>2.投标人应当附本表所列证书的复印件并加盖投标人电子签章。</w:t>
      </w:r>
    </w:p>
    <w:p w14:paraId="6DF01522">
      <w:pPr>
        <w:spacing w:line="360" w:lineRule="auto"/>
        <w:contextualSpacing/>
        <w:jc w:val="left"/>
        <w:rPr>
          <w:rFonts w:ascii="宋体" w:hAnsi="宋体"/>
          <w:color w:val="auto"/>
          <w:sz w:val="24"/>
          <w:szCs w:val="20"/>
        </w:rPr>
      </w:pPr>
    </w:p>
    <w:p w14:paraId="2E67BCC7">
      <w:pPr>
        <w:spacing w:line="360" w:lineRule="auto"/>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5CC1E8D8">
      <w:pPr>
        <w:spacing w:line="360" w:lineRule="auto"/>
        <w:contextualSpacing/>
        <w:jc w:val="left"/>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160E9C69">
      <w:pPr>
        <w:spacing w:line="360" w:lineRule="auto"/>
        <w:contextualSpacing/>
        <w:jc w:val="left"/>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499317E0">
      <w:pPr>
        <w:spacing w:line="360" w:lineRule="auto"/>
        <w:contextualSpacing/>
        <w:jc w:val="left"/>
        <w:rPr>
          <w:rFonts w:ascii="宋体" w:hAnsi="宋体"/>
          <w:color w:val="auto"/>
          <w:sz w:val="24"/>
          <w:szCs w:val="20"/>
        </w:rPr>
      </w:pPr>
    </w:p>
    <w:p w14:paraId="2B07BAE7">
      <w:pPr>
        <w:snapToGrid w:val="0"/>
        <w:spacing w:before="50" w:after="120" w:afterLines="50"/>
        <w:jc w:val="left"/>
        <w:rPr>
          <w:rFonts w:ascii="宋体" w:hAnsi="宋体"/>
          <w:color w:val="auto"/>
          <w:sz w:val="24"/>
          <w:szCs w:val="20"/>
        </w:rPr>
      </w:pPr>
    </w:p>
    <w:p w14:paraId="6299F12E">
      <w:pPr>
        <w:snapToGrid w:val="0"/>
        <w:spacing w:before="120" w:beforeLines="50" w:after="50"/>
        <w:jc w:val="left"/>
        <w:rPr>
          <w:rFonts w:ascii="宋体" w:hAnsi="宋体"/>
          <w:color w:val="auto"/>
          <w:sz w:val="24"/>
          <w:szCs w:val="20"/>
        </w:rPr>
      </w:pPr>
    </w:p>
    <w:p w14:paraId="46C65391">
      <w:pPr>
        <w:snapToGrid w:val="0"/>
        <w:spacing w:before="50" w:after="120" w:afterLines="50"/>
        <w:jc w:val="left"/>
        <w:rPr>
          <w:rFonts w:ascii="宋体" w:hAnsi="宋体"/>
          <w:color w:val="auto"/>
          <w:sz w:val="24"/>
          <w:szCs w:val="20"/>
        </w:rPr>
      </w:pPr>
    </w:p>
    <w:p w14:paraId="4180C40F">
      <w:pPr>
        <w:rPr>
          <w:b/>
          <w:color w:val="auto"/>
          <w:sz w:val="28"/>
          <w:szCs w:val="28"/>
        </w:rPr>
      </w:pPr>
      <w:r>
        <w:rPr>
          <w:rFonts w:ascii="宋体" w:hAnsi="宋体"/>
          <w:b/>
          <w:bCs/>
          <w:color w:val="auto"/>
          <w:sz w:val="24"/>
        </w:rPr>
        <w:br w:type="page"/>
      </w:r>
      <w:bookmarkStart w:id="142" w:name="_Toc19686840"/>
      <w:r>
        <w:rPr>
          <w:rFonts w:hint="eastAsia"/>
          <w:b/>
          <w:color w:val="auto"/>
          <w:sz w:val="28"/>
          <w:szCs w:val="28"/>
        </w:rPr>
        <w:t>四、其他文书、文件格式</w:t>
      </w:r>
      <w:bookmarkEnd w:id="142"/>
    </w:p>
    <w:p w14:paraId="77805F3B">
      <w:pPr>
        <w:snapToGrid w:val="0"/>
        <w:spacing w:before="120" w:beforeLines="50" w:after="50"/>
        <w:jc w:val="left"/>
        <w:rPr>
          <w:color w:val="auto"/>
        </w:rPr>
      </w:pPr>
      <w:r>
        <w:rPr>
          <w:rFonts w:hint="eastAsia" w:ascii="宋体" w:hAnsi="宋体"/>
          <w:b/>
          <w:color w:val="auto"/>
          <w:sz w:val="24"/>
        </w:rPr>
        <w:t xml:space="preserve"> </w:t>
      </w:r>
      <w:r>
        <w:rPr>
          <w:rFonts w:hint="eastAsia" w:ascii="宋体" w:hAnsi="宋体"/>
          <w:b/>
          <w:color w:val="auto"/>
          <w:sz w:val="24"/>
          <w:lang w:val="en-US" w:eastAsia="zh-CN"/>
        </w:rPr>
        <w:t>1</w:t>
      </w:r>
      <w:r>
        <w:rPr>
          <w:rFonts w:hint="eastAsia" w:ascii="宋体" w:hAnsi="宋体"/>
          <w:b/>
          <w:color w:val="auto"/>
          <w:sz w:val="24"/>
        </w:rPr>
        <w:t>.中小企业声明函格式</w:t>
      </w:r>
    </w:p>
    <w:p w14:paraId="12D2553F">
      <w:pPr>
        <w:rPr>
          <w:color w:val="auto"/>
        </w:rPr>
      </w:pPr>
    </w:p>
    <w:p w14:paraId="2A1CFA46">
      <w:pPr>
        <w:jc w:val="center"/>
        <w:rPr>
          <w:rFonts w:ascii="微软雅黑" w:hAnsi="微软雅黑" w:eastAsia="微软雅黑" w:cs="微软雅黑"/>
          <w:color w:val="auto"/>
          <w:sz w:val="44"/>
          <w:szCs w:val="44"/>
        </w:rPr>
      </w:pPr>
      <w:r>
        <w:rPr>
          <w:rFonts w:hint="eastAsia" w:ascii="微软雅黑" w:hAnsi="微软雅黑" w:eastAsia="微软雅黑" w:cs="微软雅黑"/>
          <w:color w:val="auto"/>
          <w:sz w:val="44"/>
          <w:szCs w:val="44"/>
        </w:rPr>
        <w:t>中小企业声明函（服务）</w:t>
      </w:r>
    </w:p>
    <w:p w14:paraId="34BA2599">
      <w:pPr>
        <w:spacing w:before="2" w:line="500" w:lineRule="exact"/>
        <w:rPr>
          <w:rFonts w:ascii="宋体" w:hAnsi="宋体" w:cs="宋体"/>
          <w:b/>
          <w:bCs/>
          <w:color w:val="auto"/>
          <w:sz w:val="24"/>
        </w:rPr>
      </w:pPr>
    </w:p>
    <w:p w14:paraId="64413413">
      <w:pPr>
        <w:pStyle w:val="16"/>
        <w:spacing w:line="500" w:lineRule="exact"/>
        <w:ind w:right="142" w:firstLine="480" w:firstLineChars="200"/>
        <w:rPr>
          <w:rFonts w:ascii="宋体" w:hAnsi="宋体"/>
          <w:color w:val="auto"/>
        </w:rPr>
      </w:pPr>
      <w:r>
        <w:rPr>
          <w:rFonts w:ascii="宋体" w:hAnsi="宋体"/>
          <w:color w:val="auto"/>
        </w:rPr>
        <w:t>本公司（联合体）郑重声明，根据《政府采购促进中小企业发展管理办法》（财库﹝2020﹞46号）的规定，本公司（联合体）参加</w:t>
      </w:r>
      <w:r>
        <w:rPr>
          <w:rFonts w:ascii="宋体" w:hAnsi="宋体"/>
          <w:color w:val="auto"/>
          <w:u w:val="single"/>
        </w:rPr>
        <w:t>（单位名称）</w:t>
      </w:r>
      <w:r>
        <w:rPr>
          <w:rFonts w:ascii="宋体" w:hAnsi="宋体"/>
          <w:color w:val="auto"/>
        </w:rPr>
        <w:t>的</w:t>
      </w:r>
      <w:r>
        <w:rPr>
          <w:rFonts w:ascii="宋体" w:hAnsi="宋体"/>
          <w:color w:val="auto"/>
          <w:u w:val="single"/>
        </w:rPr>
        <w:t>（项目名称）</w:t>
      </w:r>
      <w:r>
        <w:rPr>
          <w:rFonts w:ascii="宋体" w:hAnsi="宋体"/>
          <w:color w:val="auto"/>
        </w:rPr>
        <w:t>采购活动，</w:t>
      </w:r>
      <w:r>
        <w:rPr>
          <w:rFonts w:hint="eastAsia" w:ascii="宋体" w:hAnsi="宋体"/>
          <w:color w:val="auto"/>
        </w:rPr>
        <w:t>服务全部由符合政策要求的中小企业承接。相关企业（含联合体中的中小企业、签订分包意向协议的中小企业）的具体情况如下：</w:t>
      </w:r>
    </w:p>
    <w:p w14:paraId="3477A068">
      <w:pPr>
        <w:tabs>
          <w:tab w:val="left" w:pos="1384"/>
          <w:tab w:val="left" w:pos="4562"/>
          <w:tab w:val="left" w:pos="6803"/>
        </w:tabs>
        <w:spacing w:before="13" w:line="500" w:lineRule="exact"/>
        <w:ind w:right="142" w:firstLine="686" w:firstLineChars="286"/>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6C519803">
      <w:pPr>
        <w:tabs>
          <w:tab w:val="left" w:pos="1065"/>
          <w:tab w:val="left" w:pos="4262"/>
          <w:tab w:val="left" w:pos="6477"/>
        </w:tabs>
        <w:spacing w:before="20" w:line="500" w:lineRule="exact"/>
        <w:ind w:right="84" w:firstLine="686" w:firstLineChars="286"/>
        <w:rPr>
          <w:rFonts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114189F4">
      <w:pPr>
        <w:pStyle w:val="16"/>
        <w:spacing w:before="34" w:line="500" w:lineRule="exact"/>
        <w:ind w:left="765" w:right="142" w:hanging="5"/>
        <w:rPr>
          <w:rFonts w:ascii="宋体" w:hAnsi="宋体"/>
          <w:color w:val="auto"/>
        </w:rPr>
      </w:pPr>
      <w:r>
        <w:rPr>
          <w:rFonts w:ascii="宋体" w:hAnsi="宋体"/>
          <w:color w:val="auto"/>
        </w:rPr>
        <w:t xml:space="preserve">…… </w:t>
      </w:r>
    </w:p>
    <w:p w14:paraId="1A56079F">
      <w:pPr>
        <w:pStyle w:val="16"/>
        <w:spacing w:before="34" w:line="500" w:lineRule="exact"/>
        <w:ind w:right="142" w:firstLine="480" w:firstLineChars="200"/>
        <w:rPr>
          <w:rFonts w:ascii="宋体" w:hAnsi="宋体"/>
          <w:color w:val="auto"/>
        </w:rPr>
      </w:pPr>
      <w:r>
        <w:rPr>
          <w:rFonts w:ascii="宋体" w:hAnsi="宋体"/>
          <w:color w:val="auto"/>
        </w:rPr>
        <w:t>以上企业，不属于大企业的分支机构，不存在控股股东为大企业的情形，也不存在与大企业的负责人为同一人的情形。</w:t>
      </w:r>
    </w:p>
    <w:p w14:paraId="716F1827">
      <w:pPr>
        <w:pStyle w:val="16"/>
        <w:spacing w:before="34" w:line="500" w:lineRule="exact"/>
        <w:ind w:right="142" w:firstLine="480" w:firstLineChars="200"/>
        <w:rPr>
          <w:rFonts w:ascii="宋体" w:hAnsi="宋体"/>
          <w:color w:val="auto"/>
        </w:rPr>
      </w:pPr>
      <w:r>
        <w:rPr>
          <w:rFonts w:ascii="宋体" w:hAnsi="宋体"/>
          <w:color w:val="auto"/>
        </w:rPr>
        <w:t>本企业对上述声明内容的真实性负责。如有虚假，将依法承担相应责任。</w:t>
      </w:r>
    </w:p>
    <w:p w14:paraId="4DFE959D">
      <w:pPr>
        <w:pStyle w:val="16"/>
        <w:spacing w:before="56" w:line="500" w:lineRule="exact"/>
        <w:ind w:left="3960" w:right="1808"/>
        <w:rPr>
          <w:rFonts w:ascii="宋体" w:hAnsi="宋体"/>
          <w:color w:val="auto"/>
        </w:rPr>
      </w:pPr>
      <w:r>
        <w:rPr>
          <w:rFonts w:ascii="宋体" w:hAnsi="宋体"/>
          <w:color w:val="auto"/>
          <w:kern w:val="24"/>
        </w:rPr>
        <w:t>企业名称（</w:t>
      </w:r>
      <w:r>
        <w:rPr>
          <w:rFonts w:hint="eastAsia" w:ascii="宋体" w:hAnsi="宋体"/>
          <w:color w:val="auto"/>
          <w:kern w:val="24"/>
        </w:rPr>
        <w:t>电子签章</w:t>
      </w:r>
      <w:r>
        <w:rPr>
          <w:rFonts w:ascii="宋体" w:hAnsi="宋体"/>
          <w:color w:val="auto"/>
          <w:kern w:val="24"/>
        </w:rPr>
        <w:t>）：</w:t>
      </w:r>
      <w:r>
        <w:rPr>
          <w:rFonts w:ascii="宋体" w:hAnsi="宋体"/>
          <w:color w:val="auto"/>
        </w:rPr>
        <w:t xml:space="preserve"> </w:t>
      </w:r>
    </w:p>
    <w:p w14:paraId="3ABE9535">
      <w:pPr>
        <w:pStyle w:val="16"/>
        <w:spacing w:before="56" w:line="500" w:lineRule="exact"/>
        <w:ind w:left="3960" w:right="1808"/>
        <w:rPr>
          <w:rFonts w:ascii="宋体" w:hAnsi="宋体"/>
          <w:color w:val="auto"/>
        </w:rPr>
      </w:pPr>
      <w:r>
        <w:rPr>
          <w:rFonts w:ascii="宋体" w:hAnsi="宋体"/>
          <w:color w:val="auto"/>
        </w:rPr>
        <w:t>日 期：</w:t>
      </w:r>
    </w:p>
    <w:p w14:paraId="3C6EDEAE">
      <w:pPr>
        <w:rPr>
          <w:rFonts w:ascii="宋体" w:hAnsi="宋体"/>
          <w:color w:val="auto"/>
          <w:sz w:val="24"/>
        </w:rPr>
      </w:pPr>
      <w:r>
        <w:rPr>
          <w:rFonts w:hint="eastAsia" w:ascii="宋体" w:hAnsi="宋体"/>
          <w:color w:val="auto"/>
          <w:spacing w:val="6"/>
          <w:sz w:val="24"/>
        </w:rPr>
        <w:t xml:space="preserve"> </w:t>
      </w:r>
    </w:p>
    <w:p w14:paraId="04619D8B">
      <w:pPr>
        <w:ind w:firstLine="480" w:firstLineChars="200"/>
        <w:rPr>
          <w:rFonts w:ascii="宋体" w:hAnsi="宋体"/>
          <w:b/>
          <w:color w:val="auto"/>
          <w:sz w:val="24"/>
        </w:rPr>
      </w:pPr>
      <w:r>
        <w:rPr>
          <w:rFonts w:hint="eastAsia" w:ascii="宋体" w:hAnsi="宋体"/>
          <w:color w:val="auto"/>
          <w:kern w:val="0"/>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rPr>
        <w:br w:type="page"/>
      </w:r>
      <w:r>
        <w:rPr>
          <w:rFonts w:hint="eastAsia" w:ascii="宋体" w:hAnsi="宋体"/>
          <w:b/>
          <w:color w:val="auto"/>
          <w:sz w:val="24"/>
          <w:lang w:val="en-US" w:eastAsia="zh-CN"/>
        </w:rPr>
        <w:t>2</w:t>
      </w:r>
      <w:r>
        <w:rPr>
          <w:rFonts w:hint="eastAsia" w:ascii="宋体" w:hAnsi="宋体"/>
          <w:b/>
          <w:color w:val="auto"/>
          <w:sz w:val="24"/>
        </w:rPr>
        <w:t>.残疾人福利性单位声明函格式</w:t>
      </w:r>
    </w:p>
    <w:p w14:paraId="2FE5994A">
      <w:pPr>
        <w:spacing w:line="588" w:lineRule="exact"/>
        <w:jc w:val="center"/>
        <w:rPr>
          <w:rFonts w:ascii="仿宋_GB2312" w:eastAsia="仿宋_GB2312"/>
          <w:b/>
          <w:color w:val="auto"/>
          <w:spacing w:val="6"/>
          <w:sz w:val="32"/>
          <w:szCs w:val="32"/>
        </w:rPr>
      </w:pPr>
      <w:bookmarkStart w:id="143" w:name="OLE_LINK13"/>
      <w:bookmarkStart w:id="144" w:name="OLE_LINK14"/>
    </w:p>
    <w:p w14:paraId="163683C7">
      <w:pPr>
        <w:spacing w:line="588" w:lineRule="exact"/>
        <w:jc w:val="center"/>
        <w:rPr>
          <w:rFonts w:ascii="微软雅黑" w:hAnsi="微软雅黑" w:eastAsia="微软雅黑" w:cs="微软雅黑"/>
          <w:bCs/>
          <w:color w:val="auto"/>
          <w:spacing w:val="6"/>
          <w:sz w:val="44"/>
          <w:szCs w:val="44"/>
        </w:rPr>
      </w:pPr>
      <w:r>
        <w:rPr>
          <w:rFonts w:hint="eastAsia" w:ascii="微软雅黑" w:hAnsi="微软雅黑" w:eastAsia="微软雅黑" w:cs="微软雅黑"/>
          <w:bCs/>
          <w:color w:val="auto"/>
          <w:spacing w:val="6"/>
          <w:sz w:val="44"/>
          <w:szCs w:val="44"/>
        </w:rPr>
        <w:t>残疾人福利性单位声明函</w:t>
      </w:r>
    </w:p>
    <w:bookmarkEnd w:id="143"/>
    <w:bookmarkEnd w:id="144"/>
    <w:p w14:paraId="446A1F3E">
      <w:pPr>
        <w:spacing w:line="588" w:lineRule="exact"/>
        <w:rPr>
          <w:rFonts w:ascii="仿宋_GB2312" w:eastAsia="仿宋_GB2312"/>
          <w:b/>
          <w:color w:val="auto"/>
          <w:spacing w:val="6"/>
          <w:sz w:val="30"/>
          <w:szCs w:val="30"/>
        </w:rPr>
      </w:pPr>
    </w:p>
    <w:p w14:paraId="363D5EF9">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6B713AF0">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71EF0A23">
      <w:pPr>
        <w:spacing w:line="360" w:lineRule="auto"/>
        <w:ind w:firstLine="504" w:firstLineChars="200"/>
        <w:contextualSpacing/>
        <w:rPr>
          <w:rFonts w:ascii="宋体" w:hAnsi="宋体"/>
          <w:color w:val="auto"/>
          <w:spacing w:val="6"/>
          <w:sz w:val="24"/>
        </w:rPr>
      </w:pPr>
    </w:p>
    <w:p w14:paraId="7A64D1C7">
      <w:pPr>
        <w:spacing w:line="360" w:lineRule="auto"/>
        <w:ind w:firstLine="504" w:firstLineChars="200"/>
        <w:contextualSpacing/>
        <w:rPr>
          <w:rFonts w:ascii="宋体" w:hAnsi="宋体"/>
          <w:color w:val="auto"/>
          <w:spacing w:val="6"/>
          <w:sz w:val="24"/>
        </w:rPr>
      </w:pPr>
    </w:p>
    <w:p w14:paraId="08D0C33F">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单位名称（电子签章）：</w:t>
      </w:r>
    </w:p>
    <w:p w14:paraId="4BDEF66B">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日  期：</w:t>
      </w:r>
    </w:p>
    <w:p w14:paraId="43A038FE">
      <w:pPr>
        <w:spacing w:line="360" w:lineRule="auto"/>
        <w:contextualSpacing/>
        <w:rPr>
          <w:rFonts w:ascii="宋体" w:hAnsi="宋体"/>
          <w:color w:val="auto"/>
          <w:sz w:val="24"/>
        </w:rPr>
      </w:pPr>
    </w:p>
    <w:p w14:paraId="74B7451B">
      <w:pPr>
        <w:spacing w:line="360" w:lineRule="auto"/>
        <w:contextualSpacing/>
        <w:rPr>
          <w:rFonts w:ascii="宋体" w:hAnsi="宋体"/>
          <w:color w:val="auto"/>
          <w:sz w:val="24"/>
        </w:rPr>
      </w:pPr>
    </w:p>
    <w:p w14:paraId="35E31F09">
      <w:pPr>
        <w:spacing w:line="360" w:lineRule="auto"/>
        <w:contextualSpacing/>
        <w:rPr>
          <w:rFonts w:ascii="宋体" w:hAnsi="宋体"/>
          <w:color w:val="auto"/>
          <w:sz w:val="24"/>
        </w:rPr>
      </w:pPr>
    </w:p>
    <w:p w14:paraId="652A6A6B">
      <w:pPr>
        <w:spacing w:line="360" w:lineRule="auto"/>
        <w:contextualSpacing/>
        <w:rPr>
          <w:rFonts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27417605">
      <w:pPr>
        <w:pStyle w:val="16"/>
        <w:rPr>
          <w:rFonts w:ascii="宋体" w:hAnsi="宋体"/>
          <w:b/>
          <w:color w:val="auto"/>
        </w:rPr>
      </w:pPr>
      <w:r>
        <w:rPr>
          <w:rFonts w:ascii="宋体" w:hAnsi="宋体"/>
          <w:color w:val="auto"/>
        </w:rPr>
        <w:br w:type="page"/>
      </w:r>
      <w:r>
        <w:rPr>
          <w:rFonts w:hint="eastAsia" w:ascii="宋体" w:hAnsi="宋体"/>
          <w:b/>
          <w:color w:val="auto"/>
          <w:lang w:val="en-US" w:eastAsia="zh-CN"/>
        </w:rPr>
        <w:t>3</w:t>
      </w:r>
      <w:r>
        <w:rPr>
          <w:rFonts w:hint="eastAsia" w:ascii="宋体" w:hAnsi="宋体"/>
          <w:b/>
          <w:color w:val="auto"/>
        </w:rPr>
        <w:t>.</w:t>
      </w:r>
      <w:r>
        <w:rPr>
          <w:rFonts w:hint="eastAsia"/>
          <w:color w:val="auto"/>
        </w:rPr>
        <w:t xml:space="preserve"> </w:t>
      </w:r>
      <w:r>
        <w:rPr>
          <w:rFonts w:hint="eastAsia" w:ascii="宋体" w:hAnsi="宋体"/>
          <w:b/>
          <w:color w:val="auto"/>
        </w:rPr>
        <w:t>关于符合本国产品标准的声明函格式</w:t>
      </w:r>
    </w:p>
    <w:p w14:paraId="15596DEB">
      <w:pPr>
        <w:pStyle w:val="16"/>
        <w:rPr>
          <w:color w:val="auto"/>
        </w:rPr>
      </w:pPr>
    </w:p>
    <w:p w14:paraId="22DA8A84">
      <w:pPr>
        <w:widowControl/>
        <w:shd w:val="clear" w:color="auto" w:fill="FFFFFF"/>
        <w:jc w:val="center"/>
        <w:rPr>
          <w:rFonts w:ascii="宋体" w:hAnsi="宋体" w:cs="宋体"/>
          <w:color w:val="auto"/>
          <w:kern w:val="0"/>
          <w:sz w:val="36"/>
          <w:szCs w:val="36"/>
        </w:rPr>
      </w:pPr>
      <w:r>
        <w:rPr>
          <w:rFonts w:hint="eastAsia" w:ascii="宋体" w:hAnsi="宋体" w:cs="宋体"/>
          <w:b/>
          <w:bCs/>
          <w:color w:val="auto"/>
          <w:kern w:val="0"/>
          <w:sz w:val="36"/>
          <w:szCs w:val="36"/>
        </w:rPr>
        <w:t>关于符合本国产品标准的声明函</w:t>
      </w:r>
    </w:p>
    <w:p w14:paraId="3500C1FF">
      <w:pPr>
        <w:widowControl/>
        <w:shd w:val="clear" w:color="auto" w:fill="FFFFFF"/>
        <w:spacing w:before="30" w:after="30"/>
        <w:ind w:firstLine="480"/>
        <w:jc w:val="left"/>
        <w:rPr>
          <w:rFonts w:ascii="宋体" w:hAnsi="宋体" w:cs="宋体"/>
          <w:color w:val="auto"/>
          <w:kern w:val="0"/>
          <w:sz w:val="24"/>
        </w:rPr>
      </w:pPr>
      <w:r>
        <w:rPr>
          <w:rFonts w:hint="eastAsia" w:ascii="宋体" w:hAnsi="宋体" w:cs="宋体"/>
          <w:color w:val="auto"/>
          <w:kern w:val="0"/>
          <w:sz w:val="24"/>
        </w:rPr>
        <w:t> </w:t>
      </w:r>
    </w:p>
    <w:p w14:paraId="791F1785">
      <w:pPr>
        <w:widowControl/>
        <w:shd w:val="clear" w:color="auto" w:fill="FFFFFF"/>
        <w:spacing w:before="30" w:after="30"/>
        <w:ind w:firstLine="480"/>
        <w:jc w:val="left"/>
        <w:rPr>
          <w:rFonts w:ascii="宋体" w:hAnsi="宋体" w:cs="宋体"/>
          <w:color w:val="auto"/>
          <w:kern w:val="0"/>
          <w:sz w:val="24"/>
        </w:rPr>
      </w:pPr>
      <w:r>
        <w:rPr>
          <w:rFonts w:hint="eastAsia" w:ascii="宋体" w:hAnsi="宋体" w:cs="宋体"/>
          <w:color w:val="auto"/>
          <w:kern w:val="0"/>
          <w:sz w:val="24"/>
        </w:rPr>
        <w:t>本公司（单位）郑重声明，根据《国务院办公厅关于在政府采购中实施本国产品标准及相关政策的通知》（国办发〔2025〕34号）的规定，本公司（单位）提供的以下产品属于本国产品。具体情况如下：</w:t>
      </w:r>
    </w:p>
    <w:p w14:paraId="38D638E3">
      <w:pPr>
        <w:widowControl/>
        <w:shd w:val="clear" w:color="auto" w:fill="FFFFFF"/>
        <w:ind w:firstLine="48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i/>
          <w:iCs/>
          <w:color w:val="auto"/>
          <w:kern w:val="0"/>
          <w:sz w:val="24"/>
        </w:rPr>
        <w:t>（产品名称1）</w:t>
      </w:r>
      <w:r>
        <w:rPr>
          <w:rFonts w:hint="eastAsia" w:ascii="宋体" w:hAnsi="宋体" w:cs="宋体"/>
          <w:i/>
          <w:iCs/>
          <w:color w:val="auto"/>
          <w:kern w:val="0"/>
          <w:sz w:val="18"/>
          <w:szCs w:val="18"/>
          <w:vertAlign w:val="superscript"/>
        </w:rPr>
        <w:t>1</w:t>
      </w:r>
      <w:r>
        <w:rPr>
          <w:rFonts w:hint="eastAsia" w:ascii="宋体" w:hAnsi="宋体" w:cs="宋体"/>
          <w:color w:val="auto"/>
          <w:kern w:val="0"/>
          <w:sz w:val="24"/>
        </w:rPr>
        <w:t>，生产厂为</w:t>
      </w:r>
      <w:r>
        <w:rPr>
          <w:rFonts w:hint="eastAsia" w:ascii="宋体" w:hAnsi="宋体" w:cs="宋体"/>
          <w:i/>
          <w:iCs/>
          <w:color w:val="auto"/>
          <w:kern w:val="0"/>
          <w:sz w:val="24"/>
        </w:rPr>
        <w:t>（厂名）</w:t>
      </w:r>
      <w:r>
        <w:rPr>
          <w:rFonts w:hint="eastAsia" w:ascii="宋体" w:hAnsi="宋体" w:cs="宋体"/>
          <w:i/>
          <w:iCs/>
          <w:color w:val="auto"/>
          <w:kern w:val="0"/>
          <w:sz w:val="18"/>
          <w:szCs w:val="18"/>
          <w:vertAlign w:val="superscript"/>
        </w:rPr>
        <w:t>2</w:t>
      </w:r>
      <w:r>
        <w:rPr>
          <w:rFonts w:hint="eastAsia" w:ascii="宋体" w:hAnsi="宋体" w:cs="宋体"/>
          <w:color w:val="auto"/>
          <w:kern w:val="0"/>
          <w:sz w:val="24"/>
        </w:rPr>
        <w:t>，厂址为</w:t>
      </w:r>
      <w:r>
        <w:rPr>
          <w:rFonts w:hint="eastAsia" w:ascii="宋体" w:hAnsi="宋体" w:cs="宋体"/>
          <w:i/>
          <w:iCs/>
          <w:color w:val="auto"/>
          <w:kern w:val="0"/>
          <w:sz w:val="24"/>
        </w:rPr>
        <w:t>（生产厂址）</w:t>
      </w:r>
      <w:r>
        <w:rPr>
          <w:rFonts w:hint="eastAsia" w:ascii="宋体" w:hAnsi="宋体" w:cs="宋体"/>
          <w:color w:val="auto"/>
          <w:kern w:val="0"/>
          <w:sz w:val="24"/>
        </w:rPr>
        <w:t>。</w:t>
      </w:r>
      <w:r>
        <w:rPr>
          <w:rFonts w:hint="eastAsia" w:ascii="宋体" w:hAnsi="宋体" w:cs="宋体"/>
          <w:i/>
          <w:iCs/>
          <w:color w:val="auto"/>
          <w:kern w:val="0"/>
          <w:sz w:val="24"/>
        </w:rPr>
        <w:t>（产品名称1）</w:t>
      </w:r>
      <w:r>
        <w:rPr>
          <w:rFonts w:hint="eastAsia" w:ascii="宋体" w:hAnsi="宋体" w:cs="宋体"/>
          <w:color w:val="auto"/>
          <w:kern w:val="0"/>
          <w:sz w:val="24"/>
        </w:rPr>
        <w:t>的中国境内生产的组件成本占比≥</w:t>
      </w:r>
      <w:r>
        <w:rPr>
          <w:rFonts w:hint="eastAsia" w:ascii="宋体" w:hAnsi="宋体" w:cs="宋体"/>
          <w:i/>
          <w:iCs/>
          <w:color w:val="auto"/>
          <w:kern w:val="0"/>
          <w:sz w:val="24"/>
        </w:rPr>
        <w:t>（规定比例）</w:t>
      </w:r>
      <w:r>
        <w:rPr>
          <w:rFonts w:hint="eastAsia" w:ascii="宋体" w:hAnsi="宋体" w:cs="宋体"/>
          <w:i/>
          <w:iCs/>
          <w:color w:val="auto"/>
          <w:kern w:val="0"/>
          <w:sz w:val="18"/>
          <w:szCs w:val="18"/>
          <w:vertAlign w:val="superscript"/>
        </w:rPr>
        <w:t>3</w:t>
      </w:r>
      <w:r>
        <w:rPr>
          <w:rFonts w:hint="eastAsia" w:ascii="宋体" w:hAnsi="宋体" w:cs="宋体"/>
          <w:color w:val="auto"/>
          <w:kern w:val="0"/>
          <w:sz w:val="24"/>
        </w:rPr>
        <w:t>。</w:t>
      </w:r>
      <w:r>
        <w:rPr>
          <w:rFonts w:hint="eastAsia" w:ascii="宋体" w:hAnsi="宋体" w:cs="宋体"/>
          <w:i/>
          <w:iCs/>
          <w:color w:val="auto"/>
          <w:kern w:val="0"/>
          <w:sz w:val="24"/>
        </w:rPr>
        <w:t>（产品名称1）</w:t>
      </w:r>
      <w:r>
        <w:rPr>
          <w:rFonts w:hint="eastAsia" w:ascii="宋体" w:hAnsi="宋体" w:cs="宋体"/>
          <w:color w:val="auto"/>
          <w:kern w:val="0"/>
          <w:sz w:val="24"/>
        </w:rPr>
        <w:t>的</w:t>
      </w:r>
      <w:r>
        <w:rPr>
          <w:rFonts w:hint="eastAsia" w:ascii="宋体" w:hAnsi="宋体" w:cs="宋体"/>
          <w:i/>
          <w:iCs/>
          <w:color w:val="auto"/>
          <w:kern w:val="0"/>
          <w:sz w:val="24"/>
        </w:rPr>
        <w:t>（关键组件）</w:t>
      </w:r>
      <w:r>
        <w:rPr>
          <w:rFonts w:hint="eastAsia" w:ascii="宋体" w:hAnsi="宋体" w:cs="宋体"/>
          <w:i/>
          <w:iCs/>
          <w:color w:val="auto"/>
          <w:kern w:val="0"/>
          <w:sz w:val="18"/>
          <w:szCs w:val="18"/>
          <w:vertAlign w:val="superscript"/>
        </w:rPr>
        <w:t>4</w:t>
      </w:r>
      <w:r>
        <w:rPr>
          <w:rFonts w:hint="eastAsia" w:ascii="宋体" w:hAnsi="宋体" w:cs="宋体"/>
          <w:color w:val="auto"/>
          <w:kern w:val="0"/>
          <w:sz w:val="24"/>
        </w:rPr>
        <w:t>在中国境内生产。</w:t>
      </w:r>
      <w:r>
        <w:rPr>
          <w:rFonts w:hint="eastAsia" w:ascii="宋体" w:hAnsi="宋体" w:cs="宋体"/>
          <w:i/>
          <w:iCs/>
          <w:color w:val="auto"/>
          <w:kern w:val="0"/>
          <w:sz w:val="24"/>
        </w:rPr>
        <w:t>（产品名称1）</w:t>
      </w:r>
      <w:r>
        <w:rPr>
          <w:rFonts w:hint="eastAsia" w:ascii="宋体" w:hAnsi="宋体" w:cs="宋体"/>
          <w:color w:val="auto"/>
          <w:kern w:val="0"/>
          <w:sz w:val="24"/>
        </w:rPr>
        <w:t>的</w:t>
      </w:r>
      <w:r>
        <w:rPr>
          <w:rFonts w:hint="eastAsia" w:ascii="宋体" w:hAnsi="宋体" w:cs="宋体"/>
          <w:i/>
          <w:iCs/>
          <w:color w:val="auto"/>
          <w:kern w:val="0"/>
          <w:sz w:val="24"/>
        </w:rPr>
        <w:t>（关键工序）</w:t>
      </w:r>
      <w:r>
        <w:rPr>
          <w:rFonts w:hint="eastAsia" w:ascii="宋体" w:hAnsi="宋体" w:cs="宋体"/>
          <w:i/>
          <w:iCs/>
          <w:color w:val="auto"/>
          <w:kern w:val="0"/>
          <w:sz w:val="18"/>
          <w:szCs w:val="18"/>
          <w:vertAlign w:val="superscript"/>
        </w:rPr>
        <w:t>5</w:t>
      </w:r>
      <w:r>
        <w:rPr>
          <w:rFonts w:hint="eastAsia" w:ascii="宋体" w:hAnsi="宋体" w:cs="宋体"/>
          <w:color w:val="auto"/>
          <w:kern w:val="0"/>
          <w:sz w:val="24"/>
        </w:rPr>
        <w:t>在中国境内完成。</w:t>
      </w:r>
    </w:p>
    <w:p w14:paraId="0D5121C7">
      <w:pPr>
        <w:widowControl/>
        <w:shd w:val="clear" w:color="auto" w:fill="FFFFFF"/>
        <w:ind w:firstLine="48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i/>
          <w:iCs/>
          <w:color w:val="auto"/>
          <w:kern w:val="0"/>
          <w:sz w:val="24"/>
        </w:rPr>
        <w:t>（产品名称2）</w:t>
      </w:r>
      <w:r>
        <w:rPr>
          <w:rFonts w:hint="eastAsia" w:ascii="宋体" w:hAnsi="宋体" w:cs="宋体"/>
          <w:color w:val="auto"/>
          <w:kern w:val="0"/>
          <w:sz w:val="24"/>
        </w:rPr>
        <w:t>，生产厂为</w:t>
      </w:r>
      <w:r>
        <w:rPr>
          <w:rFonts w:hint="eastAsia" w:ascii="宋体" w:hAnsi="宋体" w:cs="宋体"/>
          <w:i/>
          <w:iCs/>
          <w:color w:val="auto"/>
          <w:kern w:val="0"/>
          <w:sz w:val="24"/>
        </w:rPr>
        <w:t>（厂名）</w:t>
      </w:r>
      <w:r>
        <w:rPr>
          <w:rFonts w:hint="eastAsia" w:ascii="宋体" w:hAnsi="宋体" w:cs="宋体"/>
          <w:color w:val="auto"/>
          <w:kern w:val="0"/>
          <w:sz w:val="24"/>
        </w:rPr>
        <w:t>，厂址为</w:t>
      </w:r>
      <w:r>
        <w:rPr>
          <w:rFonts w:hint="eastAsia" w:ascii="宋体" w:hAnsi="宋体" w:cs="宋体"/>
          <w:i/>
          <w:iCs/>
          <w:color w:val="auto"/>
          <w:kern w:val="0"/>
          <w:sz w:val="24"/>
        </w:rPr>
        <w:t>（生产厂址）</w:t>
      </w:r>
      <w:r>
        <w:rPr>
          <w:rFonts w:hint="eastAsia" w:ascii="宋体" w:hAnsi="宋体" w:cs="宋体"/>
          <w:color w:val="auto"/>
          <w:kern w:val="0"/>
          <w:sz w:val="24"/>
        </w:rPr>
        <w:t>。</w:t>
      </w:r>
      <w:r>
        <w:rPr>
          <w:rFonts w:hint="eastAsia" w:ascii="宋体" w:hAnsi="宋体" w:cs="宋体"/>
          <w:i/>
          <w:iCs/>
          <w:color w:val="auto"/>
          <w:kern w:val="0"/>
          <w:sz w:val="24"/>
        </w:rPr>
        <w:t>（产品名称2）</w:t>
      </w:r>
      <w:r>
        <w:rPr>
          <w:rFonts w:hint="eastAsia" w:ascii="宋体" w:hAnsi="宋体" w:cs="宋体"/>
          <w:color w:val="auto"/>
          <w:kern w:val="0"/>
          <w:sz w:val="24"/>
        </w:rPr>
        <w:t>的中国境内生产的组件成本占比≥</w:t>
      </w:r>
      <w:r>
        <w:rPr>
          <w:rFonts w:hint="eastAsia" w:ascii="宋体" w:hAnsi="宋体" w:cs="宋体"/>
          <w:i/>
          <w:iCs/>
          <w:color w:val="auto"/>
          <w:kern w:val="0"/>
          <w:sz w:val="24"/>
        </w:rPr>
        <w:t>（规定比例）</w:t>
      </w:r>
      <w:r>
        <w:rPr>
          <w:rFonts w:hint="eastAsia" w:ascii="宋体" w:hAnsi="宋体" w:cs="宋体"/>
          <w:color w:val="auto"/>
          <w:kern w:val="0"/>
          <w:sz w:val="24"/>
        </w:rPr>
        <w:t>。</w:t>
      </w:r>
      <w:r>
        <w:rPr>
          <w:rFonts w:hint="eastAsia" w:ascii="宋体" w:hAnsi="宋体" w:cs="宋体"/>
          <w:i/>
          <w:iCs/>
          <w:color w:val="auto"/>
          <w:kern w:val="0"/>
          <w:sz w:val="24"/>
        </w:rPr>
        <w:t>（产品名称2）</w:t>
      </w:r>
      <w:r>
        <w:rPr>
          <w:rFonts w:hint="eastAsia" w:ascii="宋体" w:hAnsi="宋体" w:cs="宋体"/>
          <w:color w:val="auto"/>
          <w:kern w:val="0"/>
          <w:sz w:val="24"/>
        </w:rPr>
        <w:t>的</w:t>
      </w:r>
      <w:r>
        <w:rPr>
          <w:rFonts w:hint="eastAsia" w:ascii="宋体" w:hAnsi="宋体" w:cs="宋体"/>
          <w:i/>
          <w:iCs/>
          <w:color w:val="auto"/>
          <w:kern w:val="0"/>
          <w:sz w:val="24"/>
        </w:rPr>
        <w:t>（关键组件）</w:t>
      </w:r>
      <w:r>
        <w:rPr>
          <w:rFonts w:hint="eastAsia" w:ascii="宋体" w:hAnsi="宋体" w:cs="宋体"/>
          <w:color w:val="auto"/>
          <w:kern w:val="0"/>
          <w:sz w:val="24"/>
        </w:rPr>
        <w:t>在中国境内生产。</w:t>
      </w:r>
      <w:r>
        <w:rPr>
          <w:rFonts w:hint="eastAsia" w:ascii="宋体" w:hAnsi="宋体" w:cs="宋体"/>
          <w:i/>
          <w:iCs/>
          <w:color w:val="auto"/>
          <w:kern w:val="0"/>
          <w:sz w:val="24"/>
        </w:rPr>
        <w:t>（产品名称2）</w:t>
      </w:r>
      <w:r>
        <w:rPr>
          <w:rFonts w:hint="eastAsia" w:ascii="宋体" w:hAnsi="宋体" w:cs="宋体"/>
          <w:color w:val="auto"/>
          <w:kern w:val="0"/>
          <w:sz w:val="24"/>
        </w:rPr>
        <w:t>的</w:t>
      </w:r>
      <w:r>
        <w:rPr>
          <w:rFonts w:hint="eastAsia" w:ascii="宋体" w:hAnsi="宋体" w:cs="宋体"/>
          <w:i/>
          <w:iCs/>
          <w:color w:val="auto"/>
          <w:kern w:val="0"/>
          <w:sz w:val="24"/>
        </w:rPr>
        <w:t>（关键工序）</w:t>
      </w:r>
      <w:r>
        <w:rPr>
          <w:rFonts w:hint="eastAsia" w:ascii="宋体" w:hAnsi="宋体" w:cs="宋体"/>
          <w:color w:val="auto"/>
          <w:kern w:val="0"/>
          <w:sz w:val="24"/>
        </w:rPr>
        <w:t>在中国境内完成。</w:t>
      </w:r>
    </w:p>
    <w:p w14:paraId="7C898371">
      <w:pPr>
        <w:widowControl/>
        <w:shd w:val="clear" w:color="auto" w:fill="FFFFFF"/>
        <w:spacing w:before="30" w:after="30"/>
        <w:ind w:firstLine="480"/>
        <w:jc w:val="left"/>
        <w:rPr>
          <w:rFonts w:ascii="宋体" w:hAnsi="宋体" w:cs="宋体"/>
          <w:color w:val="auto"/>
          <w:kern w:val="0"/>
          <w:sz w:val="24"/>
        </w:rPr>
      </w:pPr>
      <w:r>
        <w:rPr>
          <w:rFonts w:hint="eastAsia" w:ascii="宋体" w:hAnsi="宋体" w:cs="宋体"/>
          <w:color w:val="auto"/>
          <w:kern w:val="0"/>
          <w:sz w:val="24"/>
        </w:rPr>
        <w:t>……</w:t>
      </w:r>
    </w:p>
    <w:p w14:paraId="42847013">
      <w:pPr>
        <w:widowControl/>
        <w:shd w:val="clear" w:color="auto" w:fill="FFFFFF"/>
        <w:spacing w:before="30" w:after="30"/>
        <w:ind w:firstLine="480"/>
        <w:jc w:val="left"/>
        <w:rPr>
          <w:rFonts w:ascii="宋体" w:hAnsi="宋体" w:cs="宋体"/>
          <w:color w:val="auto"/>
          <w:kern w:val="0"/>
          <w:sz w:val="24"/>
        </w:rPr>
      </w:pPr>
      <w:r>
        <w:rPr>
          <w:rFonts w:hint="eastAsia" w:ascii="宋体" w:hAnsi="宋体" w:cs="宋体"/>
          <w:color w:val="auto"/>
          <w:kern w:val="0"/>
          <w:sz w:val="24"/>
        </w:rPr>
        <w:t>本公司（单位）对上述声明内容的真实性负责。如有虚假，愿承担相应法律责任。</w:t>
      </w:r>
    </w:p>
    <w:p w14:paraId="6DCC63A3">
      <w:pPr>
        <w:widowControl/>
        <w:shd w:val="clear" w:color="auto" w:fill="FFFFFF"/>
        <w:spacing w:before="30" w:after="30"/>
        <w:jc w:val="left"/>
        <w:rPr>
          <w:rFonts w:ascii="宋体" w:hAnsi="宋体" w:cs="宋体"/>
          <w:color w:val="auto"/>
          <w:kern w:val="0"/>
          <w:sz w:val="24"/>
        </w:rPr>
      </w:pPr>
      <w:r>
        <w:rPr>
          <w:rFonts w:hint="eastAsia" w:ascii="宋体" w:hAnsi="宋体" w:cs="宋体"/>
          <w:color w:val="auto"/>
          <w:kern w:val="0"/>
          <w:sz w:val="24"/>
        </w:rPr>
        <w:t> </w:t>
      </w:r>
    </w:p>
    <w:p w14:paraId="55176324">
      <w:pPr>
        <w:widowControl/>
        <w:shd w:val="clear" w:color="auto" w:fill="FFFFFF"/>
        <w:spacing w:before="30" w:after="30"/>
        <w:jc w:val="right"/>
        <w:rPr>
          <w:rFonts w:ascii="宋体" w:hAnsi="宋体" w:cs="宋体"/>
          <w:color w:val="auto"/>
          <w:kern w:val="0"/>
          <w:sz w:val="24"/>
        </w:rPr>
      </w:pPr>
      <w:r>
        <w:rPr>
          <w:rFonts w:hint="eastAsia" w:ascii="宋体" w:hAnsi="宋体" w:cs="宋体"/>
          <w:color w:val="auto"/>
          <w:kern w:val="0"/>
          <w:sz w:val="24"/>
        </w:rPr>
        <w:t>公司（单位）名称（盖章）：　        </w:t>
      </w:r>
    </w:p>
    <w:p w14:paraId="7D4350E3">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日期：　     年　  月　  日         </w:t>
      </w:r>
    </w:p>
    <w:p w14:paraId="1A831B7D">
      <w:pPr>
        <w:widowControl/>
        <w:shd w:val="clear" w:color="auto" w:fill="FFFFFF"/>
        <w:spacing w:before="30" w:after="30"/>
        <w:jc w:val="left"/>
        <w:rPr>
          <w:rFonts w:ascii="宋体" w:hAnsi="宋体" w:cs="宋体"/>
          <w:color w:val="auto"/>
          <w:kern w:val="0"/>
          <w:sz w:val="24"/>
        </w:rPr>
      </w:pPr>
      <w:r>
        <w:rPr>
          <w:rFonts w:hint="eastAsia" w:ascii="宋体" w:hAnsi="宋体" w:cs="宋体"/>
          <w:color w:val="auto"/>
          <w:kern w:val="0"/>
          <w:sz w:val="24"/>
        </w:rPr>
        <w:t>__________________</w:t>
      </w:r>
    </w:p>
    <w:p w14:paraId="32C24A2D">
      <w:pPr>
        <w:widowControl/>
        <w:shd w:val="clear" w:color="auto" w:fill="FFFFFF"/>
        <w:ind w:firstLine="480"/>
        <w:jc w:val="left"/>
        <w:rPr>
          <w:rFonts w:ascii="宋体" w:hAnsi="宋体" w:cs="宋体"/>
          <w:color w:val="auto"/>
          <w:kern w:val="0"/>
          <w:szCs w:val="21"/>
        </w:rPr>
      </w:pPr>
      <w:r>
        <w:rPr>
          <w:rFonts w:hint="eastAsia" w:ascii="宋体" w:hAnsi="宋体" w:cs="宋体"/>
          <w:color w:val="auto"/>
          <w:kern w:val="0"/>
          <w:szCs w:val="21"/>
        </w:rPr>
        <w:t>1.产品如有型号，请在“产品名称”栏一并填写。</w:t>
      </w:r>
    </w:p>
    <w:p w14:paraId="62A469ED">
      <w:pPr>
        <w:widowControl/>
        <w:shd w:val="clear" w:color="auto" w:fill="FFFFFF"/>
        <w:ind w:firstLine="480"/>
        <w:jc w:val="left"/>
        <w:rPr>
          <w:rFonts w:ascii="宋体" w:hAnsi="宋体" w:cs="宋体"/>
          <w:color w:val="auto"/>
          <w:kern w:val="0"/>
          <w:szCs w:val="21"/>
        </w:rPr>
      </w:pPr>
      <w:r>
        <w:rPr>
          <w:rFonts w:hint="eastAsia" w:ascii="宋体" w:hAnsi="宋体" w:cs="宋体"/>
          <w:color w:val="auto"/>
          <w:kern w:val="0"/>
          <w:szCs w:val="21"/>
        </w:rPr>
        <w:t>2.生产厂名与厂址应与生产厂营业执照载明的相关信息保持一致。</w:t>
      </w:r>
    </w:p>
    <w:p w14:paraId="5880912C">
      <w:pPr>
        <w:widowControl/>
        <w:shd w:val="clear" w:color="auto" w:fill="FFFFFF"/>
        <w:ind w:firstLine="480"/>
        <w:jc w:val="left"/>
        <w:rPr>
          <w:rFonts w:ascii="宋体" w:hAnsi="宋体" w:cs="宋体"/>
          <w:color w:val="auto"/>
          <w:kern w:val="0"/>
          <w:szCs w:val="21"/>
        </w:rPr>
      </w:pPr>
      <w:r>
        <w:rPr>
          <w:rFonts w:hint="eastAsia" w:ascii="宋体" w:hAnsi="宋体" w:cs="宋体"/>
          <w:color w:val="auto"/>
          <w:kern w:val="0"/>
          <w:szCs w:val="21"/>
        </w:rPr>
        <w:t>3.该产品的中国境内生产的组件成本占比相关要求实施前，“规定比例”栏可不填，下同。</w:t>
      </w:r>
    </w:p>
    <w:p w14:paraId="574E2A49">
      <w:pPr>
        <w:widowControl/>
        <w:shd w:val="clear" w:color="auto" w:fill="FFFFFF"/>
        <w:ind w:firstLine="480"/>
        <w:jc w:val="left"/>
        <w:rPr>
          <w:rFonts w:ascii="宋体" w:hAnsi="宋体" w:cs="宋体"/>
          <w:color w:val="auto"/>
          <w:kern w:val="0"/>
          <w:szCs w:val="21"/>
        </w:rPr>
      </w:pPr>
      <w:r>
        <w:rPr>
          <w:rFonts w:hint="eastAsia" w:ascii="宋体" w:hAnsi="宋体" w:cs="宋体"/>
          <w:color w:val="auto"/>
          <w:kern w:val="0"/>
          <w:szCs w:val="21"/>
        </w:rPr>
        <w:t>4.该产品的关键组件要求实施前，“关键组件”栏可不填，下同。</w:t>
      </w:r>
    </w:p>
    <w:p w14:paraId="6CB92289">
      <w:pPr>
        <w:widowControl/>
        <w:shd w:val="clear" w:color="auto" w:fill="FFFFFF"/>
        <w:ind w:firstLine="480"/>
        <w:jc w:val="left"/>
        <w:rPr>
          <w:rFonts w:ascii="宋体" w:hAnsi="宋体" w:cs="宋体"/>
          <w:color w:val="auto"/>
          <w:kern w:val="0"/>
          <w:szCs w:val="21"/>
        </w:rPr>
      </w:pPr>
      <w:r>
        <w:rPr>
          <w:rFonts w:hint="eastAsia" w:ascii="宋体" w:hAnsi="宋体" w:cs="宋体"/>
          <w:color w:val="auto"/>
          <w:kern w:val="0"/>
          <w:szCs w:val="21"/>
        </w:rPr>
        <w:t>5.该产品的关键工序要求实施前，“关键工序”栏可不填，下同。</w:t>
      </w:r>
    </w:p>
    <w:p w14:paraId="156ED0D1">
      <w:pPr>
        <w:spacing w:line="360" w:lineRule="auto"/>
        <w:contextualSpacing/>
        <w:rPr>
          <w:rFonts w:ascii="宋体" w:hAnsi="宋体"/>
          <w:color w:val="auto"/>
          <w:sz w:val="24"/>
        </w:rPr>
      </w:pPr>
    </w:p>
    <w:p w14:paraId="574D9CE5">
      <w:pPr>
        <w:spacing w:line="360" w:lineRule="auto"/>
        <w:jc w:val="left"/>
        <w:rPr>
          <w:rFonts w:ascii="宋体" w:hAnsi="宋体"/>
          <w:b/>
          <w:bCs/>
          <w:color w:val="auto"/>
          <w:sz w:val="32"/>
          <w:szCs w:val="32"/>
        </w:rPr>
      </w:pPr>
      <w:r>
        <w:rPr>
          <w:rFonts w:ascii="宋体" w:hAnsi="宋体"/>
          <w:color w:val="auto"/>
          <w:sz w:val="24"/>
        </w:rPr>
        <w:br w:type="page"/>
      </w:r>
      <w:r>
        <w:rPr>
          <w:rFonts w:hint="eastAsia" w:ascii="宋体" w:hAnsi="宋体"/>
          <w:b/>
          <w:color w:val="auto"/>
          <w:sz w:val="24"/>
          <w:lang w:val="en-US" w:eastAsia="zh-CN"/>
        </w:rPr>
        <w:t>4</w:t>
      </w:r>
      <w:r>
        <w:rPr>
          <w:rFonts w:hint="eastAsia" w:ascii="宋体" w:hAnsi="宋体"/>
          <w:b/>
          <w:color w:val="auto"/>
          <w:sz w:val="24"/>
        </w:rPr>
        <w:t>.质疑函（格式）</w:t>
      </w:r>
    </w:p>
    <w:p w14:paraId="5788D528">
      <w:pPr>
        <w:spacing w:line="360" w:lineRule="auto"/>
        <w:jc w:val="center"/>
        <w:rPr>
          <w:rFonts w:ascii="微软雅黑" w:hAnsi="微软雅黑" w:eastAsia="微软雅黑" w:cs="微软雅黑"/>
          <w:color w:val="auto"/>
          <w:sz w:val="44"/>
          <w:szCs w:val="44"/>
        </w:rPr>
      </w:pPr>
      <w:r>
        <w:rPr>
          <w:rFonts w:hint="eastAsia" w:ascii="微软雅黑" w:hAnsi="微软雅黑" w:eastAsia="微软雅黑" w:cs="微软雅黑"/>
          <w:color w:val="auto"/>
          <w:sz w:val="44"/>
          <w:szCs w:val="44"/>
        </w:rPr>
        <w:t>质疑函（格式）</w:t>
      </w:r>
    </w:p>
    <w:p w14:paraId="376642D0">
      <w:pPr>
        <w:pStyle w:val="22"/>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691DF2E3">
      <w:pPr>
        <w:pStyle w:val="22"/>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3CFBD9B0">
      <w:pPr>
        <w:pStyle w:val="22"/>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24DB0C02">
      <w:pPr>
        <w:pStyle w:val="22"/>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02685EC1">
      <w:pPr>
        <w:pStyle w:val="22"/>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7907C42A">
      <w:pPr>
        <w:pStyle w:val="22"/>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39FD65FD">
      <w:pPr>
        <w:pStyle w:val="22"/>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93E6683">
      <w:pPr>
        <w:pStyle w:val="22"/>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79EF93FE">
      <w:pPr>
        <w:pStyle w:val="22"/>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770D6065">
      <w:pPr>
        <w:pStyle w:val="22"/>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5737FCE6">
      <w:pPr>
        <w:pStyle w:val="22"/>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19EDE749">
      <w:pPr>
        <w:pStyle w:val="22"/>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56CEAC4B">
      <w:pPr>
        <w:pStyle w:val="22"/>
        <w:spacing w:line="360" w:lineRule="auto"/>
        <w:ind w:left="25" w:leftChars="12" w:firstLine="352" w:firstLineChars="147"/>
        <w:rPr>
          <w:rFonts w:hAnsi="宋体"/>
          <w:color w:val="auto"/>
          <w:sz w:val="24"/>
          <w:szCs w:val="24"/>
        </w:rPr>
      </w:pPr>
      <w:r>
        <w:rPr>
          <w:rFonts w:hint="eastAsia" w:hAnsi="宋体"/>
          <w:color w:val="auto"/>
          <w:sz w:val="24"/>
          <w:szCs w:val="24"/>
        </w:rPr>
        <w:t>□招标文件   招标文件获取日期：</w:t>
      </w:r>
      <w:r>
        <w:rPr>
          <w:rFonts w:hint="eastAsia" w:hAnsi="宋体"/>
          <w:bCs/>
          <w:color w:val="auto"/>
          <w:sz w:val="24"/>
          <w:szCs w:val="24"/>
          <w:u w:val="single"/>
        </w:rPr>
        <w:t xml:space="preserve">                                   </w:t>
      </w:r>
    </w:p>
    <w:p w14:paraId="51B48BBE">
      <w:pPr>
        <w:pStyle w:val="22"/>
        <w:spacing w:line="360" w:lineRule="auto"/>
        <w:ind w:left="25" w:leftChars="12" w:firstLine="352" w:firstLineChars="147"/>
        <w:rPr>
          <w:rFonts w:hAnsi="宋体"/>
          <w:color w:val="auto"/>
          <w:sz w:val="24"/>
          <w:szCs w:val="24"/>
        </w:rPr>
      </w:pPr>
      <w:r>
        <w:rPr>
          <w:rFonts w:hint="eastAsia" w:hAnsi="宋体"/>
          <w:color w:val="auto"/>
          <w:sz w:val="24"/>
          <w:szCs w:val="24"/>
        </w:rPr>
        <w:t xml:space="preserve">□招标过程   </w:t>
      </w:r>
    </w:p>
    <w:p w14:paraId="1661D157">
      <w:pPr>
        <w:pStyle w:val="22"/>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□招标结果   </w:t>
      </w:r>
    </w:p>
    <w:p w14:paraId="41A8BDDD">
      <w:pPr>
        <w:pStyle w:val="22"/>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0188972A">
      <w:pPr>
        <w:pStyle w:val="22"/>
        <w:spacing w:line="360" w:lineRule="auto"/>
        <w:ind w:left="25" w:leftChars="12" w:firstLine="472" w:firstLineChars="197"/>
        <w:rPr>
          <w:rFonts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701BCB7F">
      <w:pPr>
        <w:pStyle w:val="22"/>
        <w:spacing w:line="360" w:lineRule="auto"/>
        <w:ind w:left="25" w:leftChars="12" w:firstLine="472" w:firstLineChars="197"/>
        <w:rPr>
          <w:rFonts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755AAB8A">
      <w:pPr>
        <w:pStyle w:val="22"/>
        <w:spacing w:line="360" w:lineRule="auto"/>
        <w:ind w:left="25" w:leftChars="12" w:firstLine="472" w:firstLineChars="197"/>
        <w:rPr>
          <w:rFonts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3273C1CC">
      <w:pPr>
        <w:pStyle w:val="22"/>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1DDE81E8">
      <w:pPr>
        <w:pStyle w:val="22"/>
        <w:spacing w:line="360" w:lineRule="auto"/>
        <w:ind w:left="25" w:leftChars="12" w:firstLine="472" w:firstLineChars="197"/>
        <w:rPr>
          <w:rFonts w:hAnsi="宋体"/>
          <w:color w:val="auto"/>
          <w:sz w:val="24"/>
          <w:szCs w:val="24"/>
        </w:rPr>
      </w:pPr>
      <w:r>
        <w:rPr>
          <w:rFonts w:hAnsi="宋体"/>
          <w:color w:val="auto"/>
          <w:sz w:val="24"/>
          <w:szCs w:val="24"/>
        </w:rPr>
        <w:t>……</w:t>
      </w:r>
    </w:p>
    <w:p w14:paraId="7C2A701A">
      <w:pPr>
        <w:pStyle w:val="22"/>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031B98F3">
      <w:pPr>
        <w:pStyle w:val="22"/>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54C74D5C">
      <w:pPr>
        <w:pStyle w:val="22"/>
        <w:spacing w:line="360" w:lineRule="auto"/>
        <w:ind w:left="25" w:leftChars="12" w:firstLine="352" w:firstLineChars="147"/>
        <w:rPr>
          <w:rFonts w:hAnsi="宋体"/>
          <w:color w:val="auto"/>
          <w:sz w:val="24"/>
          <w:szCs w:val="24"/>
        </w:rPr>
      </w:pPr>
    </w:p>
    <w:p w14:paraId="7CEFAD45">
      <w:pPr>
        <w:pStyle w:val="22"/>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11D721A9">
      <w:pPr>
        <w:pStyle w:val="22"/>
        <w:spacing w:line="360" w:lineRule="auto"/>
        <w:ind w:left="25" w:leftChars="12" w:firstLine="352" w:firstLineChars="147"/>
        <w:rPr>
          <w:rFonts w:hAnsi="宋体"/>
          <w:color w:val="auto"/>
          <w:sz w:val="24"/>
          <w:szCs w:val="24"/>
        </w:rPr>
      </w:pPr>
    </w:p>
    <w:p w14:paraId="053311F6">
      <w:pPr>
        <w:pStyle w:val="22"/>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1344BB60">
      <w:pPr>
        <w:pStyle w:val="22"/>
        <w:snapToGrid w:val="0"/>
        <w:spacing w:line="360" w:lineRule="auto"/>
        <w:rPr>
          <w:rFonts w:hAnsi="宋体"/>
          <w:b/>
          <w:color w:val="auto"/>
          <w:sz w:val="24"/>
          <w:szCs w:val="24"/>
        </w:rPr>
      </w:pPr>
    </w:p>
    <w:p w14:paraId="4ED4FD68">
      <w:pPr>
        <w:pStyle w:val="22"/>
        <w:snapToGrid w:val="0"/>
        <w:spacing w:line="360" w:lineRule="auto"/>
        <w:rPr>
          <w:rFonts w:hAnsi="宋体"/>
          <w:b/>
          <w:color w:val="auto"/>
          <w:sz w:val="24"/>
          <w:szCs w:val="24"/>
        </w:rPr>
      </w:pPr>
      <w:r>
        <w:rPr>
          <w:rFonts w:hint="eastAsia" w:hAnsi="宋体"/>
          <w:b/>
          <w:color w:val="auto"/>
          <w:sz w:val="24"/>
          <w:szCs w:val="24"/>
        </w:rPr>
        <w:t>说明：</w:t>
      </w:r>
    </w:p>
    <w:p w14:paraId="5C0A6D13">
      <w:pPr>
        <w:pStyle w:val="22"/>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17075A21">
      <w:pPr>
        <w:pStyle w:val="22"/>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1970DE">
      <w:pPr>
        <w:pStyle w:val="22"/>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3B0BB610">
      <w:pPr>
        <w:pStyle w:val="22"/>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4B544D3E">
      <w:pPr>
        <w:pStyle w:val="22"/>
        <w:spacing w:line="360" w:lineRule="auto"/>
        <w:ind w:left="25" w:leftChars="12" w:firstLine="354" w:firstLineChars="147"/>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7C241DA9">
      <w:pPr>
        <w:spacing w:line="460" w:lineRule="exact"/>
        <w:rPr>
          <w:rFonts w:eastAsia="隶书"/>
          <w:color w:val="auto"/>
          <w:sz w:val="44"/>
        </w:rPr>
      </w:pPr>
    </w:p>
    <w:p w14:paraId="1092C9F1">
      <w:pPr>
        <w:spacing w:line="360" w:lineRule="auto"/>
        <w:jc w:val="left"/>
        <w:rPr>
          <w:rFonts w:ascii="宋体" w:hAnsi="宋体"/>
          <w:b/>
          <w:color w:val="auto"/>
          <w:sz w:val="24"/>
        </w:rPr>
      </w:pPr>
      <w:r>
        <w:rPr>
          <w:rFonts w:ascii="宋体" w:hAnsi="宋体"/>
          <w:b/>
          <w:color w:val="auto"/>
          <w:sz w:val="24"/>
        </w:rPr>
        <w:br w:type="page"/>
      </w:r>
      <w:r>
        <w:rPr>
          <w:rFonts w:hint="eastAsia" w:ascii="宋体" w:hAnsi="宋体"/>
          <w:b/>
          <w:color w:val="auto"/>
          <w:sz w:val="24"/>
          <w:lang w:val="en-US" w:eastAsia="zh-CN"/>
        </w:rPr>
        <w:t>5</w:t>
      </w:r>
      <w:r>
        <w:rPr>
          <w:rFonts w:hint="eastAsia" w:ascii="宋体" w:hAnsi="宋体"/>
          <w:b/>
          <w:color w:val="auto"/>
          <w:sz w:val="24"/>
        </w:rPr>
        <w:t>.投诉书（格式）</w:t>
      </w:r>
    </w:p>
    <w:p w14:paraId="6A59EB9B">
      <w:pPr>
        <w:spacing w:line="360" w:lineRule="auto"/>
        <w:jc w:val="center"/>
        <w:rPr>
          <w:rFonts w:ascii="微软雅黑" w:hAnsi="微软雅黑" w:eastAsia="微软雅黑" w:cs="微软雅黑"/>
          <w:color w:val="auto"/>
          <w:sz w:val="44"/>
          <w:szCs w:val="44"/>
        </w:rPr>
      </w:pPr>
      <w:r>
        <w:rPr>
          <w:rFonts w:hint="eastAsia" w:ascii="微软雅黑" w:hAnsi="微软雅黑" w:eastAsia="微软雅黑" w:cs="微软雅黑"/>
          <w:color w:val="auto"/>
          <w:sz w:val="44"/>
          <w:szCs w:val="44"/>
        </w:rPr>
        <w:t>投诉书（格式）</w:t>
      </w:r>
    </w:p>
    <w:p w14:paraId="16B076F9">
      <w:pPr>
        <w:pStyle w:val="22"/>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AD0E3E2">
      <w:pPr>
        <w:pStyle w:val="22"/>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投标人：</w:t>
      </w:r>
      <w:r>
        <w:rPr>
          <w:rFonts w:hint="eastAsia" w:hAnsi="宋体"/>
          <w:bCs/>
          <w:color w:val="auto"/>
          <w:sz w:val="24"/>
          <w:szCs w:val="24"/>
          <w:u w:val="single"/>
        </w:rPr>
        <w:t xml:space="preserve">                                                                        </w:t>
      </w:r>
      <w:r>
        <w:rPr>
          <w:rFonts w:hint="eastAsia" w:hAnsi="宋体"/>
          <w:bCs/>
          <w:color w:val="auto"/>
          <w:sz w:val="24"/>
          <w:szCs w:val="24"/>
        </w:rPr>
        <w:t xml:space="preserve">                 </w:t>
      </w:r>
    </w:p>
    <w:p w14:paraId="0AC31C23">
      <w:pPr>
        <w:pStyle w:val="22"/>
        <w:snapToGrid w:val="0"/>
        <w:spacing w:line="360" w:lineRule="auto"/>
        <w:ind w:firstLine="480" w:firstLineChars="200"/>
        <w:jc w:val="left"/>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A1B25AE">
      <w:pPr>
        <w:pStyle w:val="22"/>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7E818289">
      <w:pPr>
        <w:pStyle w:val="22"/>
        <w:snapToGrid w:val="0"/>
        <w:spacing w:line="360" w:lineRule="auto"/>
        <w:ind w:firstLine="480" w:firstLineChars="200"/>
        <w:jc w:val="left"/>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4979CB90">
      <w:pPr>
        <w:pStyle w:val="22"/>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60832EA6">
      <w:pPr>
        <w:pStyle w:val="22"/>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23A18041">
      <w:pPr>
        <w:pStyle w:val="22"/>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5C21150">
      <w:pPr>
        <w:pStyle w:val="22"/>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被投诉人1：</w:t>
      </w:r>
    </w:p>
    <w:p w14:paraId="011ED96C">
      <w:pPr>
        <w:pStyle w:val="22"/>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1787AFEC">
      <w:pPr>
        <w:pStyle w:val="22"/>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B74A03D">
      <w:pPr>
        <w:pStyle w:val="22"/>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4342FA5">
      <w:pPr>
        <w:pStyle w:val="22"/>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被投诉人2：</w:t>
      </w:r>
    </w:p>
    <w:p w14:paraId="7114A940">
      <w:pPr>
        <w:pStyle w:val="22"/>
        <w:snapToGrid w:val="0"/>
        <w:spacing w:line="360" w:lineRule="auto"/>
        <w:ind w:firstLine="480" w:firstLineChars="200"/>
        <w:jc w:val="left"/>
        <w:rPr>
          <w:rFonts w:hAnsi="宋体"/>
          <w:bCs/>
          <w:color w:val="auto"/>
          <w:sz w:val="24"/>
          <w:szCs w:val="24"/>
        </w:rPr>
      </w:pPr>
      <w:r>
        <w:rPr>
          <w:rFonts w:hAnsi="宋体"/>
          <w:bCs/>
          <w:color w:val="auto"/>
          <w:sz w:val="24"/>
          <w:szCs w:val="24"/>
        </w:rPr>
        <w:t>……</w:t>
      </w:r>
    </w:p>
    <w:p w14:paraId="40ADF410">
      <w:pPr>
        <w:pStyle w:val="22"/>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6C78CE5F">
      <w:pPr>
        <w:pStyle w:val="22"/>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7191F411">
      <w:pPr>
        <w:pStyle w:val="22"/>
        <w:snapToGrid w:val="0"/>
        <w:spacing w:line="360" w:lineRule="auto"/>
        <w:ind w:firstLine="480" w:firstLineChars="200"/>
        <w:jc w:val="left"/>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074D1D33">
      <w:pPr>
        <w:pStyle w:val="22"/>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3465EC18">
      <w:pPr>
        <w:pStyle w:val="22"/>
        <w:spacing w:line="360" w:lineRule="auto"/>
        <w:ind w:left="25" w:leftChars="12" w:firstLine="472" w:firstLineChars="197"/>
        <w:rPr>
          <w:rFonts w:hAnsi="宋体"/>
          <w:color w:val="auto"/>
          <w:sz w:val="24"/>
          <w:szCs w:val="24"/>
        </w:rPr>
      </w:pPr>
      <w:r>
        <w:rPr>
          <w:rFonts w:hint="eastAsia" w:hAnsi="宋体"/>
          <w:color w:val="auto"/>
          <w:sz w:val="24"/>
          <w:szCs w:val="24"/>
        </w:rPr>
        <w:t>招标项目的名称：</w:t>
      </w:r>
      <w:r>
        <w:rPr>
          <w:rFonts w:hint="eastAsia" w:hAnsi="宋体"/>
          <w:bCs/>
          <w:color w:val="auto"/>
          <w:sz w:val="24"/>
          <w:szCs w:val="24"/>
          <w:u w:val="single"/>
        </w:rPr>
        <w:t xml:space="preserve">                                                                   </w:t>
      </w:r>
    </w:p>
    <w:p w14:paraId="451F21E5">
      <w:pPr>
        <w:pStyle w:val="22"/>
        <w:spacing w:line="360" w:lineRule="auto"/>
        <w:ind w:left="25" w:leftChars="12" w:firstLine="472" w:firstLineChars="197"/>
        <w:rPr>
          <w:rFonts w:hAnsi="宋体"/>
          <w:color w:val="auto"/>
          <w:sz w:val="24"/>
          <w:szCs w:val="24"/>
        </w:rPr>
      </w:pPr>
      <w:r>
        <w:rPr>
          <w:rFonts w:hint="eastAsia" w:hAnsi="宋体"/>
          <w:color w:val="auto"/>
          <w:sz w:val="24"/>
          <w:szCs w:val="24"/>
        </w:rPr>
        <w:t>招标项目的编号：</w:t>
      </w:r>
      <w:r>
        <w:rPr>
          <w:rFonts w:hint="eastAsia" w:hAnsi="宋体"/>
          <w:bCs/>
          <w:color w:val="auto"/>
          <w:sz w:val="24"/>
          <w:szCs w:val="24"/>
          <w:u w:val="single"/>
        </w:rPr>
        <w:t xml:space="preserve">                                          </w:t>
      </w:r>
    </w:p>
    <w:p w14:paraId="56642B7A">
      <w:pPr>
        <w:pStyle w:val="22"/>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5BE4C6A1">
      <w:pPr>
        <w:pStyle w:val="22"/>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72A4EA1F">
      <w:pPr>
        <w:pStyle w:val="22"/>
        <w:spacing w:line="360" w:lineRule="auto"/>
        <w:ind w:left="25" w:leftChars="12" w:firstLine="472" w:firstLineChars="197"/>
        <w:rPr>
          <w:rFonts w:hAnsi="宋体"/>
          <w:bCs/>
          <w:color w:val="auto"/>
          <w:sz w:val="24"/>
          <w:szCs w:val="24"/>
          <w:u w:val="single"/>
        </w:rPr>
      </w:pPr>
      <w:r>
        <w:rPr>
          <w:rFonts w:hint="eastAsia" w:hAnsi="宋体"/>
          <w:color w:val="auto"/>
          <w:sz w:val="24"/>
          <w:szCs w:val="24"/>
        </w:rPr>
        <w:t>招标</w:t>
      </w:r>
      <w:r>
        <w:rPr>
          <w:rFonts w:hint="eastAsia" w:hAnsi="宋体"/>
          <w:bCs/>
          <w:color w:val="auto"/>
          <w:sz w:val="24"/>
          <w:szCs w:val="24"/>
        </w:rPr>
        <w:t>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3BB6AD16">
      <w:pPr>
        <w:pStyle w:val="22"/>
        <w:spacing w:line="360" w:lineRule="auto"/>
        <w:ind w:left="25" w:leftChars="12" w:firstLine="472" w:firstLineChars="197"/>
        <w:rPr>
          <w:rFonts w:hAnsi="宋体"/>
          <w:b/>
          <w:color w:val="auto"/>
          <w:sz w:val="24"/>
          <w:szCs w:val="24"/>
        </w:rPr>
      </w:pPr>
      <w:r>
        <w:rPr>
          <w:rFonts w:hint="eastAsia" w:hAnsi="宋体"/>
          <w:color w:val="auto"/>
          <w:sz w:val="24"/>
        </w:rPr>
        <w:t>招标</w:t>
      </w:r>
      <w:r>
        <w:rPr>
          <w:rFonts w:hint="eastAsia" w:hAnsi="宋体"/>
          <w:bCs/>
          <w:color w:val="auto"/>
          <w:sz w:val="24"/>
        </w:rPr>
        <w:t>结果公告：</w:t>
      </w:r>
      <w:r>
        <w:rPr>
          <w:rFonts w:hint="eastAsia" w:hAnsi="宋体"/>
          <w:bCs/>
          <w:color w:val="auto"/>
          <w:sz w:val="24"/>
          <w:u w:val="single"/>
        </w:rPr>
        <w:t>是</w:t>
      </w:r>
      <w:r>
        <w:rPr>
          <w:rFonts w:hAnsi="宋体"/>
          <w:bCs/>
          <w:color w:val="auto"/>
          <w:sz w:val="24"/>
          <w:u w:val="single"/>
        </w:rPr>
        <w:t>/</w:t>
      </w:r>
      <w:r>
        <w:rPr>
          <w:rFonts w:hint="eastAsia" w:hAnsi="宋体"/>
          <w:bCs/>
          <w:color w:val="auto"/>
          <w:sz w:val="24"/>
          <w:u w:val="single"/>
        </w:rPr>
        <w:t>否</w:t>
      </w:r>
      <w:r>
        <w:rPr>
          <w:rFonts w:hint="eastAsia" w:hAnsi="宋体"/>
          <w:bCs/>
          <w:color w:val="auto"/>
          <w:sz w:val="24"/>
        </w:rPr>
        <w:t>公告期限：</w:t>
      </w:r>
      <w:r>
        <w:rPr>
          <w:rFonts w:hAnsi="宋体"/>
          <w:bCs/>
          <w:color w:val="auto"/>
          <w:sz w:val="24"/>
          <w:u w:val="single"/>
        </w:rPr>
        <w:t xml:space="preserve">                                      </w:t>
      </w:r>
      <w:r>
        <w:rPr>
          <w:rFonts w:hint="eastAsia" w:hAnsi="宋体"/>
          <w:bCs/>
          <w:color w:val="auto"/>
          <w:sz w:val="24"/>
          <w:szCs w:val="24"/>
          <w:u w:val="single"/>
        </w:rPr>
        <w:t xml:space="preserve">              </w:t>
      </w:r>
    </w:p>
    <w:p w14:paraId="6A1AE85A">
      <w:pPr>
        <w:pStyle w:val="22"/>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2550A9DA">
      <w:pPr>
        <w:pStyle w:val="22"/>
        <w:spacing w:line="360" w:lineRule="auto"/>
        <w:ind w:left="25" w:leftChars="12" w:firstLine="480" w:firstLineChars="200"/>
        <w:rPr>
          <w:rFonts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2290CBEA">
      <w:pPr>
        <w:pStyle w:val="22"/>
        <w:spacing w:line="360" w:lineRule="auto"/>
        <w:ind w:firstLine="241"/>
        <w:rPr>
          <w:rFonts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27EBA0EF">
      <w:pPr>
        <w:pStyle w:val="22"/>
        <w:spacing w:line="360" w:lineRule="auto"/>
        <w:ind w:firstLine="241"/>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1589AAE6">
      <w:pPr>
        <w:pStyle w:val="22"/>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5D6DE443">
      <w:pPr>
        <w:pStyle w:val="22"/>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5BDACCB5">
      <w:pPr>
        <w:pStyle w:val="22"/>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73EC2AF2">
      <w:pPr>
        <w:pStyle w:val="22"/>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46387508">
      <w:pPr>
        <w:pStyle w:val="22"/>
        <w:spacing w:line="360" w:lineRule="auto"/>
        <w:ind w:left="25" w:leftChars="12" w:firstLine="472" w:firstLineChars="197"/>
        <w:rPr>
          <w:rFonts w:hAnsi="宋体"/>
          <w:color w:val="auto"/>
          <w:sz w:val="24"/>
          <w:szCs w:val="24"/>
        </w:rPr>
      </w:pPr>
      <w:r>
        <w:rPr>
          <w:rFonts w:hint="eastAsia" w:hAnsi="宋体"/>
          <w:bCs/>
          <w:color w:val="auto"/>
          <w:sz w:val="24"/>
          <w:szCs w:val="24"/>
          <w:u w:val="single"/>
        </w:rPr>
        <w:t xml:space="preserve">                                                                                        </w:t>
      </w:r>
    </w:p>
    <w:p w14:paraId="7EEE9C21">
      <w:pPr>
        <w:pStyle w:val="22"/>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22E8913B">
      <w:pPr>
        <w:pStyle w:val="22"/>
        <w:spacing w:line="360" w:lineRule="auto"/>
        <w:ind w:left="25" w:leftChars="12" w:firstLine="352" w:firstLineChars="147"/>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4F1845FF">
      <w:pPr>
        <w:pStyle w:val="22"/>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71421F00">
      <w:pPr>
        <w:pStyle w:val="22"/>
        <w:spacing w:line="360" w:lineRule="auto"/>
        <w:ind w:left="25" w:leftChars="12" w:firstLine="472" w:firstLineChars="197"/>
        <w:rPr>
          <w:rFonts w:hAnsi="宋体"/>
          <w:bCs/>
          <w:color w:val="auto"/>
          <w:sz w:val="24"/>
          <w:szCs w:val="24"/>
        </w:rPr>
      </w:pPr>
      <w:r>
        <w:rPr>
          <w:rFonts w:hAnsi="宋体"/>
          <w:bCs/>
          <w:color w:val="auto"/>
          <w:sz w:val="24"/>
          <w:szCs w:val="24"/>
        </w:rPr>
        <w:t>……</w:t>
      </w:r>
    </w:p>
    <w:p w14:paraId="10AC3B43">
      <w:pPr>
        <w:pStyle w:val="22"/>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3A6A4159">
      <w:pPr>
        <w:pStyle w:val="22"/>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1959BC2A">
      <w:pPr>
        <w:pStyle w:val="22"/>
        <w:spacing w:line="360" w:lineRule="auto"/>
        <w:ind w:left="25" w:leftChars="12" w:firstLine="352" w:firstLineChars="147"/>
        <w:rPr>
          <w:rFonts w:hAnsi="宋体"/>
          <w:color w:val="auto"/>
          <w:sz w:val="24"/>
          <w:szCs w:val="24"/>
        </w:rPr>
      </w:pPr>
    </w:p>
    <w:p w14:paraId="22946004">
      <w:pPr>
        <w:pStyle w:val="22"/>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31343B3E">
      <w:pPr>
        <w:pStyle w:val="22"/>
        <w:spacing w:line="360" w:lineRule="auto"/>
        <w:ind w:left="25" w:leftChars="12" w:firstLine="352" w:firstLineChars="147"/>
        <w:rPr>
          <w:rFonts w:hAnsi="宋体"/>
          <w:color w:val="auto"/>
          <w:sz w:val="24"/>
          <w:szCs w:val="24"/>
        </w:rPr>
      </w:pPr>
    </w:p>
    <w:p w14:paraId="3BD17F6F">
      <w:pPr>
        <w:pStyle w:val="22"/>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6F128ADB">
      <w:pPr>
        <w:pStyle w:val="22"/>
        <w:spacing w:line="360" w:lineRule="auto"/>
        <w:ind w:left="25" w:leftChars="12" w:firstLine="472" w:firstLineChars="197"/>
        <w:rPr>
          <w:rFonts w:hAnsi="宋体"/>
          <w:b/>
          <w:color w:val="auto"/>
          <w:sz w:val="24"/>
          <w:szCs w:val="24"/>
        </w:rPr>
      </w:pPr>
      <w:r>
        <w:rPr>
          <w:rFonts w:hint="eastAsia" w:hAnsi="宋体"/>
          <w:bCs/>
          <w:color w:val="auto"/>
          <w:sz w:val="24"/>
          <w:szCs w:val="24"/>
        </w:rPr>
        <w:t xml:space="preserve">                                                                                </w:t>
      </w:r>
      <w:r>
        <w:rPr>
          <w:rFonts w:hint="eastAsia" w:hAnsi="宋体"/>
          <w:b/>
          <w:color w:val="auto"/>
          <w:sz w:val="24"/>
          <w:szCs w:val="24"/>
        </w:rPr>
        <w:t>说明：</w:t>
      </w:r>
    </w:p>
    <w:p w14:paraId="3565E2FA">
      <w:pPr>
        <w:pStyle w:val="22"/>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20C16E8F">
      <w:pPr>
        <w:pStyle w:val="22"/>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7BB2058">
      <w:pPr>
        <w:pStyle w:val="22"/>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20D492E2">
      <w:pPr>
        <w:pStyle w:val="22"/>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1613A373">
      <w:pPr>
        <w:pStyle w:val="22"/>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0A7220DD">
      <w:pPr>
        <w:pStyle w:val="22"/>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sectPr>
      <w:footerReference r:id="rId16" w:type="first"/>
      <w:headerReference r:id="rId13" w:type="default"/>
      <w:footerReference r:id="rId14" w:type="default"/>
      <w:footerReference r:id="rId15"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4D"/>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CBB6AC-52FC-4167-8E18-C1B44FF0E7C5}"/>
  </w:font>
  <w:font w:name="黑体">
    <w:panose1 w:val="02010609060101010101"/>
    <w:charset w:val="86"/>
    <w:family w:val="auto"/>
    <w:pitch w:val="default"/>
    <w:sig w:usb0="800002BF" w:usb1="38CF7CFA" w:usb2="00000016" w:usb3="00000000" w:csb0="00040001" w:csb1="00000000"/>
    <w:embedRegular r:id="rId2" w:fontKey="{74376043-7756-433F-A690-3082EF461321}"/>
  </w:font>
  <w:font w:name="Courier New">
    <w:panose1 w:val="02070309020205020404"/>
    <w:charset w:val="01"/>
    <w:family w:val="modern"/>
    <w:pitch w:val="default"/>
    <w:sig w:usb0="E0002EFF" w:usb1="C0007843" w:usb2="00000009" w:usb3="00000000" w:csb0="400001FF" w:csb1="FFFF0000"/>
    <w:embedRegular r:id="rId3" w:fontKey="{47EF9E65-DA4A-4593-9B30-1CD035F5B02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01040AC-E2C9-46B4-89AF-99AED265887A}"/>
  </w:font>
  <w:font w:name="仿宋_GB2312">
    <w:panose1 w:val="02010609030101010101"/>
    <w:charset w:val="86"/>
    <w:family w:val="modern"/>
    <w:pitch w:val="default"/>
    <w:sig w:usb0="00000001" w:usb1="080E0000" w:usb2="00000000" w:usb3="00000000" w:csb0="00040000" w:csb1="00000000"/>
    <w:embedRegular r:id="rId5" w:fontKey="{0BB81070-83B0-4646-A0F3-3C28BF11E84A}"/>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embedRegular r:id="rId6" w:fontKey="{12DD2DA3-F46E-4C33-B5F8-59F4B0F50D09}"/>
  </w:font>
  <w:font w:name="华文新魏">
    <w:panose1 w:val="02010800040101010101"/>
    <w:charset w:val="86"/>
    <w:family w:val="auto"/>
    <w:pitch w:val="default"/>
    <w:sig w:usb0="00000001" w:usb1="080F0000" w:usb2="00000000" w:usb3="00000000" w:csb0="00040000" w:csb1="00000000"/>
    <w:embedRegular r:id="rId7" w:fontKey="{030FAFBF-767B-471A-9C82-178F10552341}"/>
  </w:font>
  <w:font w:name="仿宋">
    <w:panose1 w:val="02010609060101010101"/>
    <w:charset w:val="86"/>
    <w:family w:val="modern"/>
    <w:pitch w:val="default"/>
    <w:sig w:usb0="800002BF" w:usb1="38CF7CFA" w:usb2="00000016" w:usb3="00000000" w:csb0="00040001" w:csb1="00000000"/>
    <w:embedRegular r:id="rId8" w:fontKey="{4B2D2F79-891B-4E8D-A09B-BF0C4FAACBFF}"/>
  </w:font>
  <w:font w:name="楷体">
    <w:panose1 w:val="02010609060101010101"/>
    <w:charset w:val="86"/>
    <w:family w:val="auto"/>
    <w:pitch w:val="default"/>
    <w:sig w:usb0="800002BF" w:usb1="38CF7CFA" w:usb2="00000016" w:usb3="00000000" w:csb0="00040001" w:csb1="00000000"/>
    <w:embedRegular r:id="rId9" w:fontKey="{4AD8F529-A708-4098-A44C-0847ED77D94C}"/>
  </w:font>
  <w:font w:name="隶书">
    <w:altName w:val="微软雅黑"/>
    <w:panose1 w:val="02010509060101010101"/>
    <w:charset w:val="86"/>
    <w:family w:val="modern"/>
    <w:pitch w:val="default"/>
    <w:sig w:usb0="00000000" w:usb1="00000000" w:usb2="00000010" w:usb3="00000000" w:csb0="00040000" w:csb1="00000000"/>
    <w:embedRegular r:id="rId10" w:fontKey="{735A3F97-9ECB-476F-A68E-DDFBBE9264B4}"/>
  </w:font>
  <w:font w:name="WPSEMBED16">
    <w:panose1 w:val="02010800040101010101"/>
    <w:charset w:val="86"/>
    <w:family w:val="auto"/>
    <w:pitch w:val="default"/>
    <w:sig w:usb0="00000001" w:usb1="080F0000" w:usb2="00000000" w:usb3="00000000" w:csb0="00040000" w:csb1="00000000"/>
  </w:font>
  <w:font w:name="WPSEMBED1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7E21">
    <w:pPr>
      <w:pStyle w:val="28"/>
      <w:jc w:val="center"/>
    </w:pPr>
  </w:p>
  <w:p w14:paraId="0691883E">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523CB">
    <w:pPr>
      <w:pStyle w:val="28"/>
      <w:framePr w:wrap="around" w:vAnchor="text" w:hAnchor="margin" w:xAlign="center" w:y="1"/>
      <w:rPr>
        <w:rStyle w:val="48"/>
      </w:rPr>
    </w:pPr>
    <w:r>
      <w:fldChar w:fldCharType="begin"/>
    </w:r>
    <w:r>
      <w:rPr>
        <w:rStyle w:val="48"/>
      </w:rPr>
      <w:instrText xml:space="preserve">PAGE  </w:instrText>
    </w:r>
    <w:r>
      <w:fldChar w:fldCharType="end"/>
    </w:r>
  </w:p>
  <w:p w14:paraId="77EAE0EF">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D399">
    <w:pPr>
      <w:pStyle w:val="28"/>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97FE87">
                          <w:pPr>
                            <w:pStyle w:val="28"/>
                          </w:pPr>
                          <w:r>
                            <w:fldChar w:fldCharType="begin"/>
                          </w:r>
                          <w:r>
                            <w:instrText xml:space="preserve"> PAGE  \* MERGEFORMAT </w:instrText>
                          </w:r>
                          <w:r>
                            <w:fldChar w:fldCharType="separate"/>
                          </w:r>
                          <w:r>
                            <w:t>81</w:t>
                          </w:r>
                          <w:r>
                            <w:fldChar w:fldCharType="end"/>
                          </w:r>
                        </w:p>
                      </w:txbxContent>
                    </wps:txbx>
                    <wps:bodyPr wrap="none" lIns="0" tIns="0" rIns="0" bIns="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5d9MMBAACQ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4tgdtzjwy/dvlx+/Lj+/kmX1&#10;8nVWqA9QY+JdwNQ0vPUD7s3sB3Rm4oOKNn+REsE46nu+6iuHRER+tF6t1xWGBMbmC+Kzh+chQnon&#10;vSXZaGjEARZd+ekDpDF1TsnVnL/VxpQhGveXAzGzh+Xexx6zlYb9MBHa+/aMfHqcfUMdrjol5r1D&#10;afOazEacjf1k5BoQ3hwTFi79ZNQRaiqGgyqMpqXKm/DnvWQ9/E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kzl30wwEAAJADAAAOAAAAAAAAAAEAIAAAAB4BAABkcnMvZTJvRG9jLnhtbFBL&#10;BQYAAAAABgAGAFkBAABTBQAAAAA=&#10;">
              <v:fill on="f" focussize="0,0"/>
              <v:stroke on="f"/>
              <v:imagedata o:title=""/>
              <o:lock v:ext="edit" aspectratio="f"/>
              <v:textbox inset="0mm,0mm,0mm,0mm" style="mso-fit-shape-to-text:t;">
                <w:txbxContent>
                  <w:p w14:paraId="4D97FE87">
                    <w:pPr>
                      <w:pStyle w:val="2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CF98B">
    <w:pPr>
      <w:pStyle w:val="28"/>
      <w:jc w:val="center"/>
    </w:pPr>
  </w:p>
  <w:p w14:paraId="182E3240">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19A4">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9C5649">
                          <w:pPr>
                            <w:pStyle w:val="28"/>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Yq8QBAACQ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wnI9eAcHtMWLj0k1FHqKkYDqowmpYqb8Kf95L1+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I/Yq8QBAACQAwAADgAAAAAAAAABACAAAAAeAQAAZHJzL2Uyb0RvYy54bWxQ&#10;SwUGAAAAAAYABgBZAQAAVAUAAAAA&#10;">
              <v:fill on="f" focussize="0,0"/>
              <v:stroke on="f"/>
              <v:imagedata o:title=""/>
              <o:lock v:ext="edit" aspectratio="f"/>
              <v:textbox inset="0mm,0mm,0mm,0mm" style="mso-fit-shape-to-text:t;">
                <w:txbxContent>
                  <w:p w14:paraId="349C5649">
                    <w:pPr>
                      <w:pStyle w:val="28"/>
                    </w:pPr>
                    <w:r>
                      <w:fldChar w:fldCharType="begin"/>
                    </w:r>
                    <w:r>
                      <w:instrText xml:space="preserve"> PAGE  \* MERGEFORMAT </w:instrText>
                    </w:r>
                    <w:r>
                      <w:fldChar w:fldCharType="separate"/>
                    </w:r>
                    <w:r>
                      <w:t>14</w:t>
                    </w:r>
                    <w:r>
                      <w:fldChar w:fldCharType="end"/>
                    </w:r>
                  </w:p>
                </w:txbxContent>
              </v:textbox>
            </v:shape>
          </w:pict>
        </mc:Fallback>
      </mc:AlternateContent>
    </w:r>
  </w:p>
  <w:p w14:paraId="12E374A2">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7D601">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9FD47">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YkJ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l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GYkJMQBAACQAwAADgAAAAAAAAABACAAAAAeAQAAZHJzL2Uyb0RvYy54bWxQ&#10;SwUGAAAAAAYABgBZAQAAVAUAAAAA&#10;">
              <v:fill on="f" focussize="0,0"/>
              <v:stroke on="f"/>
              <v:imagedata o:title=""/>
              <o:lock v:ext="edit" aspectratio="f"/>
              <v:textbox inset="0mm,0mm,0mm,0mm" style="mso-fit-shape-to-text:t;">
                <w:txbxContent>
                  <w:p w14:paraId="6A19FD47">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15D9BA62">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B006">
    <w:pPr>
      <w:spacing w:beforeAutospacing="0" w:afterAutospacing="0" w:line="196" w:lineRule="auto"/>
      <w:ind w:left="4905"/>
      <w:rPr>
        <w:rFonts w:ascii="Times New Roman" w:hAnsi="Times New Roman" w:eastAsia="Times New Roman" w:cs="Times New Roman"/>
        <w:sz w:val="17"/>
        <w:szCs w:val="17"/>
      </w:rPr>
    </w:pPr>
    <w:r>
      <w:rPr>
        <w:rFonts w:ascii="Times New Roman" w:hAnsi="Times New Roman" w:eastAsia="宋体" w:cs="Times New Roman"/>
        <w:kern w:val="2"/>
        <w:sz w:val="17"/>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矩形 9"/>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14:paraId="5B0ADDE8">
                          <w:pPr>
                            <w:pStyle w:val="28"/>
                          </w:pPr>
                          <w:r>
                            <w:fldChar w:fldCharType="begin"/>
                          </w:r>
                          <w:r>
                            <w:instrText xml:space="preserve"> PAGE  \* MERGEFORMAT </w:instrText>
                          </w:r>
                          <w:r>
                            <w:fldChar w:fldCharType="separate"/>
                          </w:r>
                          <w:r>
                            <w:t>13</w:t>
                          </w:r>
                          <w:r>
                            <w:fldChar w:fldCharType="end"/>
                          </w:r>
                        </w:p>
                      </w:txbxContent>
                    </wps:txbx>
                    <wps:bodyPr rot="0" vert="horz" wrap="none" lIns="0" tIns="0" rIns="0" bIns="0" anchor="t" anchorCtr="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fBJYn0QAAAAUBAAAPAAAAAAAAAAEAIAAAACIAAABk&#10;cnMvZG93bnJldi54bWxQSwECFAAUAAAACACHTuJAiV25ItQBAACsAwAADgAAAAAAAAABACAAAAAg&#10;AQAAZHJzL2Uyb0RvYy54bWxQSwUGAAAAAAYABgBZAQAAZgUAAAAA&#10;">
              <v:fill on="f" focussize="0,0"/>
              <v:stroke on="f" weight="1pt"/>
              <v:imagedata o:title=""/>
              <o:lock v:ext="edit" aspectratio="f"/>
              <v:textbox inset="0mm,0mm,0mm,0mm" style="mso-fit-shape-to-text:t;">
                <w:txbxContent>
                  <w:p w14:paraId="5B0ADDE8">
                    <w:pPr>
                      <w:pStyle w:val="28"/>
                    </w:pPr>
                    <w:r>
                      <w:fldChar w:fldCharType="begin"/>
                    </w:r>
                    <w:r>
                      <w:instrText xml:space="preserve"> PAGE  \* MERGEFORMAT </w:instrText>
                    </w:r>
                    <w:r>
                      <w:fldChar w:fldCharType="separate"/>
                    </w:r>
                    <w:r>
                      <w:t>13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7C1DF">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BD14C">
                          <w:pPr>
                            <w:pStyle w:val="28"/>
                          </w:pPr>
                          <w:r>
                            <w:fldChar w:fldCharType="begin"/>
                          </w:r>
                          <w:r>
                            <w:instrText xml:space="preserve"> PAGE  \* MERGEFORMAT </w:instrText>
                          </w:r>
                          <w:r>
                            <w:fldChar w:fldCharType="separate"/>
                          </w:r>
                          <w:r>
                            <w:t>80</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f87MQBAACQ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Syr&#10;l6+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6mf87MQBAACQAwAADgAAAAAAAAABACAAAAAeAQAAZHJzL2Uyb0RvYy54bWxQ&#10;SwUGAAAAAAYABgBZAQAAVAUAAAAA&#10;">
              <v:fill on="f" focussize="0,0"/>
              <v:stroke on="f"/>
              <v:imagedata o:title=""/>
              <o:lock v:ext="edit" aspectratio="f"/>
              <v:textbox inset="0mm,0mm,0mm,0mm" style="mso-fit-shape-to-text:t;">
                <w:txbxContent>
                  <w:p w14:paraId="032BD14C">
                    <w:pPr>
                      <w:pStyle w:val="28"/>
                    </w:pPr>
                    <w:r>
                      <w:fldChar w:fldCharType="begin"/>
                    </w:r>
                    <w:r>
                      <w:instrText xml:space="preserve"> PAGE  \* MERGEFORMAT </w:instrText>
                    </w:r>
                    <w:r>
                      <w:fldChar w:fldCharType="separate"/>
                    </w:r>
                    <w:r>
                      <w:t>80</w:t>
                    </w:r>
                    <w:r>
                      <w:fldChar w:fldCharType="end"/>
                    </w:r>
                  </w:p>
                </w:txbxContent>
              </v:textbox>
            </v:shape>
          </w:pict>
        </mc:Fallback>
      </mc:AlternateContent>
    </w:r>
  </w:p>
  <w:p w14:paraId="1BF54E26">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B6EC">
    <w:pPr>
      <w:pStyle w:val="28"/>
      <w:framePr w:wrap="around" w:vAnchor="text" w:hAnchor="margin" w:xAlign="center" w:y="1"/>
      <w:rPr>
        <w:rStyle w:val="48"/>
      </w:rPr>
    </w:pPr>
    <w:r>
      <w:fldChar w:fldCharType="begin"/>
    </w:r>
    <w:r>
      <w:rPr>
        <w:rStyle w:val="48"/>
      </w:rPr>
      <w:instrText xml:space="preserve">PAGE  </w:instrText>
    </w:r>
    <w:r>
      <w:fldChar w:fldCharType="end"/>
    </w:r>
  </w:p>
  <w:p w14:paraId="230572A6">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89CB">
    <w:pPr>
      <w:pStyle w:val="28"/>
      <w:framePr w:wrap="around" w:vAnchor="text" w:hAnchor="margin" w:xAlign="right" w:y="1"/>
      <w:rPr>
        <w:rStyle w:val="48"/>
      </w:rPr>
    </w:pPr>
    <w:r>
      <w:fldChar w:fldCharType="begin"/>
    </w:r>
    <w:r>
      <w:rPr>
        <w:rStyle w:val="48"/>
      </w:rPr>
      <w:instrText xml:space="preserve">PAGE  </w:instrText>
    </w:r>
    <w:r>
      <w:fldChar w:fldCharType="separate"/>
    </w:r>
    <w:r>
      <w:rPr>
        <w:rStyle w:val="48"/>
      </w:rPr>
      <w:t>122</w:t>
    </w:r>
    <w:r>
      <w:fldChar w:fldCharType="end"/>
    </w:r>
  </w:p>
  <w:p w14:paraId="11B20F89">
    <w:pPr>
      <w:pStyle w:val="28"/>
      <w:ind w:right="360"/>
      <w:jc w:val="both"/>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AFB11">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3E5657">
                          <w:pPr>
                            <w:pStyle w:val="28"/>
                          </w:pPr>
                          <w:r>
                            <w:fldChar w:fldCharType="begin"/>
                          </w:r>
                          <w:r>
                            <w:instrText xml:space="preserve"> PAGE  \* MERGEFORMAT </w:instrText>
                          </w:r>
                          <w:r>
                            <w:fldChar w:fldCharType="separate"/>
                          </w:r>
                          <w:r>
                            <w:t>90</w:t>
                          </w:r>
                          <w:r>
                            <w:fldChar w:fldCharType="end"/>
                          </w:r>
                        </w:p>
                      </w:txbxContent>
                    </wps:txbx>
                    <wps:bodyPr wrap="none" lIns="0" tIns="0" rIns="0" bIns="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4AY8QBAACQAwAADgAAAGRycy9lMm9Eb2MueG1srVPNjtMwEL4j8Q6W&#10;79Rpk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o4AY8QBAACQAwAADgAAAAAAAAABACAAAAAeAQAAZHJzL2Uyb0RvYy54bWxQ&#10;SwUGAAAAAAYABgBZAQAAVAUAAAAA&#10;">
              <v:fill on="f" focussize="0,0"/>
              <v:stroke on="f"/>
              <v:imagedata o:title=""/>
              <o:lock v:ext="edit" aspectratio="f"/>
              <v:textbox inset="0mm,0mm,0mm,0mm" style="mso-fit-shape-to-text:t;">
                <w:txbxContent>
                  <w:p w14:paraId="023E5657">
                    <w:pPr>
                      <w:pStyle w:val="28"/>
                    </w:pPr>
                    <w:r>
                      <w:fldChar w:fldCharType="begin"/>
                    </w:r>
                    <w:r>
                      <w:instrText xml:space="preserve"> PAGE  \* MERGEFORMAT </w:instrText>
                    </w:r>
                    <w:r>
                      <w:fldChar w:fldCharType="separate"/>
                    </w:r>
                    <w:r>
                      <w:t>90</w:t>
                    </w:r>
                    <w:r>
                      <w:fldChar w:fldCharType="end"/>
                    </w:r>
                  </w:p>
                </w:txbxContent>
              </v:textbox>
            </v:shape>
          </w:pict>
        </mc:Fallback>
      </mc:AlternateContent>
    </w:r>
  </w:p>
  <w:p w14:paraId="39BE9F9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09E52">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6FD76">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C74D">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35605859"/>
    <w:multiLevelType w:val="singleLevel"/>
    <w:tmpl w:val="35605859"/>
    <w:lvl w:ilvl="0" w:tentative="0">
      <w:start w:val="1"/>
      <w:numFmt w:val="chineseCounting"/>
      <w:suff w:val="space"/>
      <w:lvlText w:val="第%1条"/>
      <w:lvlJc w:val="left"/>
      <w:pPr>
        <w:ind w:left="600" w:leftChars="0" w:firstLine="0" w:firstLineChars="0"/>
      </w:pPr>
      <w:rPr>
        <w:rFonts w:hint="eastAsia"/>
      </w:rPr>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0F8"/>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62E"/>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3E3"/>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17E"/>
    <w:rsid w:val="001253EA"/>
    <w:rsid w:val="00125B99"/>
    <w:rsid w:val="00126160"/>
    <w:rsid w:val="00126DB5"/>
    <w:rsid w:val="00127178"/>
    <w:rsid w:val="00127D2B"/>
    <w:rsid w:val="00127F09"/>
    <w:rsid w:val="0013002A"/>
    <w:rsid w:val="0013085D"/>
    <w:rsid w:val="0013089C"/>
    <w:rsid w:val="00130A2D"/>
    <w:rsid w:val="00130F54"/>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8F8"/>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5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A06"/>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07F6C"/>
    <w:rsid w:val="00211470"/>
    <w:rsid w:val="00211922"/>
    <w:rsid w:val="0021213A"/>
    <w:rsid w:val="0021265F"/>
    <w:rsid w:val="00213817"/>
    <w:rsid w:val="00214428"/>
    <w:rsid w:val="002145EB"/>
    <w:rsid w:val="00214681"/>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955"/>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2AE8"/>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70A"/>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005"/>
    <w:rsid w:val="002C0714"/>
    <w:rsid w:val="002C0A96"/>
    <w:rsid w:val="002C0DBA"/>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019"/>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578B2"/>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702"/>
    <w:rsid w:val="003B18EB"/>
    <w:rsid w:val="003B230B"/>
    <w:rsid w:val="003B23BC"/>
    <w:rsid w:val="003B2DB5"/>
    <w:rsid w:val="003B2F05"/>
    <w:rsid w:val="003B3966"/>
    <w:rsid w:val="003B39B7"/>
    <w:rsid w:val="003B4EB0"/>
    <w:rsid w:val="003B5F6A"/>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48C8"/>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1C6"/>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EBC"/>
    <w:rsid w:val="0043227C"/>
    <w:rsid w:val="004335C0"/>
    <w:rsid w:val="00433AFC"/>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D22"/>
    <w:rsid w:val="00463216"/>
    <w:rsid w:val="0046334D"/>
    <w:rsid w:val="00463848"/>
    <w:rsid w:val="00463BBF"/>
    <w:rsid w:val="00463C95"/>
    <w:rsid w:val="00463E1C"/>
    <w:rsid w:val="00464052"/>
    <w:rsid w:val="00464299"/>
    <w:rsid w:val="00464C9C"/>
    <w:rsid w:val="00465153"/>
    <w:rsid w:val="00465602"/>
    <w:rsid w:val="00466254"/>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85B"/>
    <w:rsid w:val="00482F20"/>
    <w:rsid w:val="00483196"/>
    <w:rsid w:val="00483370"/>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7E3"/>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D27"/>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3E7D"/>
    <w:rsid w:val="0053464E"/>
    <w:rsid w:val="005346C8"/>
    <w:rsid w:val="005352C8"/>
    <w:rsid w:val="005354C1"/>
    <w:rsid w:val="00535F99"/>
    <w:rsid w:val="00536356"/>
    <w:rsid w:val="00536CBB"/>
    <w:rsid w:val="00536DDD"/>
    <w:rsid w:val="00537033"/>
    <w:rsid w:val="00537085"/>
    <w:rsid w:val="00540A37"/>
    <w:rsid w:val="00540B49"/>
    <w:rsid w:val="005418DB"/>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828"/>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1C1"/>
    <w:rsid w:val="00570505"/>
    <w:rsid w:val="005712E6"/>
    <w:rsid w:val="00572942"/>
    <w:rsid w:val="005730DB"/>
    <w:rsid w:val="00573251"/>
    <w:rsid w:val="005733A8"/>
    <w:rsid w:val="00573B5B"/>
    <w:rsid w:val="00573F55"/>
    <w:rsid w:val="0057540E"/>
    <w:rsid w:val="005757B6"/>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3B2"/>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2B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308"/>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9AE"/>
    <w:rsid w:val="00636FAD"/>
    <w:rsid w:val="006370E1"/>
    <w:rsid w:val="006375B2"/>
    <w:rsid w:val="006375BB"/>
    <w:rsid w:val="006379DE"/>
    <w:rsid w:val="006407FE"/>
    <w:rsid w:val="006409EE"/>
    <w:rsid w:val="00640BF7"/>
    <w:rsid w:val="00640C7D"/>
    <w:rsid w:val="00640E7E"/>
    <w:rsid w:val="00640FFF"/>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714"/>
    <w:rsid w:val="006A18BF"/>
    <w:rsid w:val="006A1F58"/>
    <w:rsid w:val="006A242E"/>
    <w:rsid w:val="006A26AB"/>
    <w:rsid w:val="006A298D"/>
    <w:rsid w:val="006A2F80"/>
    <w:rsid w:val="006A3FD6"/>
    <w:rsid w:val="006A4076"/>
    <w:rsid w:val="006A436F"/>
    <w:rsid w:val="006A4C94"/>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C14"/>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57873"/>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63AE"/>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6C5"/>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39F"/>
    <w:rsid w:val="007944D2"/>
    <w:rsid w:val="00794B19"/>
    <w:rsid w:val="00795B8D"/>
    <w:rsid w:val="00795EB9"/>
    <w:rsid w:val="00795F0E"/>
    <w:rsid w:val="007960A9"/>
    <w:rsid w:val="00797D8F"/>
    <w:rsid w:val="007A0C00"/>
    <w:rsid w:val="007A0E15"/>
    <w:rsid w:val="007A1564"/>
    <w:rsid w:val="007A176E"/>
    <w:rsid w:val="007A19BF"/>
    <w:rsid w:val="007A2A69"/>
    <w:rsid w:val="007A2CF1"/>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1CB2"/>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3F3A"/>
    <w:rsid w:val="008140C9"/>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1F35"/>
    <w:rsid w:val="008324F3"/>
    <w:rsid w:val="00832691"/>
    <w:rsid w:val="0083296B"/>
    <w:rsid w:val="00833547"/>
    <w:rsid w:val="00833852"/>
    <w:rsid w:val="00833AB9"/>
    <w:rsid w:val="008344EC"/>
    <w:rsid w:val="00834820"/>
    <w:rsid w:val="00834C82"/>
    <w:rsid w:val="00834DB6"/>
    <w:rsid w:val="00834F93"/>
    <w:rsid w:val="008354DB"/>
    <w:rsid w:val="008355DD"/>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0A1"/>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A01"/>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5E6A"/>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6D16"/>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30E1"/>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3F4F"/>
    <w:rsid w:val="00934510"/>
    <w:rsid w:val="0093476C"/>
    <w:rsid w:val="00935A1E"/>
    <w:rsid w:val="00935B7C"/>
    <w:rsid w:val="00935BD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5808"/>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0C0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4C9"/>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5BE2"/>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635"/>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3F16"/>
    <w:rsid w:val="00A144B7"/>
    <w:rsid w:val="00A149B4"/>
    <w:rsid w:val="00A15F4F"/>
    <w:rsid w:val="00A160AB"/>
    <w:rsid w:val="00A160F0"/>
    <w:rsid w:val="00A16745"/>
    <w:rsid w:val="00A16747"/>
    <w:rsid w:val="00A17C1D"/>
    <w:rsid w:val="00A20013"/>
    <w:rsid w:val="00A20582"/>
    <w:rsid w:val="00A20C65"/>
    <w:rsid w:val="00A214B2"/>
    <w:rsid w:val="00A21767"/>
    <w:rsid w:val="00A21E7C"/>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54"/>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04"/>
    <w:rsid w:val="00A825C8"/>
    <w:rsid w:val="00A82742"/>
    <w:rsid w:val="00A83984"/>
    <w:rsid w:val="00A83A1E"/>
    <w:rsid w:val="00A84198"/>
    <w:rsid w:val="00A841AB"/>
    <w:rsid w:val="00A844BF"/>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3DF2"/>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083"/>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325"/>
    <w:rsid w:val="00B464E4"/>
    <w:rsid w:val="00B4689A"/>
    <w:rsid w:val="00B46D5F"/>
    <w:rsid w:val="00B46E7B"/>
    <w:rsid w:val="00B47DC5"/>
    <w:rsid w:val="00B47E53"/>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2B2"/>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B23"/>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706"/>
    <w:rsid w:val="00BB3B0D"/>
    <w:rsid w:val="00BB524C"/>
    <w:rsid w:val="00BB5917"/>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4CE"/>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23F"/>
    <w:rsid w:val="00BE660B"/>
    <w:rsid w:val="00BE6AFE"/>
    <w:rsid w:val="00BE6BBE"/>
    <w:rsid w:val="00BE6FDA"/>
    <w:rsid w:val="00BE7021"/>
    <w:rsid w:val="00BE7300"/>
    <w:rsid w:val="00BE784F"/>
    <w:rsid w:val="00BE78CE"/>
    <w:rsid w:val="00BE7B7D"/>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1C"/>
    <w:rsid w:val="00C32AD2"/>
    <w:rsid w:val="00C34193"/>
    <w:rsid w:val="00C347FD"/>
    <w:rsid w:val="00C34CA8"/>
    <w:rsid w:val="00C34DAE"/>
    <w:rsid w:val="00C34E1E"/>
    <w:rsid w:val="00C34E5A"/>
    <w:rsid w:val="00C35A84"/>
    <w:rsid w:val="00C36219"/>
    <w:rsid w:val="00C3698E"/>
    <w:rsid w:val="00C36CCA"/>
    <w:rsid w:val="00C36CEC"/>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9CA"/>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0E5E"/>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0CA9"/>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66A"/>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745"/>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F09"/>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6F7"/>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762"/>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5DD"/>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1A5F"/>
    <w:rsid w:val="00E020D1"/>
    <w:rsid w:val="00E0250C"/>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031"/>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47EC6"/>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BDA"/>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AC1"/>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2D9"/>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0DA"/>
    <w:rsid w:val="00E85296"/>
    <w:rsid w:val="00E8533B"/>
    <w:rsid w:val="00E8575B"/>
    <w:rsid w:val="00E85931"/>
    <w:rsid w:val="00E85E4E"/>
    <w:rsid w:val="00E85E59"/>
    <w:rsid w:val="00E862BB"/>
    <w:rsid w:val="00E86327"/>
    <w:rsid w:val="00E868C7"/>
    <w:rsid w:val="00E86DF0"/>
    <w:rsid w:val="00E877D7"/>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4FE"/>
    <w:rsid w:val="00ED0DD0"/>
    <w:rsid w:val="00ED1989"/>
    <w:rsid w:val="00ED28F2"/>
    <w:rsid w:val="00ED3145"/>
    <w:rsid w:val="00ED3309"/>
    <w:rsid w:val="00ED356E"/>
    <w:rsid w:val="00ED3BDA"/>
    <w:rsid w:val="00ED3DA4"/>
    <w:rsid w:val="00ED4B67"/>
    <w:rsid w:val="00ED4B69"/>
    <w:rsid w:val="00ED4E40"/>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28B"/>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4777C"/>
    <w:rsid w:val="00F50511"/>
    <w:rsid w:val="00F50781"/>
    <w:rsid w:val="00F50CA3"/>
    <w:rsid w:val="00F517ED"/>
    <w:rsid w:val="00F51F3F"/>
    <w:rsid w:val="00F528B5"/>
    <w:rsid w:val="00F528E7"/>
    <w:rsid w:val="00F52A0D"/>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4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29C"/>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1FCE"/>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1078C7"/>
    <w:rsid w:val="01420B2A"/>
    <w:rsid w:val="015324F8"/>
    <w:rsid w:val="01AA2C10"/>
    <w:rsid w:val="01D13FBB"/>
    <w:rsid w:val="02CB76A6"/>
    <w:rsid w:val="02D7201B"/>
    <w:rsid w:val="02FA5E97"/>
    <w:rsid w:val="037738D8"/>
    <w:rsid w:val="03EE579D"/>
    <w:rsid w:val="04966335"/>
    <w:rsid w:val="053357F0"/>
    <w:rsid w:val="05A96137"/>
    <w:rsid w:val="05B53FF0"/>
    <w:rsid w:val="05C56ED2"/>
    <w:rsid w:val="075F0692"/>
    <w:rsid w:val="085237C8"/>
    <w:rsid w:val="088A74F8"/>
    <w:rsid w:val="08F53B23"/>
    <w:rsid w:val="09250EB1"/>
    <w:rsid w:val="095C61DF"/>
    <w:rsid w:val="09CB082F"/>
    <w:rsid w:val="09D71E4B"/>
    <w:rsid w:val="0A070656"/>
    <w:rsid w:val="0A410AF1"/>
    <w:rsid w:val="0A834DBD"/>
    <w:rsid w:val="0A913ED8"/>
    <w:rsid w:val="0B24171E"/>
    <w:rsid w:val="0BB33687"/>
    <w:rsid w:val="0BC26333"/>
    <w:rsid w:val="0C074490"/>
    <w:rsid w:val="0D081F34"/>
    <w:rsid w:val="0D2C0E09"/>
    <w:rsid w:val="0D584403"/>
    <w:rsid w:val="0DDA523F"/>
    <w:rsid w:val="0E5C239D"/>
    <w:rsid w:val="0E7E40C2"/>
    <w:rsid w:val="0F2E7896"/>
    <w:rsid w:val="0F333B7C"/>
    <w:rsid w:val="0F356C77"/>
    <w:rsid w:val="101C0A97"/>
    <w:rsid w:val="10F67974"/>
    <w:rsid w:val="11036B00"/>
    <w:rsid w:val="116353E3"/>
    <w:rsid w:val="117C7228"/>
    <w:rsid w:val="12BC5452"/>
    <w:rsid w:val="12D6790A"/>
    <w:rsid w:val="12F438A7"/>
    <w:rsid w:val="1334693B"/>
    <w:rsid w:val="13977E74"/>
    <w:rsid w:val="141B7F51"/>
    <w:rsid w:val="146F2C7A"/>
    <w:rsid w:val="149E4992"/>
    <w:rsid w:val="15885E50"/>
    <w:rsid w:val="15A217AD"/>
    <w:rsid w:val="15C026F1"/>
    <w:rsid w:val="16D10B3D"/>
    <w:rsid w:val="17064457"/>
    <w:rsid w:val="178A20FC"/>
    <w:rsid w:val="189439F5"/>
    <w:rsid w:val="18C643E3"/>
    <w:rsid w:val="191F1517"/>
    <w:rsid w:val="19267830"/>
    <w:rsid w:val="1A1E189B"/>
    <w:rsid w:val="1A442DE9"/>
    <w:rsid w:val="1AE04A49"/>
    <w:rsid w:val="1B2D30F7"/>
    <w:rsid w:val="1D321E13"/>
    <w:rsid w:val="1E08360E"/>
    <w:rsid w:val="1E8474D2"/>
    <w:rsid w:val="1EBD0C36"/>
    <w:rsid w:val="1F462152"/>
    <w:rsid w:val="1F5C568D"/>
    <w:rsid w:val="1F5D7D23"/>
    <w:rsid w:val="1F6B6784"/>
    <w:rsid w:val="1F7F52D7"/>
    <w:rsid w:val="1FF74882"/>
    <w:rsid w:val="206D26B0"/>
    <w:rsid w:val="20780ECB"/>
    <w:rsid w:val="21455F84"/>
    <w:rsid w:val="21692768"/>
    <w:rsid w:val="224176AA"/>
    <w:rsid w:val="228C1199"/>
    <w:rsid w:val="22922025"/>
    <w:rsid w:val="235634BB"/>
    <w:rsid w:val="242D24F6"/>
    <w:rsid w:val="24801EBF"/>
    <w:rsid w:val="24977600"/>
    <w:rsid w:val="24C61870"/>
    <w:rsid w:val="25A16BBC"/>
    <w:rsid w:val="260F0F9A"/>
    <w:rsid w:val="26AA0F6E"/>
    <w:rsid w:val="26B53A61"/>
    <w:rsid w:val="27124214"/>
    <w:rsid w:val="272F1A96"/>
    <w:rsid w:val="27AC0841"/>
    <w:rsid w:val="2848646B"/>
    <w:rsid w:val="295145A3"/>
    <w:rsid w:val="297B0CF7"/>
    <w:rsid w:val="29944B13"/>
    <w:rsid w:val="2A2C6C70"/>
    <w:rsid w:val="2A51423E"/>
    <w:rsid w:val="2AC83B8D"/>
    <w:rsid w:val="2B1E0D76"/>
    <w:rsid w:val="2B473D61"/>
    <w:rsid w:val="2D615CE9"/>
    <w:rsid w:val="2DDE2AC5"/>
    <w:rsid w:val="2EDD2DD9"/>
    <w:rsid w:val="2EFA61AC"/>
    <w:rsid w:val="2F723467"/>
    <w:rsid w:val="32A02B99"/>
    <w:rsid w:val="33D414D0"/>
    <w:rsid w:val="344C3BD9"/>
    <w:rsid w:val="34792FA7"/>
    <w:rsid w:val="35580061"/>
    <w:rsid w:val="3575203E"/>
    <w:rsid w:val="35CD358A"/>
    <w:rsid w:val="362A09EF"/>
    <w:rsid w:val="369C1105"/>
    <w:rsid w:val="37467D39"/>
    <w:rsid w:val="37E2350E"/>
    <w:rsid w:val="385F359C"/>
    <w:rsid w:val="3872080B"/>
    <w:rsid w:val="38A11D1B"/>
    <w:rsid w:val="38F77C64"/>
    <w:rsid w:val="3918124F"/>
    <w:rsid w:val="397C38EB"/>
    <w:rsid w:val="3988053A"/>
    <w:rsid w:val="3AF11C2B"/>
    <w:rsid w:val="3B4C379E"/>
    <w:rsid w:val="3BA80B19"/>
    <w:rsid w:val="3BD01B51"/>
    <w:rsid w:val="3C4240EC"/>
    <w:rsid w:val="3C5A20FB"/>
    <w:rsid w:val="3DD74340"/>
    <w:rsid w:val="3E020B6B"/>
    <w:rsid w:val="3E75163D"/>
    <w:rsid w:val="3E8B534B"/>
    <w:rsid w:val="3E997760"/>
    <w:rsid w:val="3F3A1FEB"/>
    <w:rsid w:val="40137766"/>
    <w:rsid w:val="405F6B9A"/>
    <w:rsid w:val="40885740"/>
    <w:rsid w:val="4159270A"/>
    <w:rsid w:val="41610D1E"/>
    <w:rsid w:val="41A93823"/>
    <w:rsid w:val="41CB5019"/>
    <w:rsid w:val="42253D73"/>
    <w:rsid w:val="422B7AE1"/>
    <w:rsid w:val="425F7233"/>
    <w:rsid w:val="42CD172C"/>
    <w:rsid w:val="42DC0426"/>
    <w:rsid w:val="43BF32E9"/>
    <w:rsid w:val="43C76649"/>
    <w:rsid w:val="44B91A5D"/>
    <w:rsid w:val="44BD794F"/>
    <w:rsid w:val="452F03D4"/>
    <w:rsid w:val="455B7E64"/>
    <w:rsid w:val="459A3BBF"/>
    <w:rsid w:val="46145F39"/>
    <w:rsid w:val="46422170"/>
    <w:rsid w:val="47843179"/>
    <w:rsid w:val="48103003"/>
    <w:rsid w:val="481C50E8"/>
    <w:rsid w:val="4928477D"/>
    <w:rsid w:val="496E6505"/>
    <w:rsid w:val="4AF875FC"/>
    <w:rsid w:val="4C263D95"/>
    <w:rsid w:val="4DD2333E"/>
    <w:rsid w:val="4E4F4B57"/>
    <w:rsid w:val="4E6268C7"/>
    <w:rsid w:val="4EAC5711"/>
    <w:rsid w:val="4EDA0D8F"/>
    <w:rsid w:val="4EF162D8"/>
    <w:rsid w:val="50485D02"/>
    <w:rsid w:val="50584128"/>
    <w:rsid w:val="505C7478"/>
    <w:rsid w:val="51B2004B"/>
    <w:rsid w:val="527C2D46"/>
    <w:rsid w:val="53195734"/>
    <w:rsid w:val="539C1427"/>
    <w:rsid w:val="555C4B46"/>
    <w:rsid w:val="55622629"/>
    <w:rsid w:val="557701D2"/>
    <w:rsid w:val="570D1A54"/>
    <w:rsid w:val="576C64D8"/>
    <w:rsid w:val="57981946"/>
    <w:rsid w:val="581E2406"/>
    <w:rsid w:val="59575208"/>
    <w:rsid w:val="59AC7302"/>
    <w:rsid w:val="59C33A3E"/>
    <w:rsid w:val="5A3A2DDD"/>
    <w:rsid w:val="5A955E00"/>
    <w:rsid w:val="5B210AFC"/>
    <w:rsid w:val="5B6E00E1"/>
    <w:rsid w:val="5B7E4CCE"/>
    <w:rsid w:val="5BC3335D"/>
    <w:rsid w:val="5C1F432D"/>
    <w:rsid w:val="5D201747"/>
    <w:rsid w:val="5D457F78"/>
    <w:rsid w:val="5DA31D4F"/>
    <w:rsid w:val="5DF76D59"/>
    <w:rsid w:val="5E903F42"/>
    <w:rsid w:val="5E932486"/>
    <w:rsid w:val="5FA12D39"/>
    <w:rsid w:val="60447752"/>
    <w:rsid w:val="60C34F31"/>
    <w:rsid w:val="61501C31"/>
    <w:rsid w:val="62B1716A"/>
    <w:rsid w:val="63A14D89"/>
    <w:rsid w:val="643F2103"/>
    <w:rsid w:val="64441196"/>
    <w:rsid w:val="646978EA"/>
    <w:rsid w:val="648F1CFA"/>
    <w:rsid w:val="65AF47D1"/>
    <w:rsid w:val="66DD4F9F"/>
    <w:rsid w:val="670F0F22"/>
    <w:rsid w:val="682D2EE8"/>
    <w:rsid w:val="68435565"/>
    <w:rsid w:val="68C70FC8"/>
    <w:rsid w:val="69FF347E"/>
    <w:rsid w:val="6A9562C0"/>
    <w:rsid w:val="6AA14BA3"/>
    <w:rsid w:val="6B241A17"/>
    <w:rsid w:val="6B28556D"/>
    <w:rsid w:val="6B7A2359"/>
    <w:rsid w:val="6C7E39A8"/>
    <w:rsid w:val="6C940947"/>
    <w:rsid w:val="6CD06372"/>
    <w:rsid w:val="6D1C4347"/>
    <w:rsid w:val="6DC00482"/>
    <w:rsid w:val="6E090D07"/>
    <w:rsid w:val="6E9C0F6F"/>
    <w:rsid w:val="6EC97ED5"/>
    <w:rsid w:val="6F983C7A"/>
    <w:rsid w:val="6FC13B19"/>
    <w:rsid w:val="70BE3020"/>
    <w:rsid w:val="7103031A"/>
    <w:rsid w:val="71121F70"/>
    <w:rsid w:val="719C06EE"/>
    <w:rsid w:val="71A87F57"/>
    <w:rsid w:val="71AD7318"/>
    <w:rsid w:val="71F71069"/>
    <w:rsid w:val="71FB7940"/>
    <w:rsid w:val="726D70E7"/>
    <w:rsid w:val="732E26DE"/>
    <w:rsid w:val="744D5EC9"/>
    <w:rsid w:val="74E514C2"/>
    <w:rsid w:val="750A2CD7"/>
    <w:rsid w:val="75A42485"/>
    <w:rsid w:val="760E6D35"/>
    <w:rsid w:val="76275962"/>
    <w:rsid w:val="77161A57"/>
    <w:rsid w:val="779416A9"/>
    <w:rsid w:val="77BC650A"/>
    <w:rsid w:val="77CC74DE"/>
    <w:rsid w:val="78AB024B"/>
    <w:rsid w:val="78F04CFD"/>
    <w:rsid w:val="79456B36"/>
    <w:rsid w:val="79E65A52"/>
    <w:rsid w:val="7A3538A9"/>
    <w:rsid w:val="7A7C4102"/>
    <w:rsid w:val="7B1403CC"/>
    <w:rsid w:val="7BD61679"/>
    <w:rsid w:val="7C6A13A2"/>
    <w:rsid w:val="7C744EE5"/>
    <w:rsid w:val="7C9C4E59"/>
    <w:rsid w:val="7CD135E4"/>
    <w:rsid w:val="7D117C09"/>
    <w:rsid w:val="7E1700E3"/>
    <w:rsid w:val="7E3A63DB"/>
    <w:rsid w:val="7E477448"/>
    <w:rsid w:val="7E723DC7"/>
    <w:rsid w:val="7ED2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7"/>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58"/>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59"/>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annotation text"/>
    <w:basedOn w:val="1"/>
    <w:link w:val="62"/>
    <w:unhideWhenUsed/>
    <w:qFormat/>
    <w:uiPriority w:val="0"/>
    <w:pPr>
      <w:jc w:val="left"/>
    </w:pPr>
  </w:style>
  <w:style w:type="paragraph" w:styleId="15">
    <w:name w:val="Body Text 3"/>
    <w:basedOn w:val="1"/>
    <w:link w:val="63"/>
    <w:qFormat/>
    <w:uiPriority w:val="0"/>
    <w:pPr>
      <w:spacing w:line="500" w:lineRule="exact"/>
    </w:pPr>
    <w:rPr>
      <w:b/>
      <w:bCs/>
      <w:kern w:val="0"/>
      <w:sz w:val="24"/>
    </w:rPr>
  </w:style>
  <w:style w:type="paragraph" w:styleId="16">
    <w:name w:val="Body Text"/>
    <w:basedOn w:val="1"/>
    <w:link w:val="64"/>
    <w:qFormat/>
    <w:uiPriority w:val="99"/>
    <w:pPr>
      <w:spacing w:line="380" w:lineRule="exact"/>
    </w:pPr>
    <w:rPr>
      <w:kern w:val="0"/>
      <w:sz w:val="24"/>
    </w:rPr>
  </w:style>
  <w:style w:type="paragraph" w:styleId="17">
    <w:name w:val="Body Text Indent"/>
    <w:basedOn w:val="1"/>
    <w:link w:val="65"/>
    <w:qFormat/>
    <w:uiPriority w:val="0"/>
    <w:pPr>
      <w:ind w:firstLine="830" w:firstLineChars="352"/>
    </w:pPr>
    <w:rPr>
      <w:rFonts w:ascii="仿宋_GB2312" w:eastAsia="仿宋_GB2312"/>
      <w:kern w:val="0"/>
      <w:sz w:val="32"/>
      <w:szCs w:val="20"/>
    </w:rPr>
  </w:style>
  <w:style w:type="paragraph" w:styleId="18">
    <w:name w:val="List Number 3"/>
    <w:basedOn w:val="1"/>
    <w:qFormat/>
    <w:uiPriority w:val="0"/>
    <w:pPr>
      <w:numPr>
        <w:ilvl w:val="0"/>
        <w:numId w:val="2"/>
      </w:numPr>
    </w:pPr>
  </w:style>
  <w:style w:type="paragraph" w:styleId="19">
    <w:name w:val="List 2"/>
    <w:basedOn w:val="1"/>
    <w:qFormat/>
    <w:uiPriority w:val="0"/>
    <w:pPr>
      <w:ind w:left="100" w:leftChars="200" w:hanging="200" w:hangingChars="200"/>
    </w:pPr>
    <w:rPr>
      <w:sz w:val="28"/>
    </w:rPr>
  </w:style>
  <w:style w:type="paragraph" w:styleId="20">
    <w:name w:val="toc 5"/>
    <w:basedOn w:val="1"/>
    <w:next w:val="1"/>
    <w:unhideWhenUsed/>
    <w:qFormat/>
    <w:uiPriority w:val="39"/>
    <w:pPr>
      <w:ind w:left="1680" w:leftChars="800"/>
    </w:pPr>
    <w:rPr>
      <w:rFonts w:ascii="Calibri" w:hAnsi="Calibri"/>
      <w:szCs w:val="22"/>
    </w:rPr>
  </w:style>
  <w:style w:type="paragraph" w:styleId="21">
    <w:name w:val="toc 3"/>
    <w:basedOn w:val="1"/>
    <w:next w:val="1"/>
    <w:unhideWhenUsed/>
    <w:qFormat/>
    <w:uiPriority w:val="39"/>
    <w:pPr>
      <w:ind w:left="840" w:leftChars="400"/>
    </w:pPr>
    <w:rPr>
      <w:rFonts w:ascii="Calibri" w:hAnsi="Calibri"/>
      <w:szCs w:val="22"/>
    </w:rPr>
  </w:style>
  <w:style w:type="paragraph" w:styleId="22">
    <w:name w:val="Plain Text"/>
    <w:basedOn w:val="1"/>
    <w:link w:val="66"/>
    <w:qFormat/>
    <w:uiPriority w:val="0"/>
    <w:rPr>
      <w:rFonts w:ascii="宋体" w:hAnsi="Courier New"/>
      <w:kern w:val="0"/>
      <w:sz w:val="20"/>
      <w:szCs w:val="21"/>
    </w:rPr>
  </w:style>
  <w:style w:type="paragraph" w:styleId="23">
    <w:name w:val="toc 8"/>
    <w:basedOn w:val="1"/>
    <w:next w:val="1"/>
    <w:unhideWhenUsed/>
    <w:qFormat/>
    <w:uiPriority w:val="39"/>
    <w:pPr>
      <w:ind w:left="2940" w:leftChars="1400"/>
    </w:pPr>
    <w:rPr>
      <w:rFonts w:ascii="Calibri" w:hAnsi="Calibri"/>
      <w:szCs w:val="22"/>
    </w:rPr>
  </w:style>
  <w:style w:type="paragraph" w:styleId="24">
    <w:name w:val="Date"/>
    <w:basedOn w:val="1"/>
    <w:next w:val="1"/>
    <w:link w:val="67"/>
    <w:qFormat/>
    <w:uiPriority w:val="0"/>
    <w:pPr>
      <w:ind w:left="100" w:leftChars="2500"/>
    </w:pPr>
    <w:rPr>
      <w:rFonts w:ascii="宋体" w:hAnsi="Courier New"/>
      <w:kern w:val="0"/>
      <w:sz w:val="20"/>
      <w:szCs w:val="21"/>
    </w:rPr>
  </w:style>
  <w:style w:type="paragraph" w:styleId="25">
    <w:name w:val="Body Text Indent 2"/>
    <w:basedOn w:val="1"/>
    <w:link w:val="68"/>
    <w:qFormat/>
    <w:uiPriority w:val="0"/>
    <w:pPr>
      <w:ind w:firstLine="630"/>
    </w:pPr>
    <w:rPr>
      <w:kern w:val="0"/>
      <w:sz w:val="32"/>
      <w:szCs w:val="20"/>
    </w:rPr>
  </w:style>
  <w:style w:type="paragraph" w:styleId="26">
    <w:name w:val="endnote text"/>
    <w:basedOn w:val="1"/>
    <w:link w:val="69"/>
    <w:unhideWhenUsed/>
    <w:qFormat/>
    <w:uiPriority w:val="99"/>
    <w:pPr>
      <w:snapToGrid w:val="0"/>
      <w:jc w:val="left"/>
    </w:pPr>
  </w:style>
  <w:style w:type="paragraph" w:styleId="27">
    <w:name w:val="Balloon Text"/>
    <w:basedOn w:val="1"/>
    <w:link w:val="70"/>
    <w:semiHidden/>
    <w:qFormat/>
    <w:uiPriority w:val="0"/>
    <w:rPr>
      <w:kern w:val="0"/>
      <w:sz w:val="18"/>
      <w:szCs w:val="18"/>
    </w:rPr>
  </w:style>
  <w:style w:type="paragraph" w:styleId="28">
    <w:name w:val="footer"/>
    <w:basedOn w:val="1"/>
    <w:link w:val="71"/>
    <w:unhideWhenUsed/>
    <w:qFormat/>
    <w:uiPriority w:val="99"/>
    <w:pPr>
      <w:tabs>
        <w:tab w:val="center" w:pos="4153"/>
        <w:tab w:val="right" w:pos="8306"/>
      </w:tabs>
      <w:snapToGrid w:val="0"/>
      <w:jc w:val="left"/>
    </w:pPr>
    <w:rPr>
      <w:kern w:val="0"/>
      <w:sz w:val="18"/>
      <w:szCs w:val="18"/>
    </w:rPr>
  </w:style>
  <w:style w:type="paragraph" w:styleId="29">
    <w:name w:val="header"/>
    <w:basedOn w:val="1"/>
    <w:link w:val="72"/>
    <w:unhideWhenUsed/>
    <w:qFormat/>
    <w:uiPriority w:val="99"/>
    <w:pPr>
      <w:pBdr>
        <w:bottom w:val="single" w:color="auto" w:sz="6" w:space="1"/>
      </w:pBdr>
      <w:tabs>
        <w:tab w:val="center" w:pos="0"/>
        <w:tab w:val="left" w:pos="8306"/>
      </w:tabs>
      <w:snapToGrid w:val="0"/>
      <w:jc w:val="center"/>
    </w:pPr>
    <w:rPr>
      <w:sz w:val="18"/>
      <w:szCs w:val="18"/>
    </w:rPr>
  </w:style>
  <w:style w:type="paragraph" w:styleId="3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1">
    <w:name w:val="toc 4"/>
    <w:basedOn w:val="1"/>
    <w:next w:val="1"/>
    <w:unhideWhenUsed/>
    <w:qFormat/>
    <w:uiPriority w:val="39"/>
    <w:pPr>
      <w:ind w:left="1260" w:leftChars="600"/>
    </w:pPr>
    <w:rPr>
      <w:rFonts w:ascii="Calibri" w:hAnsi="Calibri"/>
      <w:szCs w:val="22"/>
    </w:rPr>
  </w:style>
  <w:style w:type="paragraph" w:styleId="32">
    <w:name w:val="List"/>
    <w:basedOn w:val="1"/>
    <w:qFormat/>
    <w:uiPriority w:val="0"/>
    <w:pPr>
      <w:ind w:left="200" w:hanging="200" w:hangingChars="200"/>
    </w:pPr>
    <w:rPr>
      <w:sz w:val="28"/>
    </w:rPr>
  </w:style>
  <w:style w:type="paragraph" w:styleId="33">
    <w:name w:val="footnote text"/>
    <w:basedOn w:val="1"/>
    <w:link w:val="73"/>
    <w:unhideWhenUsed/>
    <w:qFormat/>
    <w:uiPriority w:val="99"/>
    <w:pPr>
      <w:snapToGrid w:val="0"/>
      <w:jc w:val="left"/>
    </w:pPr>
    <w:rPr>
      <w:sz w:val="18"/>
      <w:szCs w:val="18"/>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Body Text Indent 3"/>
    <w:basedOn w:val="1"/>
    <w:link w:val="74"/>
    <w:qFormat/>
    <w:uiPriority w:val="0"/>
    <w:pPr>
      <w:spacing w:after="120"/>
      <w:ind w:left="420" w:leftChars="200"/>
    </w:pPr>
    <w:rPr>
      <w:kern w:val="0"/>
      <w:sz w:val="16"/>
      <w:szCs w:val="16"/>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rPr>
      <w:rFonts w:ascii="Calibri" w:hAnsi="Calibri"/>
      <w:szCs w:val="22"/>
    </w:rPr>
  </w:style>
  <w:style w:type="paragraph" w:styleId="38">
    <w:name w:val="Body Text 2"/>
    <w:basedOn w:val="1"/>
    <w:link w:val="75"/>
    <w:qFormat/>
    <w:uiPriority w:val="0"/>
    <w:pPr>
      <w:spacing w:after="120" w:line="480" w:lineRule="auto"/>
    </w:pPr>
    <w:rPr>
      <w:kern w:val="0"/>
      <w:sz w:val="20"/>
    </w:rPr>
  </w:style>
  <w:style w:type="paragraph" w:styleId="39">
    <w:name w:val="Normal (Web)"/>
    <w:basedOn w:val="1"/>
    <w:qFormat/>
    <w:uiPriority w:val="99"/>
    <w:pPr>
      <w:widowControl/>
      <w:spacing w:before="100" w:beforeAutospacing="1" w:after="100" w:afterAutospacing="1"/>
      <w:jc w:val="left"/>
    </w:pPr>
    <w:rPr>
      <w:rFonts w:ascii="宋体" w:hAnsi="宋体"/>
      <w:kern w:val="0"/>
      <w:sz w:val="24"/>
    </w:rPr>
  </w:style>
  <w:style w:type="paragraph" w:styleId="40">
    <w:name w:val="index 1"/>
    <w:basedOn w:val="1"/>
    <w:next w:val="1"/>
    <w:semiHidden/>
    <w:qFormat/>
    <w:uiPriority w:val="0"/>
    <w:pPr>
      <w:spacing w:line="400" w:lineRule="exact"/>
      <w:ind w:firstLine="420" w:firstLineChars="200"/>
    </w:pPr>
    <w:rPr>
      <w:rFonts w:ascii="宋体" w:hAnsi="Courier New"/>
      <w:b/>
      <w:szCs w:val="20"/>
    </w:rPr>
  </w:style>
  <w:style w:type="paragraph" w:styleId="41">
    <w:name w:val="Title"/>
    <w:basedOn w:val="1"/>
    <w:next w:val="1"/>
    <w:link w:val="76"/>
    <w:qFormat/>
    <w:uiPriority w:val="10"/>
    <w:pPr>
      <w:spacing w:before="240" w:after="60"/>
      <w:jc w:val="center"/>
      <w:outlineLvl w:val="0"/>
    </w:pPr>
    <w:rPr>
      <w:rFonts w:ascii="Cambria" w:hAnsi="Cambria"/>
      <w:b/>
      <w:bCs/>
      <w:sz w:val="32"/>
      <w:szCs w:val="32"/>
    </w:rPr>
  </w:style>
  <w:style w:type="paragraph" w:styleId="42">
    <w:name w:val="annotation subject"/>
    <w:basedOn w:val="14"/>
    <w:next w:val="14"/>
    <w:link w:val="77"/>
    <w:unhideWhenUsed/>
    <w:qFormat/>
    <w:uiPriority w:val="99"/>
    <w:rPr>
      <w:b/>
      <w:bCs/>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rPr>
  </w:style>
  <w:style w:type="character" w:styleId="47">
    <w:name w:val="endnote reference"/>
    <w:unhideWhenUsed/>
    <w:qFormat/>
    <w:uiPriority w:val="99"/>
    <w:rPr>
      <w:vertAlign w:val="superscript"/>
    </w:rPr>
  </w:style>
  <w:style w:type="character" w:styleId="48">
    <w:name w:val="page number"/>
    <w:basedOn w:val="45"/>
    <w:qFormat/>
    <w:uiPriority w:val="0"/>
  </w:style>
  <w:style w:type="character" w:styleId="49">
    <w:name w:val="FollowedHyperlink"/>
    <w:qFormat/>
    <w:uiPriority w:val="0"/>
    <w:rPr>
      <w:color w:val="800080"/>
      <w:u w:val="single"/>
    </w:rPr>
  </w:style>
  <w:style w:type="character" w:styleId="50">
    <w:name w:val="Emphasis"/>
    <w:qFormat/>
    <w:uiPriority w:val="20"/>
    <w:rPr>
      <w:i/>
    </w:rPr>
  </w:style>
  <w:style w:type="character" w:styleId="51">
    <w:name w:val="Hyperlink"/>
    <w:qFormat/>
    <w:uiPriority w:val="99"/>
    <w:rPr>
      <w:color w:val="0000FF"/>
      <w:u w:val="single"/>
    </w:rPr>
  </w:style>
  <w:style w:type="character" w:styleId="52">
    <w:name w:val="annotation reference"/>
    <w:unhideWhenUsed/>
    <w:qFormat/>
    <w:uiPriority w:val="0"/>
    <w:rPr>
      <w:sz w:val="21"/>
      <w:szCs w:val="21"/>
    </w:rPr>
  </w:style>
  <w:style w:type="character" w:styleId="53">
    <w:name w:val="footnote reference"/>
    <w:unhideWhenUsed/>
    <w:qFormat/>
    <w:uiPriority w:val="99"/>
    <w:rPr>
      <w:vertAlign w:val="superscript"/>
    </w:rPr>
  </w:style>
  <w:style w:type="character" w:customStyle="1" w:styleId="54">
    <w:name w:val="标题 1 字符1"/>
    <w:link w:val="2"/>
    <w:qFormat/>
    <w:uiPriority w:val="0"/>
    <w:rPr>
      <w:rFonts w:ascii="Times New Roman" w:hAnsi="Times New Roman" w:eastAsia="宋体" w:cs="Times New Roman"/>
      <w:b/>
      <w:bCs/>
      <w:kern w:val="44"/>
      <w:sz w:val="44"/>
      <w:szCs w:val="44"/>
    </w:rPr>
  </w:style>
  <w:style w:type="character" w:customStyle="1" w:styleId="55">
    <w:name w:val="标题 2 字符"/>
    <w:link w:val="3"/>
    <w:qFormat/>
    <w:uiPriority w:val="0"/>
    <w:rPr>
      <w:rFonts w:ascii="Arial" w:hAnsi="Arial" w:eastAsia="黑体" w:cs="Times New Roman"/>
      <w:b/>
      <w:bCs/>
      <w:sz w:val="32"/>
      <w:szCs w:val="32"/>
    </w:rPr>
  </w:style>
  <w:style w:type="character" w:customStyle="1" w:styleId="56">
    <w:name w:val="标题 3 字符"/>
    <w:link w:val="4"/>
    <w:qFormat/>
    <w:uiPriority w:val="0"/>
    <w:rPr>
      <w:rFonts w:ascii="Times New Roman" w:hAnsi="Times New Roman" w:eastAsia="宋体" w:cs="Times New Roman"/>
      <w:b/>
      <w:bCs/>
      <w:sz w:val="32"/>
      <w:szCs w:val="32"/>
    </w:rPr>
  </w:style>
  <w:style w:type="character" w:customStyle="1" w:styleId="57">
    <w:name w:val="标题 5 字符"/>
    <w:link w:val="5"/>
    <w:qFormat/>
    <w:uiPriority w:val="0"/>
    <w:rPr>
      <w:b/>
      <w:kern w:val="2"/>
      <w:sz w:val="28"/>
      <w:szCs w:val="24"/>
    </w:rPr>
  </w:style>
  <w:style w:type="character" w:customStyle="1" w:styleId="58">
    <w:name w:val="标题 6 字符"/>
    <w:link w:val="7"/>
    <w:qFormat/>
    <w:uiPriority w:val="0"/>
    <w:rPr>
      <w:rFonts w:ascii="Arial" w:hAnsi="Arial" w:eastAsia="黑体"/>
      <w:b/>
      <w:kern w:val="2"/>
      <w:sz w:val="24"/>
      <w:szCs w:val="24"/>
    </w:rPr>
  </w:style>
  <w:style w:type="character" w:customStyle="1" w:styleId="59">
    <w:name w:val="标题 7 字符"/>
    <w:link w:val="8"/>
    <w:qFormat/>
    <w:uiPriority w:val="0"/>
    <w:rPr>
      <w:rFonts w:ascii="Times New Roman" w:hAnsi="Times New Roman"/>
      <w:b/>
      <w:kern w:val="2"/>
      <w:sz w:val="24"/>
      <w:szCs w:val="24"/>
    </w:rPr>
  </w:style>
  <w:style w:type="character" w:customStyle="1" w:styleId="60">
    <w:name w:val="标题 8 字符"/>
    <w:link w:val="9"/>
    <w:qFormat/>
    <w:uiPriority w:val="0"/>
    <w:rPr>
      <w:rFonts w:ascii="Arial" w:hAnsi="Arial" w:eastAsia="黑体"/>
      <w:kern w:val="2"/>
      <w:sz w:val="24"/>
      <w:szCs w:val="24"/>
    </w:rPr>
  </w:style>
  <w:style w:type="character" w:customStyle="1" w:styleId="61">
    <w:name w:val="标题 9 字符"/>
    <w:link w:val="10"/>
    <w:qFormat/>
    <w:uiPriority w:val="0"/>
    <w:rPr>
      <w:rFonts w:ascii="Arial" w:hAnsi="Arial" w:eastAsia="黑体"/>
      <w:kern w:val="2"/>
      <w:sz w:val="21"/>
      <w:szCs w:val="24"/>
    </w:rPr>
  </w:style>
  <w:style w:type="character" w:customStyle="1" w:styleId="62">
    <w:name w:val="批注文字 字符1"/>
    <w:link w:val="14"/>
    <w:qFormat/>
    <w:uiPriority w:val="0"/>
    <w:rPr>
      <w:rFonts w:ascii="Times New Roman" w:hAnsi="Times New Roman"/>
      <w:kern w:val="2"/>
      <w:sz w:val="21"/>
      <w:szCs w:val="24"/>
    </w:rPr>
  </w:style>
  <w:style w:type="character" w:customStyle="1" w:styleId="63">
    <w:name w:val="正文文本 3 字符"/>
    <w:link w:val="15"/>
    <w:qFormat/>
    <w:uiPriority w:val="0"/>
    <w:rPr>
      <w:rFonts w:ascii="Times New Roman" w:hAnsi="Times New Roman" w:eastAsia="宋体" w:cs="Times New Roman"/>
      <w:b/>
      <w:bCs/>
      <w:sz w:val="24"/>
      <w:szCs w:val="24"/>
    </w:rPr>
  </w:style>
  <w:style w:type="character" w:customStyle="1" w:styleId="64">
    <w:name w:val="正文文本 字符"/>
    <w:link w:val="16"/>
    <w:qFormat/>
    <w:uiPriority w:val="99"/>
    <w:rPr>
      <w:rFonts w:ascii="Times New Roman" w:hAnsi="Times New Roman" w:eastAsia="宋体" w:cs="Times New Roman"/>
      <w:sz w:val="24"/>
      <w:szCs w:val="24"/>
    </w:rPr>
  </w:style>
  <w:style w:type="character" w:customStyle="1" w:styleId="65">
    <w:name w:val="正文文本缩进 字符1"/>
    <w:link w:val="17"/>
    <w:qFormat/>
    <w:uiPriority w:val="0"/>
    <w:rPr>
      <w:rFonts w:ascii="仿宋_GB2312" w:hAnsi="Times New Roman" w:eastAsia="仿宋_GB2312" w:cs="Times New Roman"/>
      <w:sz w:val="32"/>
      <w:szCs w:val="20"/>
    </w:rPr>
  </w:style>
  <w:style w:type="character" w:customStyle="1" w:styleId="66">
    <w:name w:val="纯文本 字符2"/>
    <w:link w:val="22"/>
    <w:qFormat/>
    <w:uiPriority w:val="0"/>
    <w:rPr>
      <w:rFonts w:ascii="宋体" w:hAnsi="Courier New" w:eastAsia="宋体" w:cs="Courier New"/>
      <w:szCs w:val="21"/>
    </w:rPr>
  </w:style>
  <w:style w:type="character" w:customStyle="1" w:styleId="67">
    <w:name w:val="日期 字符"/>
    <w:link w:val="24"/>
    <w:qFormat/>
    <w:uiPriority w:val="0"/>
    <w:rPr>
      <w:rFonts w:ascii="宋体" w:hAnsi="Courier New" w:eastAsia="宋体" w:cs="Courier New"/>
      <w:szCs w:val="21"/>
    </w:rPr>
  </w:style>
  <w:style w:type="character" w:customStyle="1" w:styleId="68">
    <w:name w:val="正文文本缩进 2 字符"/>
    <w:link w:val="25"/>
    <w:qFormat/>
    <w:uiPriority w:val="0"/>
    <w:rPr>
      <w:rFonts w:ascii="Times New Roman" w:hAnsi="Times New Roman" w:eastAsia="宋体" w:cs="Times New Roman"/>
      <w:sz w:val="32"/>
      <w:szCs w:val="20"/>
    </w:rPr>
  </w:style>
  <w:style w:type="character" w:customStyle="1" w:styleId="69">
    <w:name w:val="尾注文本 字符"/>
    <w:link w:val="26"/>
    <w:semiHidden/>
    <w:qFormat/>
    <w:uiPriority w:val="99"/>
    <w:rPr>
      <w:rFonts w:ascii="Times New Roman" w:hAnsi="Times New Roman"/>
      <w:kern w:val="2"/>
      <w:sz w:val="21"/>
      <w:szCs w:val="24"/>
    </w:rPr>
  </w:style>
  <w:style w:type="character" w:customStyle="1" w:styleId="70">
    <w:name w:val="批注框文本 字符"/>
    <w:link w:val="27"/>
    <w:semiHidden/>
    <w:qFormat/>
    <w:uiPriority w:val="0"/>
    <w:rPr>
      <w:rFonts w:ascii="Times New Roman" w:hAnsi="Times New Roman" w:eastAsia="宋体" w:cs="Times New Roman"/>
      <w:sz w:val="18"/>
      <w:szCs w:val="18"/>
    </w:rPr>
  </w:style>
  <w:style w:type="character" w:customStyle="1" w:styleId="71">
    <w:name w:val="页脚 字符"/>
    <w:link w:val="28"/>
    <w:qFormat/>
    <w:uiPriority w:val="99"/>
    <w:rPr>
      <w:sz w:val="18"/>
      <w:szCs w:val="18"/>
    </w:rPr>
  </w:style>
  <w:style w:type="character" w:customStyle="1" w:styleId="72">
    <w:name w:val="页眉 字符"/>
    <w:link w:val="29"/>
    <w:qFormat/>
    <w:uiPriority w:val="99"/>
    <w:rPr>
      <w:rFonts w:ascii="Times New Roman" w:hAnsi="Times New Roman"/>
      <w:kern w:val="2"/>
      <w:sz w:val="18"/>
      <w:szCs w:val="18"/>
    </w:rPr>
  </w:style>
  <w:style w:type="character" w:customStyle="1" w:styleId="73">
    <w:name w:val="脚注文本 字符"/>
    <w:link w:val="33"/>
    <w:semiHidden/>
    <w:qFormat/>
    <w:uiPriority w:val="99"/>
    <w:rPr>
      <w:rFonts w:ascii="Times New Roman" w:hAnsi="Times New Roman"/>
      <w:kern w:val="2"/>
      <w:sz w:val="18"/>
      <w:szCs w:val="18"/>
    </w:rPr>
  </w:style>
  <w:style w:type="character" w:customStyle="1" w:styleId="74">
    <w:name w:val="正文文本缩进 3 字符"/>
    <w:link w:val="35"/>
    <w:qFormat/>
    <w:uiPriority w:val="0"/>
    <w:rPr>
      <w:rFonts w:ascii="Times New Roman" w:hAnsi="Times New Roman" w:eastAsia="宋体" w:cs="Times New Roman"/>
      <w:sz w:val="16"/>
      <w:szCs w:val="16"/>
    </w:rPr>
  </w:style>
  <w:style w:type="character" w:customStyle="1" w:styleId="75">
    <w:name w:val="正文文本 2 字符"/>
    <w:link w:val="38"/>
    <w:qFormat/>
    <w:uiPriority w:val="0"/>
    <w:rPr>
      <w:rFonts w:ascii="Times New Roman" w:hAnsi="Times New Roman" w:eastAsia="宋体" w:cs="Times New Roman"/>
      <w:szCs w:val="24"/>
    </w:rPr>
  </w:style>
  <w:style w:type="character" w:customStyle="1" w:styleId="76">
    <w:name w:val="标题 字符"/>
    <w:link w:val="41"/>
    <w:qFormat/>
    <w:uiPriority w:val="10"/>
    <w:rPr>
      <w:rFonts w:ascii="Cambria" w:hAnsi="Cambria" w:cs="Times New Roman"/>
      <w:b/>
      <w:bCs/>
      <w:kern w:val="2"/>
      <w:sz w:val="32"/>
      <w:szCs w:val="32"/>
    </w:rPr>
  </w:style>
  <w:style w:type="character" w:customStyle="1" w:styleId="77">
    <w:name w:val="批注主题 字符"/>
    <w:link w:val="42"/>
    <w:semiHidden/>
    <w:qFormat/>
    <w:uiPriority w:val="99"/>
    <w:rPr>
      <w:rFonts w:ascii="Times New Roman" w:hAnsi="Times New Roman"/>
      <w:b/>
      <w:bCs/>
      <w:kern w:val="2"/>
      <w:sz w:val="21"/>
      <w:szCs w:val="24"/>
    </w:rPr>
  </w:style>
  <w:style w:type="character" w:customStyle="1" w:styleId="78">
    <w:name w:val="纯文本 字符1"/>
    <w:qFormat/>
    <w:uiPriority w:val="0"/>
    <w:rPr>
      <w:rFonts w:ascii="宋体" w:hAnsi="Courier New"/>
    </w:rPr>
  </w:style>
  <w:style w:type="character" w:customStyle="1" w:styleId="79">
    <w:name w:val="批注文字 Char1"/>
    <w:semiHidden/>
    <w:qFormat/>
    <w:locked/>
    <w:uiPriority w:val="0"/>
    <w:rPr>
      <w:rFonts w:ascii="Times New Roman" w:hAnsi="Times New Roman"/>
      <w:kern w:val="2"/>
      <w:sz w:val="21"/>
      <w:szCs w:val="24"/>
    </w:rPr>
  </w:style>
  <w:style w:type="character" w:customStyle="1" w:styleId="80">
    <w:name w:val="headline-content4"/>
    <w:qFormat/>
    <w:uiPriority w:val="0"/>
  </w:style>
  <w:style w:type="character" w:customStyle="1" w:styleId="81">
    <w:name w:val="批注文字 字符"/>
    <w:qFormat/>
    <w:uiPriority w:val="0"/>
    <w:rPr>
      <w:rFonts w:ascii="Times New Roman" w:hAnsi="Times New Roman"/>
      <w:kern w:val="2"/>
      <w:sz w:val="21"/>
      <w:szCs w:val="24"/>
    </w:rPr>
  </w:style>
  <w:style w:type="character" w:customStyle="1" w:styleId="82">
    <w:name w:val="标题 5 Char"/>
    <w:qFormat/>
    <w:uiPriority w:val="0"/>
    <w:rPr>
      <w:b/>
      <w:kern w:val="2"/>
      <w:sz w:val="28"/>
      <w:szCs w:val="24"/>
    </w:rPr>
  </w:style>
  <w:style w:type="character" w:customStyle="1" w:styleId="8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4">
    <w:name w:val="批注文字 Char"/>
    <w:qFormat/>
    <w:uiPriority w:val="0"/>
    <w:rPr>
      <w:rFonts w:ascii="Times New Roman" w:hAnsi="Times New Roman"/>
      <w:kern w:val="2"/>
      <w:sz w:val="21"/>
      <w:szCs w:val="24"/>
    </w:rPr>
  </w:style>
  <w:style w:type="character" w:customStyle="1" w:styleId="85">
    <w:name w:val="标题 1 字符"/>
    <w:qFormat/>
    <w:uiPriority w:val="9"/>
    <w:rPr>
      <w:rFonts w:ascii="Times New Roman" w:hAnsi="Times New Roman" w:eastAsia="宋体" w:cs="Times New Roman"/>
      <w:b/>
      <w:bCs/>
      <w:kern w:val="44"/>
      <w:sz w:val="44"/>
      <w:szCs w:val="44"/>
    </w:rPr>
  </w:style>
  <w:style w:type="character" w:customStyle="1" w:styleId="86">
    <w:name w:val="apple-style-span"/>
    <w:qFormat/>
    <w:uiPriority w:val="0"/>
  </w:style>
  <w:style w:type="character" w:customStyle="1" w:styleId="87">
    <w:name w:val="正文文本缩进 字符"/>
    <w:qFormat/>
    <w:uiPriority w:val="0"/>
    <w:rPr>
      <w:rFonts w:ascii="仿宋_GB2312" w:hAnsi="Times New Roman" w:eastAsia="仿宋_GB2312" w:cs="Times New Roman"/>
      <w:sz w:val="32"/>
      <w:szCs w:val="20"/>
    </w:rPr>
  </w:style>
  <w:style w:type="character" w:customStyle="1" w:styleId="88">
    <w:name w:val="case31"/>
    <w:qFormat/>
    <w:uiPriority w:val="0"/>
    <w:rPr>
      <w:rFonts w:hint="default" w:ascii="_x000B__x000C_" w:hAnsi="_x000B__x000C_"/>
      <w:sz w:val="21"/>
      <w:szCs w:val="21"/>
    </w:rPr>
  </w:style>
  <w:style w:type="character" w:customStyle="1" w:styleId="89">
    <w:name w:val="纯文本 字符"/>
    <w:qFormat/>
    <w:uiPriority w:val="0"/>
    <w:rPr>
      <w:rFonts w:ascii="宋体" w:hAnsi="Courier New" w:eastAsia="宋体" w:cs="Courier New"/>
      <w:szCs w:val="21"/>
    </w:rPr>
  </w:style>
  <w:style w:type="character" w:customStyle="1" w:styleId="90">
    <w:name w:val="textcontents"/>
    <w:qFormat/>
    <w:uiPriority w:val="0"/>
  </w:style>
  <w:style w:type="character" w:customStyle="1" w:styleId="91">
    <w:name w:val="普通文字 Char Char2"/>
    <w:qFormat/>
    <w:uiPriority w:val="0"/>
    <w:rPr>
      <w:rFonts w:ascii="宋体" w:hAnsi="Courier New" w:eastAsia="宋体"/>
      <w:kern w:val="2"/>
      <w:sz w:val="21"/>
      <w:lang w:val="en-US" w:eastAsia="zh-CN" w:bidi="ar-SA"/>
    </w:rPr>
  </w:style>
  <w:style w:type="paragraph" w:customStyle="1" w:styleId="92">
    <w:name w:val="正文段"/>
    <w:basedOn w:val="1"/>
    <w:qFormat/>
    <w:uiPriority w:val="0"/>
    <w:pPr>
      <w:widowControl/>
      <w:snapToGrid w:val="0"/>
      <w:spacing w:after="50" w:afterLines="50"/>
      <w:ind w:firstLine="200" w:firstLineChars="200"/>
    </w:pPr>
    <w:rPr>
      <w:kern w:val="0"/>
      <w:sz w:val="24"/>
      <w:szCs w:val="20"/>
    </w:rPr>
  </w:style>
  <w:style w:type="paragraph" w:customStyle="1" w:styleId="9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4">
    <w:name w:val="默认段落字体 Para Char Char Char Char Char Char Char Char Char1 Char Char Char Char"/>
    <w:basedOn w:val="1"/>
    <w:qFormat/>
    <w:uiPriority w:val="0"/>
    <w:rPr>
      <w:rFonts w:ascii="Tahoma" w:hAnsi="Tahoma"/>
      <w:sz w:val="24"/>
      <w:szCs w:val="20"/>
    </w:rPr>
  </w:style>
  <w:style w:type="paragraph" w:customStyle="1" w:styleId="95">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6">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9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8">
    <w:name w:val="Table Paragraph"/>
    <w:basedOn w:val="1"/>
    <w:qFormat/>
    <w:uiPriority w:val="1"/>
    <w:pPr>
      <w:jc w:val="left"/>
    </w:pPr>
    <w:rPr>
      <w:rFonts w:ascii="Calibri" w:hAnsi="Calibri"/>
      <w:kern w:val="0"/>
      <w:sz w:val="22"/>
      <w:szCs w:val="22"/>
      <w:lang w:eastAsia="en-US"/>
    </w:rPr>
  </w:style>
  <w:style w:type="paragraph" w:customStyle="1" w:styleId="99">
    <w:name w:val="Char1"/>
    <w:basedOn w:val="1"/>
    <w:qFormat/>
    <w:uiPriority w:val="0"/>
    <w:rPr>
      <w:szCs w:val="21"/>
    </w:rPr>
  </w:style>
  <w:style w:type="paragraph" w:customStyle="1" w:styleId="100">
    <w:name w:val="正文首行缩进两字符"/>
    <w:basedOn w:val="1"/>
    <w:qFormat/>
    <w:uiPriority w:val="0"/>
    <w:pPr>
      <w:spacing w:line="360" w:lineRule="auto"/>
      <w:ind w:firstLine="200" w:firstLineChars="200"/>
    </w:pPr>
  </w:style>
  <w:style w:type="paragraph" w:customStyle="1" w:styleId="101">
    <w:name w:val="表格"/>
    <w:basedOn w:val="1"/>
    <w:qFormat/>
    <w:uiPriority w:val="0"/>
    <w:pPr>
      <w:spacing w:line="400" w:lineRule="exact"/>
    </w:pPr>
    <w:rPr>
      <w:sz w:val="24"/>
    </w:rPr>
  </w:style>
  <w:style w:type="paragraph" w:customStyle="1" w:styleId="102">
    <w:name w:val="样式 首行缩进:  2 字符"/>
    <w:basedOn w:val="1"/>
    <w:qFormat/>
    <w:uiPriority w:val="0"/>
    <w:pPr>
      <w:spacing w:line="400" w:lineRule="exact"/>
      <w:ind w:firstLine="200" w:firstLineChars="200"/>
    </w:pPr>
    <w:rPr>
      <w:rFonts w:cs="宋体"/>
      <w:sz w:val="24"/>
    </w:rPr>
  </w:style>
  <w:style w:type="paragraph" w:customStyle="1" w:styleId="103">
    <w:name w:val="纯文本1"/>
    <w:basedOn w:val="1"/>
    <w:qFormat/>
    <w:uiPriority w:val="0"/>
    <w:rPr>
      <w:rFonts w:ascii="宋体" w:hAnsi="Courier New" w:cs="Century"/>
      <w:szCs w:val="21"/>
    </w:rPr>
  </w:style>
  <w:style w:type="paragraph" w:customStyle="1" w:styleId="10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05">
    <w:name w:val="List Paragraph"/>
    <w:basedOn w:val="1"/>
    <w:qFormat/>
    <w:uiPriority w:val="34"/>
    <w:pPr>
      <w:ind w:firstLine="420" w:firstLineChars="200"/>
    </w:pPr>
  </w:style>
  <w:style w:type="table" w:customStyle="1" w:styleId="106">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07">
    <w:name w:val="纯文本 Char1"/>
    <w:qFormat/>
    <w:uiPriority w:val="0"/>
    <w:rPr>
      <w:rFonts w:ascii="宋体" w:hAnsi="Courier New" w:eastAsia="宋体" w:cs="Courier New"/>
      <w:szCs w:val="21"/>
    </w:rPr>
  </w:style>
  <w:style w:type="character" w:customStyle="1" w:styleId="108">
    <w:name w:val="标题 5 Char1"/>
    <w:qFormat/>
    <w:uiPriority w:val="0"/>
    <w:rPr>
      <w:b/>
      <w:kern w:val="2"/>
      <w:sz w:val="28"/>
      <w:szCs w:val="24"/>
    </w:rPr>
  </w:style>
  <w:style w:type="character" w:customStyle="1" w:styleId="109">
    <w:name w:val="批注文字 字符2"/>
    <w:qFormat/>
    <w:uiPriority w:val="0"/>
    <w:rPr>
      <w:rFonts w:ascii="Times New Roman" w:hAnsi="Times New Roman"/>
      <w:kern w:val="2"/>
      <w:sz w:val="21"/>
      <w:szCs w:val="24"/>
    </w:rPr>
  </w:style>
  <w:style w:type="character" w:customStyle="1" w:styleId="110">
    <w:name w:val="纯文本 Char"/>
    <w:qFormat/>
    <w:uiPriority w:val="0"/>
    <w:rPr>
      <w:rFonts w:ascii="宋体" w:hAnsi="Courier New" w:eastAsia="宋体" w:cs="Courier New"/>
      <w:szCs w:val="21"/>
    </w:rPr>
  </w:style>
  <w:style w:type="paragraph" w:customStyle="1" w:styleId="111">
    <w:name w:val="正文2"/>
    <w:basedOn w:val="1"/>
    <w:qFormat/>
    <w:uiPriority w:val="0"/>
    <w:pPr>
      <w:adjustRightInd w:val="0"/>
      <w:spacing w:before="156" w:line="360" w:lineRule="auto"/>
      <w:ind w:firstLine="510" w:firstLineChars="200"/>
    </w:pPr>
    <w:rPr>
      <w:sz w:val="24"/>
      <w:szCs w:val="20"/>
    </w:rPr>
  </w:style>
  <w:style w:type="paragraph" w:customStyle="1" w:styleId="1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3">
    <w:name w:val="列出段落1"/>
    <w:basedOn w:val="1"/>
    <w:qFormat/>
    <w:uiPriority w:val="0"/>
    <w:pPr>
      <w:ind w:firstLine="420" w:firstLineChars="200"/>
    </w:pPr>
    <w:rPr>
      <w:szCs w:val="21"/>
    </w:rPr>
  </w:style>
  <w:style w:type="character" w:customStyle="1" w:styleId="114">
    <w:name w:val="font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https://www.gov.cn/zhengce/content/202509/W020250930645245947614.png" TargetMode="Externa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792d2b07-81eb-4ce4-b954-d0bd50b63a67</errorID>
      <errorWord>/）</errorWord>
      <group>L1_Punc</group>
      <groupName>标点问题</groupName>
      <ability>L2_Punc</ability>
      <abilityName>标点符号检查</abilityName>
      <candidateList>
        <item>）</item>
      </candidateList>
      <explain/>
      <paraID>704F55D9</paraID>
      <start>63</start>
      <end>65</end>
      <status>unmodified</status>
      <modifiedWord/>
      <trackRevisions>false</trackRevisions>
    </reviewItem>
    <reviewItem>
      <errorID>f5844369-424f-4b35-aff7-e9d9ec874417</errorID>
      <errorWord>：）</errorWord>
      <group>L1_Punc</group>
      <groupName>标点问题</groupName>
      <ability>L2_Punc</ability>
      <abilityName>标点符号检查</abilityName>
      <candidateList>
        <item>）</item>
      </candidateList>
      <explain/>
      <paraID>156D1F1B</paraID>
      <start>33</start>
      <end>35</end>
      <status>unmodified</status>
      <modifiedWord/>
      <trackRevisions>false</trackRevisions>
    </reviewItem>
    <reviewItem>
      <errorID>4fb64403-6e00-4f89-98bd-4e24c0d6adae</errorID>
      <errorWord>......</errorWord>
      <group>L1_Punc</group>
      <groupName>标点问题</groupName>
      <ability>L2_Punc</ability>
      <abilityName>标点符号检查</abilityName>
      <candidateList>
        <item>……</item>
      </candidateList>
      <explain/>
      <paraID>369AB5D5</paraID>
      <start>0</start>
      <end>6</end>
      <status>unmodified</status>
      <modifiedWord/>
      <trackRevisions>false</trackRevisions>
    </reviewItem>
    <reviewItem>
      <errorID>41dde14a-0fa3-49d9-8a1a-41ece6f0e308</errorID>
      <errorWord>上午00:00</errorWord>
      <group>L1_Knowledge</group>
      <groupName>知识性问题</groupName>
      <ability>L2_Time</ability>
      <abilityName>日期时间</abilityName>
      <candidateList/>
      <explain>时间与前缀不匹配，可能的时间前缀有“下午、晚上、凌晨、午夜”。</explain>
      <paraID>1525C8B7</paraID>
      <start>29</start>
      <end>36</end>
      <status>unmodified</status>
      <modifiedWord/>
      <trackRevisions>false</trackRevisions>
    </reviewItem>
    <reviewItem>
      <errorID>fe680d2a-37dc-4818-a0d1-a7a7135ea3d3</errorID>
      <errorWord>/）</errorWord>
      <group>L1_Punc</group>
      <groupName>标点问题</groupName>
      <ability>L2_Punc</ability>
      <abilityName>标点符号检查</abilityName>
      <candidateList>
        <item>）</item>
      </candidateList>
      <explain/>
      <paraID>1DF36FAF</paraID>
      <start>45</start>
      <end>47</end>
      <status>unmodified</status>
      <modifiedWord/>
      <trackRevisions>false</trackRevisions>
    </reviewItem>
    <reviewItem>
      <errorID>3059fb1a-d454-4891-a33f-b10b15ada8de</errorID>
      <errorWord>/）</errorWord>
      <group>L1_Punc</group>
      <groupName>标点问题</groupName>
      <ability>L2_Punc</ability>
      <abilityName>标点符号检查</abilityName>
      <candidateList>
        <item>）</item>
      </candidateList>
      <explain/>
      <paraID>5FE668D8</paraID>
      <start>68</start>
      <end>70</end>
      <status>unmodified</status>
      <modifiedWord/>
      <trackRevisions>false</trackRevisions>
    </reviewItem>
    <reviewItem>
      <errorID>d0a0a077-cc1f-4daa-8c2a-b2f24e68bb2a</errorID>
      <errorWord>-</errorWord>
      <group>L1_Format</group>
      <groupName>格式问题</groupName>
      <ability>L2_HalfPunc</ability>
      <abilityName>全半角检查</abilityName>
      <candidateList>
        <item>－</item>
      </candidateList>
      <explain>文本全半角错误。</explain>
      <paraID>5FE668D8</paraID>
      <start>70</start>
      <end>71</end>
      <status>unmodified</status>
      <modifiedWord/>
      <trackRevisions>false</trackRevisions>
    </reviewItem>
    <reviewItem>
      <errorID>bbd9193e-041f-4906-8d0a-422432d66a2c</errorID>
      <errorWord>/）</errorWord>
      <group>L1_Punc</group>
      <groupName>标点问题</groupName>
      <ability>L2_Punc</ability>
      <abilityName>标点符号检查</abilityName>
      <candidateList>
        <item>）</item>
      </candidateList>
      <explain/>
      <paraID>6E73B302</paraID>
      <start>47</start>
      <end>49</end>
      <status>unmodified</status>
      <modifiedWord/>
      <trackRevisions>false</trackRevisions>
    </reviewItem>
    <reviewItem>
      <errorID>f969d545-de7e-48bd-b4e5-47284400be05</errorID>
      <errorWord>/）</errorWord>
      <group>L1_Punc</group>
      <groupName>标点问题</groupName>
      <ability>L2_Punc</ability>
      <abilityName>标点符号检查</abilityName>
      <candidateList>
        <item>）</item>
      </candidateList>
      <explain/>
      <paraID>2B300A37</paraID>
      <start>62</start>
      <end>64</end>
      <status>unmodified</status>
      <modifiedWord/>
      <trackRevisions>false</trackRevisions>
    </reviewItem>
    <reviewItem>
      <errorID>b543d4d7-6e31-4702-b8a5-57e28b949e26</errorID>
      <errorWord>-</errorWord>
      <group>L1_Format</group>
      <groupName>格式问题</groupName>
      <ability>L2_HalfPunc</ability>
      <abilityName>全半角检查</abilityName>
      <candidateList>
        <item>－</item>
      </candidateList>
      <explain>文本全半角错误。</explain>
      <paraID>2B300A37</paraID>
      <start>222</start>
      <end>223</end>
      <status>unmodified</status>
      <modifiedWord/>
      <trackRevisions>false</trackRevisions>
    </reviewItem>
    <reviewItem>
      <errorID>7e2a248d-8902-401c-95f1-58598a041243</errorID>
      <errorWord>-</errorWord>
      <group>L1_Format</group>
      <groupName>格式问题</groupName>
      <ability>L2_HalfPunc</ability>
      <abilityName>全半角检查</abilityName>
      <candidateList>
        <item>－</item>
      </candidateList>
      <explain>文本全半角错误。</explain>
      <paraID>2B300A37</paraID>
      <start>227</start>
      <end>228</end>
      <status>unmodified</status>
      <modifiedWord/>
      <trackRevisions>false</trackRevisions>
    </reviewItem>
    <reviewItem>
      <errorID>9fe7aedd-050f-470c-a3ec-cb171058221a</errorID>
      <errorWord>-</errorWord>
      <group>L1_Format</group>
      <groupName>格式问题</groupName>
      <ability>L2_HalfPunc</ability>
      <abilityName>全半角检查</abilityName>
      <candidateList>
        <item>－</item>
      </candidateList>
      <explain>文本全半角错误。</explain>
      <paraID>2B300A37</paraID>
      <start>232</start>
      <end>233</end>
      <status>unmodified</status>
      <modifiedWord/>
      <trackRevisions>false</trackRevisions>
    </reviewItem>
    <reviewItem>
      <errorID>deda9be2-a2bc-446e-a24e-dc74105ad583</errorID>
      <errorWord>-</errorWord>
      <group>L1_Format</group>
      <groupName>格式问题</groupName>
      <ability>L2_HalfPunc</ability>
      <abilityName>全半角检查</abilityName>
      <candidateList>
        <item>－</item>
      </candidateList>
      <explain>文本全半角错误。</explain>
      <paraID>2B300A37</paraID>
      <start>238</start>
      <end>239</end>
      <status>unmodified</status>
      <modifiedWord/>
      <trackRevisions>false</trackRevisions>
    </reviewItem>
    <reviewItem>
      <errorID>d74653fe-114e-4ee2-b0e2-05e08c481ba5</errorID>
      <errorWord>-</errorWord>
      <group>L1_Format</group>
      <groupName>格式问题</groupName>
      <ability>L2_HalfPunc</ability>
      <abilityName>全半角检查</abilityName>
      <candidateList>
        <item>－</item>
      </candidateList>
      <explain>文本全半角错误。</explain>
      <paraID>2B300A37</paraID>
      <start>255</start>
      <end>256</end>
      <status>unmodified</status>
      <modifiedWord/>
      <trackRevisions>false</trackRevisions>
    </reviewItem>
    <reviewItem>
      <errorID>9c1a8fae-3ae4-4e76-b4e0-c4f6242354c9</errorID>
      <errorWord>-</errorWord>
      <group>L1_Format</group>
      <groupName>格式问题</groupName>
      <ability>L2_HalfPunc</ability>
      <abilityName>全半角检查</abilityName>
      <candidateList>
        <item>－</item>
      </candidateList>
      <explain>文本全半角错误。</explain>
      <paraID>30DE535E</paraID>
      <start>108</start>
      <end>109</end>
      <status>unmodified</status>
      <modifiedWord/>
      <trackRevisions>false</trackRevisions>
    </reviewItem>
    <reviewItem>
      <errorID>4f14849c-2380-47a2-8267-42ff73f22a42</errorID>
      <errorWord>-</errorWord>
      <group>L1_Format</group>
      <groupName>格式问题</groupName>
      <ability>L2_HalfPunc</ability>
      <abilityName>全半角检查</abilityName>
      <candidateList>
        <item>－</item>
      </candidateList>
      <explain>文本全半角错误。</explain>
      <paraID>30DE535E</paraID>
      <start>137</start>
      <end>138</end>
      <status>unmodified</status>
      <modifiedWord/>
      <trackRevisions>false</trackRevisions>
    </reviewItem>
    <reviewItem>
      <errorID>501f2a5b-cc84-4381-a4a3-a4d3087abc29</errorID>
      <errorWord>操作合</errorWord>
      <group>L1_Word</group>
      <groupName>字词问题</groupName>
      <ability>L2_Typo</ability>
      <abilityName>字词错误</abilityName>
      <candidateList>
        <item>操作台</item>
      </candidateList>
      <explain/>
      <paraID>76BD66AA</paraID>
      <start>9</start>
      <end>12</end>
      <status>unmodified</status>
      <modifiedWord/>
      <trackRevisions>false</trackRevisions>
    </reviewItem>
    <reviewItem>
      <errorID>df5c7dfb-dd61-4626-94f2-463df6e91586</errorID>
      <errorWord>作</errorWord>
      <group>L1_Word</group>
      <groupName>字词问题</groupName>
      <ability>L2_Typo</ability>
      <abilityName>字词错误</abilityName>
      <candidateList>
        <item>做</item>
      </candidateList>
      <explain>存在发音相同字词的误用。</explain>
      <paraID>7D85C1D9</paraID>
      <start>56</start>
      <end>57</end>
      <status>unmodified</status>
      <modifiedWord/>
      <trackRevisions>false</trackRevisions>
    </reviewItem>
    <reviewItem>
      <errorID>06ce030b-ecdd-45c0-bacc-974647769bd2</errorID>
      <errorWord>(</errorWord>
      <group>L1_Format</group>
      <groupName>格式问题</groupName>
      <ability>L2_HalfPunc</ability>
      <abilityName>全半角检查</abilityName>
      <candidateList>
        <item>（</item>
      </candidateList>
      <explain>文本全半角错误。</explain>
      <paraID>488C1E8E</paraID>
      <start>14</start>
      <end>15</end>
      <status>unmodified</status>
      <modifiedWord/>
      <trackRevisions>false</trackRevisions>
    </reviewItem>
    <reviewItem>
      <errorID>5509b2b6-8e3a-4d85-9397-5def1f1d26e0</errorID>
      <errorWord>)</errorWord>
      <group>L1_Format</group>
      <groupName>格式问题</groupName>
      <ability>L2_HalfPunc</ability>
      <abilityName>全半角检查</abilityName>
      <candidateList>
        <item>）</item>
      </candidateList>
      <explain>文本全半角错误。</explain>
      <paraID>488C1E8E</paraID>
      <start>103</start>
      <end>104</end>
      <status>unmodified</status>
      <modifiedWord/>
      <trackRevisions>false</trackRevisions>
    </reviewItem>
    <reviewItem>
      <errorID>887fd0bc-26eb-4ae9-8b4c-2d4c39090dc8</errorID>
      <errorWord>)</errorWord>
      <group>L1_Format</group>
      <groupName>格式问题</groupName>
      <ability>L2_HalfPunc</ability>
      <abilityName>全半角检查</abilityName>
      <candidateList>
        <item>）</item>
      </candidateList>
      <explain>文本全半角错误。</explain>
      <paraID>5A944188</paraID>
      <start>65</start>
      <end>66</end>
      <status>unmodified</status>
      <modifiedWord/>
      <trackRevisions>false</trackRevisions>
    </reviewItem>
    <reviewItem>
      <errorID>d65fa59d-fa5b-405e-b613-142229537d3e</errorID>
      <errorWord>)</errorWord>
      <group>L1_Format</group>
      <groupName>格式问题</groupName>
      <ability>L2_HalfPunc</ability>
      <abilityName>全半角检查</abilityName>
      <candidateList>
        <item>）</item>
      </candidateList>
      <explain>文本全半角错误。</explain>
      <paraID>413C22A3</paraID>
      <start>64</start>
      <end>65</end>
      <status>unmodified</status>
      <modifiedWord/>
      <trackRevisions>false</trackRevisions>
    </reviewItem>
    <reviewItem>
      <errorID>4872c3a8-747a-4818-8465-97b11d441ab0</errorID>
      <errorWord>(</errorWord>
      <group>L1_Format</group>
      <groupName>格式问题</groupName>
      <ability>L2_HalfPunc</ability>
      <abilityName>全半角检查</abilityName>
      <candidateList>
        <item>（</item>
      </candidateList>
      <explain>文本全半角错误。</explain>
      <paraID> BCB8626</paraID>
      <start>14</start>
      <end>15</end>
      <status>unmodified</status>
      <modifiedWord/>
      <trackRevisions>false</trackRevisions>
    </reviewItem>
    <reviewItem>
      <errorID>c51c6488-6c1e-4490-b318-b6db3e4b2f30</errorID>
      <errorWord>)</errorWord>
      <group>L1_Format</group>
      <groupName>格式问题</groupName>
      <ability>L2_HalfPunc</ability>
      <abilityName>全半角检查</abilityName>
      <candidateList>
        <item>）</item>
      </candidateList>
      <explain>文本全半角错误。</explain>
      <paraID> BCB8626</paraID>
      <start>70</start>
      <end>71</end>
      <status>unmodified</status>
      <modifiedWord/>
      <trackRevisions>false</trackRevisions>
    </reviewItem>
    <reviewItem>
      <errorID>25bba0a7-7ffb-4481-a792-a0f86353bcb8</errorID>
      <errorWord>家</errorWord>
      <group>L1_Word</group>
      <groupName>字词问题</groupName>
      <ability>L2_Typo</ability>
      <abilityName>字词错误</abilityName>
      <candidateList>
        <item>家签</item>
      </candidateList>
      <explain/>
      <paraID>76A712E5</paraID>
      <start>42</start>
      <end>43</end>
      <status>unmodified</status>
      <modifiedWord/>
      <trackRevisions>false</trackRevisions>
    </reviewItem>
    <reviewItem>
      <errorID>b0f77959-151e-4e65-a93f-44d5bd031653</errorID>
      <errorWord>作出</errorWord>
      <group>L1_Word</group>
      <groupName>字词问题</groupName>
      <ability>L2_Typo</ability>
      <abilityName>字词错误</abilityName>
      <candidateList>
        <item>做出</item>
      </candidateList>
      <explain/>
      <paraID> 4B6B7F7</paraID>
      <start>119</start>
      <end>121</end>
      <status>unmodified</status>
      <modifiedWord/>
      <trackRevisions>false</trackRevisions>
    </reviewItem>
    <reviewItem>
      <errorID>f4fea15c-98cf-4ad5-9e7b-cc895b159d6a</errorID>
      <errorWord>(</errorWord>
      <group>L1_Format</group>
      <groupName>格式问题</groupName>
      <ability>L2_HalfPunc</ability>
      <abilityName>全半角检查</abilityName>
      <candidateList>
        <item>（</item>
      </candidateList>
      <explain>文本全半角错误。</explain>
      <paraID>31E6CA19</paraID>
      <start>46</start>
      <end>47</end>
      <status>unmodified</status>
      <modifiedWord/>
      <trackRevisions>false</trackRevisions>
    </reviewItem>
    <reviewItem>
      <errorID>c604f8c4-0802-4357-bc04-65aff8d656d2</errorID>
      <errorWord>)</errorWord>
      <group>L1_Format</group>
      <groupName>格式问题</groupName>
      <ability>L2_HalfPunc</ability>
      <abilityName>全半角检查</abilityName>
      <candidateList>
        <item>）</item>
      </candidateList>
      <explain>文本全半角错误。</explain>
      <paraID>31E6CA19</paraID>
      <start>58</start>
      <end>59</end>
      <status>unmodified</status>
      <modifiedWord/>
      <trackRevisions>false</trackRevisions>
    </reviewItem>
    <reviewItem>
      <errorID>3906683a-f577-48b4-87da-9a3966f3537c</errorID>
      <errorWord>(</errorWord>
      <group>L1_Format</group>
      <groupName>格式问题</groupName>
      <ability>L2_HalfPunc</ability>
      <abilityName>全半角检查</abilityName>
      <candidateList>
        <item>（</item>
      </candidateList>
      <explain>文本全半角错误。</explain>
      <paraID>2986A19C</paraID>
      <start>18</start>
      <end>19</end>
      <status>unmodified</status>
      <modifiedWord/>
      <trackRevisions>false</trackRevisions>
    </reviewItem>
    <reviewItem>
      <errorID>203f5c62-d77e-450d-b770-bcfe3aa0f39c</errorID>
      <errorWord>)</errorWord>
      <group>L1_Format</group>
      <groupName>格式问题</groupName>
      <ability>L2_HalfPunc</ability>
      <abilityName>全半角检查</abilityName>
      <candidateList>
        <item>）</item>
      </candidateList>
      <explain>文本全半角错误。</explain>
      <paraID>2986A19C</paraID>
      <start>28</start>
      <end>29</end>
      <status>unmodified</status>
      <modifiedWord/>
      <trackRevisions>false</trackRevisions>
    </reviewItem>
    <reviewItem>
      <errorID>b454cd8e-5b67-49de-bc98-94c6c98fec73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5061CB08</paraID>
      <start>11</start>
      <end>12</end>
      <status>unmodified</status>
      <modifiedWord/>
      <trackRevisions>false</trackRevisions>
    </reviewItem>
    <reviewItem>
      <errorID>bc3706d7-fcd7-4a48-8679-fdb61c3d5ffd</errorID>
      <errorWord>，</errorWord>
      <group>L1_Word</group>
      <groupName>字词问题</groupName>
      <ability>L2_Typo</ability>
      <abilityName>字词错误</abilityName>
      <candidateList>
        <item>，在</item>
      </candidateList>
      <explain/>
      <paraID>4F7C1977</paraID>
      <start>47</start>
      <end>48</end>
      <status>unmodified</status>
      <modifiedWord/>
      <trackRevisions>false</trackRevisions>
    </reviewItem>
    <reviewItem>
      <errorID>47a12e34-bb29-4f5a-bf8d-28e485a00c7c</errorID>
      <errorWord>（</errorWord>
      <group>L1_Format</group>
      <groupName>格式问题</groupName>
      <ability>L2_HalfPunc</ability>
      <abilityName>全半角检查</abilityName>
      <candidateList>
        <item>(</item>
      </candidateList>
      <explain>文本全半角错误。</explain>
      <paraID>7960D22C</paraID>
      <start>4</start>
      <end>5</end>
      <status>unmodified</status>
      <modifiedWord/>
      <trackRevisions>false</trackRevisions>
    </reviewItem>
    <reviewItem>
      <errorID>72e0e802-b206-404b-8986-b6efa66946da</errorID>
      <errorWord>）</errorWord>
      <group>L1_Format</group>
      <groupName>格式问题</groupName>
      <ability>L2_HalfPunc</ability>
      <abilityName>全半角检查</abilityName>
      <candidateList>
        <item>)</item>
      </candidateList>
      <explain>文本全半角错误。</explain>
      <paraID>7960D22C</paraID>
      <start>6</start>
      <end>7</end>
      <status>unmodified</status>
      <modifiedWord/>
      <trackRevisions>false</trackRevisions>
    </reviewItem>
    <reviewItem>
      <errorID>430b3fc5-7351-4466-a985-c10e6fb340c3</errorID>
      <errorWord>（</errorWord>
      <group>L1_Format</group>
      <groupName>格式问题</groupName>
      <ability>L2_HalfPunc</ability>
      <abilityName>全半角检查</abilityName>
      <candidateList>
        <item>(</item>
      </candidateList>
      <explain>文本全半角错误。</explain>
      <paraID>74937017</paraID>
      <start>4</start>
      <end>5</end>
      <status>unmodified</status>
      <modifiedWord/>
      <trackRevisions>false</trackRevisions>
    </reviewItem>
    <reviewItem>
      <errorID>a636feda-4a57-41e0-b4d5-5747e1c6da59</errorID>
      <errorWord>）</errorWord>
      <group>L1_Format</group>
      <groupName>格式问题</groupName>
      <ability>L2_HalfPunc</ability>
      <abilityName>全半角检查</abilityName>
      <candidateList>
        <item>)</item>
      </candidateList>
      <explain>文本全半角错误。</explain>
      <paraID>74937017</paraID>
      <start>6</start>
      <end>7</end>
      <status>unmodified</status>
      <modifiedWord/>
      <trackRevisions>false</trackRevisions>
    </reviewItem>
    <reviewItem>
      <errorID>b4e24674-d0e2-4564-9372-1f1a30e0d603</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527C5314</paraID>
      <start>29</start>
      <end>32</end>
      <status>unmodified</status>
      <modifiedWord/>
      <trackRevisions>false</trackRevisions>
    </reviewItem>
    <reviewItem>
      <errorID>5e2c8e87-9a47-4de1-b4b7-9dad0910b0b7</errorID>
      <errorWord>/）</errorWord>
      <group>L1_Punc</group>
      <groupName>标点问题</groupName>
      <ability>L2_Punc</ability>
      <abilityName>标点符号检查</abilityName>
      <candidateList>
        <item>）</item>
      </candidateList>
      <explain/>
      <paraID>527C5314</paraID>
      <start>74</start>
      <end>76</end>
      <status>unmodified</status>
      <modifiedWord/>
      <trackRevisions>false</trackRevisions>
    </reviewItem>
    <reviewItem>
      <errorID>b18ec4e0-da32-4d72-b9f1-6bd6448f59c1</errorID>
      <errorWord>，</errorWord>
      <group>L1_Word</group>
      <groupName>字词问题</groupName>
      <ability>L2_Typo</ability>
      <abilityName>字词错误</abilityName>
      <candidateList>
        <item>，使</item>
      </candidateList>
      <explain/>
      <paraID>  42A7EA</paraID>
      <start>32</start>
      <end>33</end>
      <status>unmodified</status>
      <modifiedWord/>
      <trackRevisions>false</trackRevisions>
    </reviewItem>
    <reviewItem>
      <errorID>6ae4d7e0-19eb-4384-98f6-0b047d6d29f1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6C53280B</paraID>
      <start>203</start>
      <end>208</end>
      <status>unmodified</status>
      <modifiedWord/>
      <trackRevisions>false</trackRevisions>
    </reviewItem>
    <reviewItem>
      <errorID>a4f59437-658b-47f0-9cbe-4e8ef92adc1a</errorID>
      <errorWord>操作合</errorWord>
      <group>L1_Word</group>
      <groupName>字词问题</groupName>
      <ability>L2_Typo</ability>
      <abilityName>字词错误</abilityName>
      <candidateList>
        <item>操作台</item>
      </candidateList>
      <explain/>
      <paraID>1829360C</paraID>
      <start>10</start>
      <end>13</end>
      <status>unmodified</status>
      <modifiedWord/>
      <trackRevisions>false</trackRevisions>
    </reviewItem>
    <reviewItem>
      <errorID>94d02320-49d7-4cd5-bb9c-03f3d65365b0</errorID>
      <errorWord>间</errorWord>
      <group>L1_Word</group>
      <groupName>字词问题</groupName>
      <ability>L2_Typo</ability>
      <abilityName>字词错误</abilityName>
      <candidateList>
        <item>间之</item>
      </candidateList>
      <explain/>
      <paraID>6A850077</paraID>
      <start>39</start>
      <end>40</end>
      <status>unmodified</status>
      <modifiedWord/>
      <trackRevisions>false</trackRevisions>
    </reviewItem>
    <reviewItem>
      <errorID>8972059d-4084-423a-9bda-460620e89b33</errorID>
      <errorWord>疑义</errorWord>
      <group>L1_Word</group>
      <groupName>字词问题</groupName>
      <ability>L2_Typo</ability>
      <abilityName>字词错误</abilityName>
      <candidateList>
        <item>异义</item>
      </candidateList>
      <explain/>
      <paraID> 20CC9EF</paraID>
      <start>19</start>
      <end>21</end>
      <status>unmodified</status>
      <modifiedWord/>
      <trackRevisions>false</trackRevisions>
    </reviewItem>
    <reviewItem>
      <errorID>82bda714-6585-4d7f-9220-791b8b383627</errorID>
      <errorWord>会</errorWord>
      <group>L1_Word</group>
      <groupName>字词问题</groupName>
      <ability>L2_Typo</ability>
      <abilityName>字词错误</abilityName>
      <candidateList>
        <item>会在</item>
      </candidateList>
      <explain/>
      <paraID>7E20D9D8</paraID>
      <start>13</start>
      <end>14</end>
      <status>unmodified</status>
      <modifiedWord/>
      <trackRevisions>false</trackRevisions>
    </reviewItem>
    <reviewItem>
      <errorID>005196aa-3781-4d3a-baa9-352945deb06f</errorID>
      <errorWord>-</errorWord>
      <group>L1_Format</group>
      <groupName>格式问题</groupName>
      <ability>L2_HalfPunc</ability>
      <abilityName>全半角检查</abilityName>
      <candidateList>
        <item>－</item>
      </candidateList>
      <explain>文本全半角错误。</explain>
      <paraID>6492EFDB</paraID>
      <start>20</start>
      <end>21</end>
      <status>unmodified</status>
      <modifiedWord/>
      <trackRevisions>false</trackRevisions>
    </reviewItem>
    <reviewItem>
      <errorID>c51d9103-e482-44e3-b7d0-fb29304f1acc</errorID>
      <errorWord>做出</errorWord>
      <group>L1_Word</group>
      <groupName>字词问题</groupName>
      <ability>L2_Typo</ability>
      <abilityName>字词错误</abilityName>
      <candidateList>
        <item>作出</item>
      </candidateList>
      <explain/>
      <paraID>2E035FD2</paraID>
      <start>116</start>
      <end>118</end>
      <status>unmodified</status>
      <modifiedWord/>
      <trackRevisions>false</trackRevisions>
    </reviewItem>
    <reviewItem>
      <errorID>49bc678e-0e3d-4bfd-a939-41766d187207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2267844A</paraID>
      <start>32</start>
      <end>34</end>
      <status>unmodified</status>
      <modifiedWord/>
      <trackRevisions>false</trackRevisions>
    </reviewItem>
    <reviewItem>
      <errorID>9e487d64-3898-4feb-af50-a53544d589a4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1BD5CAD4</paraID>
      <start>24</start>
      <end>27</end>
      <status>unmodified</status>
      <modifiedWord/>
      <trackRevisions>false</trackRevisions>
    </reviewItem>
    <reviewItem>
      <errorID>00e16769-56ca-4034-be63-ae115b71c2c4</errorID>
      <errorWord>诺</errorWord>
      <group>L1_Word</group>
      <groupName>字词问题</groupName>
      <ability>L2_Typo</ability>
      <abilityName>字词错误</abilityName>
      <candidateList>
        <item>诺和</item>
      </candidateList>
      <explain/>
      <paraID>1EBA448C</paraID>
      <start>159</start>
      <end>160</end>
      <status>unmodified</status>
      <modifiedWord/>
      <trackRevisions>false</trackRevisions>
    </reviewItem>
    <reviewItem>
      <errorID>e253de77-0f23-46f0-b23d-fe4fe1d6be64</errorID>
      <errorWord>》</errorWord>
      <group>L1_Word</group>
      <groupName>字词问题</groupName>
      <ability>L2_Typo</ability>
      <abilityName>字词错误</abilityName>
      <candidateList>
        <item>》和</item>
      </candidateList>
      <explain/>
      <paraID>441A82F5</paraID>
      <start>15</start>
      <end>16</end>
      <status>unmodified</status>
      <modifiedWord/>
      <trackRevisions>false</trackRevisions>
    </reviewItem>
    <reviewItem>
      <errorID>29b44fdf-0a04-40f9-a774-6573fb5e9a95</errorID>
      <errorWord>点</errorWord>
      <group>L1_Word</group>
      <groupName>字词问题</groupName>
      <ability>L2_Typo</ability>
      <abilityName>字词错误</abilityName>
      <candidateList>
        <item>点由</item>
      </candidateList>
      <explain/>
      <paraID>44B45BA0</paraID>
      <start>35</start>
      <end>36</end>
      <status>unmodified</status>
      <modifiedWord/>
      <trackRevisions>false</trackRevisions>
    </reviewItem>
    <reviewItem>
      <errorID>117b80ce-7768-4be5-ac73-c955802c39a9</errorID>
      <errorWord>配备</errorWord>
      <group>L1_Grammar</group>
      <groupName>语法问题</groupName>
      <ability>L2_Grammar</ability>
      <abilityName>语法错误</abilityName>
      <candidateList>
        <item>搭载</item>
      </candidateList>
      <explain>“配备～项目”搭配不当，建议修改为“搭载～项目”。</explain>
      <paraID>110B205F</paraID>
      <start>49</start>
      <end>51</end>
      <status>unmodified</status>
      <modifiedWord/>
      <trackRevisions>false</trackRevisions>
    </reviewItem>
    <reviewItem>
      <errorID>30f97de9-ad63-471f-b699-f110372223e6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7F4AE393</paraID>
      <start>10</start>
      <end>13</end>
      <status>unmodified</status>
      <modifiedWord/>
      <trackRevisions>false</trackRevisions>
    </reviewItem>
    <reviewItem>
      <errorID>dd518048-7988-45eb-bf8b-c571f73aa3d9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6696B0FF</paraID>
      <start>0</start>
      <end>3</end>
      <status>unmodified</status>
      <modifiedWord/>
      <trackRevisions>false</trackRevisions>
    </reviewItem>
    <reviewItem>
      <errorID>4762a78f-eee4-43b3-9674-22694e8b0625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2DBD65FA</paraID>
      <start>0</start>
      <end>3</end>
      <status>unmodified</status>
      <modifiedWord/>
      <trackRevisions>false</trackRevisions>
    </reviewItem>
    <reviewItem>
      <errorID>11e3d5fc-a3e5-4f07-bd0f-1838bbf93643</errorID>
      <errorWord>须</errorWord>
      <group>L1_Word</group>
      <groupName>字词问题</groupName>
      <ability>L2_Typo</ability>
      <abilityName>字词错误</abilityName>
      <candidateList>
        <item>需</item>
      </candidateList>
      <explain>❶〈动〉需要：～求｜按～分配｜完成任务还～五天时间。❷需用的东西：军～。</explain>
      <paraID> 9935658</paraID>
      <start>32</start>
      <end>33</end>
      <status>unmodified</status>
      <modifiedWord/>
      <trackRevisions>false</trackRevisions>
    </reviewItem>
    <reviewItem>
      <errorID>2985d511-d442-4a4c-bede-d263e0074e09</errorID>
      <errorWord>（</errorWord>
      <group>L1_Punc</group>
      <groupName>标点问题</groupName>
      <ability>L2_Punc</ability>
      <abilityName>标点符号检查</abilityName>
      <candidateList/>
      <explain>同一形式括号套用。</explain>
      <paraID>3C7D6395</paraID>
      <start>61</start>
      <end>62</end>
      <status>unmodified</status>
      <modifiedWord/>
      <trackRevisions>false</trackRevisions>
    </reviewItem>
    <reviewItem>
      <errorID>5f5468f0-fe73-47f2-b97b-b9e2d3a4137a</errorID>
      <errorWord>）</errorWord>
      <group>L1_Punc</group>
      <groupName>标点问题</groupName>
      <ability>L2_Punc</ability>
      <abilityName>标点符号检查</abilityName>
      <candidateList/>
      <explain>同一形式括号套用。</explain>
      <paraID>3C7D6395</paraID>
      <start>77</start>
      <end>78</end>
      <status>unmodified</status>
      <modifiedWord/>
      <trackRevisions>false</trackRevisions>
    </reviewItem>
    <reviewItem>
      <errorID>b8ca1163-f5c4-439e-afc5-3c153c6a12d7</errorID>
      <errorWord>签</errorWord>
      <group>L1_Word</group>
      <groupName>字词问题</groupName>
      <ability>L2_Typo</ability>
      <abilityName>字词错误</abilityName>
      <candidateList>
        <item>签订</item>
      </candidateList>
      <explain>〈动〉订立条约或合同并签字：两国～了贸易议定书和支付协定。</explain>
      <paraID>65AF213D</paraID>
      <start>27</start>
      <end>28</end>
      <status>unmodified</status>
      <modifiedWord/>
      <trackRevisions>false</trackRevisions>
    </reviewItem>
    <reviewItem>
      <errorID>9b936708-72aa-478e-af66-1ccd8bf241bc</errorID>
      <errorWord>(</errorWord>
      <group>L1_Format</group>
      <groupName>格式问题</groupName>
      <ability>L2_HalfPunc</ability>
      <abilityName>全半角检查</abilityName>
      <candidateList>
        <item>（</item>
      </candidateList>
      <explain>文本全半角错误。</explain>
      <paraID>6FBE70D3</paraID>
      <start>4</start>
      <end>5</end>
      <status>unmodified</status>
      <modifiedWord/>
      <trackRevisions>false</trackRevisions>
    </reviewItem>
    <reviewItem>
      <errorID>f96989d3-7cdc-4c50-a24e-a0415219a64c</errorID>
      <errorWord>)</errorWord>
      <group>L1_Format</group>
      <groupName>格式问题</groupName>
      <ability>L2_HalfPunc</ability>
      <abilityName>全半角检查</abilityName>
      <candidateList>
        <item>）</item>
      </candidateList>
      <explain>文本全半角错误。</explain>
      <paraID>6FBE70D3</paraID>
      <start>6</start>
      <end>7</end>
      <status>unmodified</status>
      <modifiedWord/>
      <trackRevisions>false</trackRevisions>
    </reviewItem>
    <reviewItem>
      <errorID>9b37a697-a4f7-4c66-9605-06900b479711</errorID>
      <errorWord>股东大会</errorWord>
      <group>L1_Word</group>
      <groupName>字词问题</groupName>
      <ability>L2_Typo</ability>
      <abilityName>字词错误</abilityName>
      <candidateList>
        <item>股东会</item>
      </candidateList>
      <explain/>
      <paraID>4632A0F3</paraID>
      <start>113</start>
      <end>117</end>
      <status>unmodified</status>
      <modifiedWord/>
      <trackRevisions>false</trackRevisions>
    </reviewItem>
    <reviewItem>
      <errorID>4a9cee57-ddc5-4c24-80d2-7086a0874533</errorID>
      <errorWord>者</errorWord>
      <group>L1_Word</group>
      <groupName>字词问题</groupName>
      <ability>L2_Typo</ability>
      <abilityName>字词错误</abilityName>
      <candidateList>
        <item>者加</item>
      </candidateList>
      <explain/>
      <paraID>20A8148E</paraID>
      <start>37</start>
      <end>38</end>
      <status>unmodified</status>
      <modifiedWord/>
      <trackRevisions>false</trackRevisions>
    </reviewItem>
    <reviewItem>
      <errorID>83a9e119-42a8-44c3-8782-992b13e14837</errorID>
      <errorWord>提出质疑</errorWord>
      <group>L1_Grammar</group>
      <groupName>语法问题</groupName>
      <ability>L2_Grammar</ability>
      <abilityName>语法错误</abilityName>
      <candidateList>
        <item>质疑</item>
      </candidateList>
      <explain>〈动〉提出疑问：～问难。</explain>
      <paraID>23E26D7D</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6A9BC-F3BF-4FF8-BF45-74F4DFBEB927}">
  <ds:schemaRefs/>
</ds:datastoreItem>
</file>

<file path=docProps/app.xml><?xml version="1.0" encoding="utf-8"?>
<Properties xmlns="http://schemas.openxmlformats.org/officeDocument/2006/extended-properties" xmlns:vt="http://schemas.openxmlformats.org/officeDocument/2006/docPropsVTypes">
  <Template>Normal</Template>
  <Pages>98</Pages>
  <Words>31377</Words>
  <Characters>33397</Characters>
  <Lines>430</Lines>
  <Paragraphs>121</Paragraphs>
  <TotalTime>34</TotalTime>
  <ScaleCrop>false</ScaleCrop>
  <LinksUpToDate>false</LinksUpToDate>
  <CharactersWithSpaces>34097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2020-10-14T10:17:00Z</dcterms:created>
  <dc:creator>番茄花园</dc:creator>
  <cp:lastModifiedBy>杉</cp:lastModifiedBy>
  <cp:lastPrinted>2019-09-27T01:36:00Z</cp:lastPrinted>
  <dcterms:modified xsi:type="dcterms:W3CDTF">2026-03-19T11:15:34Z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F091131D5154408DADD55D772820F47D_13</vt:lpwstr>
  </property>
  <property fmtid="{D5CDD505-2E9C-101B-9397-08002B2CF9AE}" pid="4" name="KSOTemplateDocerSaveRecord">
    <vt:lpwstr>eyJoZGlkIjoiZTE3OGMxZGM0MGI4ZjAyYjhiODQ1MTk1YTQzY2JlZjMiLCJ1c2VySWQiOiI4ODcyODM4OTIifQ==</vt:lpwstr>
  </property>
</Properties>
</file>