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079B1">
      <w:pPr>
        <w:spacing w:line="480" w:lineRule="auto"/>
        <w:jc w:val="center"/>
        <w:rPr>
          <w:rFonts w:ascii="宋体" w:hAnsi="宋体" w:eastAsia="宋体"/>
          <w:b/>
          <w:color w:val="auto"/>
          <w:sz w:val="52"/>
          <w:szCs w:val="52"/>
          <w:highlight w:val="none"/>
        </w:rPr>
      </w:pPr>
    </w:p>
    <w:p w14:paraId="412771FB">
      <w:pPr>
        <w:spacing w:line="480" w:lineRule="auto"/>
        <w:jc w:val="center"/>
        <w:rPr>
          <w:rFonts w:ascii="宋体" w:hAnsi="宋体" w:eastAsia="宋体"/>
          <w:b/>
          <w:color w:val="auto"/>
          <w:sz w:val="52"/>
          <w:szCs w:val="52"/>
          <w:highlight w:val="none"/>
        </w:rPr>
      </w:pPr>
      <w:r>
        <w:rPr>
          <w:rFonts w:hint="eastAsia" w:ascii="宋体" w:hAnsi="宋体" w:eastAsia="宋体"/>
          <w:b/>
          <w:color w:val="auto"/>
          <w:sz w:val="52"/>
          <w:szCs w:val="52"/>
          <w:highlight w:val="none"/>
        </w:rPr>
        <w:t>南宁市政府采购</w:t>
      </w:r>
    </w:p>
    <w:p w14:paraId="2F66D9C5">
      <w:pPr>
        <w:spacing w:line="480" w:lineRule="auto"/>
        <w:jc w:val="center"/>
        <w:rPr>
          <w:rFonts w:ascii="宋体" w:hAnsi="宋体" w:eastAsia="宋体"/>
          <w:b/>
          <w:color w:val="auto"/>
          <w:sz w:val="52"/>
          <w:szCs w:val="52"/>
          <w:highlight w:val="none"/>
        </w:rPr>
      </w:pPr>
      <w:r>
        <w:rPr>
          <w:rFonts w:hint="eastAsia" w:ascii="宋体" w:hAnsi="宋体" w:eastAsia="宋体"/>
          <w:b/>
          <w:color w:val="auto"/>
          <w:sz w:val="52"/>
          <w:szCs w:val="52"/>
          <w:highlight w:val="none"/>
        </w:rPr>
        <w:t>竞争性磋商文件（工程类）</w:t>
      </w:r>
    </w:p>
    <w:p w14:paraId="0B1511A6">
      <w:pPr>
        <w:spacing w:line="480" w:lineRule="auto"/>
        <w:jc w:val="center"/>
        <w:rPr>
          <w:rFonts w:ascii="宋体" w:hAnsi="宋体" w:eastAsia="宋体"/>
          <w:b/>
          <w:color w:val="auto"/>
          <w:szCs w:val="21"/>
          <w:highlight w:val="none"/>
        </w:rPr>
      </w:pPr>
    </w:p>
    <w:p w14:paraId="06A8AC69">
      <w:pPr>
        <w:spacing w:line="480" w:lineRule="auto"/>
        <w:jc w:val="center"/>
        <w:rPr>
          <w:rFonts w:ascii="华文新魏" w:hAnsi="宋体" w:eastAsia="华文新魏"/>
          <w:b/>
          <w:color w:val="auto"/>
          <w:sz w:val="72"/>
          <w:szCs w:val="72"/>
          <w:highlight w:val="none"/>
        </w:rPr>
      </w:pPr>
      <w:r>
        <w:rPr>
          <w:rFonts w:hint="eastAsia" w:ascii="华文新魏" w:hAnsi="宋体" w:eastAsia="华文新魏"/>
          <w:b/>
          <w:color w:val="auto"/>
          <w:sz w:val="72"/>
          <w:szCs w:val="72"/>
          <w:highlight w:val="none"/>
        </w:rPr>
        <w:t>竞争性磋商文件</w:t>
      </w:r>
    </w:p>
    <w:p w14:paraId="7D6D174B">
      <w:pPr>
        <w:spacing w:line="480" w:lineRule="auto"/>
        <w:jc w:val="center"/>
        <w:rPr>
          <w:rFonts w:ascii="宋体" w:hAnsi="宋体" w:eastAsia="宋体"/>
          <w:color w:val="auto"/>
          <w:szCs w:val="21"/>
          <w:highlight w:val="none"/>
        </w:rPr>
      </w:pPr>
    </w:p>
    <w:p w14:paraId="59DF3090">
      <w:pPr>
        <w:spacing w:line="480" w:lineRule="auto"/>
        <w:jc w:val="center"/>
        <w:rPr>
          <w:rFonts w:ascii="宋体" w:hAnsi="宋体" w:eastAsia="宋体"/>
          <w:color w:val="auto"/>
          <w:szCs w:val="21"/>
          <w:highlight w:val="none"/>
        </w:rPr>
      </w:pPr>
      <w:r>
        <w:rPr>
          <w:rFonts w:hint="eastAsia" w:ascii="宋体" w:hAnsi="宋体" w:eastAsia="宋体"/>
          <w:color w:val="auto"/>
          <w:szCs w:val="21"/>
          <w:highlight w:val="none"/>
        </w:rPr>
        <w:t>（全流程电子化评标）</w:t>
      </w:r>
    </w:p>
    <w:p w14:paraId="1DFAF7D6">
      <w:pPr>
        <w:spacing w:line="480" w:lineRule="auto"/>
        <w:jc w:val="center"/>
        <w:rPr>
          <w:rFonts w:ascii="宋体" w:hAnsi="宋体" w:eastAsia="宋体"/>
          <w:b/>
          <w:color w:val="auto"/>
          <w:szCs w:val="21"/>
          <w:highlight w:val="none"/>
        </w:rPr>
      </w:pPr>
    </w:p>
    <w:p w14:paraId="596A83E6">
      <w:pPr>
        <w:spacing w:line="480" w:lineRule="auto"/>
        <w:jc w:val="center"/>
        <w:rPr>
          <w:rFonts w:ascii="宋体" w:hAnsi="宋体" w:eastAsia="宋体"/>
          <w:b/>
          <w:color w:val="auto"/>
          <w:szCs w:val="21"/>
          <w:highlight w:val="none"/>
        </w:rPr>
      </w:pPr>
    </w:p>
    <w:p w14:paraId="787F0752">
      <w:pPr>
        <w:spacing w:line="480" w:lineRule="auto"/>
        <w:jc w:val="center"/>
        <w:rPr>
          <w:rFonts w:ascii="宋体" w:hAnsi="宋体" w:eastAsia="宋体"/>
          <w:b/>
          <w:color w:val="auto"/>
          <w:szCs w:val="21"/>
          <w:highlight w:val="none"/>
        </w:rPr>
      </w:pPr>
    </w:p>
    <w:p w14:paraId="09A446CF">
      <w:pPr>
        <w:spacing w:line="480" w:lineRule="auto"/>
        <w:ind w:firstLine="1205" w:firstLineChars="400"/>
        <w:rPr>
          <w:rFonts w:ascii="仿宋" w:hAnsi="仿宋" w:eastAsia="仿宋"/>
          <w:b/>
          <w:color w:val="auto"/>
          <w:sz w:val="30"/>
          <w:szCs w:val="30"/>
          <w:highlight w:val="none"/>
        </w:rPr>
      </w:pPr>
      <w:r>
        <w:rPr>
          <w:rFonts w:hint="eastAsia" w:ascii="仿宋" w:hAnsi="仿宋" w:eastAsia="仿宋"/>
          <w:b/>
          <w:color w:val="auto"/>
          <w:sz w:val="30"/>
          <w:szCs w:val="30"/>
          <w:highlight w:val="none"/>
        </w:rPr>
        <w:t>项目名称：2026年南湖公园维修改造项目</w:t>
      </w:r>
    </w:p>
    <w:p w14:paraId="1FCD311D">
      <w:pPr>
        <w:spacing w:line="480" w:lineRule="auto"/>
        <w:ind w:firstLine="1205" w:firstLineChars="400"/>
        <w:rPr>
          <w:rFonts w:hint="eastAsia" w:ascii="仿宋" w:hAnsi="仿宋" w:eastAsia="仿宋"/>
          <w:b/>
          <w:color w:val="auto"/>
          <w:sz w:val="30"/>
          <w:szCs w:val="30"/>
          <w:highlight w:val="none"/>
          <w:lang w:eastAsia="zh-CN"/>
        </w:rPr>
      </w:pPr>
      <w:r>
        <w:rPr>
          <w:rFonts w:hint="eastAsia" w:ascii="仿宋" w:hAnsi="仿宋" w:eastAsia="仿宋"/>
          <w:b/>
          <w:color w:val="auto"/>
          <w:sz w:val="30"/>
          <w:szCs w:val="30"/>
          <w:highlight w:val="none"/>
        </w:rPr>
        <w:t>项目编号：</w:t>
      </w:r>
      <w:r>
        <w:rPr>
          <w:rFonts w:hint="eastAsia" w:ascii="仿宋" w:hAnsi="仿宋" w:eastAsia="仿宋"/>
          <w:b/>
          <w:color w:val="auto"/>
          <w:sz w:val="30"/>
          <w:szCs w:val="30"/>
          <w:highlight w:val="none"/>
          <w:lang w:eastAsia="zh-CN"/>
        </w:rPr>
        <w:t>NNZC2026-C2-990098-ZKGS</w:t>
      </w:r>
    </w:p>
    <w:p w14:paraId="75936635">
      <w:pPr>
        <w:spacing w:line="480" w:lineRule="auto"/>
        <w:ind w:firstLine="1205" w:firstLineChars="400"/>
        <w:rPr>
          <w:rFonts w:hint="eastAsia" w:ascii="仿宋" w:hAnsi="仿宋" w:eastAsia="仿宋"/>
          <w:b/>
          <w:color w:val="auto"/>
          <w:sz w:val="30"/>
          <w:szCs w:val="30"/>
          <w:highlight w:val="none"/>
          <w:lang w:eastAsia="zh-CN"/>
        </w:rPr>
      </w:pPr>
      <w:r>
        <w:rPr>
          <w:rFonts w:hint="eastAsia" w:ascii="仿宋" w:hAnsi="仿宋" w:eastAsia="仿宋"/>
          <w:b/>
          <w:color w:val="auto"/>
          <w:sz w:val="30"/>
          <w:szCs w:val="30"/>
          <w:highlight w:val="none"/>
        </w:rPr>
        <w:t>采购计划编号：</w:t>
      </w:r>
      <w:r>
        <w:rPr>
          <w:rFonts w:hint="eastAsia" w:ascii="仿宋" w:hAnsi="仿宋" w:eastAsia="仿宋"/>
          <w:b/>
          <w:color w:val="auto"/>
          <w:sz w:val="30"/>
          <w:szCs w:val="30"/>
          <w:highlight w:val="none"/>
          <w:lang w:eastAsia="zh-CN"/>
        </w:rPr>
        <w:t>NNZC[2026]737号</w:t>
      </w:r>
    </w:p>
    <w:p w14:paraId="3B02CDBF">
      <w:pPr>
        <w:spacing w:line="480" w:lineRule="auto"/>
        <w:ind w:firstLine="1205" w:firstLineChars="400"/>
        <w:rPr>
          <w:rFonts w:ascii="仿宋" w:hAnsi="仿宋" w:eastAsia="仿宋"/>
          <w:b/>
          <w:color w:val="auto"/>
          <w:sz w:val="30"/>
          <w:szCs w:val="30"/>
          <w:highlight w:val="none"/>
        </w:rPr>
      </w:pPr>
      <w:r>
        <w:rPr>
          <w:rFonts w:hint="eastAsia" w:ascii="仿宋" w:hAnsi="仿宋" w:eastAsia="仿宋"/>
          <w:b/>
          <w:color w:val="auto"/>
          <w:sz w:val="30"/>
          <w:szCs w:val="30"/>
          <w:highlight w:val="none"/>
        </w:rPr>
        <w:t>项目所属区划：南宁市本级项目</w:t>
      </w:r>
    </w:p>
    <w:p w14:paraId="7BD4F949">
      <w:pPr>
        <w:spacing w:line="480" w:lineRule="auto"/>
        <w:ind w:firstLine="1205" w:firstLineChars="400"/>
        <w:rPr>
          <w:rFonts w:hint="eastAsia" w:ascii="仿宋" w:hAnsi="仿宋" w:eastAsia="仿宋"/>
          <w:b/>
          <w:color w:val="auto"/>
          <w:sz w:val="30"/>
          <w:szCs w:val="30"/>
          <w:highlight w:val="none"/>
          <w:lang w:eastAsia="zh-CN"/>
        </w:rPr>
      </w:pPr>
      <w:r>
        <w:rPr>
          <w:rFonts w:hint="eastAsia" w:ascii="仿宋" w:hAnsi="仿宋" w:eastAsia="仿宋"/>
          <w:b/>
          <w:color w:val="auto"/>
          <w:sz w:val="30"/>
          <w:szCs w:val="30"/>
          <w:highlight w:val="none"/>
        </w:rPr>
        <w:t>采购人：</w:t>
      </w:r>
      <w:r>
        <w:rPr>
          <w:rFonts w:hint="eastAsia" w:ascii="仿宋" w:hAnsi="仿宋" w:eastAsia="仿宋"/>
          <w:b/>
          <w:color w:val="auto"/>
          <w:sz w:val="30"/>
          <w:szCs w:val="30"/>
          <w:highlight w:val="none"/>
          <w:lang w:eastAsia="zh-CN"/>
        </w:rPr>
        <w:t>南宁市南湖公园</w:t>
      </w:r>
    </w:p>
    <w:p w14:paraId="6C5ED5FF">
      <w:pPr>
        <w:spacing w:line="480" w:lineRule="auto"/>
        <w:ind w:firstLine="1205" w:firstLineChars="400"/>
        <w:rPr>
          <w:rFonts w:hint="eastAsia" w:ascii="仿宋" w:hAnsi="仿宋" w:eastAsia="仿宋"/>
          <w:b/>
          <w:color w:val="auto"/>
          <w:sz w:val="30"/>
          <w:szCs w:val="30"/>
          <w:highlight w:val="none"/>
          <w:lang w:eastAsia="zh-CN"/>
        </w:rPr>
      </w:pPr>
      <w:r>
        <w:rPr>
          <w:rFonts w:hint="eastAsia" w:ascii="仿宋" w:hAnsi="仿宋" w:eastAsia="仿宋"/>
          <w:b/>
          <w:color w:val="auto"/>
          <w:sz w:val="30"/>
          <w:szCs w:val="30"/>
          <w:highlight w:val="none"/>
        </w:rPr>
        <w:t>采购代理机构：</w:t>
      </w:r>
      <w:r>
        <w:rPr>
          <w:rFonts w:hint="eastAsia" w:ascii="仿宋" w:hAnsi="仿宋" w:eastAsia="仿宋"/>
          <w:b/>
          <w:color w:val="auto"/>
          <w:sz w:val="30"/>
          <w:szCs w:val="30"/>
          <w:highlight w:val="none"/>
          <w:lang w:eastAsia="zh-CN"/>
        </w:rPr>
        <w:t>中科高盛咨询集团有限公司</w:t>
      </w:r>
    </w:p>
    <w:p w14:paraId="73D81D6B">
      <w:pPr>
        <w:spacing w:line="480" w:lineRule="auto"/>
        <w:ind w:firstLine="1205" w:firstLineChars="400"/>
        <w:rPr>
          <w:rFonts w:ascii="仿宋" w:hAnsi="仿宋" w:eastAsia="仿宋"/>
          <w:b/>
          <w:color w:val="auto"/>
          <w:sz w:val="30"/>
          <w:szCs w:val="30"/>
          <w:highlight w:val="none"/>
        </w:rPr>
      </w:pPr>
    </w:p>
    <w:p w14:paraId="624291D7">
      <w:pPr>
        <w:spacing w:line="480" w:lineRule="auto"/>
        <w:jc w:val="center"/>
        <w:rPr>
          <w:rFonts w:ascii="仿宋" w:hAnsi="仿宋" w:eastAsia="仿宋"/>
          <w:b/>
          <w:color w:val="auto"/>
          <w:sz w:val="30"/>
          <w:szCs w:val="30"/>
          <w:highlight w:val="none"/>
        </w:rPr>
        <w:sectPr>
          <w:headerReference r:id="rId3" w:type="default"/>
          <w:pgSz w:w="11906" w:h="16838"/>
          <w:pgMar w:top="1134" w:right="1134" w:bottom="1134" w:left="1134" w:header="851" w:footer="907" w:gutter="0"/>
          <w:cols w:space="425" w:num="1"/>
          <w:docGrid w:type="lines" w:linePitch="312" w:charSpace="0"/>
        </w:sectPr>
      </w:pPr>
      <w:r>
        <w:rPr>
          <w:rFonts w:hint="eastAsia" w:ascii="仿宋" w:hAnsi="仿宋" w:eastAsia="仿宋"/>
          <w:b/>
          <w:color w:val="auto"/>
          <w:sz w:val="30"/>
          <w:szCs w:val="30"/>
          <w:highlight w:val="none"/>
        </w:rPr>
        <w:t>202</w:t>
      </w:r>
      <w:r>
        <w:rPr>
          <w:rFonts w:ascii="仿宋" w:hAnsi="仿宋" w:eastAsia="仿宋"/>
          <w:b/>
          <w:color w:val="auto"/>
          <w:sz w:val="30"/>
          <w:szCs w:val="30"/>
          <w:highlight w:val="none"/>
        </w:rPr>
        <w:t>6</w:t>
      </w:r>
      <w:r>
        <w:rPr>
          <w:rFonts w:hint="eastAsia" w:ascii="仿宋" w:hAnsi="仿宋" w:eastAsia="仿宋"/>
          <w:b/>
          <w:color w:val="auto"/>
          <w:sz w:val="30"/>
          <w:szCs w:val="30"/>
          <w:highlight w:val="none"/>
        </w:rPr>
        <w:t>年</w:t>
      </w:r>
      <w:r>
        <w:rPr>
          <w:rFonts w:hint="eastAsia" w:ascii="仿宋" w:hAnsi="仿宋" w:eastAsia="仿宋"/>
          <w:b/>
          <w:color w:val="auto"/>
          <w:sz w:val="30"/>
          <w:szCs w:val="30"/>
          <w:highlight w:val="none"/>
          <w:lang w:val="en-US" w:eastAsia="zh-CN"/>
        </w:rPr>
        <w:t xml:space="preserve"> 3 </w:t>
      </w:r>
      <w:r>
        <w:rPr>
          <w:rFonts w:hint="eastAsia" w:ascii="仿宋" w:hAnsi="仿宋" w:eastAsia="仿宋"/>
          <w:b/>
          <w:color w:val="auto"/>
          <w:sz w:val="30"/>
          <w:szCs w:val="30"/>
          <w:highlight w:val="none"/>
        </w:rPr>
        <w:t>月</w:t>
      </w:r>
      <w:r>
        <w:rPr>
          <w:rFonts w:hint="eastAsia" w:ascii="仿宋" w:hAnsi="仿宋" w:eastAsia="仿宋"/>
          <w:b/>
          <w:color w:val="auto"/>
          <w:sz w:val="30"/>
          <w:szCs w:val="30"/>
          <w:highlight w:val="none"/>
          <w:lang w:val="en-US" w:eastAsia="zh-CN"/>
        </w:rPr>
        <w:t xml:space="preserve"> 25 </w:t>
      </w:r>
      <w:r>
        <w:rPr>
          <w:rFonts w:hint="eastAsia" w:ascii="仿宋" w:hAnsi="仿宋" w:eastAsia="仿宋"/>
          <w:b/>
          <w:color w:val="auto"/>
          <w:sz w:val="30"/>
          <w:szCs w:val="30"/>
          <w:highlight w:val="none"/>
        </w:rPr>
        <w:t>日</w:t>
      </w:r>
    </w:p>
    <w:p w14:paraId="61701947">
      <w:pPr>
        <w:spacing w:line="300" w:lineRule="auto"/>
        <w:jc w:val="center"/>
        <w:rPr>
          <w:rFonts w:ascii="宋体" w:hAnsi="宋体" w:eastAsia="宋体"/>
          <w:b/>
          <w:color w:val="auto"/>
          <w:sz w:val="44"/>
          <w:szCs w:val="44"/>
          <w:highlight w:val="none"/>
        </w:rPr>
      </w:pPr>
    </w:p>
    <w:p w14:paraId="7E4BC500">
      <w:pPr>
        <w:spacing w:line="360" w:lineRule="auto"/>
        <w:rPr>
          <w:rFonts w:ascii="宋体" w:hAnsi="宋体" w:eastAsia="宋体"/>
          <w:color w:val="auto"/>
          <w:szCs w:val="21"/>
          <w:highlight w:val="none"/>
        </w:rPr>
      </w:pPr>
    </w:p>
    <w:p w14:paraId="2F906F75">
      <w:pPr>
        <w:spacing w:line="360" w:lineRule="auto"/>
        <w:outlineLvl w:val="2"/>
        <w:rPr>
          <w:rFonts w:ascii="宋体" w:hAnsi="宋体" w:eastAsia="宋体"/>
          <w:color w:val="auto"/>
          <w:szCs w:val="21"/>
          <w:highlight w:val="none"/>
        </w:rPr>
      </w:pPr>
    </w:p>
    <w:sdt>
      <w:sdtPr>
        <w:rPr>
          <w:rFonts w:ascii="宋体" w:hAnsi="宋体" w:eastAsia="宋体" w:cstheme="minorBidi"/>
          <w:kern w:val="2"/>
          <w:sz w:val="21"/>
          <w:szCs w:val="22"/>
          <w:lang w:val="en-US" w:eastAsia="zh-CN" w:bidi="ar-SA"/>
        </w:rPr>
        <w:id w:val="147461249"/>
        <w15:color w:val="DBDBDB"/>
        <w:docPartObj>
          <w:docPartGallery w:val="Table of Contents"/>
          <w:docPartUnique/>
        </w:docPartObj>
      </w:sdtPr>
      <w:sdtEndPr>
        <w:rPr>
          <w:rFonts w:ascii="宋体" w:hAnsi="宋体" w:eastAsia="宋体" w:cstheme="minorBidi"/>
          <w:color w:val="auto"/>
          <w:kern w:val="2"/>
          <w:sz w:val="21"/>
          <w:szCs w:val="21"/>
          <w:highlight w:val="none"/>
          <w:lang w:val="en-US" w:eastAsia="zh-CN" w:bidi="ar-SA"/>
        </w:rPr>
      </w:sdtEndPr>
      <w:sdtContent>
        <w:p w14:paraId="1F52EB4D">
          <w:pPr>
            <w:spacing w:before="0" w:beforeLines="0" w:after="0" w:afterLines="0" w:line="240" w:lineRule="auto"/>
            <w:ind w:left="0" w:leftChars="0" w:right="0" w:rightChars="0" w:firstLine="0" w:firstLineChars="0"/>
            <w:jc w:val="center"/>
            <w:rPr>
              <w:b/>
              <w:bCs/>
              <w:sz w:val="28"/>
              <w:szCs w:val="28"/>
            </w:rPr>
          </w:pPr>
          <w:r>
            <w:rPr>
              <w:rFonts w:ascii="宋体" w:hAnsi="宋体" w:eastAsia="宋体"/>
              <w:b/>
              <w:bCs/>
              <w:sz w:val="28"/>
              <w:szCs w:val="28"/>
            </w:rPr>
            <w:t>目录</w:t>
          </w:r>
        </w:p>
        <w:p w14:paraId="7333A4D0">
          <w:pPr>
            <w:pStyle w:val="28"/>
            <w:tabs>
              <w:tab w:val="right" w:leader="dot" w:pos="9638"/>
            </w:tabs>
          </w:pPr>
          <w:r>
            <w:rPr>
              <w:rFonts w:ascii="宋体" w:hAnsi="宋体" w:eastAsia="宋体"/>
              <w:color w:val="auto"/>
              <w:szCs w:val="21"/>
              <w:highlight w:val="none"/>
            </w:rPr>
            <w:fldChar w:fldCharType="begin"/>
          </w:r>
          <w:r>
            <w:rPr>
              <w:rFonts w:ascii="宋体" w:hAnsi="宋体" w:eastAsia="宋体"/>
              <w:color w:val="auto"/>
              <w:szCs w:val="21"/>
              <w:highlight w:val="none"/>
            </w:rPr>
            <w:instrText xml:space="preserve">TOC \o "1-1" \h \u </w:instrText>
          </w:r>
          <w:r>
            <w:rPr>
              <w:rFonts w:ascii="宋体" w:hAnsi="宋体" w:eastAsia="宋体"/>
              <w:color w:val="auto"/>
              <w:szCs w:val="21"/>
              <w:highlight w:val="none"/>
            </w:rPr>
            <w:fldChar w:fldCharType="separate"/>
          </w:r>
          <w:r>
            <w:rPr>
              <w:rFonts w:ascii="宋体" w:hAnsi="宋体" w:eastAsia="宋体"/>
              <w:color w:val="auto"/>
              <w:szCs w:val="21"/>
              <w:highlight w:val="none"/>
            </w:rPr>
            <w:fldChar w:fldCharType="begin"/>
          </w:r>
          <w:r>
            <w:rPr>
              <w:rFonts w:ascii="宋体" w:hAnsi="宋体" w:eastAsia="宋体"/>
              <w:szCs w:val="21"/>
              <w:highlight w:val="none"/>
            </w:rPr>
            <w:instrText xml:space="preserve"> HYPERLINK \l _Toc3543 </w:instrText>
          </w:r>
          <w:r>
            <w:rPr>
              <w:rFonts w:ascii="宋体" w:hAnsi="宋体" w:eastAsia="宋体"/>
              <w:szCs w:val="21"/>
              <w:highlight w:val="none"/>
            </w:rPr>
            <w:fldChar w:fldCharType="separate"/>
          </w:r>
          <w:r>
            <w:rPr>
              <w:rFonts w:hint="eastAsia" w:ascii="宋体" w:hAnsi="宋体" w:eastAsia="宋体"/>
              <w:highlight w:val="none"/>
            </w:rPr>
            <w:t>第一</w:t>
          </w:r>
          <w:r>
            <w:rPr>
              <w:rFonts w:hint="eastAsia" w:ascii="宋体" w:hAnsi="宋体" w:eastAsia="宋体"/>
              <w:spacing w:val="120"/>
              <w:highlight w:val="none"/>
            </w:rPr>
            <w:t>章</w:t>
          </w:r>
          <w:r>
            <w:rPr>
              <w:rFonts w:hint="eastAsia" w:ascii="宋体" w:hAnsi="宋体" w:eastAsia="宋体"/>
              <w:highlight w:val="none"/>
            </w:rPr>
            <w:t>竞争性磋商公告</w:t>
          </w:r>
          <w:r>
            <w:tab/>
          </w:r>
          <w:r>
            <w:fldChar w:fldCharType="begin"/>
          </w:r>
          <w:r>
            <w:instrText xml:space="preserve"> PAGEREF _Toc3543 \h </w:instrText>
          </w:r>
          <w:r>
            <w:fldChar w:fldCharType="separate"/>
          </w:r>
          <w:r>
            <w:t>1</w:t>
          </w:r>
          <w:r>
            <w:fldChar w:fldCharType="end"/>
          </w:r>
          <w:r>
            <w:rPr>
              <w:rFonts w:ascii="宋体" w:hAnsi="宋体" w:eastAsia="宋体"/>
              <w:color w:val="auto"/>
              <w:szCs w:val="21"/>
              <w:highlight w:val="none"/>
            </w:rPr>
            <w:fldChar w:fldCharType="end"/>
          </w:r>
        </w:p>
        <w:p w14:paraId="3F0435DB">
          <w:pPr>
            <w:pStyle w:val="28"/>
            <w:tabs>
              <w:tab w:val="right" w:leader="dot" w:pos="9638"/>
            </w:tabs>
          </w:pPr>
          <w:r>
            <w:rPr>
              <w:rFonts w:ascii="宋体" w:hAnsi="宋体" w:eastAsia="宋体"/>
              <w:color w:val="auto"/>
              <w:szCs w:val="21"/>
              <w:highlight w:val="none"/>
            </w:rPr>
            <w:fldChar w:fldCharType="begin"/>
          </w:r>
          <w:r>
            <w:rPr>
              <w:rFonts w:ascii="宋体" w:hAnsi="宋体" w:eastAsia="宋体"/>
              <w:szCs w:val="21"/>
              <w:highlight w:val="none"/>
            </w:rPr>
            <w:instrText xml:space="preserve"> HYPERLINK \l _Toc8701 </w:instrText>
          </w:r>
          <w:r>
            <w:rPr>
              <w:rFonts w:ascii="宋体" w:hAnsi="宋体" w:eastAsia="宋体"/>
              <w:szCs w:val="21"/>
              <w:highlight w:val="none"/>
            </w:rPr>
            <w:fldChar w:fldCharType="separate"/>
          </w:r>
          <w:r>
            <w:rPr>
              <w:rFonts w:hint="eastAsia" w:ascii="宋体" w:hAnsi="宋体" w:eastAsia="宋体"/>
              <w:highlight w:val="none"/>
            </w:rPr>
            <w:t>第二</w:t>
          </w:r>
          <w:r>
            <w:rPr>
              <w:rFonts w:hint="eastAsia" w:ascii="宋体" w:hAnsi="宋体" w:eastAsia="宋体"/>
              <w:spacing w:val="120"/>
              <w:highlight w:val="none"/>
            </w:rPr>
            <w:t>章</w:t>
          </w:r>
          <w:r>
            <w:rPr>
              <w:rFonts w:hint="eastAsia" w:ascii="宋体" w:hAnsi="宋体" w:eastAsia="宋体"/>
              <w:highlight w:val="none"/>
            </w:rPr>
            <w:t>采购需求</w:t>
          </w:r>
          <w:r>
            <w:tab/>
          </w:r>
          <w:r>
            <w:fldChar w:fldCharType="begin"/>
          </w:r>
          <w:r>
            <w:instrText xml:space="preserve"> PAGEREF _Toc8701 \h </w:instrText>
          </w:r>
          <w:r>
            <w:fldChar w:fldCharType="separate"/>
          </w:r>
          <w:r>
            <w:t>5</w:t>
          </w:r>
          <w:r>
            <w:fldChar w:fldCharType="end"/>
          </w:r>
          <w:r>
            <w:rPr>
              <w:rFonts w:ascii="宋体" w:hAnsi="宋体" w:eastAsia="宋体"/>
              <w:color w:val="auto"/>
              <w:szCs w:val="21"/>
              <w:highlight w:val="none"/>
            </w:rPr>
            <w:fldChar w:fldCharType="end"/>
          </w:r>
        </w:p>
        <w:p w14:paraId="53A84012">
          <w:pPr>
            <w:pStyle w:val="28"/>
            <w:tabs>
              <w:tab w:val="right" w:leader="dot" w:pos="9638"/>
            </w:tabs>
          </w:pPr>
          <w:r>
            <w:rPr>
              <w:rFonts w:ascii="宋体" w:hAnsi="宋体" w:eastAsia="宋体"/>
              <w:color w:val="auto"/>
              <w:szCs w:val="21"/>
              <w:highlight w:val="none"/>
            </w:rPr>
            <w:fldChar w:fldCharType="begin"/>
          </w:r>
          <w:r>
            <w:rPr>
              <w:rFonts w:ascii="宋体" w:hAnsi="宋体" w:eastAsia="宋体"/>
              <w:szCs w:val="21"/>
              <w:highlight w:val="none"/>
            </w:rPr>
            <w:instrText xml:space="preserve"> HYPERLINK \l _Toc12074 </w:instrText>
          </w:r>
          <w:r>
            <w:rPr>
              <w:rFonts w:ascii="宋体" w:hAnsi="宋体" w:eastAsia="宋体"/>
              <w:szCs w:val="21"/>
              <w:highlight w:val="none"/>
            </w:rPr>
            <w:fldChar w:fldCharType="separate"/>
          </w:r>
          <w:r>
            <w:rPr>
              <w:rFonts w:hint="eastAsia"/>
              <w:highlight w:val="none"/>
            </w:rPr>
            <w:t>第三</w:t>
          </w:r>
          <w:r>
            <w:rPr>
              <w:rFonts w:hint="eastAsia" w:ascii="宋体" w:hAnsi="宋体" w:eastAsia="宋体"/>
              <w:spacing w:val="120"/>
              <w:highlight w:val="none"/>
            </w:rPr>
            <w:t>章</w:t>
          </w:r>
          <w:r>
            <w:rPr>
              <w:rFonts w:hint="eastAsia"/>
              <w:highlight w:val="none"/>
            </w:rPr>
            <w:t>供应商须知</w:t>
          </w:r>
          <w:r>
            <w:tab/>
          </w:r>
          <w:r>
            <w:fldChar w:fldCharType="begin"/>
          </w:r>
          <w:r>
            <w:instrText xml:space="preserve"> PAGEREF _Toc12074 \h </w:instrText>
          </w:r>
          <w:r>
            <w:fldChar w:fldCharType="separate"/>
          </w:r>
          <w:r>
            <w:t>12</w:t>
          </w:r>
          <w:r>
            <w:fldChar w:fldCharType="end"/>
          </w:r>
          <w:r>
            <w:rPr>
              <w:rFonts w:ascii="宋体" w:hAnsi="宋体" w:eastAsia="宋体"/>
              <w:color w:val="auto"/>
              <w:szCs w:val="21"/>
              <w:highlight w:val="none"/>
            </w:rPr>
            <w:fldChar w:fldCharType="end"/>
          </w:r>
        </w:p>
        <w:p w14:paraId="0896BFC2">
          <w:pPr>
            <w:pStyle w:val="28"/>
            <w:tabs>
              <w:tab w:val="right" w:leader="dot" w:pos="9638"/>
            </w:tabs>
          </w:pPr>
          <w:r>
            <w:rPr>
              <w:rFonts w:ascii="宋体" w:hAnsi="宋体" w:eastAsia="宋体"/>
              <w:color w:val="auto"/>
              <w:szCs w:val="21"/>
              <w:highlight w:val="none"/>
            </w:rPr>
            <w:fldChar w:fldCharType="begin"/>
          </w:r>
          <w:r>
            <w:rPr>
              <w:rFonts w:ascii="宋体" w:hAnsi="宋体" w:eastAsia="宋体"/>
              <w:szCs w:val="21"/>
              <w:highlight w:val="none"/>
            </w:rPr>
            <w:instrText xml:space="preserve"> HYPERLINK \l _Toc12920 </w:instrText>
          </w:r>
          <w:r>
            <w:rPr>
              <w:rFonts w:ascii="宋体" w:hAnsi="宋体" w:eastAsia="宋体"/>
              <w:szCs w:val="21"/>
              <w:highlight w:val="none"/>
            </w:rPr>
            <w:fldChar w:fldCharType="separate"/>
          </w:r>
          <w:r>
            <w:rPr>
              <w:rFonts w:hint="eastAsia"/>
              <w:highlight w:val="none"/>
            </w:rPr>
            <w:t>第四</w:t>
          </w:r>
          <w:r>
            <w:rPr>
              <w:rFonts w:hint="eastAsia" w:ascii="宋体" w:hAnsi="宋体" w:eastAsia="宋体"/>
              <w:spacing w:val="120"/>
              <w:highlight w:val="none"/>
            </w:rPr>
            <w:t>章</w:t>
          </w:r>
          <w:r>
            <w:rPr>
              <w:rFonts w:hint="eastAsia"/>
              <w:highlight w:val="none"/>
            </w:rPr>
            <w:t>评审程序、评审方法和评审标准</w:t>
          </w:r>
          <w:r>
            <w:tab/>
          </w:r>
          <w:r>
            <w:fldChar w:fldCharType="begin"/>
          </w:r>
          <w:r>
            <w:instrText xml:space="preserve"> PAGEREF _Toc12920 \h </w:instrText>
          </w:r>
          <w:r>
            <w:fldChar w:fldCharType="separate"/>
          </w:r>
          <w:r>
            <w:t>31</w:t>
          </w:r>
          <w:r>
            <w:fldChar w:fldCharType="end"/>
          </w:r>
          <w:r>
            <w:rPr>
              <w:rFonts w:ascii="宋体" w:hAnsi="宋体" w:eastAsia="宋体"/>
              <w:color w:val="auto"/>
              <w:szCs w:val="21"/>
              <w:highlight w:val="none"/>
            </w:rPr>
            <w:fldChar w:fldCharType="end"/>
          </w:r>
        </w:p>
        <w:p w14:paraId="635CD66D">
          <w:pPr>
            <w:pStyle w:val="28"/>
            <w:tabs>
              <w:tab w:val="right" w:leader="dot" w:pos="9638"/>
            </w:tabs>
          </w:pPr>
          <w:r>
            <w:rPr>
              <w:rFonts w:ascii="宋体" w:hAnsi="宋体" w:eastAsia="宋体"/>
              <w:color w:val="auto"/>
              <w:szCs w:val="21"/>
              <w:highlight w:val="none"/>
            </w:rPr>
            <w:fldChar w:fldCharType="begin"/>
          </w:r>
          <w:r>
            <w:rPr>
              <w:rFonts w:ascii="宋体" w:hAnsi="宋体" w:eastAsia="宋体"/>
              <w:szCs w:val="21"/>
              <w:highlight w:val="none"/>
            </w:rPr>
            <w:instrText xml:space="preserve"> HYPERLINK \l _Toc20735 </w:instrText>
          </w:r>
          <w:r>
            <w:rPr>
              <w:rFonts w:ascii="宋体" w:hAnsi="宋体" w:eastAsia="宋体"/>
              <w:szCs w:val="21"/>
              <w:highlight w:val="none"/>
            </w:rPr>
            <w:fldChar w:fldCharType="separate"/>
          </w:r>
          <w:r>
            <w:rPr>
              <w:rFonts w:hint="eastAsia"/>
              <w:highlight w:val="none"/>
            </w:rPr>
            <w:t>第五</w:t>
          </w:r>
          <w:r>
            <w:rPr>
              <w:rFonts w:hint="eastAsia" w:ascii="宋体" w:hAnsi="宋体" w:eastAsia="宋体"/>
              <w:spacing w:val="120"/>
              <w:highlight w:val="none"/>
            </w:rPr>
            <w:t>章</w:t>
          </w:r>
          <w:r>
            <w:rPr>
              <w:rFonts w:hint="eastAsia"/>
              <w:highlight w:val="none"/>
            </w:rPr>
            <w:t>响应文件格式</w:t>
          </w:r>
          <w:r>
            <w:tab/>
          </w:r>
          <w:r>
            <w:fldChar w:fldCharType="begin"/>
          </w:r>
          <w:r>
            <w:instrText xml:space="preserve"> PAGEREF _Toc20735 \h </w:instrText>
          </w:r>
          <w:r>
            <w:fldChar w:fldCharType="separate"/>
          </w:r>
          <w:r>
            <w:t>40</w:t>
          </w:r>
          <w:r>
            <w:fldChar w:fldCharType="end"/>
          </w:r>
          <w:r>
            <w:rPr>
              <w:rFonts w:ascii="宋体" w:hAnsi="宋体" w:eastAsia="宋体"/>
              <w:color w:val="auto"/>
              <w:szCs w:val="21"/>
              <w:highlight w:val="none"/>
            </w:rPr>
            <w:fldChar w:fldCharType="end"/>
          </w:r>
        </w:p>
        <w:p w14:paraId="0ADB3389">
          <w:pPr>
            <w:pStyle w:val="28"/>
            <w:tabs>
              <w:tab w:val="right" w:leader="dot" w:pos="9638"/>
            </w:tabs>
          </w:pPr>
          <w:r>
            <w:rPr>
              <w:rFonts w:ascii="宋体" w:hAnsi="宋体" w:eastAsia="宋体"/>
              <w:color w:val="auto"/>
              <w:szCs w:val="21"/>
              <w:highlight w:val="none"/>
            </w:rPr>
            <w:fldChar w:fldCharType="begin"/>
          </w:r>
          <w:r>
            <w:rPr>
              <w:rFonts w:ascii="宋体" w:hAnsi="宋体" w:eastAsia="宋体"/>
              <w:szCs w:val="21"/>
              <w:highlight w:val="none"/>
            </w:rPr>
            <w:instrText xml:space="preserve"> HYPERLINK \l _Toc16714 </w:instrText>
          </w:r>
          <w:r>
            <w:rPr>
              <w:rFonts w:ascii="宋体" w:hAnsi="宋体" w:eastAsia="宋体"/>
              <w:szCs w:val="21"/>
              <w:highlight w:val="none"/>
            </w:rPr>
            <w:fldChar w:fldCharType="separate"/>
          </w:r>
          <w:r>
            <w:rPr>
              <w:rFonts w:hint="eastAsia"/>
              <w:highlight w:val="none"/>
            </w:rPr>
            <w:t>第六</w:t>
          </w:r>
          <w:r>
            <w:rPr>
              <w:rFonts w:hint="eastAsia" w:ascii="宋体" w:hAnsi="宋体" w:eastAsia="宋体"/>
              <w:spacing w:val="120"/>
              <w:highlight w:val="none"/>
            </w:rPr>
            <w:t>章</w:t>
          </w:r>
          <w:r>
            <w:rPr>
              <w:rFonts w:hint="eastAsia"/>
              <w:highlight w:val="none"/>
            </w:rPr>
            <w:t>合同文本</w:t>
          </w:r>
          <w:r>
            <w:tab/>
          </w:r>
          <w:r>
            <w:fldChar w:fldCharType="begin"/>
          </w:r>
          <w:r>
            <w:instrText xml:space="preserve"> PAGEREF _Toc16714 \h </w:instrText>
          </w:r>
          <w:r>
            <w:fldChar w:fldCharType="separate"/>
          </w:r>
          <w:r>
            <w:t>75</w:t>
          </w:r>
          <w:r>
            <w:fldChar w:fldCharType="end"/>
          </w:r>
          <w:r>
            <w:rPr>
              <w:rFonts w:ascii="宋体" w:hAnsi="宋体" w:eastAsia="宋体"/>
              <w:color w:val="auto"/>
              <w:szCs w:val="21"/>
              <w:highlight w:val="none"/>
            </w:rPr>
            <w:fldChar w:fldCharType="end"/>
          </w:r>
        </w:p>
        <w:p w14:paraId="48FCD6DA">
          <w:pPr>
            <w:pStyle w:val="28"/>
            <w:tabs>
              <w:tab w:val="right" w:leader="dot" w:pos="9638"/>
            </w:tabs>
          </w:pPr>
          <w:r>
            <w:rPr>
              <w:rFonts w:ascii="宋体" w:hAnsi="宋体" w:eastAsia="宋体"/>
              <w:color w:val="auto"/>
              <w:szCs w:val="21"/>
              <w:highlight w:val="none"/>
            </w:rPr>
            <w:fldChar w:fldCharType="begin"/>
          </w:r>
          <w:r>
            <w:rPr>
              <w:rFonts w:ascii="宋体" w:hAnsi="宋体" w:eastAsia="宋体"/>
              <w:szCs w:val="21"/>
              <w:highlight w:val="none"/>
            </w:rPr>
            <w:instrText xml:space="preserve"> HYPERLINK \l _Toc32053 </w:instrText>
          </w:r>
          <w:r>
            <w:rPr>
              <w:rFonts w:ascii="宋体" w:hAnsi="宋体" w:eastAsia="宋体"/>
              <w:szCs w:val="21"/>
              <w:highlight w:val="none"/>
            </w:rPr>
            <w:fldChar w:fldCharType="separate"/>
          </w:r>
          <w:r>
            <w:rPr>
              <w:rFonts w:hint="eastAsia" w:ascii="黑体" w:hAnsi="黑体"/>
              <w:highlight w:val="none"/>
            </w:rPr>
            <w:t xml:space="preserve">第一部分 </w:t>
          </w:r>
          <w:r>
            <w:rPr>
              <w:rFonts w:ascii="黑体" w:hAnsi="黑体"/>
              <w:highlight w:val="none"/>
            </w:rPr>
            <w:t xml:space="preserve"> </w:t>
          </w:r>
          <w:r>
            <w:rPr>
              <w:rFonts w:hint="eastAsia" w:ascii="黑体" w:hAnsi="黑体"/>
              <w:highlight w:val="none"/>
            </w:rPr>
            <w:t>合同协议书</w:t>
          </w:r>
          <w:r>
            <w:tab/>
          </w:r>
          <w:r>
            <w:fldChar w:fldCharType="begin"/>
          </w:r>
          <w:r>
            <w:instrText xml:space="preserve"> PAGEREF _Toc32053 \h </w:instrText>
          </w:r>
          <w:r>
            <w:fldChar w:fldCharType="separate"/>
          </w:r>
          <w:r>
            <w:t>77</w:t>
          </w:r>
          <w:r>
            <w:fldChar w:fldCharType="end"/>
          </w:r>
          <w:r>
            <w:rPr>
              <w:rFonts w:ascii="宋体" w:hAnsi="宋体" w:eastAsia="宋体"/>
              <w:color w:val="auto"/>
              <w:szCs w:val="21"/>
              <w:highlight w:val="none"/>
            </w:rPr>
            <w:fldChar w:fldCharType="end"/>
          </w:r>
        </w:p>
        <w:p w14:paraId="0D7167D5">
          <w:pPr>
            <w:pStyle w:val="28"/>
            <w:tabs>
              <w:tab w:val="right" w:leader="dot" w:pos="9638"/>
            </w:tabs>
          </w:pPr>
          <w:r>
            <w:rPr>
              <w:rFonts w:ascii="宋体" w:hAnsi="宋体" w:eastAsia="宋体"/>
              <w:color w:val="auto"/>
              <w:szCs w:val="21"/>
              <w:highlight w:val="none"/>
            </w:rPr>
            <w:fldChar w:fldCharType="begin"/>
          </w:r>
          <w:r>
            <w:rPr>
              <w:rFonts w:ascii="宋体" w:hAnsi="宋体" w:eastAsia="宋体"/>
              <w:szCs w:val="21"/>
              <w:highlight w:val="none"/>
            </w:rPr>
            <w:instrText xml:space="preserve"> HYPERLINK \l _Toc4545 </w:instrText>
          </w:r>
          <w:r>
            <w:rPr>
              <w:rFonts w:ascii="宋体" w:hAnsi="宋体" w:eastAsia="宋体"/>
              <w:szCs w:val="21"/>
              <w:highlight w:val="none"/>
            </w:rPr>
            <w:fldChar w:fldCharType="separate"/>
          </w:r>
          <w:r>
            <w:rPr>
              <w:rFonts w:hint="eastAsia" w:ascii="黑体" w:hAnsi="黑体"/>
              <w:highlight w:val="none"/>
            </w:rPr>
            <w:t>第二部分</w:t>
          </w:r>
          <w:r>
            <w:rPr>
              <w:rFonts w:ascii="黑体" w:hAnsi="黑体"/>
              <w:highlight w:val="none"/>
            </w:rPr>
            <w:t xml:space="preserve">  </w:t>
          </w:r>
          <w:r>
            <w:rPr>
              <w:rFonts w:hint="eastAsia" w:ascii="黑体" w:hAnsi="黑体"/>
              <w:highlight w:val="none"/>
            </w:rPr>
            <w:t>通用合同条款</w:t>
          </w:r>
          <w:r>
            <w:tab/>
          </w:r>
          <w:r>
            <w:fldChar w:fldCharType="begin"/>
          </w:r>
          <w:r>
            <w:instrText xml:space="preserve"> PAGEREF _Toc4545 \h </w:instrText>
          </w:r>
          <w:r>
            <w:fldChar w:fldCharType="separate"/>
          </w:r>
          <w:r>
            <w:t>81</w:t>
          </w:r>
          <w:r>
            <w:fldChar w:fldCharType="end"/>
          </w:r>
          <w:r>
            <w:rPr>
              <w:rFonts w:ascii="宋体" w:hAnsi="宋体" w:eastAsia="宋体"/>
              <w:color w:val="auto"/>
              <w:szCs w:val="21"/>
              <w:highlight w:val="none"/>
            </w:rPr>
            <w:fldChar w:fldCharType="end"/>
          </w:r>
        </w:p>
        <w:p w14:paraId="69B18E07">
          <w:pPr>
            <w:pStyle w:val="28"/>
            <w:tabs>
              <w:tab w:val="right" w:leader="dot" w:pos="9638"/>
            </w:tabs>
          </w:pPr>
          <w:r>
            <w:rPr>
              <w:rFonts w:ascii="宋体" w:hAnsi="宋体" w:eastAsia="宋体"/>
              <w:color w:val="auto"/>
              <w:szCs w:val="21"/>
              <w:highlight w:val="none"/>
            </w:rPr>
            <w:fldChar w:fldCharType="begin"/>
          </w:r>
          <w:r>
            <w:rPr>
              <w:rFonts w:ascii="宋体" w:hAnsi="宋体" w:eastAsia="宋体"/>
              <w:szCs w:val="21"/>
              <w:highlight w:val="none"/>
            </w:rPr>
            <w:instrText xml:space="preserve"> HYPERLINK \l _Toc28456 </w:instrText>
          </w:r>
          <w:r>
            <w:rPr>
              <w:rFonts w:ascii="宋体" w:hAnsi="宋体" w:eastAsia="宋体"/>
              <w:szCs w:val="21"/>
              <w:highlight w:val="none"/>
            </w:rPr>
            <w:fldChar w:fldCharType="separate"/>
          </w:r>
          <w:r>
            <w:rPr>
              <w:rFonts w:hint="eastAsia" w:ascii="黑体" w:hAnsi="黑体"/>
              <w:highlight w:val="none"/>
            </w:rPr>
            <w:t>第三部分</w:t>
          </w:r>
          <w:r>
            <w:rPr>
              <w:rFonts w:ascii="黑体" w:hAnsi="黑体"/>
              <w:highlight w:val="none"/>
            </w:rPr>
            <w:t xml:space="preserve">  </w:t>
          </w:r>
          <w:r>
            <w:rPr>
              <w:rFonts w:hint="eastAsia" w:ascii="黑体" w:hAnsi="黑体"/>
              <w:highlight w:val="none"/>
            </w:rPr>
            <w:t>专用合同条款</w:t>
          </w:r>
          <w:r>
            <w:tab/>
          </w:r>
          <w:r>
            <w:fldChar w:fldCharType="begin"/>
          </w:r>
          <w:r>
            <w:instrText xml:space="preserve"> PAGEREF _Toc28456 \h </w:instrText>
          </w:r>
          <w:r>
            <w:fldChar w:fldCharType="separate"/>
          </w:r>
          <w:r>
            <w:t>141</w:t>
          </w:r>
          <w:r>
            <w:fldChar w:fldCharType="end"/>
          </w:r>
          <w:r>
            <w:rPr>
              <w:rFonts w:ascii="宋体" w:hAnsi="宋体" w:eastAsia="宋体"/>
              <w:color w:val="auto"/>
              <w:szCs w:val="21"/>
              <w:highlight w:val="none"/>
            </w:rPr>
            <w:fldChar w:fldCharType="end"/>
          </w:r>
        </w:p>
        <w:p w14:paraId="1B8EE85A">
          <w:pPr>
            <w:pStyle w:val="28"/>
            <w:tabs>
              <w:tab w:val="right" w:leader="dot" w:pos="9638"/>
            </w:tabs>
          </w:pPr>
          <w:r>
            <w:rPr>
              <w:rFonts w:ascii="宋体" w:hAnsi="宋体" w:eastAsia="宋体"/>
              <w:color w:val="auto"/>
              <w:szCs w:val="21"/>
              <w:highlight w:val="none"/>
            </w:rPr>
            <w:fldChar w:fldCharType="begin"/>
          </w:r>
          <w:r>
            <w:rPr>
              <w:rFonts w:ascii="宋体" w:hAnsi="宋体" w:eastAsia="宋体"/>
              <w:szCs w:val="21"/>
              <w:highlight w:val="none"/>
            </w:rPr>
            <w:instrText xml:space="preserve"> HYPERLINK \l _Toc27135 </w:instrText>
          </w:r>
          <w:r>
            <w:rPr>
              <w:rFonts w:ascii="宋体" w:hAnsi="宋体" w:eastAsia="宋体"/>
              <w:szCs w:val="21"/>
              <w:highlight w:val="none"/>
            </w:rPr>
            <w:fldChar w:fldCharType="separate"/>
          </w:r>
          <w:r>
            <w:rPr>
              <w:rFonts w:hint="eastAsia"/>
              <w:highlight w:val="none"/>
            </w:rPr>
            <w:t>第七</w:t>
          </w:r>
          <w:r>
            <w:rPr>
              <w:rFonts w:hint="eastAsia" w:ascii="宋体" w:hAnsi="宋体" w:eastAsia="宋体"/>
              <w:spacing w:val="120"/>
              <w:highlight w:val="none"/>
            </w:rPr>
            <w:t>章</w:t>
          </w:r>
          <w:r>
            <w:rPr>
              <w:rFonts w:hint="eastAsia"/>
              <w:highlight w:val="none"/>
            </w:rPr>
            <w:t>质疑、投诉材料格式</w:t>
          </w:r>
          <w:r>
            <w:tab/>
          </w:r>
          <w:r>
            <w:fldChar w:fldCharType="begin"/>
          </w:r>
          <w:r>
            <w:instrText xml:space="preserve"> PAGEREF _Toc27135 \h </w:instrText>
          </w:r>
          <w:r>
            <w:fldChar w:fldCharType="separate"/>
          </w:r>
          <w:r>
            <w:t>184</w:t>
          </w:r>
          <w:r>
            <w:fldChar w:fldCharType="end"/>
          </w:r>
          <w:r>
            <w:rPr>
              <w:rFonts w:ascii="宋体" w:hAnsi="宋体" w:eastAsia="宋体"/>
              <w:color w:val="auto"/>
              <w:szCs w:val="21"/>
              <w:highlight w:val="none"/>
            </w:rPr>
            <w:fldChar w:fldCharType="end"/>
          </w:r>
        </w:p>
        <w:p w14:paraId="322FE6C6">
          <w:pPr>
            <w:spacing w:line="300" w:lineRule="auto"/>
            <w:rPr>
              <w:rFonts w:ascii="宋体" w:hAnsi="宋体" w:eastAsia="宋体" w:cstheme="minorBidi"/>
              <w:color w:val="auto"/>
              <w:kern w:val="2"/>
              <w:sz w:val="21"/>
              <w:szCs w:val="21"/>
              <w:highlight w:val="none"/>
              <w:lang w:val="en-US" w:eastAsia="zh-CN" w:bidi="ar-SA"/>
            </w:rPr>
          </w:pPr>
          <w:r>
            <w:rPr>
              <w:rFonts w:ascii="宋体" w:hAnsi="宋体" w:eastAsia="宋体"/>
              <w:color w:val="auto"/>
              <w:szCs w:val="21"/>
              <w:highlight w:val="none"/>
            </w:rPr>
            <w:fldChar w:fldCharType="end"/>
          </w:r>
        </w:p>
      </w:sdtContent>
    </w:sdt>
    <w:p w14:paraId="3A60969F">
      <w:pPr>
        <w:spacing w:line="300" w:lineRule="auto"/>
        <w:rPr>
          <w:rFonts w:ascii="宋体" w:hAnsi="宋体" w:eastAsia="宋体" w:cstheme="minorBidi"/>
          <w:color w:val="auto"/>
          <w:kern w:val="2"/>
          <w:sz w:val="21"/>
          <w:szCs w:val="21"/>
          <w:highlight w:val="none"/>
          <w:lang w:val="en-US" w:eastAsia="zh-CN" w:bidi="ar-SA"/>
        </w:rPr>
        <w:sectPr>
          <w:footerReference r:id="rId4" w:type="default"/>
          <w:pgSz w:w="11906" w:h="16838"/>
          <w:pgMar w:top="1134" w:right="1134" w:bottom="1134" w:left="1134" w:header="851" w:footer="680" w:gutter="0"/>
          <w:pgNumType w:start="1"/>
          <w:cols w:space="425" w:num="1"/>
          <w:docGrid w:type="lines" w:linePitch="312" w:charSpace="0"/>
        </w:sectPr>
      </w:pPr>
    </w:p>
    <w:p w14:paraId="3DBD8224">
      <w:pPr>
        <w:pStyle w:val="2"/>
        <w:jc w:val="center"/>
        <w:rPr>
          <w:rFonts w:ascii="宋体" w:hAnsi="宋体" w:eastAsia="宋体"/>
          <w:color w:val="auto"/>
          <w:highlight w:val="none"/>
        </w:rPr>
      </w:pPr>
      <w:bookmarkStart w:id="0" w:name="_Toc217642128"/>
      <w:bookmarkStart w:id="1" w:name="_Toc3543"/>
      <w:r>
        <w:rPr>
          <w:rFonts w:hint="eastAsia" w:ascii="宋体" w:hAnsi="宋体" w:eastAsia="宋体"/>
          <w:color w:val="auto"/>
          <w:highlight w:val="none"/>
        </w:rPr>
        <w:t>第一</w:t>
      </w:r>
      <w:r>
        <w:rPr>
          <w:rFonts w:hint="eastAsia" w:ascii="宋体" w:hAnsi="宋体" w:eastAsia="宋体"/>
          <w:color w:val="auto"/>
          <w:spacing w:val="120"/>
          <w:highlight w:val="none"/>
        </w:rPr>
        <w:t>章</w:t>
      </w:r>
      <w:r>
        <w:rPr>
          <w:rFonts w:hint="eastAsia" w:ascii="宋体" w:hAnsi="宋体" w:eastAsia="宋体"/>
          <w:color w:val="auto"/>
          <w:highlight w:val="none"/>
        </w:rPr>
        <w:t>竞争性磋商公告</w:t>
      </w:r>
      <w:bookmarkEnd w:id="0"/>
      <w:bookmarkEnd w:id="1"/>
    </w:p>
    <w:tbl>
      <w:tblPr>
        <w:tblStyle w:val="3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4"/>
      </w:tblGrid>
      <w:tr w14:paraId="6295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F424E2B">
            <w:pPr>
              <w:spacing w:line="30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项目概况</w:t>
            </w:r>
          </w:p>
          <w:p w14:paraId="23B965A1">
            <w:pPr>
              <w:spacing w:line="30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u w:val="single"/>
                <w:lang w:eastAsia="zh-CN"/>
              </w:rPr>
              <w:t>2026年南湖公园维修改造项目</w:t>
            </w:r>
            <w:r>
              <w:rPr>
                <w:rFonts w:hint="eastAsia" w:ascii="宋体" w:hAnsi="宋体" w:eastAsia="宋体"/>
                <w:color w:val="auto"/>
                <w:szCs w:val="21"/>
                <w:highlight w:val="none"/>
              </w:rPr>
              <w:t>采购项目的潜在供应商应在广西政府采购云平台</w:t>
            </w:r>
            <w:r>
              <w:rPr>
                <w:rFonts w:hint="eastAsia" w:ascii="宋体" w:hAnsi="宋体" w:eastAsia="宋体"/>
                <w:color w:val="auto"/>
                <w:szCs w:val="21"/>
                <w:highlight w:val="none"/>
                <w:lang w:eastAsia="zh-CN"/>
              </w:rPr>
              <w:t>线上</w:t>
            </w:r>
            <w:r>
              <w:rPr>
                <w:rFonts w:hint="eastAsia" w:ascii="宋体" w:hAnsi="宋体" w:eastAsia="宋体"/>
                <w:color w:val="auto"/>
                <w:szCs w:val="21"/>
                <w:highlight w:val="none"/>
              </w:rPr>
              <w:t>获取竞争性磋商文件，并于</w:t>
            </w:r>
            <w:r>
              <w:rPr>
                <w:rFonts w:hint="eastAsia" w:ascii="宋体" w:hAnsi="宋体" w:eastAsia="宋体"/>
                <w:color w:val="auto"/>
                <w:szCs w:val="21"/>
                <w:highlight w:val="none"/>
                <w:u w:val="single"/>
              </w:rPr>
              <w:t>202</w:t>
            </w:r>
            <w:r>
              <w:rPr>
                <w:rFonts w:ascii="宋体" w:hAnsi="宋体" w:eastAsia="宋体"/>
                <w:color w:val="auto"/>
                <w:szCs w:val="21"/>
                <w:highlight w:val="none"/>
                <w:u w:val="single"/>
              </w:rPr>
              <w:t>6</w:t>
            </w:r>
            <w:r>
              <w:rPr>
                <w:rFonts w:hint="eastAsia" w:ascii="宋体" w:hAnsi="宋体" w:eastAsia="宋体"/>
                <w:color w:val="auto"/>
                <w:szCs w:val="21"/>
                <w:highlight w:val="none"/>
                <w:u w:val="single"/>
              </w:rPr>
              <w:t>年</w:t>
            </w:r>
            <w:r>
              <w:rPr>
                <w:rFonts w:hint="eastAsia" w:ascii="宋体" w:hAnsi="宋体" w:eastAsia="宋体"/>
                <w:color w:val="auto"/>
                <w:szCs w:val="21"/>
                <w:highlight w:val="none"/>
                <w:u w:val="single"/>
                <w:lang w:val="en-US" w:eastAsia="zh-CN"/>
              </w:rPr>
              <w:t xml:space="preserve"> 4  </w:t>
            </w:r>
            <w:r>
              <w:rPr>
                <w:rFonts w:hint="eastAsia" w:ascii="宋体" w:hAnsi="宋体" w:eastAsia="宋体"/>
                <w:color w:val="auto"/>
                <w:szCs w:val="21"/>
                <w:highlight w:val="none"/>
                <w:u w:val="single"/>
              </w:rPr>
              <w:t>月</w:t>
            </w:r>
            <w:r>
              <w:rPr>
                <w:rFonts w:hint="eastAsia" w:ascii="宋体" w:hAnsi="宋体" w:eastAsia="宋体"/>
                <w:color w:val="auto"/>
                <w:szCs w:val="21"/>
                <w:highlight w:val="none"/>
                <w:u w:val="single"/>
                <w:lang w:val="en-US" w:eastAsia="zh-CN"/>
              </w:rPr>
              <w:t xml:space="preserve"> 7  </w:t>
            </w:r>
            <w:r>
              <w:rPr>
                <w:rFonts w:hint="eastAsia" w:ascii="宋体" w:hAnsi="宋体" w:eastAsia="宋体"/>
                <w:color w:val="auto"/>
                <w:szCs w:val="21"/>
                <w:highlight w:val="none"/>
                <w:u w:val="single"/>
              </w:rPr>
              <w:t>日09点</w:t>
            </w:r>
            <w:r>
              <w:rPr>
                <w:rFonts w:ascii="宋体" w:hAnsi="宋体" w:eastAsia="宋体"/>
                <w:color w:val="auto"/>
                <w:szCs w:val="21"/>
                <w:highlight w:val="none"/>
                <w:u w:val="single"/>
              </w:rPr>
              <w:t>3</w:t>
            </w:r>
            <w:r>
              <w:rPr>
                <w:rFonts w:hint="eastAsia" w:ascii="宋体" w:hAnsi="宋体" w:eastAsia="宋体"/>
                <w:color w:val="auto"/>
                <w:szCs w:val="21"/>
                <w:highlight w:val="none"/>
                <w:u w:val="single"/>
              </w:rPr>
              <w:t>0分</w:t>
            </w:r>
            <w:r>
              <w:rPr>
                <w:rFonts w:hint="eastAsia" w:ascii="宋体" w:hAnsi="宋体" w:eastAsia="宋体"/>
                <w:color w:val="auto"/>
                <w:szCs w:val="21"/>
                <w:highlight w:val="none"/>
              </w:rPr>
              <w:t>（北京时间）前提交响应文件。</w:t>
            </w:r>
          </w:p>
        </w:tc>
      </w:tr>
    </w:tbl>
    <w:p w14:paraId="064F4D62">
      <w:pPr>
        <w:spacing w:line="360" w:lineRule="auto"/>
        <w:ind w:firstLine="420" w:firstLineChars="200"/>
        <w:rPr>
          <w:rFonts w:ascii="宋体" w:hAnsi="宋体" w:eastAsia="宋体"/>
          <w:color w:val="auto"/>
          <w:szCs w:val="21"/>
          <w:highlight w:val="none"/>
        </w:rPr>
      </w:pPr>
    </w:p>
    <w:p w14:paraId="186453C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一、项目基本情况</w:t>
      </w:r>
    </w:p>
    <w:p w14:paraId="36A22A8F">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1.项目编号：</w:t>
      </w:r>
      <w:r>
        <w:rPr>
          <w:rFonts w:hint="eastAsia" w:ascii="宋体" w:hAnsi="宋体" w:eastAsia="宋体"/>
          <w:color w:val="auto"/>
          <w:szCs w:val="21"/>
          <w:highlight w:val="none"/>
          <w:lang w:eastAsia="zh-CN"/>
        </w:rPr>
        <w:t>NNZC2026-C2-990098-ZKGS</w:t>
      </w:r>
    </w:p>
    <w:p w14:paraId="2D3C400E">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2.项目名称：</w:t>
      </w:r>
      <w:r>
        <w:rPr>
          <w:rFonts w:hint="eastAsia" w:ascii="宋体" w:hAnsi="宋体" w:eastAsia="宋体"/>
          <w:color w:val="auto"/>
          <w:szCs w:val="21"/>
          <w:highlight w:val="none"/>
          <w:lang w:eastAsia="zh-CN"/>
        </w:rPr>
        <w:t>2026年南湖公园维修改造项目</w:t>
      </w:r>
    </w:p>
    <w:p w14:paraId="5FB6367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3.采购方式：竞争性磋商</w:t>
      </w:r>
    </w:p>
    <w:p w14:paraId="3A69A64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4.预算金额：</w:t>
      </w:r>
      <w:r>
        <w:rPr>
          <w:rFonts w:hint="eastAsia" w:ascii="宋体" w:hAnsi="宋体" w:eastAsia="宋体"/>
          <w:color w:val="auto"/>
          <w:szCs w:val="21"/>
          <w:highlight w:val="none"/>
          <w:lang w:eastAsia="zh-CN"/>
        </w:rPr>
        <w:t>675086.73</w:t>
      </w:r>
      <w:r>
        <w:rPr>
          <w:rFonts w:hint="eastAsia" w:ascii="宋体" w:hAnsi="宋体" w:eastAsia="宋体"/>
          <w:color w:val="auto"/>
          <w:szCs w:val="21"/>
          <w:highlight w:val="none"/>
        </w:rPr>
        <w:t>元</w:t>
      </w:r>
    </w:p>
    <w:p w14:paraId="5D4CDC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5.最高限价（如有）：</w:t>
      </w:r>
      <w:r>
        <w:rPr>
          <w:rFonts w:hint="eastAsia" w:ascii="宋体" w:hAnsi="宋体" w:eastAsia="宋体"/>
          <w:color w:val="auto"/>
          <w:szCs w:val="21"/>
          <w:highlight w:val="none"/>
          <w:lang w:eastAsia="zh-CN"/>
        </w:rPr>
        <w:t>675086.73</w:t>
      </w:r>
      <w:r>
        <w:rPr>
          <w:rFonts w:ascii="宋体" w:hAnsi="宋体" w:eastAsia="宋体"/>
          <w:color w:val="auto"/>
          <w:szCs w:val="21"/>
          <w:highlight w:val="none"/>
        </w:rPr>
        <w:t>元</w:t>
      </w:r>
    </w:p>
    <w:p w14:paraId="371EA4E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6.采购需求：</w:t>
      </w:r>
    </w:p>
    <w:tbl>
      <w:tblPr>
        <w:tblStyle w:val="38"/>
        <w:tblW w:w="46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2746"/>
        <w:gridCol w:w="1035"/>
        <w:gridCol w:w="4642"/>
      </w:tblGrid>
      <w:tr w14:paraId="5AC1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60" w:type="pct"/>
            <w:vAlign w:val="center"/>
          </w:tcPr>
          <w:p w14:paraId="061FBBBE">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1512" w:type="pct"/>
            <w:vAlign w:val="center"/>
          </w:tcPr>
          <w:p w14:paraId="65BC4B06">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标的的名称</w:t>
            </w:r>
          </w:p>
        </w:tc>
        <w:tc>
          <w:tcPr>
            <w:tcW w:w="570" w:type="pct"/>
            <w:vAlign w:val="center"/>
          </w:tcPr>
          <w:p w14:paraId="55EF340E">
            <w:pPr>
              <w:spacing w:line="300"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rPr>
              <w:t>单位</w:t>
            </w:r>
            <w:r>
              <w:rPr>
                <w:rFonts w:hint="eastAsia" w:ascii="宋体" w:hAnsi="宋体" w:eastAsia="宋体"/>
                <w:color w:val="auto"/>
                <w:szCs w:val="21"/>
                <w:highlight w:val="none"/>
                <w:lang w:eastAsia="zh-CN"/>
              </w:rPr>
              <w:t>及</w:t>
            </w:r>
          </w:p>
          <w:p w14:paraId="66DF1EC4">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数量</w:t>
            </w:r>
          </w:p>
        </w:tc>
        <w:tc>
          <w:tcPr>
            <w:tcW w:w="2556" w:type="pct"/>
            <w:vAlign w:val="center"/>
          </w:tcPr>
          <w:p w14:paraId="1E34FFCB">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简要技术需求或者服务要求</w:t>
            </w:r>
          </w:p>
        </w:tc>
      </w:tr>
      <w:tr w14:paraId="20A1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0" w:type="pct"/>
            <w:vAlign w:val="center"/>
          </w:tcPr>
          <w:p w14:paraId="138FFC32">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0</w:t>
            </w:r>
            <w:r>
              <w:rPr>
                <w:rFonts w:ascii="宋体" w:hAnsi="宋体" w:eastAsia="宋体"/>
                <w:color w:val="auto"/>
                <w:szCs w:val="21"/>
                <w:highlight w:val="none"/>
              </w:rPr>
              <w:t>1</w:t>
            </w:r>
          </w:p>
        </w:tc>
        <w:tc>
          <w:tcPr>
            <w:tcW w:w="1512" w:type="pct"/>
            <w:vAlign w:val="center"/>
          </w:tcPr>
          <w:p w14:paraId="4058C5BA">
            <w:pPr>
              <w:spacing w:line="300"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2026年南湖公园维修改造项目</w:t>
            </w:r>
          </w:p>
        </w:tc>
        <w:tc>
          <w:tcPr>
            <w:tcW w:w="570" w:type="pct"/>
            <w:vAlign w:val="center"/>
          </w:tcPr>
          <w:p w14:paraId="2A691C22">
            <w:pPr>
              <w:spacing w:line="300"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1项</w:t>
            </w:r>
          </w:p>
        </w:tc>
        <w:tc>
          <w:tcPr>
            <w:tcW w:w="2556" w:type="pct"/>
            <w:vAlign w:val="center"/>
          </w:tcPr>
          <w:p w14:paraId="47096E58">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lang w:eastAsia="zh-CN"/>
              </w:rPr>
              <w:t>对南湖公园破损环湖路面进行维修和更换名树博览园入口岗亭</w:t>
            </w:r>
            <w:r>
              <w:rPr>
                <w:rFonts w:hint="eastAsia" w:ascii="宋体" w:hAnsi="宋体" w:eastAsia="宋体"/>
                <w:color w:val="auto"/>
                <w:szCs w:val="21"/>
                <w:highlight w:val="none"/>
              </w:rPr>
              <w:t>等。具体施工内容详见图纸及工程量清单所包含的内容。</w:t>
            </w:r>
          </w:p>
        </w:tc>
      </w:tr>
    </w:tbl>
    <w:p w14:paraId="352187A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7.合同履行期限：工期要求：自合同签订后，自开工之日起45个日历天内完成项目施工并验收合格。</w:t>
      </w:r>
    </w:p>
    <w:p w14:paraId="2BB002C2">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8.</w:t>
      </w:r>
      <w:r>
        <w:rPr>
          <w:rFonts w:hint="eastAsia" w:ascii="宋体" w:hAnsi="宋体" w:eastAsia="宋体"/>
          <w:color w:val="auto"/>
          <w:szCs w:val="21"/>
          <w:highlight w:val="none"/>
        </w:rPr>
        <w:t>本项目是否接受联合体：□是，</w:t>
      </w:r>
      <w:r>
        <w:rPr>
          <w:rFonts w:ascii="Segoe UI Symbol" w:hAnsi="Segoe UI Symbol" w:eastAsia="宋体" w:cs="Segoe UI Symbol"/>
          <w:color w:val="auto"/>
          <w:szCs w:val="21"/>
          <w:highlight w:val="none"/>
        </w:rPr>
        <w:t>☑</w:t>
      </w:r>
      <w:r>
        <w:rPr>
          <w:rFonts w:hint="eastAsia" w:ascii="宋体" w:hAnsi="宋体" w:eastAsia="宋体"/>
          <w:color w:val="auto"/>
          <w:szCs w:val="21"/>
          <w:highlight w:val="none"/>
        </w:rPr>
        <w:t>否</w:t>
      </w:r>
    </w:p>
    <w:p w14:paraId="12855226">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二、供应商的资格条件</w:t>
      </w:r>
    </w:p>
    <w:p w14:paraId="3E398A1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1.满足《中华人民共和国政府采购法》第二十二条规定；</w:t>
      </w:r>
    </w:p>
    <w:p w14:paraId="3645A47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2.落实政府采购政策需满足的资格要求：</w:t>
      </w:r>
    </w:p>
    <w:p w14:paraId="6B94BB9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sym w:font="Wingdings 2" w:char="F052"/>
      </w:r>
      <w:r>
        <w:rPr>
          <w:rFonts w:hint="eastAsia" w:ascii="宋体" w:hAnsi="宋体" w:eastAsia="宋体"/>
          <w:color w:val="auto"/>
          <w:szCs w:val="21"/>
          <w:highlight w:val="none"/>
        </w:rPr>
        <w:t>专门面向中小企业采购的项目（供应商应为中小微企业或监狱企业或残疾人福利性单位）</w:t>
      </w:r>
    </w:p>
    <w:p w14:paraId="19CD0C2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□非专门面向中小企业采购的项目；</w:t>
      </w:r>
    </w:p>
    <w:p w14:paraId="29A8873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3.本项目的特定资格要求：</w:t>
      </w:r>
    </w:p>
    <w:p w14:paraId="341709F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（1）供应商具有有效的</w:t>
      </w:r>
      <w:r>
        <w:rPr>
          <w:rFonts w:hint="eastAsia" w:ascii="宋体" w:hAnsi="宋体" w:eastAsia="宋体"/>
          <w:color w:val="auto"/>
          <w:szCs w:val="21"/>
          <w:highlight w:val="none"/>
          <w:lang w:eastAsia="zh-CN"/>
        </w:rPr>
        <w:t>市政公用工程施工总承包三级</w:t>
      </w:r>
      <w:r>
        <w:rPr>
          <w:rFonts w:hint="eastAsia" w:ascii="宋体" w:hAnsi="宋体" w:eastAsia="宋体"/>
          <w:color w:val="auto"/>
          <w:szCs w:val="21"/>
          <w:highlight w:val="none"/>
        </w:rPr>
        <w:t>（含）以上资质，同时具备有效的省级及以上建设行政主管部门颁发的安全生产许可证，并在人员、设备、资金等方面具备相应的施工能力。</w:t>
      </w:r>
    </w:p>
    <w:p w14:paraId="56CB039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（2）拟投入本项目的项目经理须具备</w:t>
      </w:r>
      <w:r>
        <w:rPr>
          <w:rFonts w:hint="eastAsia" w:ascii="宋体" w:hAnsi="宋体" w:eastAsia="宋体"/>
          <w:color w:val="auto"/>
          <w:szCs w:val="21"/>
          <w:highlight w:val="none"/>
          <w:lang w:eastAsia="zh-CN"/>
        </w:rPr>
        <w:t>市政公用工程专业二级</w:t>
      </w:r>
      <w:r>
        <w:rPr>
          <w:rFonts w:hint="eastAsia" w:ascii="宋体" w:hAnsi="宋体" w:eastAsia="宋体"/>
          <w:color w:val="auto"/>
          <w:szCs w:val="21"/>
          <w:highlight w:val="none"/>
        </w:rPr>
        <w:t>（含）以上注册建造师执业资格，并持有省级或省级以上行政主管部门或其授权部门（机构）颁发的B类安全生产考核合格证书。本项目不接受有在建、已中标（成交）未开工或已列为其他项目中标候选人第一名的建造师作为项目经理（符合《广西壮族自治区建筑市场诚信卡管理暂行办法》第十六条第一款及桂建管﹝2016﹞70号、桂建管〔2020〕11号文除外）。</w:t>
      </w:r>
    </w:p>
    <w:p w14:paraId="4253A06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（3）拟投入本项目的专职安全生产管理人员须具备有效的安全生产考核合格证书（C类）。</w:t>
      </w:r>
    </w:p>
    <w:p w14:paraId="39874DA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4.本项目的特定条件：无。</w:t>
      </w:r>
    </w:p>
    <w:p w14:paraId="4F1D551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B54575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D9D496F">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三、获取竞争性磋商文件</w:t>
      </w:r>
    </w:p>
    <w:p w14:paraId="744FBEA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时间：自公告发布之日起。</w:t>
      </w:r>
    </w:p>
    <w:p w14:paraId="480F4AB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通过其他方式获取采购文件的，将有可能导致供应商无法在广西政府采购云平台编制及上传响应文件。</w:t>
      </w:r>
    </w:p>
    <w:p w14:paraId="11EA171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售价：0元。</w:t>
      </w:r>
    </w:p>
    <w:p w14:paraId="0BEC03B5">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四、响应文件提交</w:t>
      </w:r>
    </w:p>
    <w:p w14:paraId="11B8C3C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1、首次响应文件提交截止时间（北京时间）：</w:t>
      </w:r>
      <w:r>
        <w:rPr>
          <w:rFonts w:hint="eastAsia" w:ascii="宋体" w:hAnsi="宋体" w:eastAsia="宋体"/>
          <w:color w:val="auto"/>
          <w:szCs w:val="21"/>
          <w:highlight w:val="none"/>
          <w:u w:val="single"/>
        </w:rPr>
        <w:t>202</w:t>
      </w:r>
      <w:r>
        <w:rPr>
          <w:rFonts w:ascii="宋体" w:hAnsi="宋体" w:eastAsia="宋体"/>
          <w:color w:val="auto"/>
          <w:szCs w:val="21"/>
          <w:highlight w:val="none"/>
          <w:u w:val="single"/>
        </w:rPr>
        <w:t>6</w:t>
      </w:r>
      <w:r>
        <w:rPr>
          <w:rFonts w:hint="eastAsia" w:ascii="宋体" w:hAnsi="宋体" w:eastAsia="宋体"/>
          <w:color w:val="auto"/>
          <w:szCs w:val="21"/>
          <w:highlight w:val="none"/>
          <w:u w:val="single"/>
        </w:rPr>
        <w:t>年</w:t>
      </w:r>
      <w:r>
        <w:rPr>
          <w:rFonts w:hint="eastAsia" w:ascii="宋体" w:hAnsi="宋体" w:eastAsia="宋体"/>
          <w:color w:val="auto"/>
          <w:szCs w:val="21"/>
          <w:highlight w:val="none"/>
          <w:u w:val="single"/>
          <w:lang w:val="en-US" w:eastAsia="zh-CN"/>
        </w:rPr>
        <w:t xml:space="preserve"> 4 </w:t>
      </w:r>
      <w:r>
        <w:rPr>
          <w:rFonts w:hint="eastAsia" w:ascii="宋体" w:hAnsi="宋体" w:eastAsia="宋体"/>
          <w:color w:val="auto"/>
          <w:szCs w:val="21"/>
          <w:highlight w:val="none"/>
          <w:u w:val="single"/>
        </w:rPr>
        <w:t>月</w:t>
      </w:r>
      <w:r>
        <w:rPr>
          <w:rFonts w:hint="eastAsia" w:ascii="宋体" w:hAnsi="宋体" w:eastAsia="宋体"/>
          <w:color w:val="auto"/>
          <w:szCs w:val="21"/>
          <w:highlight w:val="none"/>
          <w:u w:val="single"/>
          <w:lang w:val="en-US" w:eastAsia="zh-CN"/>
        </w:rPr>
        <w:t xml:space="preserve"> 7   </w:t>
      </w:r>
      <w:r>
        <w:rPr>
          <w:rFonts w:hint="eastAsia" w:ascii="宋体" w:hAnsi="宋体" w:eastAsia="宋体"/>
          <w:color w:val="auto"/>
          <w:szCs w:val="21"/>
          <w:highlight w:val="none"/>
          <w:u w:val="single"/>
        </w:rPr>
        <w:t>日09点</w:t>
      </w:r>
      <w:r>
        <w:rPr>
          <w:rFonts w:ascii="宋体" w:hAnsi="宋体" w:eastAsia="宋体"/>
          <w:color w:val="auto"/>
          <w:szCs w:val="21"/>
          <w:highlight w:val="none"/>
          <w:u w:val="single"/>
        </w:rPr>
        <w:t>3</w:t>
      </w:r>
      <w:r>
        <w:rPr>
          <w:rFonts w:hint="eastAsia" w:ascii="宋体" w:hAnsi="宋体" w:eastAsia="宋体"/>
          <w:color w:val="auto"/>
          <w:szCs w:val="21"/>
          <w:highlight w:val="none"/>
          <w:u w:val="single"/>
        </w:rPr>
        <w:t>0分（从磋商文件开始发出之日起至供应商提交首次响应文件截止之日止不得少于10日）</w:t>
      </w:r>
    </w:p>
    <w:p w14:paraId="75F6E88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2、首次响应文件提交地点：</w:t>
      </w:r>
    </w:p>
    <w:p w14:paraId="08123FF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w:t>
      </w:r>
      <w:r>
        <w:rPr>
          <w:rFonts w:hint="eastAsia" w:ascii="宋体" w:hAnsi="宋体" w:eastAsia="宋体"/>
          <w:b/>
          <w:color w:val="auto"/>
          <w:szCs w:val="21"/>
          <w:highlight w:val="none"/>
        </w:rPr>
        <w:t>供应商在“广西政府采购云平台”提交电子版响应文件时，请填写参加远程采购活动经办人联系方式</w:t>
      </w:r>
      <w:r>
        <w:rPr>
          <w:rFonts w:hint="eastAsia" w:ascii="宋体" w:hAnsi="宋体" w:eastAsia="宋体"/>
          <w:color w:val="auto"/>
          <w:szCs w:val="21"/>
          <w:highlight w:val="none"/>
        </w:rPr>
        <w:t>，电子响应文件具体操作流程详见本公告附件2。</w:t>
      </w:r>
    </w:p>
    <w:p w14:paraId="6BB47B3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61F756B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2D399010">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14F0B77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3、CA证书在线解密：首次响应文件开启时，</w:t>
      </w:r>
      <w:r>
        <w:rPr>
          <w:rFonts w:hint="eastAsia" w:ascii="宋体" w:hAnsi="宋体" w:eastAsia="宋体"/>
          <w:b/>
          <w:color w:val="auto"/>
          <w:szCs w:val="21"/>
          <w:highlight w:val="none"/>
        </w:rPr>
        <w:t>须要供应商携带制作响应文件时用来加密的有效数字证书（CA认证）</w:t>
      </w:r>
      <w:r>
        <w:rPr>
          <w:rFonts w:hint="eastAsia" w:ascii="宋体" w:hAnsi="宋体" w:eastAsia="宋体"/>
          <w:color w:val="auto"/>
          <w:szCs w:val="21"/>
          <w:highlight w:val="none"/>
        </w:rPr>
        <w:t>登录“广西政府采购云平台”电子开标大厅现场按规定时间对加密的响应文件进行解密，</w:t>
      </w:r>
      <w:r>
        <w:rPr>
          <w:rFonts w:hint="eastAsia" w:ascii="宋体" w:hAnsi="宋体" w:eastAsia="宋体"/>
          <w:color w:val="auto"/>
          <w:szCs w:val="21"/>
          <w:highlight w:val="none"/>
          <w:u w:val="single"/>
        </w:rPr>
        <w:t>未能按要求进行解密的，由此产生的后果由竞标人自行承担。</w:t>
      </w:r>
    </w:p>
    <w:p w14:paraId="0F29F3C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4、供应商需要在具备有摄像头及语音功能且互联网网络状况良好的电脑登录“广西政府采购云平台”远程开标大厅参与本次磋商，否则后果自负。</w:t>
      </w:r>
    </w:p>
    <w:p w14:paraId="7A3A015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五、开启（首次响应文件开启时间）</w:t>
      </w:r>
    </w:p>
    <w:p w14:paraId="3A15AF0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1.时间（北京时间）：</w:t>
      </w:r>
      <w:r>
        <w:rPr>
          <w:rFonts w:hint="eastAsia" w:ascii="宋体" w:hAnsi="宋体" w:eastAsia="宋体"/>
          <w:color w:val="auto"/>
          <w:szCs w:val="21"/>
          <w:highlight w:val="none"/>
          <w:u w:val="single"/>
        </w:rPr>
        <w:t>202</w:t>
      </w:r>
      <w:r>
        <w:rPr>
          <w:rFonts w:ascii="宋体" w:hAnsi="宋体" w:eastAsia="宋体"/>
          <w:color w:val="auto"/>
          <w:szCs w:val="21"/>
          <w:highlight w:val="none"/>
          <w:u w:val="single"/>
        </w:rPr>
        <w:t>6</w:t>
      </w:r>
      <w:r>
        <w:rPr>
          <w:rFonts w:hint="eastAsia" w:ascii="宋体" w:hAnsi="宋体" w:eastAsia="宋体"/>
          <w:color w:val="auto"/>
          <w:szCs w:val="21"/>
          <w:highlight w:val="none"/>
          <w:u w:val="single"/>
        </w:rPr>
        <w:t>年</w:t>
      </w:r>
      <w:r>
        <w:rPr>
          <w:rFonts w:hint="eastAsia" w:ascii="宋体" w:hAnsi="宋体" w:eastAsia="宋体"/>
          <w:color w:val="auto"/>
          <w:szCs w:val="21"/>
          <w:highlight w:val="none"/>
          <w:u w:val="single"/>
          <w:lang w:val="en-US" w:eastAsia="zh-CN"/>
        </w:rPr>
        <w:t xml:space="preserve">4月7 </w:t>
      </w:r>
      <w:r>
        <w:rPr>
          <w:rFonts w:hint="eastAsia" w:ascii="宋体" w:hAnsi="宋体" w:eastAsia="宋体"/>
          <w:color w:val="auto"/>
          <w:szCs w:val="21"/>
          <w:highlight w:val="none"/>
          <w:u w:val="single"/>
        </w:rPr>
        <w:t>日09点</w:t>
      </w:r>
      <w:r>
        <w:rPr>
          <w:rFonts w:ascii="宋体" w:hAnsi="宋体" w:eastAsia="宋体"/>
          <w:color w:val="auto"/>
          <w:szCs w:val="21"/>
          <w:highlight w:val="none"/>
          <w:u w:val="single"/>
        </w:rPr>
        <w:t>3</w:t>
      </w:r>
      <w:r>
        <w:rPr>
          <w:rFonts w:hint="eastAsia" w:ascii="宋体" w:hAnsi="宋体" w:eastAsia="宋体"/>
          <w:color w:val="auto"/>
          <w:szCs w:val="21"/>
          <w:highlight w:val="none"/>
          <w:u w:val="single"/>
        </w:rPr>
        <w:t>0分</w:t>
      </w:r>
      <w:r>
        <w:rPr>
          <w:rFonts w:hint="eastAsia" w:ascii="宋体" w:hAnsi="宋体" w:eastAsia="宋体"/>
          <w:color w:val="auto"/>
          <w:szCs w:val="21"/>
          <w:highlight w:val="none"/>
        </w:rPr>
        <w:t>后</w:t>
      </w:r>
    </w:p>
    <w:p w14:paraId="7F0F5D71">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2.地点：</w:t>
      </w:r>
      <w:r>
        <w:rPr>
          <w:rFonts w:hint="eastAsia" w:ascii="宋体" w:hAnsi="宋体" w:eastAsia="宋体"/>
          <w:color w:val="auto"/>
          <w:szCs w:val="21"/>
          <w:highlight w:val="none"/>
          <w:u w:val="single"/>
        </w:rPr>
        <w:t>“广西政府采购云平台”远程开标大厅</w:t>
      </w:r>
    </w:p>
    <w:p w14:paraId="30F05DA6">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六、公告期限</w:t>
      </w:r>
    </w:p>
    <w:p w14:paraId="371D516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自本公告发布之日起</w:t>
      </w:r>
      <w:r>
        <w:rPr>
          <w:rFonts w:ascii="宋体" w:hAnsi="宋体" w:eastAsia="宋体"/>
          <w:color w:val="auto"/>
          <w:szCs w:val="21"/>
          <w:highlight w:val="none"/>
        </w:rPr>
        <w:t>5</w:t>
      </w:r>
      <w:r>
        <w:rPr>
          <w:rFonts w:hint="eastAsia" w:ascii="宋体" w:hAnsi="宋体" w:eastAsia="宋体"/>
          <w:color w:val="auto"/>
          <w:szCs w:val="21"/>
          <w:highlight w:val="none"/>
        </w:rPr>
        <w:t>个工作日。</w:t>
      </w:r>
    </w:p>
    <w:p w14:paraId="543E4E59">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七、其他补充事宜</w:t>
      </w:r>
    </w:p>
    <w:p w14:paraId="3BD415D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1.磋商保证金：本项目不收取磋商保证金。</w:t>
      </w:r>
    </w:p>
    <w:p w14:paraId="2AA39FA7">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2.采购意向公开链接：</w:t>
      </w:r>
    </w:p>
    <w:p w14:paraId="0EDB8EB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http://www.ccgp-guangxi.gov.cn/site/detail?categoryCode=ZcyAnnouncement&amp;parentId=66485&amp;articleId=6GT94Q41cYVR/E/Jx8gvUw==</w:t>
      </w:r>
    </w:p>
    <w:p w14:paraId="17063C6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3.网上查询地址</w:t>
      </w:r>
    </w:p>
    <w:p w14:paraId="722F382E">
      <w:pPr>
        <w:spacing w:line="360" w:lineRule="auto"/>
        <w:ind w:firstLine="420" w:firstLineChars="200"/>
        <w:rPr>
          <w:rFonts w:ascii="宋体" w:hAnsi="宋体" w:eastAsia="宋体"/>
          <w:color w:val="auto"/>
          <w:szCs w:val="21"/>
          <w:highlight w:val="none"/>
        </w:rPr>
      </w:pPr>
      <w:r>
        <w:rPr>
          <w:rFonts w:hint="eastAsia" w:ascii="宋体" w:hAnsi="宋体" w:eastAsia="宋体" w:cs="Times New Roman"/>
          <w:color w:val="auto"/>
          <w:szCs w:val="21"/>
          <w:highlight w:val="none"/>
        </w:rPr>
        <w:t>中国政府采购网（www.ccgp.gov.cn）、广西壮族自治区政府采购网（zfcg.gxzf.gov.cn）、全国公共资源交易平台(广西.南宁)</w:t>
      </w:r>
      <w:r>
        <w:rPr>
          <w:rFonts w:hint="eastAsia" w:ascii="宋体" w:hAnsi="宋体" w:eastAsia="宋体" w:cs="Times New Roman"/>
          <w:color w:val="auto"/>
          <w:szCs w:val="21"/>
          <w:highlight w:val="none"/>
          <w:lang w:eastAsia="zh-CN"/>
        </w:rPr>
        <w:t>（http://ggzy.jgswj.gxzf.gov.cn/nnggzy/）</w:t>
      </w:r>
    </w:p>
    <w:p w14:paraId="2A5CF51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4.本项目需要落实的政府采购政策</w:t>
      </w:r>
    </w:p>
    <w:p w14:paraId="653D7546">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（1）政府采购促进中小企业发展。（2）政府采购支持采用本国产品的政策。（3）强制采购节能产品；优先采购节能产品、环境标志产品。（4）政府采购促进残疾人就业政策。（5）政府采购支持监狱企业发展。</w:t>
      </w:r>
    </w:p>
    <w:p w14:paraId="0A4B34D8">
      <w:pPr>
        <w:spacing w:line="360" w:lineRule="auto"/>
        <w:ind w:firstLine="0" w:firstLineChars="0"/>
        <w:rPr>
          <w:rFonts w:ascii="宋体" w:hAnsi="宋体" w:eastAsia="宋体"/>
          <w:color w:val="auto"/>
          <w:szCs w:val="21"/>
          <w:highlight w:val="none"/>
        </w:rPr>
      </w:pPr>
      <w:r>
        <w:rPr>
          <w:rFonts w:hint="eastAsia" w:ascii="宋体" w:hAnsi="宋体" w:eastAsia="宋体"/>
          <w:color w:val="auto"/>
          <w:szCs w:val="21"/>
          <w:highlight w:val="none"/>
        </w:rPr>
        <w:t>（6）扶持不发达地区和少数民族地区政策。</w:t>
      </w:r>
    </w:p>
    <w:p w14:paraId="2746C9B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A1078E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w:t>
      </w:r>
      <w:r>
        <w:rPr>
          <w:rFonts w:ascii="宋体" w:hAnsi="宋体" w:eastAsia="宋体"/>
          <w:color w:val="auto"/>
          <w:szCs w:val="21"/>
          <w:highlight w:val="none"/>
        </w:rPr>
        <w:t>.</w:t>
      </w:r>
      <w:r>
        <w:rPr>
          <w:rFonts w:hint="eastAsia" w:ascii="宋体" w:hAnsi="宋体" w:eastAsia="宋体"/>
          <w:color w:val="auto"/>
          <w:szCs w:val="21"/>
          <w:highlight w:val="none"/>
        </w:rPr>
        <w:t>若对项目采购电子交易系统操作有疑问，可登录“广西政府采购云平台”（https：//www.gcy.zfcg.gxzf.gov.cn），点击右侧咨询小采，获取采小蜜智能服务管家帮助，或拨打“广西政府采购云平台”服务热线</w:t>
      </w:r>
      <w:r>
        <w:rPr>
          <w:rFonts w:ascii="宋体" w:hAnsi="宋体" w:eastAsia="宋体"/>
          <w:color w:val="auto"/>
          <w:szCs w:val="21"/>
          <w:highlight w:val="none"/>
        </w:rPr>
        <w:t>95763</w:t>
      </w:r>
      <w:r>
        <w:rPr>
          <w:rFonts w:hint="eastAsia" w:ascii="宋体" w:hAnsi="宋体" w:eastAsia="宋体"/>
          <w:color w:val="auto"/>
          <w:szCs w:val="21"/>
          <w:highlight w:val="none"/>
        </w:rPr>
        <w:t>获取热线服务帮助。</w:t>
      </w:r>
    </w:p>
    <w:p w14:paraId="7F244BB3">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八、凡对本次采购提出询问，请按以下方式联系</w:t>
      </w:r>
    </w:p>
    <w:p w14:paraId="5544A9F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1.采购人信息</w:t>
      </w:r>
    </w:p>
    <w:p w14:paraId="260687C7">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eastAsia="宋体"/>
          <w:color w:val="auto"/>
          <w:szCs w:val="21"/>
          <w:highlight w:val="none"/>
        </w:rPr>
        <w:t>名称：</w:t>
      </w:r>
      <w:r>
        <w:rPr>
          <w:rFonts w:hint="eastAsia" w:ascii="宋体" w:hAnsi="宋体" w:eastAsia="宋体"/>
          <w:color w:val="auto"/>
          <w:szCs w:val="21"/>
          <w:highlight w:val="none"/>
          <w:u w:val="single"/>
          <w:lang w:eastAsia="zh-CN"/>
        </w:rPr>
        <w:t>南宁市南湖公园</w:t>
      </w:r>
    </w:p>
    <w:p w14:paraId="71AE7E29">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eastAsia="宋体"/>
          <w:color w:val="auto"/>
          <w:szCs w:val="21"/>
          <w:highlight w:val="none"/>
        </w:rPr>
        <w:t>地址：</w:t>
      </w:r>
      <w:r>
        <w:rPr>
          <w:rFonts w:hint="eastAsia" w:ascii="宋体" w:hAnsi="宋体" w:eastAsia="宋体"/>
          <w:color w:val="auto"/>
          <w:szCs w:val="21"/>
          <w:highlight w:val="none"/>
          <w:u w:val="single"/>
          <w:lang w:eastAsia="zh-CN"/>
        </w:rPr>
        <w:t>南宁市双拥路1号</w:t>
      </w:r>
    </w:p>
    <w:p w14:paraId="5E7BF8E1">
      <w:pPr>
        <w:spacing w:line="360" w:lineRule="auto"/>
        <w:ind w:firstLine="420" w:firstLineChars="200"/>
        <w:rPr>
          <w:rFonts w:hint="eastAsia" w:ascii="宋体" w:hAnsi="宋体" w:eastAsia="宋体"/>
          <w:color w:val="auto"/>
          <w:szCs w:val="21"/>
          <w:highlight w:val="none"/>
          <w:u w:val="single"/>
        </w:rPr>
      </w:pPr>
      <w:r>
        <w:rPr>
          <w:rFonts w:hint="eastAsia" w:ascii="宋体" w:hAnsi="宋体" w:eastAsia="宋体"/>
          <w:color w:val="auto"/>
          <w:szCs w:val="21"/>
          <w:highlight w:val="none"/>
        </w:rPr>
        <w:t>项目联系人：</w:t>
      </w:r>
      <w:r>
        <w:rPr>
          <w:rFonts w:hint="eastAsia" w:ascii="宋体" w:hAnsi="宋体" w:eastAsia="宋体"/>
          <w:color w:val="auto"/>
          <w:szCs w:val="21"/>
          <w:highlight w:val="none"/>
          <w:u w:val="single"/>
          <w:lang w:val="en-US" w:eastAsia="zh-CN"/>
        </w:rPr>
        <w:t>韦勇生</w:t>
      </w:r>
    </w:p>
    <w:p w14:paraId="69B0311C">
      <w:pPr>
        <w:spacing w:line="360" w:lineRule="auto"/>
        <w:ind w:firstLine="420" w:firstLineChars="200"/>
        <w:rPr>
          <w:rFonts w:hint="default" w:ascii="宋体" w:hAnsi="宋体" w:eastAsia="宋体"/>
          <w:color w:val="auto"/>
          <w:szCs w:val="21"/>
          <w:highlight w:val="none"/>
          <w:u w:val="single"/>
          <w:lang w:val="en-US" w:eastAsia="zh-CN"/>
        </w:rPr>
      </w:pPr>
      <w:r>
        <w:rPr>
          <w:rFonts w:hint="eastAsia" w:ascii="宋体" w:hAnsi="宋体" w:eastAsia="宋体"/>
          <w:color w:val="auto"/>
          <w:szCs w:val="21"/>
          <w:highlight w:val="none"/>
        </w:rPr>
        <w:t>联系电话：</w:t>
      </w:r>
      <w:r>
        <w:rPr>
          <w:rFonts w:hint="eastAsia" w:ascii="宋体" w:hAnsi="宋体" w:eastAsia="宋体"/>
          <w:color w:val="auto"/>
          <w:szCs w:val="21"/>
          <w:highlight w:val="none"/>
          <w:u w:val="single"/>
          <w:lang w:val="en-US" w:eastAsia="zh-CN"/>
        </w:rPr>
        <w:t>15077058619</w:t>
      </w:r>
    </w:p>
    <w:p w14:paraId="0B0B459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2.采购代理机构信息</w:t>
      </w:r>
    </w:p>
    <w:p w14:paraId="4C14464A">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eastAsia="宋体"/>
          <w:color w:val="auto"/>
          <w:szCs w:val="21"/>
          <w:highlight w:val="none"/>
        </w:rPr>
        <w:t>名称：</w:t>
      </w:r>
      <w:r>
        <w:rPr>
          <w:rFonts w:hint="eastAsia" w:ascii="宋体" w:hAnsi="宋体" w:eastAsia="宋体"/>
          <w:color w:val="auto"/>
          <w:szCs w:val="21"/>
          <w:highlight w:val="none"/>
          <w:u w:val="single"/>
          <w:lang w:eastAsia="zh-CN"/>
        </w:rPr>
        <w:t>中科高盛咨询集团有限公司</w:t>
      </w:r>
    </w:p>
    <w:p w14:paraId="26789FB1">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eastAsia="宋体"/>
          <w:color w:val="auto"/>
          <w:szCs w:val="21"/>
          <w:highlight w:val="none"/>
        </w:rPr>
        <w:t>地址：</w:t>
      </w:r>
      <w:r>
        <w:rPr>
          <w:rFonts w:hint="eastAsia" w:ascii="宋体" w:hAnsi="宋体" w:eastAsia="宋体"/>
          <w:color w:val="auto"/>
          <w:szCs w:val="21"/>
          <w:highlight w:val="none"/>
          <w:u w:val="single"/>
          <w:lang w:eastAsia="zh-CN"/>
        </w:rPr>
        <w:t>崇左市城南区新城路中段北侧（龙胤金街）第32栋1-102号房</w:t>
      </w:r>
    </w:p>
    <w:p w14:paraId="4AE0344B">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eastAsia="宋体"/>
          <w:color w:val="auto"/>
          <w:szCs w:val="21"/>
          <w:highlight w:val="none"/>
        </w:rPr>
        <w:t>项目联系人：</w:t>
      </w:r>
      <w:r>
        <w:rPr>
          <w:rFonts w:hint="eastAsia" w:ascii="宋体" w:hAnsi="宋体" w:eastAsia="宋体"/>
          <w:color w:val="auto"/>
          <w:szCs w:val="21"/>
          <w:highlight w:val="none"/>
          <w:u w:val="single"/>
          <w:lang w:eastAsia="zh-CN"/>
        </w:rPr>
        <w:t>何倩群</w:t>
      </w:r>
    </w:p>
    <w:p w14:paraId="3416D5FD">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eastAsia="宋体"/>
          <w:color w:val="auto"/>
          <w:szCs w:val="21"/>
          <w:highlight w:val="none"/>
        </w:rPr>
        <w:t>联系电话：</w:t>
      </w:r>
      <w:r>
        <w:rPr>
          <w:rFonts w:hint="eastAsia" w:ascii="宋体" w:hAnsi="宋体" w:eastAsia="宋体"/>
          <w:color w:val="auto"/>
          <w:szCs w:val="21"/>
          <w:highlight w:val="none"/>
          <w:u w:val="single"/>
          <w:lang w:eastAsia="zh-CN"/>
        </w:rPr>
        <w:t>15177166346/0771-4135989</w:t>
      </w:r>
    </w:p>
    <w:p w14:paraId="5A402A5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3.项目联系方式</w:t>
      </w:r>
    </w:p>
    <w:p w14:paraId="726C08A5">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eastAsia="宋体"/>
          <w:color w:val="auto"/>
          <w:szCs w:val="21"/>
          <w:highlight w:val="none"/>
        </w:rPr>
        <w:t>项目联系人：</w:t>
      </w:r>
      <w:r>
        <w:rPr>
          <w:rFonts w:hint="eastAsia" w:ascii="宋体" w:hAnsi="宋体" w:eastAsia="宋体"/>
          <w:color w:val="auto"/>
          <w:szCs w:val="21"/>
          <w:highlight w:val="none"/>
          <w:u w:val="single"/>
          <w:lang w:eastAsia="zh-CN"/>
        </w:rPr>
        <w:t>何倩群</w:t>
      </w:r>
    </w:p>
    <w:p w14:paraId="6655580C">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eastAsia="宋体"/>
          <w:color w:val="auto"/>
          <w:szCs w:val="21"/>
          <w:highlight w:val="none"/>
        </w:rPr>
        <w:t>电话：</w:t>
      </w:r>
      <w:r>
        <w:rPr>
          <w:rFonts w:hint="eastAsia" w:ascii="宋体" w:hAnsi="宋体" w:eastAsia="宋体"/>
          <w:color w:val="auto"/>
          <w:szCs w:val="21"/>
          <w:highlight w:val="none"/>
          <w:u w:val="single"/>
          <w:lang w:eastAsia="zh-CN"/>
        </w:rPr>
        <w:t>15177166346/0771-4135989</w:t>
      </w:r>
    </w:p>
    <w:p w14:paraId="74357A04">
      <w:pPr>
        <w:spacing w:line="360" w:lineRule="auto"/>
        <w:ind w:firstLine="420" w:firstLineChars="200"/>
        <w:rPr>
          <w:rFonts w:ascii="宋体" w:hAnsi="宋体" w:eastAsia="宋体"/>
          <w:color w:val="auto"/>
          <w:szCs w:val="21"/>
          <w:highlight w:val="none"/>
        </w:rPr>
      </w:pPr>
    </w:p>
    <w:p w14:paraId="38A8EE3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附件：1.CA证书申请方式及操作指南下载地址（登陆</w:t>
      </w:r>
      <w:r>
        <w:rPr>
          <w:rFonts w:ascii="宋体" w:hAnsi="宋体" w:eastAsia="宋体"/>
          <w:color w:val="auto"/>
          <w:szCs w:val="21"/>
          <w:highlight w:val="none"/>
          <w:u w:val="single"/>
        </w:rPr>
        <w:t>http：//nncz.nanning.gov.cn/</w:t>
      </w:r>
      <w:r>
        <w:rPr>
          <w:rFonts w:hint="eastAsia" w:ascii="宋体" w:hAnsi="宋体" w:eastAsia="宋体"/>
          <w:color w:val="auto"/>
          <w:szCs w:val="21"/>
          <w:highlight w:val="none"/>
        </w:rPr>
        <w:t>（南宁市财政局官网）-业务专题-政府采购监督管理-资料下载-“广西政采云西部CA办理方式”或“南宁市政采云CA证书办理操作指南”）</w:t>
      </w:r>
    </w:p>
    <w:p w14:paraId="6C8A95F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2.电子投标文件制作与投送教程（在此网址下载：</w:t>
      </w:r>
      <w:r>
        <w:rPr>
          <w:rFonts w:ascii="宋体" w:hAnsi="宋体" w:eastAsia="宋体"/>
          <w:color w:val="auto"/>
          <w:szCs w:val="21"/>
          <w:highlight w:val="none"/>
          <w:u w:val="single"/>
        </w:rPr>
        <w:t>http：//nncz.nanning.gov.cn/</w:t>
      </w:r>
      <w:r>
        <w:rPr>
          <w:rFonts w:hint="eastAsia" w:ascii="宋体" w:hAnsi="宋体" w:eastAsia="宋体"/>
          <w:color w:val="auto"/>
          <w:szCs w:val="21"/>
          <w:highlight w:val="none"/>
        </w:rPr>
        <w:t>（南宁市财政局官网）-业务专题-政府采购监督管理-资料下载-南宁市政府采购项目全流程电子化交易操作指南）</w:t>
      </w:r>
    </w:p>
    <w:p w14:paraId="56261532">
      <w:pPr>
        <w:spacing w:line="360" w:lineRule="auto"/>
        <w:ind w:firstLine="420" w:firstLineChars="200"/>
        <w:rPr>
          <w:rFonts w:ascii="宋体" w:hAnsi="宋体" w:eastAsia="宋体"/>
          <w:color w:val="auto"/>
          <w:szCs w:val="21"/>
          <w:highlight w:val="none"/>
        </w:rPr>
      </w:pPr>
    </w:p>
    <w:p w14:paraId="505D9443">
      <w:pPr>
        <w:spacing w:line="360" w:lineRule="auto"/>
        <w:ind w:firstLine="420" w:firstLineChars="200"/>
        <w:jc w:val="right"/>
        <w:rPr>
          <w:rFonts w:hint="eastAsia" w:ascii="宋体" w:hAnsi="宋体" w:eastAsia="宋体"/>
          <w:color w:val="auto"/>
          <w:szCs w:val="21"/>
          <w:highlight w:val="none"/>
          <w:u w:val="single"/>
          <w:lang w:eastAsia="zh-CN"/>
        </w:rPr>
      </w:pPr>
      <w:r>
        <w:rPr>
          <w:rFonts w:hint="eastAsia" w:ascii="宋体" w:hAnsi="宋体" w:eastAsia="宋体"/>
          <w:color w:val="auto"/>
          <w:szCs w:val="21"/>
          <w:highlight w:val="none"/>
          <w:u w:val="single"/>
          <w:lang w:eastAsia="zh-CN"/>
        </w:rPr>
        <w:t>中科高盛咨询集团有限公司</w:t>
      </w:r>
    </w:p>
    <w:p w14:paraId="1AF9BF6C">
      <w:pPr>
        <w:wordWrap w:val="0"/>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u w:val="single"/>
        </w:rPr>
        <w:t>202</w:t>
      </w:r>
      <w:r>
        <w:rPr>
          <w:rFonts w:ascii="宋体" w:hAnsi="宋体" w:eastAsia="宋体"/>
          <w:color w:val="auto"/>
          <w:szCs w:val="21"/>
          <w:highlight w:val="none"/>
          <w:u w:val="single"/>
        </w:rPr>
        <w:t>6</w:t>
      </w:r>
      <w:r>
        <w:rPr>
          <w:rFonts w:hint="eastAsia" w:ascii="宋体" w:hAnsi="宋体" w:eastAsia="宋体"/>
          <w:color w:val="auto"/>
          <w:szCs w:val="21"/>
          <w:highlight w:val="none"/>
        </w:rPr>
        <w:t>年</w:t>
      </w:r>
      <w:r>
        <w:rPr>
          <w:rFonts w:hint="eastAsia" w:ascii="宋体" w:hAnsi="宋体" w:eastAsia="宋体"/>
          <w:color w:val="auto"/>
          <w:szCs w:val="21"/>
          <w:highlight w:val="none"/>
          <w:u w:val="single"/>
          <w:lang w:val="en-US" w:eastAsia="zh-CN"/>
        </w:rPr>
        <w:t xml:space="preserve"> 3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lang w:val="en-US" w:eastAsia="zh-CN"/>
        </w:rPr>
        <w:t xml:space="preserve"> 25 </w:t>
      </w:r>
      <w:r>
        <w:rPr>
          <w:rFonts w:hint="eastAsia" w:ascii="宋体" w:hAnsi="宋体" w:eastAsia="宋体"/>
          <w:color w:val="auto"/>
          <w:szCs w:val="21"/>
          <w:highlight w:val="none"/>
        </w:rPr>
        <w:t>日</w:t>
      </w:r>
    </w:p>
    <w:p w14:paraId="79DC3F9C">
      <w:pPr>
        <w:spacing w:line="360" w:lineRule="auto"/>
        <w:ind w:firstLine="420" w:firstLineChars="200"/>
        <w:jc w:val="right"/>
        <w:rPr>
          <w:rFonts w:ascii="宋体" w:hAnsi="宋体" w:eastAsia="宋体"/>
          <w:color w:val="auto"/>
          <w:szCs w:val="21"/>
          <w:highlight w:val="none"/>
        </w:rPr>
        <w:sectPr>
          <w:footerReference r:id="rId5" w:type="default"/>
          <w:pgSz w:w="11906" w:h="16838"/>
          <w:pgMar w:top="1134" w:right="1134" w:bottom="1134" w:left="1134" w:header="851" w:footer="680" w:gutter="0"/>
          <w:pgNumType w:start="1"/>
          <w:cols w:space="425" w:num="1"/>
          <w:docGrid w:type="lines" w:linePitch="312" w:charSpace="0"/>
        </w:sectPr>
      </w:pPr>
    </w:p>
    <w:p w14:paraId="1DA1DE3B">
      <w:pPr>
        <w:pStyle w:val="2"/>
        <w:jc w:val="center"/>
        <w:rPr>
          <w:rFonts w:ascii="宋体" w:hAnsi="宋体" w:eastAsia="宋体"/>
          <w:color w:val="auto"/>
          <w:highlight w:val="none"/>
        </w:rPr>
      </w:pPr>
      <w:bookmarkStart w:id="2" w:name="_Toc217642129"/>
      <w:bookmarkStart w:id="3" w:name="_Toc8701"/>
      <w:r>
        <w:rPr>
          <w:rFonts w:hint="eastAsia" w:ascii="宋体" w:hAnsi="宋体" w:eastAsia="宋体"/>
          <w:color w:val="auto"/>
          <w:highlight w:val="none"/>
        </w:rPr>
        <w:t>第二</w:t>
      </w:r>
      <w:r>
        <w:rPr>
          <w:rFonts w:hint="eastAsia" w:ascii="宋体" w:hAnsi="宋体" w:eastAsia="宋体"/>
          <w:color w:val="auto"/>
          <w:spacing w:val="120"/>
          <w:highlight w:val="none"/>
        </w:rPr>
        <w:t>章</w:t>
      </w:r>
      <w:r>
        <w:rPr>
          <w:rFonts w:hint="eastAsia" w:ascii="宋体" w:hAnsi="宋体" w:eastAsia="宋体"/>
          <w:color w:val="auto"/>
          <w:highlight w:val="none"/>
        </w:rPr>
        <w:t>采购需求</w:t>
      </w:r>
      <w:bookmarkEnd w:id="2"/>
      <w:bookmarkEnd w:id="3"/>
    </w:p>
    <w:p w14:paraId="0842DD3E">
      <w:pPr>
        <w:spacing w:line="36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说明：</w:t>
      </w:r>
    </w:p>
    <w:p w14:paraId="09A3F6CD">
      <w:pPr>
        <w:spacing w:line="36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1.为落实政府采购政策需满足的要求（根据项目实际情况填写内容）</w:t>
      </w:r>
    </w:p>
    <w:p w14:paraId="7B2247FA">
      <w:pPr>
        <w:spacing w:line="36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（1）本竞争性磋商采购文件所称中小企业必须符合《政府采购促进中小企业发展管理办法》（财库〔2020〕46号）的规定。</w:t>
      </w:r>
    </w:p>
    <w:p w14:paraId="3F318914">
      <w:pPr>
        <w:spacing w:line="36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工程（服务）项目中包含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评审程序和评定成交的标准”。</w:t>
      </w:r>
    </w:p>
    <w:p w14:paraId="1AE16B44">
      <w:pPr>
        <w:spacing w:line="36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工程（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0C18D513">
      <w:pPr>
        <w:spacing w:line="360" w:lineRule="exact"/>
        <w:ind w:firstLine="0" w:firstLineChars="0"/>
        <w:rPr>
          <w:rFonts w:ascii="宋体" w:hAnsi="宋体" w:eastAsia="宋体"/>
          <w:b/>
          <w:color w:val="auto"/>
          <w:szCs w:val="21"/>
          <w:highlight w:val="none"/>
        </w:rPr>
      </w:pPr>
      <w:r>
        <w:rPr>
          <w:rFonts w:hint="eastAsia" w:ascii="宋体" w:hAnsi="宋体" w:eastAsia="宋体"/>
          <w:b/>
          <w:color w:val="auto"/>
          <w:szCs w:val="21"/>
          <w:highlight w:val="none"/>
        </w:rPr>
        <w:t>2.“实质性要求”是指采购需求中带“▲”的条款或者不能负偏离的条款或者已经指明不满足按响应文件作无效处理的条款。</w:t>
      </w:r>
    </w:p>
    <w:p w14:paraId="28532917">
      <w:pPr>
        <w:spacing w:line="36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3.供应商对采购需求响应为具体数值，如不需要供应商对采购需求响应为具体数值的，此采购需求的数值后将以◆号标注。</w:t>
      </w:r>
    </w:p>
    <w:p w14:paraId="68F4E3D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4.如竞标人竞标产品存在侵犯他人的知识产权或者专利成果行为的，应承担相应法律责任。</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437"/>
        <w:gridCol w:w="664"/>
        <w:gridCol w:w="418"/>
        <w:gridCol w:w="418"/>
        <w:gridCol w:w="5310"/>
        <w:gridCol w:w="1031"/>
        <w:gridCol w:w="1158"/>
      </w:tblGrid>
      <w:tr w14:paraId="42EB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8"/>
            <w:vAlign w:val="center"/>
          </w:tcPr>
          <w:p w14:paraId="0BC34CEC">
            <w:pPr>
              <w:spacing w:line="300" w:lineRule="auto"/>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采购需求一览表</w:t>
            </w:r>
          </w:p>
        </w:tc>
      </w:tr>
      <w:tr w14:paraId="0531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restart"/>
            <w:vAlign w:val="center"/>
          </w:tcPr>
          <w:p w14:paraId="41366323">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采购清单及技术参数</w:t>
            </w:r>
          </w:p>
        </w:tc>
        <w:tc>
          <w:tcPr>
            <w:tcW w:w="221" w:type="pct"/>
            <w:vAlign w:val="center"/>
          </w:tcPr>
          <w:p w14:paraId="4248D5F5">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336" w:type="pct"/>
            <w:vAlign w:val="center"/>
          </w:tcPr>
          <w:p w14:paraId="51D8C365">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标的的名称</w:t>
            </w:r>
          </w:p>
        </w:tc>
        <w:tc>
          <w:tcPr>
            <w:tcW w:w="212" w:type="pct"/>
            <w:vAlign w:val="center"/>
          </w:tcPr>
          <w:p w14:paraId="0857819D">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单位</w:t>
            </w:r>
          </w:p>
        </w:tc>
        <w:tc>
          <w:tcPr>
            <w:tcW w:w="212" w:type="pct"/>
            <w:vAlign w:val="center"/>
          </w:tcPr>
          <w:p w14:paraId="0E7BAAEC">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数量</w:t>
            </w:r>
          </w:p>
        </w:tc>
        <w:tc>
          <w:tcPr>
            <w:tcW w:w="2694" w:type="pct"/>
            <w:vAlign w:val="center"/>
          </w:tcPr>
          <w:p w14:paraId="1B655DB1">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技术参数</w:t>
            </w:r>
          </w:p>
        </w:tc>
        <w:tc>
          <w:tcPr>
            <w:tcW w:w="523" w:type="pct"/>
            <w:vAlign w:val="center"/>
          </w:tcPr>
          <w:p w14:paraId="6190A129">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分项预算合计（元）</w:t>
            </w:r>
          </w:p>
        </w:tc>
        <w:tc>
          <w:tcPr>
            <w:tcW w:w="587" w:type="pct"/>
            <w:vAlign w:val="center"/>
          </w:tcPr>
          <w:p w14:paraId="7271B87F">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中小企业划分标准所属行业名称（行业名称及划分见本章附件</w:t>
            </w:r>
            <w:r>
              <w:rPr>
                <w:rFonts w:ascii="宋体" w:hAnsi="宋体" w:eastAsia="宋体"/>
                <w:color w:val="auto"/>
                <w:szCs w:val="21"/>
                <w:highlight w:val="none"/>
              </w:rPr>
              <w:t>2</w:t>
            </w:r>
            <w:r>
              <w:rPr>
                <w:rFonts w:hint="eastAsia" w:ascii="宋体" w:hAnsi="宋体" w:eastAsia="宋体"/>
                <w:color w:val="auto"/>
                <w:szCs w:val="21"/>
                <w:highlight w:val="none"/>
              </w:rPr>
              <w:t>）</w:t>
            </w:r>
          </w:p>
        </w:tc>
      </w:tr>
      <w:tr w14:paraId="5836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 w:type="pct"/>
            <w:vMerge w:val="continue"/>
            <w:vAlign w:val="center"/>
          </w:tcPr>
          <w:p w14:paraId="1073C069">
            <w:pPr>
              <w:spacing w:line="300" w:lineRule="auto"/>
              <w:jc w:val="center"/>
              <w:rPr>
                <w:rFonts w:ascii="宋体" w:hAnsi="宋体" w:eastAsia="宋体"/>
                <w:color w:val="auto"/>
                <w:szCs w:val="21"/>
                <w:highlight w:val="none"/>
              </w:rPr>
            </w:pPr>
          </w:p>
        </w:tc>
        <w:tc>
          <w:tcPr>
            <w:tcW w:w="221" w:type="pct"/>
            <w:vAlign w:val="center"/>
          </w:tcPr>
          <w:p w14:paraId="7FF4039E">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336" w:type="pct"/>
            <w:vAlign w:val="center"/>
          </w:tcPr>
          <w:p w14:paraId="616A3F09">
            <w:pPr>
              <w:spacing w:line="300"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2026年南湖公园维修改造项目</w:t>
            </w:r>
          </w:p>
        </w:tc>
        <w:tc>
          <w:tcPr>
            <w:tcW w:w="212" w:type="pct"/>
            <w:vAlign w:val="center"/>
          </w:tcPr>
          <w:p w14:paraId="787B311E">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项</w:t>
            </w:r>
          </w:p>
        </w:tc>
        <w:tc>
          <w:tcPr>
            <w:tcW w:w="212" w:type="pct"/>
            <w:vAlign w:val="center"/>
          </w:tcPr>
          <w:p w14:paraId="7F41BE8A">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2694" w:type="pct"/>
            <w:vAlign w:val="center"/>
          </w:tcPr>
          <w:p w14:paraId="7A26E3A8">
            <w:pPr>
              <w:spacing w:line="30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1.工程概况及内容：本项目为</w:t>
            </w:r>
            <w:r>
              <w:rPr>
                <w:rFonts w:hint="eastAsia" w:ascii="宋体" w:hAnsi="宋体" w:eastAsia="宋体"/>
                <w:color w:val="auto"/>
                <w:szCs w:val="21"/>
                <w:highlight w:val="none"/>
                <w:lang w:eastAsia="zh-CN"/>
              </w:rPr>
              <w:t>2026年南湖公园维修改造项目</w:t>
            </w:r>
            <w:r>
              <w:rPr>
                <w:rFonts w:hint="eastAsia" w:ascii="宋体" w:hAnsi="宋体" w:eastAsia="宋体"/>
                <w:color w:val="auto"/>
                <w:szCs w:val="21"/>
                <w:highlight w:val="none"/>
              </w:rPr>
              <w:t>，对南湖公园破损环湖路面进行维修和更换名树博览园入口岗亭。具体施工内容详见图纸及工程量清单所包含的内容。</w:t>
            </w:r>
          </w:p>
          <w:p w14:paraId="6BDEA289">
            <w:pPr>
              <w:spacing w:line="30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2.项目地点：南宁市</w:t>
            </w:r>
            <w:r>
              <w:rPr>
                <w:rFonts w:hint="eastAsia" w:ascii="宋体" w:hAnsi="宋体" w:eastAsia="宋体"/>
                <w:color w:val="auto"/>
                <w:szCs w:val="21"/>
                <w:highlight w:val="none"/>
                <w:lang w:eastAsia="zh-CN"/>
              </w:rPr>
              <w:t>南湖公园</w:t>
            </w:r>
            <w:r>
              <w:rPr>
                <w:rFonts w:hint="eastAsia" w:ascii="宋体" w:hAnsi="宋体" w:eastAsia="宋体"/>
                <w:color w:val="auto"/>
                <w:szCs w:val="21"/>
                <w:highlight w:val="none"/>
              </w:rPr>
              <w:t>。</w:t>
            </w:r>
          </w:p>
          <w:p w14:paraId="340316C1">
            <w:pPr>
              <w:spacing w:line="30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▲3.采购范围：详见工程量清单及图纸。</w:t>
            </w:r>
          </w:p>
          <w:p w14:paraId="1BB55FFA">
            <w:pPr>
              <w:spacing w:line="30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4.技术标准和要求：符合国家</w:t>
            </w:r>
            <w:r>
              <w:rPr>
                <w:rFonts w:hint="eastAsia" w:ascii="宋体" w:hAnsi="宋体" w:eastAsia="宋体"/>
                <w:color w:val="auto"/>
                <w:szCs w:val="21"/>
                <w:highlight w:val="none"/>
                <w:lang w:eastAsia="zh-CN"/>
              </w:rPr>
              <w:t>及地方</w:t>
            </w:r>
            <w:r>
              <w:rPr>
                <w:rFonts w:hint="eastAsia" w:ascii="宋体" w:hAnsi="宋体" w:eastAsia="宋体"/>
                <w:color w:val="auto"/>
                <w:szCs w:val="21"/>
                <w:highlight w:val="none"/>
              </w:rPr>
              <w:t>现行</w:t>
            </w:r>
            <w:r>
              <w:rPr>
                <w:rFonts w:hint="eastAsia" w:ascii="宋体" w:hAnsi="宋体" w:eastAsia="宋体"/>
                <w:color w:val="auto"/>
                <w:szCs w:val="21"/>
                <w:highlight w:val="none"/>
                <w:lang w:eastAsia="zh-CN"/>
              </w:rPr>
              <w:t>有效</w:t>
            </w:r>
            <w:r>
              <w:rPr>
                <w:rFonts w:hint="eastAsia" w:ascii="宋体" w:hAnsi="宋体" w:eastAsia="宋体"/>
                <w:color w:val="auto"/>
                <w:szCs w:val="21"/>
                <w:highlight w:val="none"/>
              </w:rPr>
              <w:t>的工程建设标准、技术规范及强制性标准条文，以及施工图纸载明的其他有关规范标准。</w:t>
            </w:r>
          </w:p>
          <w:p w14:paraId="5ABF2397">
            <w:pPr>
              <w:spacing w:line="30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▲5.质量标准：合格。</w:t>
            </w:r>
          </w:p>
          <w:p w14:paraId="4CD56E07">
            <w:pPr>
              <w:spacing w:line="30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▲6.报价方式：工程量清单报价。</w:t>
            </w:r>
          </w:p>
          <w:p w14:paraId="450C715C">
            <w:pPr>
              <w:spacing w:line="30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▲7.承包方式：固定综合单价。</w:t>
            </w:r>
          </w:p>
          <w:p w14:paraId="1D38102C">
            <w:pPr>
              <w:spacing w:line="30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8.开工日期：以签订合同后采购人书面通知为准。</w:t>
            </w:r>
          </w:p>
          <w:p w14:paraId="14B4000A">
            <w:pPr>
              <w:spacing w:line="30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9.项目技术方案：供应商须根据项目需求、评分办法，按照实际情况自行编制切实可行的项目技术方案，项目技术方案应包含但不限于项目管理机构及施工组织设计。</w:t>
            </w:r>
          </w:p>
          <w:p w14:paraId="596B95F4">
            <w:pPr>
              <w:spacing w:line="30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10.其他要求：按采购文件第五章《拟签订的合同文本》约定执行。</w:t>
            </w:r>
          </w:p>
          <w:p w14:paraId="06323FB7">
            <w:pPr>
              <w:spacing w:line="30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11.工程量清单（另册）</w:t>
            </w:r>
          </w:p>
          <w:p w14:paraId="2B4F6942">
            <w:pPr>
              <w:spacing w:line="30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12.施工图（另册）</w:t>
            </w:r>
          </w:p>
        </w:tc>
        <w:tc>
          <w:tcPr>
            <w:tcW w:w="523" w:type="pct"/>
            <w:vAlign w:val="center"/>
          </w:tcPr>
          <w:p w14:paraId="46D19EE9">
            <w:pPr>
              <w:spacing w:line="300"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675086.73</w:t>
            </w:r>
          </w:p>
        </w:tc>
        <w:tc>
          <w:tcPr>
            <w:tcW w:w="587" w:type="pct"/>
            <w:vAlign w:val="center"/>
          </w:tcPr>
          <w:p w14:paraId="21690765">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建筑业</w:t>
            </w:r>
          </w:p>
        </w:tc>
      </w:tr>
      <w:tr w14:paraId="6341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3" w:type="pct"/>
            <w:gridSpan w:val="2"/>
            <w:vAlign w:val="center"/>
          </w:tcPr>
          <w:p w14:paraId="2EA5C39C">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商务条款</w:t>
            </w:r>
          </w:p>
        </w:tc>
        <w:tc>
          <w:tcPr>
            <w:tcW w:w="4566" w:type="pct"/>
            <w:gridSpan w:val="6"/>
            <w:vAlign w:val="center"/>
          </w:tcPr>
          <w:p w14:paraId="1C7E3CFE">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▲一、合同签订期：自成交通知书发出之日起25日内。</w:t>
            </w:r>
          </w:p>
          <w:p w14:paraId="38CFB80A">
            <w:pPr>
              <w:spacing w:line="30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▲二、工期要求：自合同签订后，自开工之日起</w:t>
            </w:r>
            <w:r>
              <w:rPr>
                <w:rFonts w:ascii="宋体" w:hAnsi="宋体" w:eastAsia="宋体"/>
                <w:color w:val="auto"/>
                <w:szCs w:val="21"/>
                <w:highlight w:val="none"/>
              </w:rPr>
              <w:t>45个</w:t>
            </w:r>
            <w:r>
              <w:rPr>
                <w:rFonts w:hint="eastAsia" w:ascii="宋体" w:hAnsi="宋体" w:eastAsia="宋体"/>
                <w:color w:val="auto"/>
                <w:szCs w:val="21"/>
                <w:highlight w:val="none"/>
              </w:rPr>
              <w:t>日历天内完成项目施工并验收合格。</w:t>
            </w:r>
            <w:r>
              <w:rPr>
                <w:rFonts w:hint="eastAsia" w:ascii="宋体" w:hAnsi="宋体" w:eastAsia="宋体"/>
                <w:color w:val="auto"/>
                <w:szCs w:val="21"/>
                <w:highlight w:val="none"/>
              </w:rPr>
              <w:br w:type="textWrapping"/>
            </w:r>
            <w:r>
              <w:rPr>
                <w:rFonts w:hint="eastAsia" w:ascii="宋体" w:hAnsi="宋体" w:eastAsia="宋体"/>
                <w:color w:val="auto"/>
                <w:szCs w:val="21"/>
                <w:highlight w:val="none"/>
                <w:lang w:eastAsia="zh-CN"/>
              </w:rPr>
              <w:t>（中标后，中标单位进场施工作业时间须按南宁市南湖公园管理规定执行，作业时间为上午</w:t>
            </w:r>
            <w:r>
              <w:rPr>
                <w:rFonts w:hint="eastAsia" w:ascii="宋体" w:hAnsi="宋体" w:eastAsia="宋体"/>
                <w:color w:val="auto"/>
                <w:szCs w:val="21"/>
                <w:highlight w:val="none"/>
                <w:lang w:val="en-US" w:eastAsia="zh-CN"/>
              </w:rPr>
              <w:t>9:00-12:00，下午15:30-19:00</w:t>
            </w:r>
            <w:r>
              <w:rPr>
                <w:rFonts w:hint="eastAsia" w:ascii="宋体" w:hAnsi="宋体" w:eastAsia="宋体"/>
                <w:color w:val="auto"/>
                <w:szCs w:val="21"/>
                <w:highlight w:val="none"/>
                <w:lang w:eastAsia="zh-CN"/>
              </w:rPr>
              <w:t>）</w:t>
            </w:r>
          </w:p>
          <w:p w14:paraId="467386E9">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▲三、建设地点：南宁市</w:t>
            </w:r>
            <w:r>
              <w:rPr>
                <w:rFonts w:hint="eastAsia" w:ascii="宋体" w:hAnsi="宋体" w:eastAsia="宋体"/>
                <w:color w:val="auto"/>
                <w:szCs w:val="21"/>
                <w:highlight w:val="none"/>
                <w:lang w:eastAsia="zh-CN"/>
              </w:rPr>
              <w:t>南湖公园</w:t>
            </w:r>
            <w:r>
              <w:rPr>
                <w:rFonts w:hint="eastAsia" w:ascii="宋体" w:hAnsi="宋体" w:eastAsia="宋体"/>
                <w:color w:val="auto"/>
                <w:szCs w:val="21"/>
                <w:highlight w:val="none"/>
              </w:rPr>
              <w:t>。</w:t>
            </w:r>
          </w:p>
          <w:p w14:paraId="7E5961F8">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▲四、缺陷责任期及保修要求：</w:t>
            </w:r>
          </w:p>
          <w:p w14:paraId="0E572F0F">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1、缺陷责任期：工程缺陷责任期为24个月，缺陷责任期自工程竣工验收合格之日起计算。</w:t>
            </w:r>
          </w:p>
          <w:p w14:paraId="284720DF">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2、保修要求：按照有关法律规定和合同约定（详见合同附件</w:t>
            </w:r>
            <w:r>
              <w:rPr>
                <w:rFonts w:ascii="宋体" w:hAnsi="宋体" w:eastAsia="宋体"/>
                <w:color w:val="auto"/>
                <w:szCs w:val="21"/>
                <w:highlight w:val="none"/>
              </w:rPr>
              <w:t>1</w:t>
            </w:r>
            <w:r>
              <w:rPr>
                <w:rFonts w:hint="eastAsia" w:ascii="宋体" w:hAnsi="宋体" w:eastAsia="宋体"/>
                <w:color w:val="auto"/>
                <w:szCs w:val="21"/>
                <w:highlight w:val="none"/>
              </w:rPr>
              <w:t>：工程质量保修书），承担工程质量保修责任。</w:t>
            </w:r>
          </w:p>
          <w:p w14:paraId="6EFE87E2">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▲五、实施要求：</w:t>
            </w:r>
          </w:p>
          <w:p w14:paraId="2601E829">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1、供应商应该认真按照设计施工图纸的要求进行施工；同时也要严格执行工业与民用建筑工程、水电工程和安装工程等各专业有关的现行标准和技术规范。</w:t>
            </w:r>
          </w:p>
          <w:p w14:paraId="69446C14">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2、成交供应商接到采购人处理问题通知后4小时内到达采购人指定现场，在8小时内提出解决方案。在工程质量保修期期限内发生质量问题，必须在收到质保通知后的3个日历天内整改完毕。</w:t>
            </w:r>
          </w:p>
          <w:p w14:paraId="033AFE1E">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3、供应商在响应文件中所提供的一切材料和承诺具有法律效力，必须是真实的、可信的，所提供的设备及配件必须是全新的未经使用原装正品；否则，一经查实提供虚假材料或供应的货物经检测不能满足采购要求的，其造成的后果和损失全部由供应商负责。</w:t>
            </w:r>
          </w:p>
          <w:p w14:paraId="50278523">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4、售后服务技术人员要求：配备1名及以上具有工程维保能力的专职施工员。</w:t>
            </w:r>
          </w:p>
          <w:p w14:paraId="60444CE8">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▲5、备品备件及耗材等要求：符合国家标准要求。</w:t>
            </w:r>
          </w:p>
          <w:p w14:paraId="5A2AC04A">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▲六、付款方式及条件：</w:t>
            </w:r>
          </w:p>
          <w:p w14:paraId="357697BB">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本项目无预付款，工程款原则上按月支付，合同内工程进度款</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按照当期计量的80%支付，累计不超过合同价的80%。合同外(设计变更)工程进度款</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累计增加的变更金额在合同价的10%以内(含10%)，按照当期计量的60%支付</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累计增加的变更金额超出合同价的10%部分，不进行进度款计量支付，留待工程结算时一并支付。工程完工验收达到质量要求，结算经相关部门审定后，工程款</w:t>
            </w:r>
            <w:r>
              <w:rPr>
                <w:rFonts w:hint="eastAsia" w:ascii="宋体" w:hAnsi="宋体" w:eastAsia="宋体"/>
                <w:color w:val="auto"/>
                <w:szCs w:val="21"/>
                <w:highlight w:val="none"/>
                <w:lang w:eastAsia="zh-CN"/>
              </w:rPr>
              <w:t>可</w:t>
            </w:r>
            <w:r>
              <w:rPr>
                <w:rFonts w:hint="eastAsia" w:ascii="宋体" w:hAnsi="宋体" w:eastAsia="宋体"/>
                <w:color w:val="auto"/>
                <w:szCs w:val="21"/>
                <w:highlight w:val="none"/>
              </w:rPr>
              <w:t>支付至结算总价的100%（含已支付的）。每次支付款项前，承包人需提供</w:t>
            </w:r>
            <w:r>
              <w:rPr>
                <w:rFonts w:hint="eastAsia" w:ascii="宋体" w:hAnsi="宋体" w:eastAsia="宋体"/>
                <w:color w:val="auto"/>
                <w:szCs w:val="21"/>
                <w:highlight w:val="none"/>
                <w:lang w:eastAsia="zh-CN"/>
              </w:rPr>
              <w:t>符合支付条件的完整请款资料，经采购方审核合格后提交至南宁市财政局，财政局将款项拨付到采购方账上，且承包人开具相应额度的发票交至采购人后，采购方于</w:t>
            </w:r>
            <w:r>
              <w:rPr>
                <w:rFonts w:hint="eastAsia" w:ascii="宋体" w:hAnsi="宋体" w:eastAsia="宋体"/>
                <w:color w:val="auto"/>
                <w:szCs w:val="21"/>
                <w:highlight w:val="none"/>
                <w:lang w:val="en-US" w:eastAsia="zh-CN"/>
              </w:rPr>
              <w:t>10个工作日内向承包方支付相应款项</w:t>
            </w:r>
            <w:r>
              <w:rPr>
                <w:rFonts w:hint="eastAsia" w:ascii="宋体" w:hAnsi="宋体" w:eastAsia="宋体"/>
                <w:color w:val="auto"/>
                <w:szCs w:val="21"/>
                <w:highlight w:val="none"/>
              </w:rPr>
              <w:t>。如因财政</w:t>
            </w:r>
            <w:r>
              <w:rPr>
                <w:rFonts w:hint="eastAsia" w:ascii="宋体" w:hAnsi="宋体" w:eastAsia="宋体"/>
                <w:color w:val="auto"/>
                <w:szCs w:val="21"/>
                <w:highlight w:val="none"/>
                <w:lang w:eastAsia="zh-CN"/>
              </w:rPr>
              <w:t>资金拨付流程等非采购人主观过错</w:t>
            </w:r>
            <w:r>
              <w:rPr>
                <w:rFonts w:hint="eastAsia" w:ascii="宋体" w:hAnsi="宋体" w:eastAsia="宋体"/>
                <w:color w:val="auto"/>
                <w:szCs w:val="21"/>
                <w:highlight w:val="none"/>
              </w:rPr>
              <w:t>导致延迟支付的，</w:t>
            </w:r>
            <w:r>
              <w:rPr>
                <w:rFonts w:hint="eastAsia" w:ascii="宋体" w:hAnsi="宋体" w:eastAsia="宋体"/>
                <w:color w:val="auto"/>
                <w:szCs w:val="21"/>
                <w:highlight w:val="none"/>
                <w:lang w:eastAsia="zh-CN"/>
              </w:rPr>
              <w:t>支付期限相应顺延，顺延期间不计取逾期付款违约金</w:t>
            </w:r>
            <w:r>
              <w:rPr>
                <w:rFonts w:hint="eastAsia" w:ascii="宋体" w:hAnsi="宋体" w:eastAsia="宋体"/>
                <w:color w:val="auto"/>
                <w:szCs w:val="21"/>
                <w:highlight w:val="none"/>
              </w:rPr>
              <w:t>。</w:t>
            </w:r>
          </w:p>
          <w:p w14:paraId="1A4F6986">
            <w:pPr>
              <w:spacing w:line="300" w:lineRule="auto"/>
              <w:jc w:val="lef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rPr>
              <w:t>▲七、验收标准、规范：</w:t>
            </w:r>
            <w:r>
              <w:rPr>
                <w:rFonts w:hint="eastAsia" w:ascii="宋体" w:hAnsi="宋体" w:eastAsia="宋体"/>
                <w:color w:val="auto"/>
                <w:szCs w:val="21"/>
                <w:highlight w:val="none"/>
                <w:lang w:val="en-US" w:eastAsia="zh-CN"/>
              </w:rPr>
              <w:t>a</w:t>
            </w:r>
          </w:p>
          <w:p w14:paraId="0DD45276">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1、符合国家现行的工程建设标准、技术规范及强制性标准条文，以及施工图纸载明的其他有关规范标准。</w:t>
            </w:r>
          </w:p>
          <w:p w14:paraId="7F28472C">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2、验收过程中所产生的一切费用均由成交人承担。报价时应考虑相关费用。</w:t>
            </w:r>
          </w:p>
          <w:p w14:paraId="1A32C2A1">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八、其他要求</w:t>
            </w:r>
          </w:p>
          <w:p w14:paraId="23C315C7">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▲1、合同价格形式：本项目采用固定单价合同，合同期内不调价，以实际工程量结算。</w:t>
            </w:r>
          </w:p>
          <w:p w14:paraId="7010A176">
            <w:pPr>
              <w:spacing w:line="300" w:lineRule="auto"/>
              <w:jc w:val="left"/>
              <w:rPr>
                <w:rFonts w:ascii="宋体" w:hAnsi="宋体" w:eastAsia="宋体"/>
                <w:b/>
                <w:color w:val="auto"/>
                <w:szCs w:val="21"/>
                <w:highlight w:val="none"/>
              </w:rPr>
            </w:pPr>
            <w:r>
              <w:rPr>
                <w:rFonts w:hint="eastAsia" w:ascii="宋体" w:hAnsi="宋体" w:eastAsia="宋体"/>
                <w:color w:val="auto"/>
                <w:szCs w:val="21"/>
                <w:highlight w:val="none"/>
              </w:rPr>
              <w:t>▲2、报价要求：本工程竞标报价采用工程量清单报价。报价不得超过公布的最高限价，否则作无效响应处理。</w:t>
            </w:r>
            <w:r>
              <w:rPr>
                <w:rFonts w:hint="eastAsia" w:ascii="宋体" w:hAnsi="宋体" w:eastAsia="宋体"/>
                <w:b/>
                <w:color w:val="auto"/>
                <w:szCs w:val="21"/>
                <w:highlight w:val="none"/>
              </w:rPr>
              <w:t>供应商已标价工程量清单（包含首次报价、最后报价）的项目编码、项目名称及项目特征描述、计量单位、工程量须与采购工程量清单一致，否则竞标无效。本项目采用二次报价方式，竞标人的最终报价如有变动，则必须以工程量清单报价表的格式编制提交，竞标人须提前做好相关准备并按时递交最终报价文件，否则报价无效。</w:t>
            </w:r>
          </w:p>
          <w:p w14:paraId="2B26A679">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3、报价是履行合同的最终价格，包括了为实施和完成合同工程所需的劳务、材料、机械、质检（自检）、安装、缺陷修复、管理、保险、税费、利润和验收费用等费用，以及合同明示或暗示的所有责任、义务和一般风险。</w:t>
            </w:r>
          </w:p>
          <w:p w14:paraId="6796F8E4">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4、现场踏勘：具备竞标资格的竞标供应商可自行到项目所在地进行现场勘察，否则由于对现场情况不了解或了解不透彻导致响应失误的后果由竞标供应商自行承担。供应商进行现场勘察的，不得因此使采购人承担有关的责任和蒙受损失，供应商自行承担现场踏勘的费用、责任和风险。</w:t>
            </w:r>
          </w:p>
          <w:p w14:paraId="6EAF5B7E">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5、信誉要求：供应商自202</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年1月1日起至响应文件递交截止日前无任何经济合同纠纷，且经营状况良好，没有处于被责令停产、财产被接管、冻结、破产状态；无法院判决后不执行等不良记录；近三年半内没有骗取成交和严重违约问题。</w:t>
            </w:r>
          </w:p>
        </w:tc>
      </w:tr>
      <w:tr w14:paraId="4823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3" w:type="pct"/>
            <w:gridSpan w:val="2"/>
            <w:vAlign w:val="center"/>
          </w:tcPr>
          <w:p w14:paraId="7962A727">
            <w:pPr>
              <w:spacing w:line="300" w:lineRule="auto"/>
              <w:jc w:val="center"/>
              <w:rPr>
                <w:rFonts w:ascii="宋体" w:hAnsi="宋体" w:eastAsia="宋体"/>
                <w:color w:val="auto"/>
                <w:szCs w:val="21"/>
                <w:highlight w:val="none"/>
              </w:rPr>
            </w:pPr>
            <w:r>
              <w:rPr>
                <w:rFonts w:hint="eastAsia" w:ascii="宋体" w:hAnsi="宋体" w:eastAsia="宋体"/>
                <w:color w:val="auto"/>
                <w:szCs w:val="21"/>
                <w:highlight w:val="none"/>
              </w:rPr>
              <w:t>其他说明</w:t>
            </w:r>
          </w:p>
        </w:tc>
        <w:tc>
          <w:tcPr>
            <w:tcW w:w="4566" w:type="pct"/>
            <w:gridSpan w:val="6"/>
            <w:vAlign w:val="center"/>
          </w:tcPr>
          <w:p w14:paraId="23DC8E1A">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一、进口产品说明：本项目不涉及进口产品。</w:t>
            </w:r>
          </w:p>
          <w:p w14:paraId="2A43555D">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二、与本项目有关的图纸、工程量清单及其获取方式：</w:t>
            </w:r>
          </w:p>
          <w:p w14:paraId="7A116DAF">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资料名称：1.工程量清单；2.图纸。</w:t>
            </w:r>
          </w:p>
          <w:p w14:paraId="0EA18164">
            <w:pPr>
              <w:spacing w:line="300" w:lineRule="auto"/>
              <w:jc w:val="left"/>
              <w:rPr>
                <w:rFonts w:ascii="宋体" w:hAnsi="宋体" w:eastAsia="宋体"/>
                <w:color w:val="auto"/>
                <w:szCs w:val="21"/>
                <w:highlight w:val="none"/>
              </w:rPr>
            </w:pPr>
            <w:r>
              <w:rPr>
                <w:rFonts w:hint="eastAsia" w:ascii="宋体" w:hAnsi="宋体" w:eastAsia="宋体"/>
                <w:color w:val="auto"/>
                <w:szCs w:val="21"/>
                <w:highlight w:val="none"/>
              </w:rPr>
              <w:t>获取方式：网上下载。潜在供应商可自行登录“广西政府采购云平台”（https：//www.gcy.zfcg.gxzf.gov.cn/）下载。</w:t>
            </w:r>
          </w:p>
        </w:tc>
      </w:tr>
    </w:tbl>
    <w:p w14:paraId="31702C63">
      <w:pPr>
        <w:spacing w:line="360" w:lineRule="auto"/>
        <w:ind w:firstLine="420" w:firstLineChars="200"/>
        <w:rPr>
          <w:rFonts w:ascii="宋体" w:hAnsi="宋体" w:eastAsia="宋体"/>
          <w:color w:val="auto"/>
          <w:szCs w:val="21"/>
          <w:highlight w:val="none"/>
        </w:rPr>
      </w:pPr>
    </w:p>
    <w:p w14:paraId="5CA37F8D">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7CE6B85E">
      <w:pPr>
        <w:spacing w:line="360" w:lineRule="auto"/>
        <w:ind w:firstLine="640" w:firstLineChars="200"/>
        <w:rPr>
          <w:rFonts w:ascii="微软雅黑" w:hAnsi="微软雅黑" w:eastAsia="微软雅黑"/>
          <w:color w:val="auto"/>
          <w:sz w:val="32"/>
          <w:szCs w:val="32"/>
          <w:highlight w:val="none"/>
        </w:rPr>
      </w:pPr>
      <w:r>
        <w:rPr>
          <w:rFonts w:hint="eastAsia" w:ascii="微软雅黑" w:hAnsi="微软雅黑" w:eastAsia="微软雅黑"/>
          <w:color w:val="auto"/>
          <w:sz w:val="32"/>
          <w:szCs w:val="32"/>
          <w:highlight w:val="none"/>
        </w:rPr>
        <w:t>附件1：</w:t>
      </w:r>
    </w:p>
    <w:p w14:paraId="5F1FCC6E">
      <w:pPr>
        <w:spacing w:line="360" w:lineRule="auto"/>
        <w:jc w:val="center"/>
        <w:rPr>
          <w:rFonts w:ascii="微软雅黑" w:hAnsi="微软雅黑" w:eastAsia="微软雅黑"/>
          <w:color w:val="auto"/>
          <w:sz w:val="40"/>
          <w:szCs w:val="40"/>
          <w:highlight w:val="none"/>
        </w:rPr>
      </w:pPr>
      <w:r>
        <w:rPr>
          <w:rFonts w:hint="eastAsia" w:ascii="微软雅黑" w:hAnsi="微软雅黑" w:eastAsia="微软雅黑"/>
          <w:color w:val="auto"/>
          <w:sz w:val="40"/>
          <w:szCs w:val="40"/>
          <w:highlight w:val="none"/>
        </w:rPr>
        <w:t>节能产品政府采购品目清单</w:t>
      </w:r>
    </w:p>
    <w:tbl>
      <w:tblPr>
        <w:tblStyle w:val="38"/>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1288"/>
        <w:gridCol w:w="1884"/>
        <w:gridCol w:w="1599"/>
        <w:gridCol w:w="4673"/>
      </w:tblGrid>
      <w:tr w14:paraId="7FAA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Align w:val="center"/>
          </w:tcPr>
          <w:p w14:paraId="2A9988D5">
            <w:pPr>
              <w:spacing w:line="300" w:lineRule="auto"/>
              <w:jc w:val="center"/>
              <w:rPr>
                <w:rFonts w:ascii="宋体" w:hAnsi="宋体" w:eastAsia="宋体"/>
                <w:b/>
                <w:color w:val="auto"/>
                <w:sz w:val="22"/>
                <w:highlight w:val="none"/>
              </w:rPr>
            </w:pPr>
            <w:r>
              <w:rPr>
                <w:rFonts w:hint="eastAsia" w:ascii="宋体" w:hAnsi="宋体" w:eastAsia="宋体"/>
                <w:b/>
                <w:color w:val="auto"/>
                <w:sz w:val="22"/>
                <w:highlight w:val="none"/>
              </w:rPr>
              <w:t>品目序号</w:t>
            </w:r>
          </w:p>
        </w:tc>
        <w:tc>
          <w:tcPr>
            <w:tcW w:w="2411" w:type="pct"/>
            <w:gridSpan w:val="3"/>
            <w:vAlign w:val="center"/>
          </w:tcPr>
          <w:p w14:paraId="464DF538">
            <w:pPr>
              <w:spacing w:line="300" w:lineRule="auto"/>
              <w:jc w:val="center"/>
              <w:rPr>
                <w:rFonts w:ascii="宋体" w:hAnsi="宋体" w:eastAsia="宋体"/>
                <w:b/>
                <w:color w:val="auto"/>
                <w:sz w:val="22"/>
                <w:highlight w:val="none"/>
              </w:rPr>
            </w:pPr>
            <w:r>
              <w:rPr>
                <w:rFonts w:hint="eastAsia" w:ascii="宋体" w:hAnsi="宋体" w:eastAsia="宋体"/>
                <w:b/>
                <w:color w:val="auto"/>
                <w:sz w:val="22"/>
                <w:highlight w:val="none"/>
              </w:rPr>
              <w:t>名称</w:t>
            </w:r>
          </w:p>
        </w:tc>
        <w:tc>
          <w:tcPr>
            <w:tcW w:w="2362" w:type="pct"/>
            <w:vAlign w:val="center"/>
          </w:tcPr>
          <w:p w14:paraId="53391EE1">
            <w:pPr>
              <w:spacing w:line="300" w:lineRule="auto"/>
              <w:jc w:val="center"/>
              <w:rPr>
                <w:rFonts w:ascii="宋体" w:hAnsi="宋体" w:eastAsia="宋体"/>
                <w:b/>
                <w:color w:val="auto"/>
                <w:sz w:val="22"/>
                <w:highlight w:val="none"/>
              </w:rPr>
            </w:pPr>
            <w:r>
              <w:rPr>
                <w:rFonts w:hint="eastAsia" w:ascii="宋体" w:hAnsi="宋体" w:eastAsia="宋体"/>
                <w:b/>
                <w:color w:val="auto"/>
                <w:sz w:val="22"/>
                <w:highlight w:val="none"/>
              </w:rPr>
              <w:t>依据的标准</w:t>
            </w:r>
          </w:p>
        </w:tc>
      </w:tr>
      <w:tr w14:paraId="3467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restart"/>
            <w:vAlign w:val="center"/>
          </w:tcPr>
          <w:p w14:paraId="2C114585">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1</w:t>
            </w:r>
          </w:p>
        </w:tc>
        <w:tc>
          <w:tcPr>
            <w:tcW w:w="651" w:type="pct"/>
            <w:vMerge w:val="restart"/>
            <w:vAlign w:val="center"/>
          </w:tcPr>
          <w:p w14:paraId="01923A6A">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A020101计算机设备</w:t>
            </w:r>
          </w:p>
        </w:tc>
        <w:tc>
          <w:tcPr>
            <w:tcW w:w="952" w:type="pct"/>
            <w:vAlign w:val="center"/>
          </w:tcPr>
          <w:p w14:paraId="007271CA">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★A02010104台式计算机</w:t>
            </w:r>
          </w:p>
        </w:tc>
        <w:tc>
          <w:tcPr>
            <w:tcW w:w="807" w:type="pct"/>
            <w:vAlign w:val="center"/>
          </w:tcPr>
          <w:p w14:paraId="22199621">
            <w:pPr>
              <w:spacing w:line="300" w:lineRule="auto"/>
              <w:jc w:val="center"/>
              <w:rPr>
                <w:rFonts w:ascii="宋体" w:hAnsi="宋体" w:eastAsia="宋体"/>
                <w:color w:val="auto"/>
                <w:sz w:val="20"/>
                <w:szCs w:val="20"/>
                <w:highlight w:val="none"/>
              </w:rPr>
            </w:pPr>
          </w:p>
        </w:tc>
        <w:tc>
          <w:tcPr>
            <w:tcW w:w="2362" w:type="pct"/>
            <w:vAlign w:val="center"/>
          </w:tcPr>
          <w:p w14:paraId="1D05902C">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《微型计算机能效限定值及能效等级》（GB28380）</w:t>
            </w:r>
          </w:p>
        </w:tc>
      </w:tr>
      <w:tr w14:paraId="22E7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68A58914">
            <w:pPr>
              <w:spacing w:line="300" w:lineRule="auto"/>
              <w:jc w:val="center"/>
              <w:rPr>
                <w:rFonts w:ascii="宋体" w:hAnsi="宋体" w:eastAsia="宋体"/>
                <w:color w:val="auto"/>
                <w:sz w:val="20"/>
                <w:szCs w:val="20"/>
                <w:highlight w:val="none"/>
              </w:rPr>
            </w:pPr>
          </w:p>
        </w:tc>
        <w:tc>
          <w:tcPr>
            <w:tcW w:w="651" w:type="pct"/>
            <w:vMerge w:val="continue"/>
            <w:vAlign w:val="center"/>
          </w:tcPr>
          <w:p w14:paraId="231EF526">
            <w:pPr>
              <w:spacing w:line="300" w:lineRule="auto"/>
              <w:jc w:val="center"/>
              <w:rPr>
                <w:rFonts w:ascii="宋体" w:hAnsi="宋体" w:eastAsia="宋体"/>
                <w:color w:val="auto"/>
                <w:sz w:val="20"/>
                <w:szCs w:val="20"/>
                <w:highlight w:val="none"/>
              </w:rPr>
            </w:pPr>
          </w:p>
        </w:tc>
        <w:tc>
          <w:tcPr>
            <w:tcW w:w="952" w:type="pct"/>
            <w:vAlign w:val="center"/>
          </w:tcPr>
          <w:p w14:paraId="12F80A66">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★A02010105便携式计算机</w:t>
            </w:r>
          </w:p>
        </w:tc>
        <w:tc>
          <w:tcPr>
            <w:tcW w:w="807" w:type="pct"/>
            <w:vAlign w:val="center"/>
          </w:tcPr>
          <w:p w14:paraId="072F08AC">
            <w:pPr>
              <w:spacing w:line="300" w:lineRule="auto"/>
              <w:jc w:val="center"/>
              <w:rPr>
                <w:rFonts w:ascii="宋体" w:hAnsi="宋体" w:eastAsia="宋体"/>
                <w:color w:val="auto"/>
                <w:sz w:val="20"/>
                <w:szCs w:val="20"/>
                <w:highlight w:val="none"/>
              </w:rPr>
            </w:pPr>
          </w:p>
        </w:tc>
        <w:tc>
          <w:tcPr>
            <w:tcW w:w="2362" w:type="pct"/>
            <w:vAlign w:val="center"/>
          </w:tcPr>
          <w:p w14:paraId="695146E2">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《微型计算机能效限定值及能效等级》（GB28380）</w:t>
            </w:r>
          </w:p>
        </w:tc>
      </w:tr>
      <w:tr w14:paraId="0897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6F070A4F">
            <w:pPr>
              <w:spacing w:line="300" w:lineRule="auto"/>
              <w:jc w:val="center"/>
              <w:rPr>
                <w:rFonts w:ascii="宋体" w:hAnsi="宋体" w:eastAsia="宋体"/>
                <w:color w:val="auto"/>
                <w:sz w:val="20"/>
                <w:szCs w:val="20"/>
                <w:highlight w:val="none"/>
              </w:rPr>
            </w:pPr>
          </w:p>
        </w:tc>
        <w:tc>
          <w:tcPr>
            <w:tcW w:w="651" w:type="pct"/>
            <w:vMerge w:val="continue"/>
            <w:vAlign w:val="center"/>
          </w:tcPr>
          <w:p w14:paraId="6A39F061">
            <w:pPr>
              <w:spacing w:line="300" w:lineRule="auto"/>
              <w:jc w:val="center"/>
              <w:rPr>
                <w:rFonts w:ascii="宋体" w:hAnsi="宋体" w:eastAsia="宋体"/>
                <w:color w:val="auto"/>
                <w:sz w:val="20"/>
                <w:szCs w:val="20"/>
                <w:highlight w:val="none"/>
              </w:rPr>
            </w:pPr>
          </w:p>
        </w:tc>
        <w:tc>
          <w:tcPr>
            <w:tcW w:w="952" w:type="pct"/>
            <w:vAlign w:val="center"/>
          </w:tcPr>
          <w:p w14:paraId="16FA01CA">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★A02010107平板式微型计算机</w:t>
            </w:r>
          </w:p>
        </w:tc>
        <w:tc>
          <w:tcPr>
            <w:tcW w:w="807" w:type="pct"/>
            <w:vAlign w:val="center"/>
          </w:tcPr>
          <w:p w14:paraId="1520EBE7">
            <w:pPr>
              <w:spacing w:line="300" w:lineRule="auto"/>
              <w:jc w:val="center"/>
              <w:rPr>
                <w:rFonts w:ascii="宋体" w:hAnsi="宋体" w:eastAsia="宋体"/>
                <w:color w:val="auto"/>
                <w:sz w:val="20"/>
                <w:szCs w:val="20"/>
                <w:highlight w:val="none"/>
              </w:rPr>
            </w:pPr>
          </w:p>
        </w:tc>
        <w:tc>
          <w:tcPr>
            <w:tcW w:w="2362" w:type="pct"/>
            <w:vAlign w:val="center"/>
          </w:tcPr>
          <w:p w14:paraId="45854753">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《微型计算机能效限定值及能效等级》（GB28380）</w:t>
            </w:r>
          </w:p>
        </w:tc>
      </w:tr>
      <w:tr w14:paraId="17A3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restart"/>
            <w:vAlign w:val="center"/>
          </w:tcPr>
          <w:p w14:paraId="748D7FB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2</w:t>
            </w:r>
          </w:p>
        </w:tc>
        <w:tc>
          <w:tcPr>
            <w:tcW w:w="651" w:type="pct"/>
            <w:vMerge w:val="restart"/>
            <w:vAlign w:val="center"/>
          </w:tcPr>
          <w:p w14:paraId="79012264">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A020106输入输出设备</w:t>
            </w:r>
          </w:p>
        </w:tc>
        <w:tc>
          <w:tcPr>
            <w:tcW w:w="952" w:type="pct"/>
            <w:vMerge w:val="restart"/>
            <w:vAlign w:val="center"/>
          </w:tcPr>
          <w:p w14:paraId="32DC722C">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A02010601打印设备</w:t>
            </w:r>
          </w:p>
        </w:tc>
        <w:tc>
          <w:tcPr>
            <w:tcW w:w="807" w:type="pct"/>
            <w:vAlign w:val="center"/>
          </w:tcPr>
          <w:p w14:paraId="65A31691">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A0201060101喷墨打印机</w:t>
            </w:r>
          </w:p>
        </w:tc>
        <w:tc>
          <w:tcPr>
            <w:tcW w:w="2362" w:type="pct"/>
            <w:vAlign w:val="center"/>
          </w:tcPr>
          <w:p w14:paraId="5A56A0F6">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《复印机、打印机和传真机能效限定值及能效等级》（GB21521）</w:t>
            </w:r>
          </w:p>
        </w:tc>
      </w:tr>
      <w:tr w14:paraId="786B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03DD9777">
            <w:pPr>
              <w:spacing w:line="300" w:lineRule="auto"/>
              <w:jc w:val="center"/>
              <w:rPr>
                <w:rFonts w:ascii="宋体" w:hAnsi="宋体" w:eastAsia="宋体"/>
                <w:color w:val="auto"/>
                <w:sz w:val="20"/>
                <w:szCs w:val="20"/>
                <w:highlight w:val="none"/>
              </w:rPr>
            </w:pPr>
          </w:p>
        </w:tc>
        <w:tc>
          <w:tcPr>
            <w:tcW w:w="651" w:type="pct"/>
            <w:vMerge w:val="continue"/>
            <w:vAlign w:val="center"/>
          </w:tcPr>
          <w:p w14:paraId="1149D7EB">
            <w:pPr>
              <w:spacing w:line="300" w:lineRule="auto"/>
              <w:jc w:val="center"/>
              <w:rPr>
                <w:rFonts w:ascii="宋体" w:hAnsi="宋体" w:eastAsia="宋体"/>
                <w:color w:val="auto"/>
                <w:sz w:val="20"/>
                <w:szCs w:val="20"/>
                <w:highlight w:val="none"/>
              </w:rPr>
            </w:pPr>
          </w:p>
        </w:tc>
        <w:tc>
          <w:tcPr>
            <w:tcW w:w="952" w:type="pct"/>
            <w:vMerge w:val="continue"/>
            <w:vAlign w:val="center"/>
          </w:tcPr>
          <w:p w14:paraId="2D5D1706">
            <w:pPr>
              <w:spacing w:line="300" w:lineRule="auto"/>
              <w:jc w:val="center"/>
              <w:rPr>
                <w:rFonts w:ascii="宋体" w:hAnsi="宋体" w:eastAsia="宋体"/>
                <w:color w:val="auto"/>
                <w:sz w:val="20"/>
                <w:szCs w:val="20"/>
                <w:highlight w:val="none"/>
              </w:rPr>
            </w:pPr>
          </w:p>
        </w:tc>
        <w:tc>
          <w:tcPr>
            <w:tcW w:w="807" w:type="pct"/>
            <w:vAlign w:val="center"/>
          </w:tcPr>
          <w:p w14:paraId="2A9720B9">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★A0201060102激光打印机</w:t>
            </w:r>
          </w:p>
        </w:tc>
        <w:tc>
          <w:tcPr>
            <w:tcW w:w="2362" w:type="pct"/>
            <w:vAlign w:val="center"/>
          </w:tcPr>
          <w:p w14:paraId="3FA09D6D">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《复印机、打印机和传真机能效限定值及能效等级》（GB21521）</w:t>
            </w:r>
          </w:p>
        </w:tc>
      </w:tr>
      <w:tr w14:paraId="6432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22F6CAFE">
            <w:pPr>
              <w:spacing w:line="300" w:lineRule="auto"/>
              <w:jc w:val="center"/>
              <w:rPr>
                <w:rFonts w:ascii="宋体" w:hAnsi="宋体" w:eastAsia="宋体"/>
                <w:color w:val="auto"/>
                <w:sz w:val="20"/>
                <w:szCs w:val="20"/>
                <w:highlight w:val="none"/>
              </w:rPr>
            </w:pPr>
          </w:p>
        </w:tc>
        <w:tc>
          <w:tcPr>
            <w:tcW w:w="651" w:type="pct"/>
            <w:vMerge w:val="continue"/>
            <w:vAlign w:val="center"/>
          </w:tcPr>
          <w:p w14:paraId="10802A29">
            <w:pPr>
              <w:spacing w:line="300" w:lineRule="auto"/>
              <w:jc w:val="center"/>
              <w:rPr>
                <w:rFonts w:ascii="宋体" w:hAnsi="宋体" w:eastAsia="宋体"/>
                <w:color w:val="auto"/>
                <w:sz w:val="20"/>
                <w:szCs w:val="20"/>
                <w:highlight w:val="none"/>
              </w:rPr>
            </w:pPr>
          </w:p>
        </w:tc>
        <w:tc>
          <w:tcPr>
            <w:tcW w:w="952" w:type="pct"/>
            <w:vMerge w:val="continue"/>
            <w:vAlign w:val="center"/>
          </w:tcPr>
          <w:p w14:paraId="7A1AEB8E">
            <w:pPr>
              <w:spacing w:line="300" w:lineRule="auto"/>
              <w:jc w:val="center"/>
              <w:rPr>
                <w:rFonts w:ascii="宋体" w:hAnsi="宋体" w:eastAsia="宋体"/>
                <w:color w:val="auto"/>
                <w:sz w:val="20"/>
                <w:szCs w:val="20"/>
                <w:highlight w:val="none"/>
              </w:rPr>
            </w:pPr>
          </w:p>
        </w:tc>
        <w:tc>
          <w:tcPr>
            <w:tcW w:w="807" w:type="pct"/>
            <w:vAlign w:val="center"/>
          </w:tcPr>
          <w:p w14:paraId="7D2FEE7E">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★A0201060104针式打印机</w:t>
            </w:r>
          </w:p>
        </w:tc>
        <w:tc>
          <w:tcPr>
            <w:tcW w:w="2362" w:type="pct"/>
            <w:vAlign w:val="center"/>
          </w:tcPr>
          <w:p w14:paraId="4A35D359">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《复印机、打印机和传真机能效限定值及能效等级》（GB21521）</w:t>
            </w:r>
          </w:p>
        </w:tc>
      </w:tr>
      <w:tr w14:paraId="12B3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3B10FFE8">
            <w:pPr>
              <w:spacing w:line="300" w:lineRule="auto"/>
              <w:jc w:val="center"/>
              <w:rPr>
                <w:rFonts w:ascii="宋体" w:hAnsi="宋体" w:eastAsia="宋体"/>
                <w:color w:val="auto"/>
                <w:sz w:val="20"/>
                <w:szCs w:val="20"/>
                <w:highlight w:val="none"/>
              </w:rPr>
            </w:pPr>
          </w:p>
        </w:tc>
        <w:tc>
          <w:tcPr>
            <w:tcW w:w="651" w:type="pct"/>
            <w:vMerge w:val="continue"/>
            <w:vAlign w:val="center"/>
          </w:tcPr>
          <w:p w14:paraId="56CAD031">
            <w:pPr>
              <w:spacing w:line="300" w:lineRule="auto"/>
              <w:jc w:val="center"/>
              <w:rPr>
                <w:rFonts w:ascii="宋体" w:hAnsi="宋体" w:eastAsia="宋体"/>
                <w:color w:val="auto"/>
                <w:sz w:val="20"/>
                <w:szCs w:val="20"/>
                <w:highlight w:val="none"/>
              </w:rPr>
            </w:pPr>
          </w:p>
        </w:tc>
        <w:tc>
          <w:tcPr>
            <w:tcW w:w="952" w:type="pct"/>
            <w:vAlign w:val="center"/>
          </w:tcPr>
          <w:p w14:paraId="190B88DB">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A02010604显示设备</w:t>
            </w:r>
          </w:p>
        </w:tc>
        <w:tc>
          <w:tcPr>
            <w:tcW w:w="807" w:type="pct"/>
            <w:vAlign w:val="center"/>
          </w:tcPr>
          <w:p w14:paraId="47F643A8">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★A0201060401液晶显示器</w:t>
            </w:r>
          </w:p>
        </w:tc>
        <w:tc>
          <w:tcPr>
            <w:tcW w:w="2362" w:type="pct"/>
            <w:vAlign w:val="center"/>
          </w:tcPr>
          <w:p w14:paraId="6546BF81">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《计算机显示器能效限定值及能效等级》（GB21520）</w:t>
            </w:r>
          </w:p>
        </w:tc>
      </w:tr>
      <w:tr w14:paraId="1548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4F9B276A">
            <w:pPr>
              <w:spacing w:line="300" w:lineRule="auto"/>
              <w:jc w:val="center"/>
              <w:rPr>
                <w:rFonts w:ascii="宋体" w:hAnsi="宋体" w:eastAsia="宋体"/>
                <w:color w:val="auto"/>
                <w:sz w:val="20"/>
                <w:szCs w:val="20"/>
                <w:highlight w:val="none"/>
              </w:rPr>
            </w:pPr>
          </w:p>
        </w:tc>
        <w:tc>
          <w:tcPr>
            <w:tcW w:w="651" w:type="pct"/>
            <w:vMerge w:val="continue"/>
            <w:vAlign w:val="center"/>
          </w:tcPr>
          <w:p w14:paraId="5A1686BD">
            <w:pPr>
              <w:spacing w:line="300" w:lineRule="auto"/>
              <w:jc w:val="center"/>
              <w:rPr>
                <w:rFonts w:ascii="宋体" w:hAnsi="宋体" w:eastAsia="宋体"/>
                <w:color w:val="auto"/>
                <w:sz w:val="20"/>
                <w:szCs w:val="20"/>
                <w:highlight w:val="none"/>
              </w:rPr>
            </w:pPr>
          </w:p>
        </w:tc>
        <w:tc>
          <w:tcPr>
            <w:tcW w:w="952" w:type="pct"/>
            <w:vAlign w:val="center"/>
          </w:tcPr>
          <w:p w14:paraId="104C8110">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A02010609图形图像输入设备</w:t>
            </w:r>
          </w:p>
        </w:tc>
        <w:tc>
          <w:tcPr>
            <w:tcW w:w="807" w:type="pct"/>
            <w:vAlign w:val="center"/>
          </w:tcPr>
          <w:p w14:paraId="1E026F4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A0201060901扫描仪</w:t>
            </w:r>
          </w:p>
        </w:tc>
        <w:tc>
          <w:tcPr>
            <w:tcW w:w="2362" w:type="pct"/>
            <w:vAlign w:val="center"/>
          </w:tcPr>
          <w:p w14:paraId="0585969A">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参照《复印机、打印机和传真机能效限定值及能效等级》（GB21521中打印速度为15页/分的针式打印机相关要求中打印速度为15页/分的针式打印机相关要求</w:t>
            </w:r>
          </w:p>
        </w:tc>
      </w:tr>
      <w:tr w14:paraId="023D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Align w:val="center"/>
          </w:tcPr>
          <w:p w14:paraId="4CD520AA">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3</w:t>
            </w:r>
          </w:p>
        </w:tc>
        <w:tc>
          <w:tcPr>
            <w:tcW w:w="651" w:type="pct"/>
            <w:vAlign w:val="center"/>
          </w:tcPr>
          <w:p w14:paraId="0817CB8D">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A020202投影仪</w:t>
            </w:r>
          </w:p>
        </w:tc>
        <w:tc>
          <w:tcPr>
            <w:tcW w:w="952" w:type="pct"/>
            <w:vAlign w:val="center"/>
          </w:tcPr>
          <w:p w14:paraId="7978C642">
            <w:pPr>
              <w:spacing w:line="300" w:lineRule="auto"/>
              <w:jc w:val="center"/>
              <w:rPr>
                <w:rFonts w:ascii="宋体" w:hAnsi="宋体" w:eastAsia="宋体"/>
                <w:color w:val="auto"/>
                <w:sz w:val="20"/>
                <w:szCs w:val="20"/>
                <w:highlight w:val="none"/>
              </w:rPr>
            </w:pPr>
          </w:p>
        </w:tc>
        <w:tc>
          <w:tcPr>
            <w:tcW w:w="807" w:type="pct"/>
            <w:vAlign w:val="center"/>
          </w:tcPr>
          <w:p w14:paraId="7721509D">
            <w:pPr>
              <w:spacing w:line="300" w:lineRule="auto"/>
              <w:jc w:val="center"/>
              <w:rPr>
                <w:rFonts w:ascii="宋体" w:hAnsi="宋体" w:eastAsia="宋体"/>
                <w:color w:val="auto"/>
                <w:sz w:val="20"/>
                <w:szCs w:val="20"/>
                <w:highlight w:val="none"/>
              </w:rPr>
            </w:pPr>
          </w:p>
        </w:tc>
        <w:tc>
          <w:tcPr>
            <w:tcW w:w="2362" w:type="pct"/>
            <w:vAlign w:val="center"/>
          </w:tcPr>
          <w:p w14:paraId="235F38B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《投影机能效限定值及能效等级》（GB32028）</w:t>
            </w:r>
          </w:p>
        </w:tc>
      </w:tr>
      <w:tr w14:paraId="63E9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Align w:val="center"/>
          </w:tcPr>
          <w:p w14:paraId="35B25DC9">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4</w:t>
            </w:r>
          </w:p>
        </w:tc>
        <w:tc>
          <w:tcPr>
            <w:tcW w:w="651" w:type="pct"/>
            <w:vAlign w:val="center"/>
          </w:tcPr>
          <w:p w14:paraId="3505E70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A020204多功能一体机</w:t>
            </w:r>
          </w:p>
        </w:tc>
        <w:tc>
          <w:tcPr>
            <w:tcW w:w="952" w:type="pct"/>
            <w:vAlign w:val="center"/>
          </w:tcPr>
          <w:p w14:paraId="2677720C">
            <w:pPr>
              <w:spacing w:line="300" w:lineRule="auto"/>
              <w:jc w:val="center"/>
              <w:rPr>
                <w:rFonts w:ascii="宋体" w:hAnsi="宋体" w:eastAsia="宋体"/>
                <w:color w:val="auto"/>
                <w:sz w:val="20"/>
                <w:szCs w:val="20"/>
                <w:highlight w:val="none"/>
              </w:rPr>
            </w:pPr>
          </w:p>
        </w:tc>
        <w:tc>
          <w:tcPr>
            <w:tcW w:w="807" w:type="pct"/>
            <w:vAlign w:val="center"/>
          </w:tcPr>
          <w:p w14:paraId="17EF9952">
            <w:pPr>
              <w:spacing w:line="300" w:lineRule="auto"/>
              <w:jc w:val="center"/>
              <w:rPr>
                <w:rFonts w:ascii="宋体" w:hAnsi="宋体" w:eastAsia="宋体"/>
                <w:color w:val="auto"/>
                <w:sz w:val="20"/>
                <w:szCs w:val="20"/>
                <w:highlight w:val="none"/>
              </w:rPr>
            </w:pPr>
          </w:p>
        </w:tc>
        <w:tc>
          <w:tcPr>
            <w:tcW w:w="2362" w:type="pct"/>
            <w:vAlign w:val="center"/>
          </w:tcPr>
          <w:p w14:paraId="6B7CA7A9">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《复印机、打印机和传真机能效限定值及能效等级》（GB21521）</w:t>
            </w:r>
          </w:p>
        </w:tc>
      </w:tr>
      <w:tr w14:paraId="1302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Align w:val="center"/>
          </w:tcPr>
          <w:p w14:paraId="44285B1D">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5</w:t>
            </w:r>
          </w:p>
        </w:tc>
        <w:tc>
          <w:tcPr>
            <w:tcW w:w="651" w:type="pct"/>
            <w:vAlign w:val="center"/>
          </w:tcPr>
          <w:p w14:paraId="53D7C4E2">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A020519泵</w:t>
            </w:r>
          </w:p>
        </w:tc>
        <w:tc>
          <w:tcPr>
            <w:tcW w:w="952" w:type="pct"/>
            <w:vAlign w:val="center"/>
          </w:tcPr>
          <w:p w14:paraId="733F1CFE">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A02051901离心泵</w:t>
            </w:r>
          </w:p>
        </w:tc>
        <w:tc>
          <w:tcPr>
            <w:tcW w:w="807" w:type="pct"/>
            <w:vAlign w:val="center"/>
          </w:tcPr>
          <w:p w14:paraId="31DF753A">
            <w:pPr>
              <w:spacing w:line="300" w:lineRule="auto"/>
              <w:jc w:val="center"/>
              <w:rPr>
                <w:rFonts w:ascii="宋体" w:hAnsi="宋体" w:eastAsia="宋体"/>
                <w:color w:val="auto"/>
                <w:sz w:val="20"/>
                <w:szCs w:val="20"/>
                <w:highlight w:val="none"/>
              </w:rPr>
            </w:pPr>
          </w:p>
        </w:tc>
        <w:tc>
          <w:tcPr>
            <w:tcW w:w="2362" w:type="pct"/>
            <w:vAlign w:val="center"/>
          </w:tcPr>
          <w:p w14:paraId="1D9329FD">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《清水离心泵能效限定值及节能评价值》（GB19762）</w:t>
            </w:r>
          </w:p>
        </w:tc>
      </w:tr>
      <w:tr w14:paraId="4827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restart"/>
            <w:vAlign w:val="center"/>
          </w:tcPr>
          <w:p w14:paraId="6253DC6A">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6</w:t>
            </w:r>
          </w:p>
        </w:tc>
        <w:tc>
          <w:tcPr>
            <w:tcW w:w="651" w:type="pct"/>
            <w:vMerge w:val="restart"/>
            <w:vAlign w:val="center"/>
          </w:tcPr>
          <w:p w14:paraId="63BC6DFD">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A020523制冷空调设备</w:t>
            </w:r>
          </w:p>
        </w:tc>
        <w:tc>
          <w:tcPr>
            <w:tcW w:w="952" w:type="pct"/>
            <w:vMerge w:val="restart"/>
            <w:vAlign w:val="center"/>
          </w:tcPr>
          <w:p w14:paraId="59330E2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★A02052301制冷压缩机</w:t>
            </w:r>
          </w:p>
        </w:tc>
        <w:tc>
          <w:tcPr>
            <w:tcW w:w="807" w:type="pct"/>
            <w:vAlign w:val="center"/>
          </w:tcPr>
          <w:p w14:paraId="7C9FC3F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冷水机组</w:t>
            </w:r>
          </w:p>
        </w:tc>
        <w:tc>
          <w:tcPr>
            <w:tcW w:w="2362" w:type="pct"/>
            <w:vAlign w:val="center"/>
          </w:tcPr>
          <w:p w14:paraId="314E3178">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《冷水机组能效限定值及能效等级》（GB19577），《低环境温度空气源热泵（冷水）机组能效限定值及能效等级》（GB37480）</w:t>
            </w:r>
          </w:p>
        </w:tc>
      </w:tr>
      <w:tr w14:paraId="11C9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397C0F2E">
            <w:pPr>
              <w:spacing w:line="300" w:lineRule="auto"/>
              <w:jc w:val="center"/>
              <w:rPr>
                <w:rFonts w:ascii="宋体" w:hAnsi="宋体" w:eastAsia="宋体"/>
                <w:color w:val="auto"/>
                <w:sz w:val="20"/>
                <w:szCs w:val="20"/>
                <w:highlight w:val="none"/>
              </w:rPr>
            </w:pPr>
          </w:p>
        </w:tc>
        <w:tc>
          <w:tcPr>
            <w:tcW w:w="651" w:type="pct"/>
            <w:vMerge w:val="continue"/>
            <w:vAlign w:val="center"/>
          </w:tcPr>
          <w:p w14:paraId="7D03E96A">
            <w:pPr>
              <w:spacing w:line="300" w:lineRule="auto"/>
              <w:jc w:val="center"/>
              <w:rPr>
                <w:rFonts w:ascii="宋体" w:hAnsi="宋体" w:eastAsia="宋体"/>
                <w:color w:val="auto"/>
                <w:sz w:val="20"/>
                <w:szCs w:val="20"/>
                <w:highlight w:val="none"/>
              </w:rPr>
            </w:pPr>
          </w:p>
        </w:tc>
        <w:tc>
          <w:tcPr>
            <w:tcW w:w="952" w:type="pct"/>
            <w:vMerge w:val="continue"/>
            <w:vAlign w:val="center"/>
          </w:tcPr>
          <w:p w14:paraId="4A23BF09">
            <w:pPr>
              <w:spacing w:line="300" w:lineRule="auto"/>
              <w:jc w:val="center"/>
              <w:rPr>
                <w:rFonts w:ascii="宋体" w:hAnsi="宋体" w:eastAsia="宋体"/>
                <w:color w:val="auto"/>
                <w:sz w:val="20"/>
                <w:szCs w:val="20"/>
                <w:highlight w:val="none"/>
              </w:rPr>
            </w:pPr>
          </w:p>
        </w:tc>
        <w:tc>
          <w:tcPr>
            <w:tcW w:w="807" w:type="pct"/>
            <w:vAlign w:val="center"/>
          </w:tcPr>
          <w:p w14:paraId="2B544A2D">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水源热泵机组</w:t>
            </w:r>
          </w:p>
        </w:tc>
        <w:tc>
          <w:tcPr>
            <w:tcW w:w="2362" w:type="pct"/>
            <w:vAlign w:val="center"/>
          </w:tcPr>
          <w:p w14:paraId="156744B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《水（地）源热泵机组能效限定值及能效等级》（GB30721）</w:t>
            </w:r>
          </w:p>
        </w:tc>
      </w:tr>
      <w:tr w14:paraId="7273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7C6662B2">
            <w:pPr>
              <w:spacing w:line="300" w:lineRule="auto"/>
              <w:jc w:val="center"/>
              <w:rPr>
                <w:rFonts w:ascii="宋体" w:hAnsi="宋体" w:eastAsia="宋体"/>
                <w:color w:val="auto"/>
                <w:sz w:val="20"/>
                <w:szCs w:val="20"/>
                <w:highlight w:val="none"/>
              </w:rPr>
            </w:pPr>
          </w:p>
        </w:tc>
        <w:tc>
          <w:tcPr>
            <w:tcW w:w="651" w:type="pct"/>
            <w:vMerge w:val="continue"/>
            <w:vAlign w:val="center"/>
          </w:tcPr>
          <w:p w14:paraId="4D3ABEC5">
            <w:pPr>
              <w:spacing w:line="300" w:lineRule="auto"/>
              <w:jc w:val="center"/>
              <w:rPr>
                <w:rFonts w:ascii="宋体" w:hAnsi="宋体" w:eastAsia="宋体"/>
                <w:color w:val="auto"/>
                <w:sz w:val="20"/>
                <w:szCs w:val="20"/>
                <w:highlight w:val="none"/>
              </w:rPr>
            </w:pPr>
          </w:p>
        </w:tc>
        <w:tc>
          <w:tcPr>
            <w:tcW w:w="952" w:type="pct"/>
            <w:vMerge w:val="continue"/>
            <w:vAlign w:val="center"/>
          </w:tcPr>
          <w:p w14:paraId="530F4C0F">
            <w:pPr>
              <w:spacing w:line="300" w:lineRule="auto"/>
              <w:jc w:val="center"/>
              <w:rPr>
                <w:rFonts w:ascii="宋体" w:hAnsi="宋体" w:eastAsia="宋体"/>
                <w:color w:val="auto"/>
                <w:sz w:val="20"/>
                <w:szCs w:val="20"/>
                <w:highlight w:val="none"/>
              </w:rPr>
            </w:pPr>
          </w:p>
        </w:tc>
        <w:tc>
          <w:tcPr>
            <w:tcW w:w="807" w:type="pct"/>
            <w:vAlign w:val="center"/>
          </w:tcPr>
          <w:p w14:paraId="43A0AF14">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溴化锂吸收式冷水机组</w:t>
            </w:r>
          </w:p>
        </w:tc>
        <w:tc>
          <w:tcPr>
            <w:tcW w:w="2362" w:type="pct"/>
            <w:vAlign w:val="center"/>
          </w:tcPr>
          <w:p w14:paraId="12322D2B">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《溴化锂吸收式冷水机组能效限定值及能效等级》（GB29540）</w:t>
            </w:r>
          </w:p>
        </w:tc>
      </w:tr>
      <w:tr w14:paraId="209F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756EEFD8">
            <w:pPr>
              <w:spacing w:line="300" w:lineRule="auto"/>
              <w:jc w:val="center"/>
              <w:rPr>
                <w:rFonts w:ascii="宋体" w:hAnsi="宋体" w:eastAsia="宋体"/>
                <w:color w:val="auto"/>
                <w:sz w:val="20"/>
                <w:szCs w:val="20"/>
                <w:highlight w:val="none"/>
              </w:rPr>
            </w:pPr>
          </w:p>
        </w:tc>
        <w:tc>
          <w:tcPr>
            <w:tcW w:w="651" w:type="pct"/>
            <w:vMerge w:val="continue"/>
            <w:vAlign w:val="center"/>
          </w:tcPr>
          <w:p w14:paraId="315125B9">
            <w:pPr>
              <w:spacing w:line="300" w:lineRule="auto"/>
              <w:jc w:val="center"/>
              <w:rPr>
                <w:rFonts w:ascii="宋体" w:hAnsi="宋体" w:eastAsia="宋体"/>
                <w:color w:val="auto"/>
                <w:sz w:val="20"/>
                <w:szCs w:val="20"/>
                <w:highlight w:val="none"/>
              </w:rPr>
            </w:pPr>
          </w:p>
        </w:tc>
        <w:tc>
          <w:tcPr>
            <w:tcW w:w="952" w:type="pct"/>
            <w:vMerge w:val="restart"/>
            <w:vAlign w:val="center"/>
          </w:tcPr>
          <w:p w14:paraId="46A7AD9E">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★A02052305空调机组</w:t>
            </w:r>
          </w:p>
        </w:tc>
        <w:tc>
          <w:tcPr>
            <w:tcW w:w="807" w:type="pct"/>
            <w:vAlign w:val="center"/>
          </w:tcPr>
          <w:p w14:paraId="60819F9B">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多联式空调（热泵）机组（制冷量&gt;14000W）</w:t>
            </w:r>
          </w:p>
        </w:tc>
        <w:tc>
          <w:tcPr>
            <w:tcW w:w="2362" w:type="pct"/>
            <w:vAlign w:val="center"/>
          </w:tcPr>
          <w:p w14:paraId="0EDD6678">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《多联式空调（热泵）机组能效限定值及能源效率等级》（GB21454）</w:t>
            </w:r>
          </w:p>
        </w:tc>
      </w:tr>
      <w:tr w14:paraId="4764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5C2C9813">
            <w:pPr>
              <w:spacing w:line="300" w:lineRule="auto"/>
              <w:jc w:val="center"/>
              <w:rPr>
                <w:rFonts w:ascii="宋体" w:hAnsi="宋体" w:eastAsia="宋体"/>
                <w:color w:val="auto"/>
                <w:sz w:val="20"/>
                <w:szCs w:val="20"/>
                <w:highlight w:val="none"/>
              </w:rPr>
            </w:pPr>
          </w:p>
        </w:tc>
        <w:tc>
          <w:tcPr>
            <w:tcW w:w="651" w:type="pct"/>
            <w:vMerge w:val="continue"/>
            <w:vAlign w:val="center"/>
          </w:tcPr>
          <w:p w14:paraId="052C5AE0">
            <w:pPr>
              <w:spacing w:line="300" w:lineRule="auto"/>
              <w:jc w:val="center"/>
              <w:rPr>
                <w:rFonts w:ascii="宋体" w:hAnsi="宋体" w:eastAsia="宋体"/>
                <w:color w:val="auto"/>
                <w:sz w:val="20"/>
                <w:szCs w:val="20"/>
                <w:highlight w:val="none"/>
              </w:rPr>
            </w:pPr>
          </w:p>
        </w:tc>
        <w:tc>
          <w:tcPr>
            <w:tcW w:w="952" w:type="pct"/>
            <w:vMerge w:val="continue"/>
            <w:vAlign w:val="center"/>
          </w:tcPr>
          <w:p w14:paraId="308CB299">
            <w:pPr>
              <w:spacing w:line="300" w:lineRule="auto"/>
              <w:jc w:val="center"/>
              <w:rPr>
                <w:rFonts w:ascii="宋体" w:hAnsi="宋体" w:eastAsia="宋体"/>
                <w:color w:val="auto"/>
                <w:sz w:val="20"/>
                <w:szCs w:val="20"/>
                <w:highlight w:val="none"/>
              </w:rPr>
            </w:pPr>
          </w:p>
        </w:tc>
        <w:tc>
          <w:tcPr>
            <w:tcW w:w="807" w:type="pct"/>
            <w:vAlign w:val="center"/>
          </w:tcPr>
          <w:p w14:paraId="37293E1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单元式空气调节机（制冷量&gt;14000W</w:t>
            </w:r>
          </w:p>
        </w:tc>
        <w:tc>
          <w:tcPr>
            <w:tcW w:w="2362" w:type="pct"/>
            <w:vAlign w:val="center"/>
          </w:tcPr>
          <w:p w14:paraId="330B7F71">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《单元式空气调节机能效限定值及能效等级》（GB19576）《风管送风式空调机组能效限定值及能效等级》（GB37479）</w:t>
            </w:r>
          </w:p>
        </w:tc>
      </w:tr>
      <w:tr w14:paraId="5075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7BFBF678">
            <w:pPr>
              <w:spacing w:line="300" w:lineRule="auto"/>
              <w:jc w:val="center"/>
              <w:rPr>
                <w:rFonts w:ascii="宋体" w:hAnsi="宋体" w:eastAsia="宋体"/>
                <w:color w:val="auto"/>
                <w:sz w:val="20"/>
                <w:szCs w:val="20"/>
                <w:highlight w:val="none"/>
              </w:rPr>
            </w:pPr>
          </w:p>
        </w:tc>
        <w:tc>
          <w:tcPr>
            <w:tcW w:w="651" w:type="pct"/>
            <w:vMerge w:val="continue"/>
            <w:vAlign w:val="center"/>
          </w:tcPr>
          <w:p w14:paraId="36A447C1">
            <w:pPr>
              <w:spacing w:line="300" w:lineRule="auto"/>
              <w:jc w:val="center"/>
              <w:rPr>
                <w:rFonts w:ascii="宋体" w:hAnsi="宋体" w:eastAsia="宋体"/>
                <w:color w:val="auto"/>
                <w:sz w:val="20"/>
                <w:szCs w:val="20"/>
                <w:highlight w:val="none"/>
              </w:rPr>
            </w:pPr>
          </w:p>
        </w:tc>
        <w:tc>
          <w:tcPr>
            <w:tcW w:w="952" w:type="pct"/>
            <w:vAlign w:val="center"/>
          </w:tcPr>
          <w:p w14:paraId="63E065B1">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★A02052309专用制冷、空调设备</w:t>
            </w:r>
          </w:p>
        </w:tc>
        <w:tc>
          <w:tcPr>
            <w:tcW w:w="807" w:type="pct"/>
            <w:vAlign w:val="center"/>
          </w:tcPr>
          <w:p w14:paraId="193BCAC6">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机房空调</w:t>
            </w:r>
          </w:p>
        </w:tc>
        <w:tc>
          <w:tcPr>
            <w:tcW w:w="2362" w:type="pct"/>
            <w:vAlign w:val="center"/>
          </w:tcPr>
          <w:p w14:paraId="6EA88773">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《单元式空气调节机能效限定值及能效等级》（GB19576）</w:t>
            </w:r>
          </w:p>
        </w:tc>
      </w:tr>
      <w:tr w14:paraId="64BB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135698B2">
            <w:pPr>
              <w:spacing w:line="300" w:lineRule="auto"/>
              <w:jc w:val="center"/>
              <w:rPr>
                <w:rFonts w:ascii="宋体" w:hAnsi="宋体" w:eastAsia="宋体"/>
                <w:color w:val="auto"/>
                <w:sz w:val="20"/>
                <w:szCs w:val="20"/>
                <w:highlight w:val="none"/>
              </w:rPr>
            </w:pPr>
          </w:p>
        </w:tc>
        <w:tc>
          <w:tcPr>
            <w:tcW w:w="651" w:type="pct"/>
            <w:vMerge w:val="continue"/>
            <w:vAlign w:val="center"/>
          </w:tcPr>
          <w:p w14:paraId="7A8BBAF2">
            <w:pPr>
              <w:spacing w:line="300" w:lineRule="auto"/>
              <w:jc w:val="center"/>
              <w:rPr>
                <w:rFonts w:ascii="宋体" w:hAnsi="宋体" w:eastAsia="宋体"/>
                <w:color w:val="auto"/>
                <w:sz w:val="20"/>
                <w:szCs w:val="20"/>
                <w:highlight w:val="none"/>
              </w:rPr>
            </w:pPr>
          </w:p>
        </w:tc>
        <w:tc>
          <w:tcPr>
            <w:tcW w:w="952" w:type="pct"/>
            <w:vAlign w:val="center"/>
          </w:tcPr>
          <w:p w14:paraId="7B7991D9">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A02052399其他制冷空调设备</w:t>
            </w:r>
          </w:p>
        </w:tc>
        <w:tc>
          <w:tcPr>
            <w:tcW w:w="807" w:type="pct"/>
            <w:vAlign w:val="center"/>
          </w:tcPr>
          <w:p w14:paraId="766B329B">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冷却塔</w:t>
            </w:r>
          </w:p>
        </w:tc>
        <w:tc>
          <w:tcPr>
            <w:tcW w:w="2362" w:type="pct"/>
            <w:vAlign w:val="center"/>
          </w:tcPr>
          <w:p w14:paraId="0A5E9B39">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《机械通风冷却塔第1部分：中小型开式冷却塔》（GB/T7190.1）；《机械通风冷却塔第2部分：大型开式冷却塔》（GB/T7190.2）</w:t>
            </w:r>
          </w:p>
        </w:tc>
      </w:tr>
      <w:tr w14:paraId="7E12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Align w:val="center"/>
          </w:tcPr>
          <w:p w14:paraId="4A08AE12">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7</w:t>
            </w:r>
          </w:p>
        </w:tc>
        <w:tc>
          <w:tcPr>
            <w:tcW w:w="651" w:type="pct"/>
            <w:vAlign w:val="center"/>
          </w:tcPr>
          <w:p w14:paraId="15055155">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A020601电机</w:t>
            </w:r>
          </w:p>
        </w:tc>
        <w:tc>
          <w:tcPr>
            <w:tcW w:w="952" w:type="pct"/>
            <w:vAlign w:val="center"/>
          </w:tcPr>
          <w:p w14:paraId="79610333">
            <w:pPr>
              <w:spacing w:line="300" w:lineRule="auto"/>
              <w:jc w:val="center"/>
              <w:rPr>
                <w:rFonts w:ascii="宋体" w:hAnsi="宋体" w:eastAsia="宋体"/>
                <w:color w:val="auto"/>
                <w:sz w:val="20"/>
                <w:szCs w:val="20"/>
                <w:highlight w:val="none"/>
              </w:rPr>
            </w:pPr>
          </w:p>
        </w:tc>
        <w:tc>
          <w:tcPr>
            <w:tcW w:w="807" w:type="pct"/>
            <w:vAlign w:val="center"/>
          </w:tcPr>
          <w:p w14:paraId="596C7CD4">
            <w:pPr>
              <w:spacing w:line="300" w:lineRule="auto"/>
              <w:jc w:val="center"/>
              <w:rPr>
                <w:rFonts w:ascii="宋体" w:hAnsi="宋体" w:eastAsia="宋体"/>
                <w:color w:val="auto"/>
                <w:sz w:val="20"/>
                <w:szCs w:val="20"/>
                <w:highlight w:val="none"/>
              </w:rPr>
            </w:pPr>
          </w:p>
        </w:tc>
        <w:tc>
          <w:tcPr>
            <w:tcW w:w="2362" w:type="pct"/>
            <w:vAlign w:val="center"/>
          </w:tcPr>
          <w:p w14:paraId="56FA837C">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《中小型三相异步电动机能效限定值及能效等级》（GB18613）</w:t>
            </w:r>
          </w:p>
        </w:tc>
      </w:tr>
      <w:tr w14:paraId="7C16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Align w:val="center"/>
          </w:tcPr>
          <w:p w14:paraId="7A154004">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8</w:t>
            </w:r>
          </w:p>
        </w:tc>
        <w:tc>
          <w:tcPr>
            <w:tcW w:w="651" w:type="pct"/>
            <w:vAlign w:val="center"/>
          </w:tcPr>
          <w:p w14:paraId="51EB1D42">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A020602变压器</w:t>
            </w:r>
          </w:p>
        </w:tc>
        <w:tc>
          <w:tcPr>
            <w:tcW w:w="952" w:type="pct"/>
            <w:vAlign w:val="center"/>
          </w:tcPr>
          <w:p w14:paraId="04E7E2F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配电变压器</w:t>
            </w:r>
          </w:p>
        </w:tc>
        <w:tc>
          <w:tcPr>
            <w:tcW w:w="807" w:type="pct"/>
            <w:vAlign w:val="center"/>
          </w:tcPr>
          <w:p w14:paraId="73296B5A">
            <w:pPr>
              <w:spacing w:line="300" w:lineRule="auto"/>
              <w:jc w:val="center"/>
              <w:rPr>
                <w:rFonts w:ascii="宋体" w:hAnsi="宋体" w:eastAsia="宋体"/>
                <w:color w:val="auto"/>
                <w:sz w:val="20"/>
                <w:szCs w:val="20"/>
                <w:highlight w:val="none"/>
              </w:rPr>
            </w:pPr>
          </w:p>
        </w:tc>
        <w:tc>
          <w:tcPr>
            <w:tcW w:w="2362" w:type="pct"/>
            <w:vAlign w:val="center"/>
          </w:tcPr>
          <w:p w14:paraId="23FED138">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《三相配电变压器能效限定值及能效等级》（GB20052）</w:t>
            </w:r>
          </w:p>
        </w:tc>
      </w:tr>
      <w:tr w14:paraId="2372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Align w:val="center"/>
          </w:tcPr>
          <w:p w14:paraId="2647FED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9</w:t>
            </w:r>
          </w:p>
        </w:tc>
        <w:tc>
          <w:tcPr>
            <w:tcW w:w="651" w:type="pct"/>
            <w:vAlign w:val="center"/>
          </w:tcPr>
          <w:p w14:paraId="10A2B361">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★A020609镇流器</w:t>
            </w:r>
          </w:p>
        </w:tc>
        <w:tc>
          <w:tcPr>
            <w:tcW w:w="952" w:type="pct"/>
            <w:vAlign w:val="center"/>
          </w:tcPr>
          <w:p w14:paraId="27AB4C5E">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管型荧光灯镇流器</w:t>
            </w:r>
          </w:p>
        </w:tc>
        <w:tc>
          <w:tcPr>
            <w:tcW w:w="807" w:type="pct"/>
            <w:vAlign w:val="center"/>
          </w:tcPr>
          <w:p w14:paraId="406B56D1">
            <w:pPr>
              <w:spacing w:line="300" w:lineRule="auto"/>
              <w:jc w:val="center"/>
              <w:rPr>
                <w:rFonts w:ascii="宋体" w:hAnsi="宋体" w:eastAsia="宋体"/>
                <w:color w:val="auto"/>
                <w:sz w:val="20"/>
                <w:szCs w:val="20"/>
                <w:highlight w:val="none"/>
              </w:rPr>
            </w:pPr>
          </w:p>
        </w:tc>
        <w:tc>
          <w:tcPr>
            <w:tcW w:w="2362" w:type="pct"/>
            <w:vAlign w:val="center"/>
          </w:tcPr>
          <w:p w14:paraId="1761397A">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《管形荧光灯镇流器能效限定值及能效等级》（GB17896）</w:t>
            </w:r>
          </w:p>
        </w:tc>
      </w:tr>
      <w:tr w14:paraId="5979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restart"/>
            <w:vAlign w:val="center"/>
          </w:tcPr>
          <w:p w14:paraId="12194829">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10</w:t>
            </w:r>
          </w:p>
        </w:tc>
        <w:tc>
          <w:tcPr>
            <w:tcW w:w="651" w:type="pct"/>
            <w:vMerge w:val="restart"/>
            <w:vAlign w:val="center"/>
          </w:tcPr>
          <w:p w14:paraId="5BAE1905">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A020618生活用电器</w:t>
            </w:r>
          </w:p>
        </w:tc>
        <w:tc>
          <w:tcPr>
            <w:tcW w:w="952" w:type="pct"/>
            <w:vAlign w:val="center"/>
          </w:tcPr>
          <w:p w14:paraId="50091A7C">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A0206180101电冰箱</w:t>
            </w:r>
          </w:p>
        </w:tc>
        <w:tc>
          <w:tcPr>
            <w:tcW w:w="807" w:type="pct"/>
            <w:vAlign w:val="center"/>
          </w:tcPr>
          <w:p w14:paraId="49A4CD2B">
            <w:pPr>
              <w:spacing w:line="300" w:lineRule="auto"/>
              <w:jc w:val="center"/>
              <w:rPr>
                <w:rFonts w:ascii="宋体" w:hAnsi="宋体" w:eastAsia="宋体"/>
                <w:color w:val="auto"/>
                <w:sz w:val="20"/>
                <w:szCs w:val="20"/>
                <w:highlight w:val="none"/>
              </w:rPr>
            </w:pPr>
          </w:p>
        </w:tc>
        <w:tc>
          <w:tcPr>
            <w:tcW w:w="2362" w:type="pct"/>
            <w:vAlign w:val="center"/>
          </w:tcPr>
          <w:p w14:paraId="77034E24">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《家用电冰箱耗电量限定值及能效等级》（GB12021.2）</w:t>
            </w:r>
          </w:p>
        </w:tc>
      </w:tr>
      <w:tr w14:paraId="74F9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1540CF5E">
            <w:pPr>
              <w:spacing w:line="300" w:lineRule="auto"/>
              <w:jc w:val="center"/>
              <w:rPr>
                <w:rFonts w:ascii="宋体" w:hAnsi="宋体" w:eastAsia="宋体"/>
                <w:color w:val="auto"/>
                <w:sz w:val="20"/>
                <w:szCs w:val="20"/>
                <w:highlight w:val="none"/>
              </w:rPr>
            </w:pPr>
          </w:p>
        </w:tc>
        <w:tc>
          <w:tcPr>
            <w:tcW w:w="651" w:type="pct"/>
            <w:vMerge w:val="continue"/>
            <w:vAlign w:val="center"/>
          </w:tcPr>
          <w:p w14:paraId="031F1125">
            <w:pPr>
              <w:spacing w:line="300" w:lineRule="auto"/>
              <w:jc w:val="center"/>
              <w:rPr>
                <w:rFonts w:ascii="宋体" w:hAnsi="宋体" w:eastAsia="宋体"/>
                <w:color w:val="auto"/>
                <w:sz w:val="20"/>
                <w:szCs w:val="20"/>
                <w:highlight w:val="none"/>
              </w:rPr>
            </w:pPr>
          </w:p>
        </w:tc>
        <w:tc>
          <w:tcPr>
            <w:tcW w:w="952" w:type="pct"/>
            <w:vMerge w:val="restart"/>
            <w:vAlign w:val="center"/>
          </w:tcPr>
          <w:p w14:paraId="21B6CEC1">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★A0206180203空调机</w:t>
            </w:r>
          </w:p>
        </w:tc>
        <w:tc>
          <w:tcPr>
            <w:tcW w:w="807" w:type="pct"/>
            <w:vAlign w:val="center"/>
          </w:tcPr>
          <w:p w14:paraId="72FA93F1">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房间空气调节器</w:t>
            </w:r>
          </w:p>
        </w:tc>
        <w:tc>
          <w:tcPr>
            <w:tcW w:w="2362" w:type="pct"/>
            <w:vAlign w:val="center"/>
          </w:tcPr>
          <w:p w14:paraId="143E268C">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《转速可控型房间空气调节器能效限定值及能效等级》（GB21455-2013），待2019年修订发布后，按《房间空气调节器能效限定值及能效等级》（GB21455-2019实施。</w:t>
            </w:r>
          </w:p>
        </w:tc>
      </w:tr>
      <w:tr w14:paraId="5C43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37C1FD21">
            <w:pPr>
              <w:spacing w:line="300" w:lineRule="auto"/>
              <w:jc w:val="center"/>
              <w:rPr>
                <w:rFonts w:ascii="宋体" w:hAnsi="宋体" w:eastAsia="宋体"/>
                <w:color w:val="auto"/>
                <w:sz w:val="20"/>
                <w:szCs w:val="20"/>
                <w:highlight w:val="none"/>
              </w:rPr>
            </w:pPr>
          </w:p>
        </w:tc>
        <w:tc>
          <w:tcPr>
            <w:tcW w:w="651" w:type="pct"/>
            <w:vMerge w:val="continue"/>
            <w:vAlign w:val="center"/>
          </w:tcPr>
          <w:p w14:paraId="14021B4B">
            <w:pPr>
              <w:spacing w:line="300" w:lineRule="auto"/>
              <w:jc w:val="center"/>
              <w:rPr>
                <w:rFonts w:ascii="宋体" w:hAnsi="宋体" w:eastAsia="宋体"/>
                <w:color w:val="auto"/>
                <w:sz w:val="20"/>
                <w:szCs w:val="20"/>
                <w:highlight w:val="none"/>
              </w:rPr>
            </w:pPr>
          </w:p>
        </w:tc>
        <w:tc>
          <w:tcPr>
            <w:tcW w:w="952" w:type="pct"/>
            <w:vMerge w:val="continue"/>
            <w:vAlign w:val="center"/>
          </w:tcPr>
          <w:p w14:paraId="6DDBF69A">
            <w:pPr>
              <w:spacing w:line="300" w:lineRule="auto"/>
              <w:jc w:val="center"/>
              <w:rPr>
                <w:rFonts w:ascii="宋体" w:hAnsi="宋体" w:eastAsia="宋体"/>
                <w:color w:val="auto"/>
                <w:sz w:val="20"/>
                <w:szCs w:val="20"/>
                <w:highlight w:val="none"/>
              </w:rPr>
            </w:pPr>
          </w:p>
        </w:tc>
        <w:tc>
          <w:tcPr>
            <w:tcW w:w="807" w:type="pct"/>
            <w:vAlign w:val="center"/>
          </w:tcPr>
          <w:p w14:paraId="093821B8">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多联式空调（热泵）机组（制冷量≤14000W）</w:t>
            </w:r>
          </w:p>
        </w:tc>
        <w:tc>
          <w:tcPr>
            <w:tcW w:w="2362" w:type="pct"/>
            <w:vAlign w:val="center"/>
          </w:tcPr>
          <w:p w14:paraId="46039323">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《多联式空调（热泵）机组能效限定值及能源效率等级》（GB21454）</w:t>
            </w:r>
          </w:p>
        </w:tc>
      </w:tr>
      <w:tr w14:paraId="3332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2F681352">
            <w:pPr>
              <w:spacing w:line="300" w:lineRule="auto"/>
              <w:jc w:val="center"/>
              <w:rPr>
                <w:rFonts w:ascii="宋体" w:hAnsi="宋体" w:eastAsia="宋体"/>
                <w:color w:val="auto"/>
                <w:sz w:val="20"/>
                <w:szCs w:val="20"/>
                <w:highlight w:val="none"/>
              </w:rPr>
            </w:pPr>
          </w:p>
        </w:tc>
        <w:tc>
          <w:tcPr>
            <w:tcW w:w="651" w:type="pct"/>
            <w:vMerge w:val="continue"/>
            <w:vAlign w:val="center"/>
          </w:tcPr>
          <w:p w14:paraId="536BAD9F">
            <w:pPr>
              <w:spacing w:line="300" w:lineRule="auto"/>
              <w:jc w:val="center"/>
              <w:rPr>
                <w:rFonts w:ascii="宋体" w:hAnsi="宋体" w:eastAsia="宋体"/>
                <w:color w:val="auto"/>
                <w:sz w:val="20"/>
                <w:szCs w:val="20"/>
                <w:highlight w:val="none"/>
              </w:rPr>
            </w:pPr>
          </w:p>
        </w:tc>
        <w:tc>
          <w:tcPr>
            <w:tcW w:w="952" w:type="pct"/>
            <w:vMerge w:val="continue"/>
            <w:vAlign w:val="center"/>
          </w:tcPr>
          <w:p w14:paraId="324521D4">
            <w:pPr>
              <w:spacing w:line="300" w:lineRule="auto"/>
              <w:jc w:val="center"/>
              <w:rPr>
                <w:rFonts w:ascii="宋体" w:hAnsi="宋体" w:eastAsia="宋体"/>
                <w:color w:val="auto"/>
                <w:sz w:val="20"/>
                <w:szCs w:val="20"/>
                <w:highlight w:val="none"/>
              </w:rPr>
            </w:pPr>
          </w:p>
        </w:tc>
        <w:tc>
          <w:tcPr>
            <w:tcW w:w="807" w:type="pct"/>
            <w:vAlign w:val="center"/>
          </w:tcPr>
          <w:p w14:paraId="5B26F889">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单元式空气调节机（制冷量≤14000W）</w:t>
            </w:r>
          </w:p>
        </w:tc>
        <w:tc>
          <w:tcPr>
            <w:tcW w:w="2362" w:type="pct"/>
            <w:vAlign w:val="center"/>
          </w:tcPr>
          <w:p w14:paraId="7E443770">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《单元式空气调节机能效限定值及能源效率等级》（GB19576）《风管送风式空调机组能效限定值及能效等级》（GB37479）</w:t>
            </w:r>
          </w:p>
        </w:tc>
      </w:tr>
      <w:tr w14:paraId="110E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7DF2D0DA">
            <w:pPr>
              <w:spacing w:line="300" w:lineRule="auto"/>
              <w:jc w:val="center"/>
              <w:rPr>
                <w:rFonts w:ascii="宋体" w:hAnsi="宋体" w:eastAsia="宋体"/>
                <w:color w:val="auto"/>
                <w:sz w:val="20"/>
                <w:szCs w:val="20"/>
                <w:highlight w:val="none"/>
              </w:rPr>
            </w:pPr>
          </w:p>
        </w:tc>
        <w:tc>
          <w:tcPr>
            <w:tcW w:w="651" w:type="pct"/>
            <w:vMerge w:val="continue"/>
            <w:vAlign w:val="center"/>
          </w:tcPr>
          <w:p w14:paraId="24D2A6CA">
            <w:pPr>
              <w:spacing w:line="300" w:lineRule="auto"/>
              <w:jc w:val="center"/>
              <w:rPr>
                <w:rFonts w:ascii="宋体" w:hAnsi="宋体" w:eastAsia="宋体"/>
                <w:color w:val="auto"/>
                <w:sz w:val="20"/>
                <w:szCs w:val="20"/>
                <w:highlight w:val="none"/>
              </w:rPr>
            </w:pPr>
          </w:p>
        </w:tc>
        <w:tc>
          <w:tcPr>
            <w:tcW w:w="952" w:type="pct"/>
            <w:vAlign w:val="center"/>
          </w:tcPr>
          <w:p w14:paraId="24534FFB">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A0206180301洗衣机</w:t>
            </w:r>
          </w:p>
        </w:tc>
        <w:tc>
          <w:tcPr>
            <w:tcW w:w="807" w:type="pct"/>
            <w:vAlign w:val="center"/>
          </w:tcPr>
          <w:p w14:paraId="2DB0DDE6">
            <w:pPr>
              <w:spacing w:line="300" w:lineRule="auto"/>
              <w:jc w:val="center"/>
              <w:rPr>
                <w:rFonts w:ascii="宋体" w:hAnsi="宋体" w:eastAsia="宋体"/>
                <w:color w:val="auto"/>
                <w:sz w:val="20"/>
                <w:szCs w:val="20"/>
                <w:highlight w:val="none"/>
              </w:rPr>
            </w:pPr>
          </w:p>
        </w:tc>
        <w:tc>
          <w:tcPr>
            <w:tcW w:w="2362" w:type="pct"/>
            <w:vAlign w:val="center"/>
          </w:tcPr>
          <w:p w14:paraId="460831FB">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《电动洗衣机能效水效限定值及等级》（GB12021.4）</w:t>
            </w:r>
          </w:p>
        </w:tc>
      </w:tr>
      <w:tr w14:paraId="628E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108200D6">
            <w:pPr>
              <w:spacing w:line="300" w:lineRule="auto"/>
              <w:jc w:val="center"/>
              <w:rPr>
                <w:rFonts w:ascii="宋体" w:hAnsi="宋体" w:eastAsia="宋体"/>
                <w:color w:val="auto"/>
                <w:sz w:val="20"/>
                <w:szCs w:val="20"/>
                <w:highlight w:val="none"/>
              </w:rPr>
            </w:pPr>
          </w:p>
        </w:tc>
        <w:tc>
          <w:tcPr>
            <w:tcW w:w="651" w:type="pct"/>
            <w:vMerge w:val="continue"/>
            <w:vAlign w:val="center"/>
          </w:tcPr>
          <w:p w14:paraId="1C9AAEF5">
            <w:pPr>
              <w:spacing w:line="300" w:lineRule="auto"/>
              <w:jc w:val="center"/>
              <w:rPr>
                <w:rFonts w:ascii="宋体" w:hAnsi="宋体" w:eastAsia="宋体"/>
                <w:color w:val="auto"/>
                <w:sz w:val="20"/>
                <w:szCs w:val="20"/>
                <w:highlight w:val="none"/>
              </w:rPr>
            </w:pPr>
          </w:p>
        </w:tc>
        <w:tc>
          <w:tcPr>
            <w:tcW w:w="952" w:type="pct"/>
            <w:vMerge w:val="restart"/>
            <w:vAlign w:val="center"/>
          </w:tcPr>
          <w:p w14:paraId="1F0F1C32">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A02061808热水器</w:t>
            </w:r>
          </w:p>
        </w:tc>
        <w:tc>
          <w:tcPr>
            <w:tcW w:w="807" w:type="pct"/>
            <w:vAlign w:val="center"/>
          </w:tcPr>
          <w:p w14:paraId="2C7E0626">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★电热水器</w:t>
            </w:r>
          </w:p>
        </w:tc>
        <w:tc>
          <w:tcPr>
            <w:tcW w:w="2362" w:type="pct"/>
            <w:vAlign w:val="center"/>
          </w:tcPr>
          <w:p w14:paraId="3472074A">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《储水式电热水器能效限定值及能效等级》（GB21519）</w:t>
            </w:r>
          </w:p>
        </w:tc>
      </w:tr>
      <w:tr w14:paraId="4892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1202AD11">
            <w:pPr>
              <w:spacing w:line="300" w:lineRule="auto"/>
              <w:jc w:val="center"/>
              <w:rPr>
                <w:rFonts w:ascii="宋体" w:hAnsi="宋体" w:eastAsia="宋体"/>
                <w:color w:val="auto"/>
                <w:sz w:val="20"/>
                <w:szCs w:val="20"/>
                <w:highlight w:val="none"/>
              </w:rPr>
            </w:pPr>
          </w:p>
        </w:tc>
        <w:tc>
          <w:tcPr>
            <w:tcW w:w="651" w:type="pct"/>
            <w:vMerge w:val="continue"/>
            <w:vAlign w:val="center"/>
          </w:tcPr>
          <w:p w14:paraId="5A109344">
            <w:pPr>
              <w:spacing w:line="300" w:lineRule="auto"/>
              <w:jc w:val="center"/>
              <w:rPr>
                <w:rFonts w:ascii="宋体" w:hAnsi="宋体" w:eastAsia="宋体"/>
                <w:color w:val="auto"/>
                <w:sz w:val="20"/>
                <w:szCs w:val="20"/>
                <w:highlight w:val="none"/>
              </w:rPr>
            </w:pPr>
          </w:p>
        </w:tc>
        <w:tc>
          <w:tcPr>
            <w:tcW w:w="952" w:type="pct"/>
            <w:vMerge w:val="continue"/>
            <w:vAlign w:val="center"/>
          </w:tcPr>
          <w:p w14:paraId="77D2378B">
            <w:pPr>
              <w:spacing w:line="300" w:lineRule="auto"/>
              <w:jc w:val="center"/>
              <w:rPr>
                <w:rFonts w:ascii="宋体" w:hAnsi="宋体" w:eastAsia="宋体"/>
                <w:color w:val="auto"/>
                <w:sz w:val="20"/>
                <w:szCs w:val="20"/>
                <w:highlight w:val="none"/>
              </w:rPr>
            </w:pPr>
          </w:p>
        </w:tc>
        <w:tc>
          <w:tcPr>
            <w:tcW w:w="807" w:type="pct"/>
            <w:vAlign w:val="center"/>
          </w:tcPr>
          <w:p w14:paraId="0BEF898B">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燃气热水器</w:t>
            </w:r>
          </w:p>
        </w:tc>
        <w:tc>
          <w:tcPr>
            <w:tcW w:w="2362" w:type="pct"/>
            <w:vAlign w:val="center"/>
          </w:tcPr>
          <w:p w14:paraId="1A34D71B">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《家用燃气快速热水器和燃气采暖热水炉能效限定值及能效等级》（GB20665）</w:t>
            </w:r>
          </w:p>
        </w:tc>
      </w:tr>
      <w:tr w14:paraId="0B1C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57B6C463">
            <w:pPr>
              <w:spacing w:line="300" w:lineRule="auto"/>
              <w:jc w:val="center"/>
              <w:rPr>
                <w:rFonts w:ascii="宋体" w:hAnsi="宋体" w:eastAsia="宋体"/>
                <w:color w:val="auto"/>
                <w:sz w:val="20"/>
                <w:szCs w:val="20"/>
                <w:highlight w:val="none"/>
              </w:rPr>
            </w:pPr>
          </w:p>
        </w:tc>
        <w:tc>
          <w:tcPr>
            <w:tcW w:w="651" w:type="pct"/>
            <w:vMerge w:val="continue"/>
            <w:vAlign w:val="center"/>
          </w:tcPr>
          <w:p w14:paraId="3B4DA35F">
            <w:pPr>
              <w:spacing w:line="300" w:lineRule="auto"/>
              <w:jc w:val="center"/>
              <w:rPr>
                <w:rFonts w:ascii="宋体" w:hAnsi="宋体" w:eastAsia="宋体"/>
                <w:color w:val="auto"/>
                <w:sz w:val="20"/>
                <w:szCs w:val="20"/>
                <w:highlight w:val="none"/>
              </w:rPr>
            </w:pPr>
          </w:p>
        </w:tc>
        <w:tc>
          <w:tcPr>
            <w:tcW w:w="952" w:type="pct"/>
            <w:vMerge w:val="continue"/>
            <w:vAlign w:val="center"/>
          </w:tcPr>
          <w:p w14:paraId="3EA3E446">
            <w:pPr>
              <w:spacing w:line="300" w:lineRule="auto"/>
              <w:jc w:val="center"/>
              <w:rPr>
                <w:rFonts w:ascii="宋体" w:hAnsi="宋体" w:eastAsia="宋体"/>
                <w:color w:val="auto"/>
                <w:sz w:val="20"/>
                <w:szCs w:val="20"/>
                <w:highlight w:val="none"/>
              </w:rPr>
            </w:pPr>
          </w:p>
        </w:tc>
        <w:tc>
          <w:tcPr>
            <w:tcW w:w="807" w:type="pct"/>
            <w:vAlign w:val="center"/>
          </w:tcPr>
          <w:p w14:paraId="66B90D45">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热泵热水器</w:t>
            </w:r>
          </w:p>
        </w:tc>
        <w:tc>
          <w:tcPr>
            <w:tcW w:w="2362" w:type="pct"/>
            <w:vAlign w:val="center"/>
          </w:tcPr>
          <w:p w14:paraId="14CEF148">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《热泵热水机（器）能效限定值及能效等级》（GB29541）</w:t>
            </w:r>
          </w:p>
        </w:tc>
      </w:tr>
      <w:tr w14:paraId="60CA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6C1010DD">
            <w:pPr>
              <w:spacing w:line="300" w:lineRule="auto"/>
              <w:jc w:val="center"/>
              <w:rPr>
                <w:rFonts w:ascii="宋体" w:hAnsi="宋体" w:eastAsia="宋体"/>
                <w:color w:val="auto"/>
                <w:sz w:val="20"/>
                <w:szCs w:val="20"/>
                <w:highlight w:val="none"/>
              </w:rPr>
            </w:pPr>
          </w:p>
        </w:tc>
        <w:tc>
          <w:tcPr>
            <w:tcW w:w="651" w:type="pct"/>
            <w:vMerge w:val="continue"/>
            <w:vAlign w:val="center"/>
          </w:tcPr>
          <w:p w14:paraId="614FA950">
            <w:pPr>
              <w:spacing w:line="300" w:lineRule="auto"/>
              <w:jc w:val="center"/>
              <w:rPr>
                <w:rFonts w:ascii="宋体" w:hAnsi="宋体" w:eastAsia="宋体"/>
                <w:color w:val="auto"/>
                <w:sz w:val="20"/>
                <w:szCs w:val="20"/>
                <w:highlight w:val="none"/>
              </w:rPr>
            </w:pPr>
          </w:p>
        </w:tc>
        <w:tc>
          <w:tcPr>
            <w:tcW w:w="952" w:type="pct"/>
            <w:vMerge w:val="continue"/>
            <w:vAlign w:val="center"/>
          </w:tcPr>
          <w:p w14:paraId="220D0124">
            <w:pPr>
              <w:spacing w:line="300" w:lineRule="auto"/>
              <w:jc w:val="center"/>
              <w:rPr>
                <w:rFonts w:ascii="宋体" w:hAnsi="宋体" w:eastAsia="宋体"/>
                <w:color w:val="auto"/>
                <w:sz w:val="20"/>
                <w:szCs w:val="20"/>
                <w:highlight w:val="none"/>
              </w:rPr>
            </w:pPr>
          </w:p>
        </w:tc>
        <w:tc>
          <w:tcPr>
            <w:tcW w:w="807" w:type="pct"/>
            <w:vAlign w:val="center"/>
          </w:tcPr>
          <w:p w14:paraId="54CD1198">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太阳能热水系统</w:t>
            </w:r>
          </w:p>
        </w:tc>
        <w:tc>
          <w:tcPr>
            <w:tcW w:w="2362" w:type="pct"/>
            <w:vAlign w:val="center"/>
          </w:tcPr>
          <w:p w14:paraId="5B4D4565">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《家用太阳能热水系统能效限定值及能效等级》（GB26969）</w:t>
            </w:r>
          </w:p>
        </w:tc>
      </w:tr>
      <w:tr w14:paraId="5242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restart"/>
            <w:vAlign w:val="center"/>
          </w:tcPr>
          <w:p w14:paraId="698CB641">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11</w:t>
            </w:r>
          </w:p>
        </w:tc>
        <w:tc>
          <w:tcPr>
            <w:tcW w:w="651" w:type="pct"/>
            <w:vMerge w:val="restart"/>
            <w:vAlign w:val="center"/>
          </w:tcPr>
          <w:p w14:paraId="25B47A8C">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A020619照明设备</w:t>
            </w:r>
          </w:p>
        </w:tc>
        <w:tc>
          <w:tcPr>
            <w:tcW w:w="952" w:type="pct"/>
            <w:vAlign w:val="center"/>
          </w:tcPr>
          <w:p w14:paraId="32930218">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★普通照明用双端荧光灯</w:t>
            </w:r>
          </w:p>
        </w:tc>
        <w:tc>
          <w:tcPr>
            <w:tcW w:w="807" w:type="pct"/>
            <w:vAlign w:val="center"/>
          </w:tcPr>
          <w:p w14:paraId="23CB3EEB">
            <w:pPr>
              <w:spacing w:line="300" w:lineRule="auto"/>
              <w:jc w:val="center"/>
              <w:rPr>
                <w:rFonts w:ascii="宋体" w:hAnsi="宋体" w:eastAsia="宋体"/>
                <w:color w:val="auto"/>
                <w:sz w:val="20"/>
                <w:szCs w:val="20"/>
                <w:highlight w:val="none"/>
              </w:rPr>
            </w:pPr>
          </w:p>
        </w:tc>
        <w:tc>
          <w:tcPr>
            <w:tcW w:w="2362" w:type="pct"/>
            <w:vAlign w:val="center"/>
          </w:tcPr>
          <w:p w14:paraId="54057310">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《普通照明用双端荧光灯能效限定值及能效等级》（GB19043）</w:t>
            </w:r>
          </w:p>
        </w:tc>
      </w:tr>
      <w:tr w14:paraId="7E46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40CCAF1E">
            <w:pPr>
              <w:spacing w:line="300" w:lineRule="auto"/>
              <w:jc w:val="center"/>
              <w:rPr>
                <w:rFonts w:ascii="宋体" w:hAnsi="宋体" w:eastAsia="宋体"/>
                <w:color w:val="auto"/>
                <w:sz w:val="20"/>
                <w:szCs w:val="20"/>
                <w:highlight w:val="none"/>
              </w:rPr>
            </w:pPr>
          </w:p>
        </w:tc>
        <w:tc>
          <w:tcPr>
            <w:tcW w:w="651" w:type="pct"/>
            <w:vMerge w:val="continue"/>
            <w:vAlign w:val="center"/>
          </w:tcPr>
          <w:p w14:paraId="67D49CC6">
            <w:pPr>
              <w:spacing w:line="300" w:lineRule="auto"/>
              <w:jc w:val="center"/>
              <w:rPr>
                <w:rFonts w:ascii="宋体" w:hAnsi="宋体" w:eastAsia="宋体"/>
                <w:color w:val="auto"/>
                <w:sz w:val="20"/>
                <w:szCs w:val="20"/>
                <w:highlight w:val="none"/>
              </w:rPr>
            </w:pPr>
          </w:p>
        </w:tc>
        <w:tc>
          <w:tcPr>
            <w:tcW w:w="952" w:type="pct"/>
            <w:vAlign w:val="center"/>
          </w:tcPr>
          <w:p w14:paraId="00CD4BF3">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LED道路/隧道照明产品</w:t>
            </w:r>
          </w:p>
        </w:tc>
        <w:tc>
          <w:tcPr>
            <w:tcW w:w="807" w:type="pct"/>
            <w:vAlign w:val="center"/>
          </w:tcPr>
          <w:p w14:paraId="01B5FCD7">
            <w:pPr>
              <w:spacing w:line="300" w:lineRule="auto"/>
              <w:jc w:val="center"/>
              <w:rPr>
                <w:rFonts w:ascii="宋体" w:hAnsi="宋体" w:eastAsia="宋体"/>
                <w:color w:val="auto"/>
                <w:sz w:val="20"/>
                <w:szCs w:val="20"/>
                <w:highlight w:val="none"/>
              </w:rPr>
            </w:pPr>
          </w:p>
        </w:tc>
        <w:tc>
          <w:tcPr>
            <w:tcW w:w="2362" w:type="pct"/>
            <w:vAlign w:val="center"/>
          </w:tcPr>
          <w:p w14:paraId="2284660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《道路和隧道照明用LED灯具能效限定值及能效等级》（GB37478）</w:t>
            </w:r>
          </w:p>
        </w:tc>
      </w:tr>
      <w:tr w14:paraId="1033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1D7DAC42">
            <w:pPr>
              <w:spacing w:line="300" w:lineRule="auto"/>
              <w:jc w:val="center"/>
              <w:rPr>
                <w:rFonts w:ascii="宋体" w:hAnsi="宋体" w:eastAsia="宋体"/>
                <w:color w:val="auto"/>
                <w:sz w:val="20"/>
                <w:szCs w:val="20"/>
                <w:highlight w:val="none"/>
              </w:rPr>
            </w:pPr>
          </w:p>
        </w:tc>
        <w:tc>
          <w:tcPr>
            <w:tcW w:w="651" w:type="pct"/>
            <w:vMerge w:val="continue"/>
            <w:vAlign w:val="center"/>
          </w:tcPr>
          <w:p w14:paraId="2DAF0F59">
            <w:pPr>
              <w:spacing w:line="300" w:lineRule="auto"/>
              <w:jc w:val="center"/>
              <w:rPr>
                <w:rFonts w:ascii="宋体" w:hAnsi="宋体" w:eastAsia="宋体"/>
                <w:color w:val="auto"/>
                <w:sz w:val="20"/>
                <w:szCs w:val="20"/>
                <w:highlight w:val="none"/>
              </w:rPr>
            </w:pPr>
          </w:p>
        </w:tc>
        <w:tc>
          <w:tcPr>
            <w:tcW w:w="952" w:type="pct"/>
            <w:vAlign w:val="center"/>
          </w:tcPr>
          <w:p w14:paraId="03F278DD">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LED筒灯</w:t>
            </w:r>
          </w:p>
        </w:tc>
        <w:tc>
          <w:tcPr>
            <w:tcW w:w="807" w:type="pct"/>
            <w:vAlign w:val="center"/>
          </w:tcPr>
          <w:p w14:paraId="154FD055">
            <w:pPr>
              <w:spacing w:line="300" w:lineRule="auto"/>
              <w:jc w:val="center"/>
              <w:rPr>
                <w:rFonts w:ascii="宋体" w:hAnsi="宋体" w:eastAsia="宋体"/>
                <w:color w:val="auto"/>
                <w:sz w:val="20"/>
                <w:szCs w:val="20"/>
                <w:highlight w:val="none"/>
              </w:rPr>
            </w:pPr>
          </w:p>
        </w:tc>
        <w:tc>
          <w:tcPr>
            <w:tcW w:w="2362" w:type="pct"/>
            <w:vAlign w:val="center"/>
          </w:tcPr>
          <w:p w14:paraId="6E63C414">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《室内照明用LED产品能效限定值及能效等级》（GB30255）</w:t>
            </w:r>
          </w:p>
        </w:tc>
      </w:tr>
      <w:tr w14:paraId="137C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12862FF0">
            <w:pPr>
              <w:spacing w:line="300" w:lineRule="auto"/>
              <w:jc w:val="center"/>
              <w:rPr>
                <w:rFonts w:ascii="宋体" w:hAnsi="宋体" w:eastAsia="宋体"/>
                <w:color w:val="auto"/>
                <w:sz w:val="20"/>
                <w:szCs w:val="20"/>
                <w:highlight w:val="none"/>
              </w:rPr>
            </w:pPr>
          </w:p>
        </w:tc>
        <w:tc>
          <w:tcPr>
            <w:tcW w:w="651" w:type="pct"/>
            <w:vMerge w:val="continue"/>
            <w:vAlign w:val="center"/>
          </w:tcPr>
          <w:p w14:paraId="207FDB1F">
            <w:pPr>
              <w:spacing w:line="300" w:lineRule="auto"/>
              <w:jc w:val="center"/>
              <w:rPr>
                <w:rFonts w:ascii="宋体" w:hAnsi="宋体" w:eastAsia="宋体"/>
                <w:color w:val="auto"/>
                <w:sz w:val="20"/>
                <w:szCs w:val="20"/>
                <w:highlight w:val="none"/>
              </w:rPr>
            </w:pPr>
          </w:p>
        </w:tc>
        <w:tc>
          <w:tcPr>
            <w:tcW w:w="952" w:type="pct"/>
            <w:vAlign w:val="center"/>
          </w:tcPr>
          <w:p w14:paraId="5BF66F41">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普通照明用非定向自镇流LED灯</w:t>
            </w:r>
          </w:p>
        </w:tc>
        <w:tc>
          <w:tcPr>
            <w:tcW w:w="807" w:type="pct"/>
            <w:vAlign w:val="center"/>
          </w:tcPr>
          <w:p w14:paraId="53966E3C">
            <w:pPr>
              <w:spacing w:line="300" w:lineRule="auto"/>
              <w:jc w:val="center"/>
              <w:rPr>
                <w:rFonts w:ascii="宋体" w:hAnsi="宋体" w:eastAsia="宋体"/>
                <w:color w:val="auto"/>
                <w:sz w:val="20"/>
                <w:szCs w:val="20"/>
                <w:highlight w:val="none"/>
              </w:rPr>
            </w:pPr>
          </w:p>
        </w:tc>
        <w:tc>
          <w:tcPr>
            <w:tcW w:w="2362" w:type="pct"/>
            <w:vAlign w:val="center"/>
          </w:tcPr>
          <w:p w14:paraId="2E09A5A3">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《室内照明用LED产品能效限定值及能效等级》（GB30255）</w:t>
            </w:r>
          </w:p>
        </w:tc>
      </w:tr>
      <w:tr w14:paraId="0410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Align w:val="center"/>
          </w:tcPr>
          <w:p w14:paraId="7E786C6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12</w:t>
            </w:r>
          </w:p>
        </w:tc>
        <w:tc>
          <w:tcPr>
            <w:tcW w:w="651" w:type="pct"/>
            <w:vAlign w:val="center"/>
          </w:tcPr>
          <w:p w14:paraId="202ED8B9">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★A020910电视设备</w:t>
            </w:r>
          </w:p>
        </w:tc>
        <w:tc>
          <w:tcPr>
            <w:tcW w:w="952" w:type="pct"/>
            <w:vAlign w:val="center"/>
          </w:tcPr>
          <w:p w14:paraId="590B10C2">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A02091001普通电视设备（电视机）</w:t>
            </w:r>
          </w:p>
        </w:tc>
        <w:tc>
          <w:tcPr>
            <w:tcW w:w="807" w:type="pct"/>
            <w:vAlign w:val="center"/>
          </w:tcPr>
          <w:p w14:paraId="576E573E">
            <w:pPr>
              <w:spacing w:line="300" w:lineRule="auto"/>
              <w:jc w:val="center"/>
              <w:rPr>
                <w:rFonts w:ascii="宋体" w:hAnsi="宋体" w:eastAsia="宋体"/>
                <w:color w:val="auto"/>
                <w:sz w:val="20"/>
                <w:szCs w:val="20"/>
                <w:highlight w:val="none"/>
              </w:rPr>
            </w:pPr>
          </w:p>
        </w:tc>
        <w:tc>
          <w:tcPr>
            <w:tcW w:w="2362" w:type="pct"/>
            <w:vAlign w:val="center"/>
          </w:tcPr>
          <w:p w14:paraId="6AE5E809">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《平板电视能效限定值及能效等级》（GB24850）</w:t>
            </w:r>
          </w:p>
        </w:tc>
      </w:tr>
      <w:tr w14:paraId="4697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Align w:val="center"/>
          </w:tcPr>
          <w:p w14:paraId="5D7A82D6">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13</w:t>
            </w:r>
          </w:p>
        </w:tc>
        <w:tc>
          <w:tcPr>
            <w:tcW w:w="651" w:type="pct"/>
            <w:vAlign w:val="center"/>
          </w:tcPr>
          <w:p w14:paraId="17FEF66A">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★A020911视频设备</w:t>
            </w:r>
          </w:p>
        </w:tc>
        <w:tc>
          <w:tcPr>
            <w:tcW w:w="952" w:type="pct"/>
            <w:vAlign w:val="center"/>
          </w:tcPr>
          <w:p w14:paraId="07C8C765">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A02091107视频监控设备</w:t>
            </w:r>
          </w:p>
        </w:tc>
        <w:tc>
          <w:tcPr>
            <w:tcW w:w="807" w:type="pct"/>
            <w:vAlign w:val="center"/>
          </w:tcPr>
          <w:p w14:paraId="40CFFA4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监视器</w:t>
            </w:r>
          </w:p>
        </w:tc>
        <w:tc>
          <w:tcPr>
            <w:tcW w:w="2362" w:type="pct"/>
            <w:vAlign w:val="center"/>
          </w:tcPr>
          <w:p w14:paraId="2936C997">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3029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Align w:val="center"/>
          </w:tcPr>
          <w:p w14:paraId="2F6D2332">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14</w:t>
            </w:r>
          </w:p>
        </w:tc>
        <w:tc>
          <w:tcPr>
            <w:tcW w:w="651" w:type="pct"/>
            <w:vAlign w:val="center"/>
          </w:tcPr>
          <w:p w14:paraId="1392AE71">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A031210饮食炊事机械</w:t>
            </w:r>
          </w:p>
        </w:tc>
        <w:tc>
          <w:tcPr>
            <w:tcW w:w="952" w:type="pct"/>
            <w:vAlign w:val="center"/>
          </w:tcPr>
          <w:p w14:paraId="7744312D">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商用燃气灶具</w:t>
            </w:r>
          </w:p>
        </w:tc>
        <w:tc>
          <w:tcPr>
            <w:tcW w:w="807" w:type="pct"/>
            <w:vAlign w:val="center"/>
          </w:tcPr>
          <w:p w14:paraId="6437E2E4">
            <w:pPr>
              <w:spacing w:line="300" w:lineRule="auto"/>
              <w:jc w:val="center"/>
              <w:rPr>
                <w:rFonts w:ascii="宋体" w:hAnsi="宋体" w:eastAsia="宋体"/>
                <w:color w:val="auto"/>
                <w:sz w:val="20"/>
                <w:szCs w:val="20"/>
                <w:highlight w:val="none"/>
              </w:rPr>
            </w:pPr>
          </w:p>
        </w:tc>
        <w:tc>
          <w:tcPr>
            <w:tcW w:w="2362" w:type="pct"/>
            <w:vAlign w:val="center"/>
          </w:tcPr>
          <w:p w14:paraId="6738E005">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《商用燃气灶具能效限定值及能效等级》（GB30531）</w:t>
            </w:r>
          </w:p>
        </w:tc>
      </w:tr>
      <w:tr w14:paraId="10D6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restart"/>
            <w:vAlign w:val="center"/>
          </w:tcPr>
          <w:p w14:paraId="23EDBB26">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15</w:t>
            </w:r>
          </w:p>
        </w:tc>
        <w:tc>
          <w:tcPr>
            <w:tcW w:w="651" w:type="pct"/>
            <w:vMerge w:val="restart"/>
            <w:vAlign w:val="center"/>
          </w:tcPr>
          <w:p w14:paraId="7414348B">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★A060805便器</w:t>
            </w:r>
          </w:p>
        </w:tc>
        <w:tc>
          <w:tcPr>
            <w:tcW w:w="952" w:type="pct"/>
            <w:vAlign w:val="center"/>
          </w:tcPr>
          <w:p w14:paraId="4AEBF855">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坐便器</w:t>
            </w:r>
          </w:p>
        </w:tc>
        <w:tc>
          <w:tcPr>
            <w:tcW w:w="807" w:type="pct"/>
            <w:vAlign w:val="center"/>
          </w:tcPr>
          <w:p w14:paraId="60A23939">
            <w:pPr>
              <w:spacing w:line="300" w:lineRule="auto"/>
              <w:jc w:val="center"/>
              <w:rPr>
                <w:rFonts w:ascii="宋体" w:hAnsi="宋体" w:eastAsia="宋体"/>
                <w:color w:val="auto"/>
                <w:sz w:val="20"/>
                <w:szCs w:val="20"/>
                <w:highlight w:val="none"/>
              </w:rPr>
            </w:pPr>
          </w:p>
        </w:tc>
        <w:tc>
          <w:tcPr>
            <w:tcW w:w="2362" w:type="pct"/>
            <w:vAlign w:val="center"/>
          </w:tcPr>
          <w:p w14:paraId="4C1FC4CA">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《坐便器水效限定值及水效等级》（GB25502）</w:t>
            </w:r>
          </w:p>
        </w:tc>
      </w:tr>
      <w:tr w14:paraId="474E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2EB5F5D9">
            <w:pPr>
              <w:spacing w:line="300" w:lineRule="auto"/>
              <w:jc w:val="center"/>
              <w:rPr>
                <w:rFonts w:ascii="宋体" w:hAnsi="宋体" w:eastAsia="宋体"/>
                <w:color w:val="auto"/>
                <w:sz w:val="20"/>
                <w:szCs w:val="20"/>
                <w:highlight w:val="none"/>
              </w:rPr>
            </w:pPr>
          </w:p>
        </w:tc>
        <w:tc>
          <w:tcPr>
            <w:tcW w:w="651" w:type="pct"/>
            <w:vMerge w:val="continue"/>
            <w:vAlign w:val="center"/>
          </w:tcPr>
          <w:p w14:paraId="6144832D">
            <w:pPr>
              <w:spacing w:line="300" w:lineRule="auto"/>
              <w:jc w:val="center"/>
              <w:rPr>
                <w:rFonts w:ascii="宋体" w:hAnsi="宋体" w:eastAsia="宋体"/>
                <w:color w:val="auto"/>
                <w:sz w:val="20"/>
                <w:szCs w:val="20"/>
                <w:highlight w:val="none"/>
              </w:rPr>
            </w:pPr>
          </w:p>
        </w:tc>
        <w:tc>
          <w:tcPr>
            <w:tcW w:w="952" w:type="pct"/>
            <w:vAlign w:val="center"/>
          </w:tcPr>
          <w:p w14:paraId="3398D760">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蹲便器</w:t>
            </w:r>
          </w:p>
        </w:tc>
        <w:tc>
          <w:tcPr>
            <w:tcW w:w="807" w:type="pct"/>
            <w:vAlign w:val="center"/>
          </w:tcPr>
          <w:p w14:paraId="0DAE6724">
            <w:pPr>
              <w:spacing w:line="300" w:lineRule="auto"/>
              <w:jc w:val="center"/>
              <w:rPr>
                <w:rFonts w:ascii="宋体" w:hAnsi="宋体" w:eastAsia="宋体"/>
                <w:color w:val="auto"/>
                <w:sz w:val="20"/>
                <w:szCs w:val="20"/>
                <w:highlight w:val="none"/>
              </w:rPr>
            </w:pPr>
          </w:p>
        </w:tc>
        <w:tc>
          <w:tcPr>
            <w:tcW w:w="2362" w:type="pct"/>
            <w:vAlign w:val="center"/>
          </w:tcPr>
          <w:p w14:paraId="14AD3AB4">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《蹲便器用水效率限定值及用水效率等级》（GB30717）</w:t>
            </w:r>
          </w:p>
        </w:tc>
      </w:tr>
      <w:tr w14:paraId="2543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Merge w:val="continue"/>
            <w:vAlign w:val="center"/>
          </w:tcPr>
          <w:p w14:paraId="45F38244">
            <w:pPr>
              <w:spacing w:line="300" w:lineRule="auto"/>
              <w:jc w:val="center"/>
              <w:rPr>
                <w:rFonts w:ascii="宋体" w:hAnsi="宋体" w:eastAsia="宋体"/>
                <w:color w:val="auto"/>
                <w:sz w:val="20"/>
                <w:szCs w:val="20"/>
                <w:highlight w:val="none"/>
              </w:rPr>
            </w:pPr>
          </w:p>
        </w:tc>
        <w:tc>
          <w:tcPr>
            <w:tcW w:w="651" w:type="pct"/>
            <w:vMerge w:val="continue"/>
            <w:vAlign w:val="center"/>
          </w:tcPr>
          <w:p w14:paraId="49EC7FE4">
            <w:pPr>
              <w:spacing w:line="300" w:lineRule="auto"/>
              <w:jc w:val="center"/>
              <w:rPr>
                <w:rFonts w:ascii="宋体" w:hAnsi="宋体" w:eastAsia="宋体"/>
                <w:color w:val="auto"/>
                <w:sz w:val="20"/>
                <w:szCs w:val="20"/>
                <w:highlight w:val="none"/>
              </w:rPr>
            </w:pPr>
          </w:p>
        </w:tc>
        <w:tc>
          <w:tcPr>
            <w:tcW w:w="952" w:type="pct"/>
            <w:vAlign w:val="center"/>
          </w:tcPr>
          <w:p w14:paraId="55D90BA4">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小便器</w:t>
            </w:r>
          </w:p>
        </w:tc>
        <w:tc>
          <w:tcPr>
            <w:tcW w:w="807" w:type="pct"/>
            <w:vAlign w:val="center"/>
          </w:tcPr>
          <w:p w14:paraId="638EAE6E">
            <w:pPr>
              <w:spacing w:line="300" w:lineRule="auto"/>
              <w:jc w:val="center"/>
              <w:rPr>
                <w:rFonts w:ascii="宋体" w:hAnsi="宋体" w:eastAsia="宋体"/>
                <w:color w:val="auto"/>
                <w:sz w:val="20"/>
                <w:szCs w:val="20"/>
                <w:highlight w:val="none"/>
              </w:rPr>
            </w:pPr>
          </w:p>
        </w:tc>
        <w:tc>
          <w:tcPr>
            <w:tcW w:w="2362" w:type="pct"/>
            <w:vAlign w:val="center"/>
          </w:tcPr>
          <w:p w14:paraId="2543768B">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《小便器用水效率限定值及用水效率等级》（GB28377）</w:t>
            </w:r>
          </w:p>
        </w:tc>
      </w:tr>
      <w:tr w14:paraId="68E9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Align w:val="center"/>
          </w:tcPr>
          <w:p w14:paraId="573826BF">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16</w:t>
            </w:r>
          </w:p>
        </w:tc>
        <w:tc>
          <w:tcPr>
            <w:tcW w:w="651" w:type="pct"/>
            <w:vAlign w:val="center"/>
          </w:tcPr>
          <w:p w14:paraId="2D43D690">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★A060806水嘴</w:t>
            </w:r>
          </w:p>
        </w:tc>
        <w:tc>
          <w:tcPr>
            <w:tcW w:w="952" w:type="pct"/>
            <w:vAlign w:val="center"/>
          </w:tcPr>
          <w:p w14:paraId="23730833">
            <w:pPr>
              <w:spacing w:line="300" w:lineRule="auto"/>
              <w:jc w:val="center"/>
              <w:rPr>
                <w:rFonts w:ascii="宋体" w:hAnsi="宋体" w:eastAsia="宋体"/>
                <w:color w:val="auto"/>
                <w:sz w:val="20"/>
                <w:szCs w:val="20"/>
                <w:highlight w:val="none"/>
              </w:rPr>
            </w:pPr>
          </w:p>
        </w:tc>
        <w:tc>
          <w:tcPr>
            <w:tcW w:w="807" w:type="pct"/>
            <w:vAlign w:val="center"/>
          </w:tcPr>
          <w:p w14:paraId="6D71589B">
            <w:pPr>
              <w:spacing w:line="300" w:lineRule="auto"/>
              <w:jc w:val="center"/>
              <w:rPr>
                <w:rFonts w:ascii="宋体" w:hAnsi="宋体" w:eastAsia="宋体"/>
                <w:color w:val="auto"/>
                <w:sz w:val="20"/>
                <w:szCs w:val="20"/>
                <w:highlight w:val="none"/>
              </w:rPr>
            </w:pPr>
          </w:p>
        </w:tc>
        <w:tc>
          <w:tcPr>
            <w:tcW w:w="2362" w:type="pct"/>
            <w:vAlign w:val="center"/>
          </w:tcPr>
          <w:p w14:paraId="220739F8">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《水嘴用水效率限定值及用水效率等级》（GB25501）</w:t>
            </w:r>
          </w:p>
        </w:tc>
      </w:tr>
      <w:tr w14:paraId="0770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Align w:val="center"/>
          </w:tcPr>
          <w:p w14:paraId="465EFD01">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17</w:t>
            </w:r>
          </w:p>
        </w:tc>
        <w:tc>
          <w:tcPr>
            <w:tcW w:w="651" w:type="pct"/>
            <w:vAlign w:val="center"/>
          </w:tcPr>
          <w:p w14:paraId="71A89B1C">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A060807便器冲洗阀</w:t>
            </w:r>
          </w:p>
        </w:tc>
        <w:tc>
          <w:tcPr>
            <w:tcW w:w="952" w:type="pct"/>
            <w:vAlign w:val="center"/>
          </w:tcPr>
          <w:p w14:paraId="152CC45D">
            <w:pPr>
              <w:spacing w:line="300" w:lineRule="auto"/>
              <w:jc w:val="center"/>
              <w:rPr>
                <w:rFonts w:ascii="宋体" w:hAnsi="宋体" w:eastAsia="宋体"/>
                <w:color w:val="auto"/>
                <w:sz w:val="20"/>
                <w:szCs w:val="20"/>
                <w:highlight w:val="none"/>
              </w:rPr>
            </w:pPr>
          </w:p>
        </w:tc>
        <w:tc>
          <w:tcPr>
            <w:tcW w:w="807" w:type="pct"/>
            <w:vAlign w:val="center"/>
          </w:tcPr>
          <w:p w14:paraId="49ED0208">
            <w:pPr>
              <w:spacing w:line="300" w:lineRule="auto"/>
              <w:jc w:val="center"/>
              <w:rPr>
                <w:rFonts w:ascii="宋体" w:hAnsi="宋体" w:eastAsia="宋体"/>
                <w:color w:val="auto"/>
                <w:sz w:val="20"/>
                <w:szCs w:val="20"/>
                <w:highlight w:val="none"/>
              </w:rPr>
            </w:pPr>
          </w:p>
        </w:tc>
        <w:tc>
          <w:tcPr>
            <w:tcW w:w="2362" w:type="pct"/>
            <w:vAlign w:val="center"/>
          </w:tcPr>
          <w:p w14:paraId="1384EF46">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《便器冲洗阀用水效率限定值及用水效率等级》（GB28379）</w:t>
            </w:r>
          </w:p>
        </w:tc>
      </w:tr>
      <w:tr w14:paraId="5DF7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vAlign w:val="center"/>
          </w:tcPr>
          <w:p w14:paraId="03E089B0">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18</w:t>
            </w:r>
          </w:p>
        </w:tc>
        <w:tc>
          <w:tcPr>
            <w:tcW w:w="651" w:type="pct"/>
            <w:vAlign w:val="center"/>
          </w:tcPr>
          <w:p w14:paraId="000CC948">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A060810淋浴器</w:t>
            </w:r>
          </w:p>
        </w:tc>
        <w:tc>
          <w:tcPr>
            <w:tcW w:w="952" w:type="pct"/>
            <w:vAlign w:val="center"/>
          </w:tcPr>
          <w:p w14:paraId="51CA7ACF">
            <w:pPr>
              <w:spacing w:line="300" w:lineRule="auto"/>
              <w:jc w:val="center"/>
              <w:rPr>
                <w:rFonts w:ascii="宋体" w:hAnsi="宋体" w:eastAsia="宋体"/>
                <w:color w:val="auto"/>
                <w:sz w:val="20"/>
                <w:szCs w:val="20"/>
                <w:highlight w:val="none"/>
              </w:rPr>
            </w:pPr>
          </w:p>
        </w:tc>
        <w:tc>
          <w:tcPr>
            <w:tcW w:w="807" w:type="pct"/>
            <w:vAlign w:val="center"/>
          </w:tcPr>
          <w:p w14:paraId="57AAB3EB">
            <w:pPr>
              <w:spacing w:line="300" w:lineRule="auto"/>
              <w:jc w:val="center"/>
              <w:rPr>
                <w:rFonts w:ascii="宋体" w:hAnsi="宋体" w:eastAsia="宋体"/>
                <w:color w:val="auto"/>
                <w:sz w:val="20"/>
                <w:szCs w:val="20"/>
                <w:highlight w:val="none"/>
              </w:rPr>
            </w:pPr>
          </w:p>
        </w:tc>
        <w:tc>
          <w:tcPr>
            <w:tcW w:w="2362" w:type="pct"/>
            <w:vAlign w:val="center"/>
          </w:tcPr>
          <w:p w14:paraId="5407FA0B">
            <w:pPr>
              <w:spacing w:line="300" w:lineRule="auto"/>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《淋浴器用水效率限定值及用水效率等级》（GB28378）</w:t>
            </w:r>
          </w:p>
        </w:tc>
      </w:tr>
    </w:tbl>
    <w:p w14:paraId="10139B9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注：1.节能产品认证应依据相关国家标准的最新版本，依据国家标准中二级能效（水效）指标。</w:t>
      </w:r>
    </w:p>
    <w:p w14:paraId="534B0A9B">
      <w:pPr>
        <w:spacing w:line="360" w:lineRule="auto"/>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2.以“★”标注的为政府强制采购产品。</w:t>
      </w:r>
    </w:p>
    <w:p w14:paraId="60D44387">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2D8771D7">
      <w:pPr>
        <w:spacing w:line="360" w:lineRule="auto"/>
        <w:rPr>
          <w:rFonts w:ascii="宋体" w:hAnsi="宋体" w:eastAsia="宋体"/>
          <w:b/>
          <w:color w:val="auto"/>
          <w:sz w:val="32"/>
          <w:szCs w:val="32"/>
          <w:highlight w:val="none"/>
        </w:rPr>
      </w:pPr>
      <w:r>
        <w:rPr>
          <w:rFonts w:hint="eastAsia" w:ascii="宋体" w:hAnsi="宋体" w:eastAsia="宋体"/>
          <w:b/>
          <w:color w:val="auto"/>
          <w:sz w:val="32"/>
          <w:szCs w:val="32"/>
          <w:highlight w:val="none"/>
        </w:rPr>
        <w:t>附件</w:t>
      </w:r>
      <w:r>
        <w:rPr>
          <w:rFonts w:ascii="宋体" w:hAnsi="宋体" w:eastAsia="宋体"/>
          <w:b/>
          <w:color w:val="auto"/>
          <w:sz w:val="32"/>
          <w:szCs w:val="32"/>
          <w:highlight w:val="none"/>
        </w:rPr>
        <w:t>2</w:t>
      </w:r>
      <w:r>
        <w:rPr>
          <w:rFonts w:hint="eastAsia" w:ascii="宋体" w:hAnsi="宋体" w:eastAsia="宋体"/>
          <w:b/>
          <w:color w:val="auto"/>
          <w:sz w:val="32"/>
          <w:szCs w:val="32"/>
          <w:highlight w:val="none"/>
        </w:rPr>
        <w:t>：</w:t>
      </w:r>
    </w:p>
    <w:p w14:paraId="6579A657">
      <w:pPr>
        <w:spacing w:line="360" w:lineRule="auto"/>
        <w:jc w:val="center"/>
        <w:rPr>
          <w:rFonts w:ascii="宋体" w:hAnsi="宋体" w:eastAsia="宋体"/>
          <w:b/>
          <w:color w:val="auto"/>
          <w:sz w:val="44"/>
          <w:szCs w:val="44"/>
          <w:highlight w:val="none"/>
        </w:rPr>
      </w:pPr>
      <w:r>
        <w:rPr>
          <w:rFonts w:hint="eastAsia" w:ascii="宋体" w:hAnsi="宋体" w:eastAsia="宋体"/>
          <w:b/>
          <w:color w:val="auto"/>
          <w:sz w:val="44"/>
          <w:szCs w:val="44"/>
          <w:highlight w:val="none"/>
        </w:rPr>
        <w:t>中小微企业划型标准</w:t>
      </w:r>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546"/>
        <w:gridCol w:w="1642"/>
        <w:gridCol w:w="1642"/>
        <w:gridCol w:w="1642"/>
        <w:gridCol w:w="1636"/>
      </w:tblGrid>
      <w:tr w14:paraId="0C46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Align w:val="center"/>
          </w:tcPr>
          <w:p w14:paraId="380DBEA3">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行业名称</w:t>
            </w:r>
          </w:p>
        </w:tc>
        <w:tc>
          <w:tcPr>
            <w:tcW w:w="785" w:type="pct"/>
            <w:vAlign w:val="center"/>
          </w:tcPr>
          <w:p w14:paraId="77CCCAC9">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指标名称</w:t>
            </w:r>
          </w:p>
        </w:tc>
        <w:tc>
          <w:tcPr>
            <w:tcW w:w="834" w:type="pct"/>
            <w:vAlign w:val="center"/>
          </w:tcPr>
          <w:p w14:paraId="1F27B20E">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计量单位</w:t>
            </w:r>
          </w:p>
        </w:tc>
        <w:tc>
          <w:tcPr>
            <w:tcW w:w="834" w:type="pct"/>
            <w:vAlign w:val="center"/>
          </w:tcPr>
          <w:p w14:paraId="416ED27E">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中型</w:t>
            </w:r>
          </w:p>
        </w:tc>
        <w:tc>
          <w:tcPr>
            <w:tcW w:w="834" w:type="pct"/>
            <w:vAlign w:val="center"/>
          </w:tcPr>
          <w:p w14:paraId="4B5749F2">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小型</w:t>
            </w:r>
          </w:p>
        </w:tc>
        <w:tc>
          <w:tcPr>
            <w:tcW w:w="831" w:type="pct"/>
            <w:vAlign w:val="center"/>
          </w:tcPr>
          <w:p w14:paraId="7F46949B">
            <w:pPr>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微型</w:t>
            </w:r>
          </w:p>
        </w:tc>
      </w:tr>
      <w:tr w14:paraId="6C19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Align w:val="center"/>
          </w:tcPr>
          <w:p w14:paraId="51945EFB">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农、林、牧、渔</w:t>
            </w:r>
          </w:p>
        </w:tc>
        <w:tc>
          <w:tcPr>
            <w:tcW w:w="785" w:type="pct"/>
            <w:vAlign w:val="center"/>
          </w:tcPr>
          <w:p w14:paraId="2ED2154D">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7BD0663E">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011D537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500≤Y＜20000</w:t>
            </w:r>
          </w:p>
        </w:tc>
        <w:tc>
          <w:tcPr>
            <w:tcW w:w="834" w:type="pct"/>
            <w:vAlign w:val="center"/>
          </w:tcPr>
          <w:p w14:paraId="3A9AA0D1">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50≤Y＜500</w:t>
            </w:r>
          </w:p>
        </w:tc>
        <w:tc>
          <w:tcPr>
            <w:tcW w:w="831" w:type="pct"/>
            <w:vAlign w:val="center"/>
          </w:tcPr>
          <w:p w14:paraId="26184D43">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Y＜50</w:t>
            </w:r>
          </w:p>
        </w:tc>
      </w:tr>
      <w:tr w14:paraId="7418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0A749CF2">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工业</w:t>
            </w:r>
          </w:p>
        </w:tc>
        <w:tc>
          <w:tcPr>
            <w:tcW w:w="785" w:type="pct"/>
            <w:vAlign w:val="center"/>
          </w:tcPr>
          <w:p w14:paraId="742BA13D">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1E568AE3">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77405BDC">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300≤X＜1000</w:t>
            </w:r>
          </w:p>
        </w:tc>
        <w:tc>
          <w:tcPr>
            <w:tcW w:w="834" w:type="pct"/>
            <w:vAlign w:val="center"/>
          </w:tcPr>
          <w:p w14:paraId="2E520677">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20≤X＜300</w:t>
            </w:r>
          </w:p>
        </w:tc>
        <w:tc>
          <w:tcPr>
            <w:tcW w:w="831" w:type="pct"/>
            <w:vAlign w:val="center"/>
          </w:tcPr>
          <w:p w14:paraId="56253D5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X＜20</w:t>
            </w:r>
          </w:p>
        </w:tc>
      </w:tr>
      <w:tr w14:paraId="72B3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2923841D">
            <w:pPr>
              <w:jc w:val="center"/>
              <w:rPr>
                <w:rFonts w:ascii="宋体" w:hAnsi="宋体" w:eastAsia="宋体"/>
                <w:b/>
                <w:color w:val="auto"/>
                <w:sz w:val="18"/>
                <w:szCs w:val="18"/>
                <w:highlight w:val="none"/>
              </w:rPr>
            </w:pPr>
          </w:p>
        </w:tc>
        <w:tc>
          <w:tcPr>
            <w:tcW w:w="785" w:type="pct"/>
            <w:vAlign w:val="center"/>
          </w:tcPr>
          <w:p w14:paraId="32E0BFC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4250260A">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3AD91073">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2000≤Y＜40000</w:t>
            </w:r>
          </w:p>
        </w:tc>
        <w:tc>
          <w:tcPr>
            <w:tcW w:w="834" w:type="pct"/>
            <w:vAlign w:val="center"/>
          </w:tcPr>
          <w:p w14:paraId="1E1A3580">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300≤Y＜2000</w:t>
            </w:r>
          </w:p>
        </w:tc>
        <w:tc>
          <w:tcPr>
            <w:tcW w:w="831" w:type="pct"/>
            <w:vAlign w:val="center"/>
          </w:tcPr>
          <w:p w14:paraId="3323A259">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Y＜300</w:t>
            </w:r>
          </w:p>
        </w:tc>
      </w:tr>
      <w:tr w14:paraId="6D12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6CE6AB3F">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建筑业</w:t>
            </w:r>
          </w:p>
        </w:tc>
        <w:tc>
          <w:tcPr>
            <w:tcW w:w="785" w:type="pct"/>
            <w:vAlign w:val="center"/>
          </w:tcPr>
          <w:p w14:paraId="4F4E783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74A900E9">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0056CE5C">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6000≤Y＜80000</w:t>
            </w:r>
          </w:p>
        </w:tc>
        <w:tc>
          <w:tcPr>
            <w:tcW w:w="834" w:type="pct"/>
            <w:vAlign w:val="center"/>
          </w:tcPr>
          <w:p w14:paraId="4B0B97BE">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300≤Y＜6000</w:t>
            </w:r>
          </w:p>
        </w:tc>
        <w:tc>
          <w:tcPr>
            <w:tcW w:w="831" w:type="pct"/>
            <w:vAlign w:val="center"/>
          </w:tcPr>
          <w:p w14:paraId="3290E5E7">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Y＜300</w:t>
            </w:r>
          </w:p>
        </w:tc>
      </w:tr>
      <w:tr w14:paraId="7962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58AC7CED">
            <w:pPr>
              <w:jc w:val="center"/>
              <w:rPr>
                <w:rFonts w:ascii="宋体" w:hAnsi="宋体" w:eastAsia="宋体"/>
                <w:b/>
                <w:color w:val="auto"/>
                <w:sz w:val="18"/>
                <w:szCs w:val="18"/>
                <w:highlight w:val="none"/>
              </w:rPr>
            </w:pPr>
          </w:p>
        </w:tc>
        <w:tc>
          <w:tcPr>
            <w:tcW w:w="785" w:type="pct"/>
            <w:vAlign w:val="center"/>
          </w:tcPr>
          <w:p w14:paraId="7804A24A">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资产总额（Z）</w:t>
            </w:r>
          </w:p>
        </w:tc>
        <w:tc>
          <w:tcPr>
            <w:tcW w:w="834" w:type="pct"/>
            <w:vAlign w:val="center"/>
          </w:tcPr>
          <w:p w14:paraId="2E1997E8">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78682CD3">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5000≤Z＜80000</w:t>
            </w:r>
          </w:p>
        </w:tc>
        <w:tc>
          <w:tcPr>
            <w:tcW w:w="834" w:type="pct"/>
            <w:vAlign w:val="center"/>
          </w:tcPr>
          <w:p w14:paraId="41415B2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300≤Z＜5000</w:t>
            </w:r>
          </w:p>
        </w:tc>
        <w:tc>
          <w:tcPr>
            <w:tcW w:w="831" w:type="pct"/>
            <w:vAlign w:val="center"/>
          </w:tcPr>
          <w:p w14:paraId="305B5A7D">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Z＜300</w:t>
            </w:r>
          </w:p>
        </w:tc>
      </w:tr>
      <w:tr w14:paraId="05D2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542B1CB4">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批发业</w:t>
            </w:r>
          </w:p>
        </w:tc>
        <w:tc>
          <w:tcPr>
            <w:tcW w:w="785" w:type="pct"/>
            <w:vAlign w:val="center"/>
          </w:tcPr>
          <w:p w14:paraId="2360B0D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7BFCAF7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6FC82A98">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20≤X＜200</w:t>
            </w:r>
          </w:p>
        </w:tc>
        <w:tc>
          <w:tcPr>
            <w:tcW w:w="834" w:type="pct"/>
            <w:vAlign w:val="center"/>
          </w:tcPr>
          <w:p w14:paraId="2CD32F3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5≤X＜20</w:t>
            </w:r>
          </w:p>
        </w:tc>
        <w:tc>
          <w:tcPr>
            <w:tcW w:w="831" w:type="pct"/>
            <w:vAlign w:val="center"/>
          </w:tcPr>
          <w:p w14:paraId="4FBB28B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X＜5</w:t>
            </w:r>
          </w:p>
        </w:tc>
      </w:tr>
      <w:tr w14:paraId="43A5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70B35FAB">
            <w:pPr>
              <w:jc w:val="center"/>
              <w:rPr>
                <w:rFonts w:ascii="宋体" w:hAnsi="宋体" w:eastAsia="宋体"/>
                <w:b/>
                <w:color w:val="auto"/>
                <w:sz w:val="18"/>
                <w:szCs w:val="18"/>
                <w:highlight w:val="none"/>
              </w:rPr>
            </w:pPr>
          </w:p>
        </w:tc>
        <w:tc>
          <w:tcPr>
            <w:tcW w:w="785" w:type="pct"/>
            <w:vAlign w:val="center"/>
          </w:tcPr>
          <w:p w14:paraId="6169B0FE">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6CAB3CF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7BA2F2E1">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5000≤Y＜40000</w:t>
            </w:r>
          </w:p>
        </w:tc>
        <w:tc>
          <w:tcPr>
            <w:tcW w:w="834" w:type="pct"/>
            <w:vAlign w:val="center"/>
          </w:tcPr>
          <w:p w14:paraId="265E67B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1000≤Y＜5000</w:t>
            </w:r>
          </w:p>
        </w:tc>
        <w:tc>
          <w:tcPr>
            <w:tcW w:w="831" w:type="pct"/>
            <w:vAlign w:val="center"/>
          </w:tcPr>
          <w:p w14:paraId="2B3B37E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Y＜1000</w:t>
            </w:r>
          </w:p>
        </w:tc>
      </w:tr>
      <w:tr w14:paraId="6942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027C13F5">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零售业</w:t>
            </w:r>
          </w:p>
        </w:tc>
        <w:tc>
          <w:tcPr>
            <w:tcW w:w="785" w:type="pct"/>
            <w:vAlign w:val="center"/>
          </w:tcPr>
          <w:p w14:paraId="1DB4D3A3">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1C87DFC3">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179611E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50≤X＜300</w:t>
            </w:r>
          </w:p>
        </w:tc>
        <w:tc>
          <w:tcPr>
            <w:tcW w:w="834" w:type="pct"/>
            <w:vAlign w:val="center"/>
          </w:tcPr>
          <w:p w14:paraId="5C8E3CEB">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10≤X＜50</w:t>
            </w:r>
          </w:p>
        </w:tc>
        <w:tc>
          <w:tcPr>
            <w:tcW w:w="831" w:type="pct"/>
            <w:vAlign w:val="center"/>
          </w:tcPr>
          <w:p w14:paraId="6CC61C59">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X＜10</w:t>
            </w:r>
          </w:p>
        </w:tc>
      </w:tr>
      <w:tr w14:paraId="1455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24F98F5E">
            <w:pPr>
              <w:jc w:val="center"/>
              <w:rPr>
                <w:rFonts w:ascii="宋体" w:hAnsi="宋体" w:eastAsia="宋体"/>
                <w:b/>
                <w:color w:val="auto"/>
                <w:sz w:val="18"/>
                <w:szCs w:val="18"/>
                <w:highlight w:val="none"/>
              </w:rPr>
            </w:pPr>
          </w:p>
        </w:tc>
        <w:tc>
          <w:tcPr>
            <w:tcW w:w="785" w:type="pct"/>
            <w:vAlign w:val="center"/>
          </w:tcPr>
          <w:p w14:paraId="406E66A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0DB7C227">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65221618">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500≤Y＜20000</w:t>
            </w:r>
          </w:p>
        </w:tc>
        <w:tc>
          <w:tcPr>
            <w:tcW w:w="834" w:type="pct"/>
            <w:vAlign w:val="center"/>
          </w:tcPr>
          <w:p w14:paraId="1EFB1ADC">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100≤Y＜500</w:t>
            </w:r>
          </w:p>
        </w:tc>
        <w:tc>
          <w:tcPr>
            <w:tcW w:w="831" w:type="pct"/>
            <w:vAlign w:val="center"/>
          </w:tcPr>
          <w:p w14:paraId="6478FB2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Y＜100</w:t>
            </w:r>
          </w:p>
        </w:tc>
      </w:tr>
      <w:tr w14:paraId="2A0E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16FC8639">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交通运输业</w:t>
            </w:r>
          </w:p>
        </w:tc>
        <w:tc>
          <w:tcPr>
            <w:tcW w:w="785" w:type="pct"/>
            <w:vAlign w:val="center"/>
          </w:tcPr>
          <w:p w14:paraId="37E752B7">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55103B0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48AFB9C0">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300≤X＜1000</w:t>
            </w:r>
          </w:p>
        </w:tc>
        <w:tc>
          <w:tcPr>
            <w:tcW w:w="834" w:type="pct"/>
            <w:vAlign w:val="center"/>
          </w:tcPr>
          <w:p w14:paraId="52F91ED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20≤X＜300</w:t>
            </w:r>
          </w:p>
        </w:tc>
        <w:tc>
          <w:tcPr>
            <w:tcW w:w="831" w:type="pct"/>
            <w:vAlign w:val="center"/>
          </w:tcPr>
          <w:p w14:paraId="5AA3A46B">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X＜20</w:t>
            </w:r>
          </w:p>
        </w:tc>
      </w:tr>
      <w:tr w14:paraId="044B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57C073A7">
            <w:pPr>
              <w:jc w:val="center"/>
              <w:rPr>
                <w:rFonts w:ascii="宋体" w:hAnsi="宋体" w:eastAsia="宋体"/>
                <w:b/>
                <w:color w:val="auto"/>
                <w:sz w:val="18"/>
                <w:szCs w:val="18"/>
                <w:highlight w:val="none"/>
              </w:rPr>
            </w:pPr>
          </w:p>
        </w:tc>
        <w:tc>
          <w:tcPr>
            <w:tcW w:w="785" w:type="pct"/>
            <w:vAlign w:val="center"/>
          </w:tcPr>
          <w:p w14:paraId="56531D1B">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20338880">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795AEB4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3000≤Y＜30000</w:t>
            </w:r>
          </w:p>
        </w:tc>
        <w:tc>
          <w:tcPr>
            <w:tcW w:w="834" w:type="pct"/>
            <w:vAlign w:val="center"/>
          </w:tcPr>
          <w:p w14:paraId="39F567C5">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200≤Y＜3000</w:t>
            </w:r>
          </w:p>
        </w:tc>
        <w:tc>
          <w:tcPr>
            <w:tcW w:w="831" w:type="pct"/>
            <w:vAlign w:val="center"/>
          </w:tcPr>
          <w:p w14:paraId="20F5DF07">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Y＜200</w:t>
            </w:r>
          </w:p>
        </w:tc>
      </w:tr>
      <w:tr w14:paraId="1BDA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0C615FB4">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仓储业</w:t>
            </w:r>
          </w:p>
        </w:tc>
        <w:tc>
          <w:tcPr>
            <w:tcW w:w="785" w:type="pct"/>
            <w:vAlign w:val="center"/>
          </w:tcPr>
          <w:p w14:paraId="606148B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7538CEE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0A6C57AD">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100≤X＜200</w:t>
            </w:r>
          </w:p>
        </w:tc>
        <w:tc>
          <w:tcPr>
            <w:tcW w:w="834" w:type="pct"/>
            <w:vAlign w:val="center"/>
          </w:tcPr>
          <w:p w14:paraId="5A7B917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20≤X＜100</w:t>
            </w:r>
          </w:p>
        </w:tc>
        <w:tc>
          <w:tcPr>
            <w:tcW w:w="831" w:type="pct"/>
            <w:vAlign w:val="center"/>
          </w:tcPr>
          <w:p w14:paraId="1E5CE56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X＜20</w:t>
            </w:r>
          </w:p>
        </w:tc>
      </w:tr>
      <w:tr w14:paraId="0B5C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11E3C9FD">
            <w:pPr>
              <w:jc w:val="center"/>
              <w:rPr>
                <w:rFonts w:ascii="宋体" w:hAnsi="宋体" w:eastAsia="宋体"/>
                <w:b/>
                <w:color w:val="auto"/>
                <w:sz w:val="18"/>
                <w:szCs w:val="18"/>
                <w:highlight w:val="none"/>
              </w:rPr>
            </w:pPr>
          </w:p>
        </w:tc>
        <w:tc>
          <w:tcPr>
            <w:tcW w:w="785" w:type="pct"/>
            <w:vAlign w:val="center"/>
          </w:tcPr>
          <w:p w14:paraId="4F7017D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396D87E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3673DBA8">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1000≤Y＜30000</w:t>
            </w:r>
          </w:p>
        </w:tc>
        <w:tc>
          <w:tcPr>
            <w:tcW w:w="834" w:type="pct"/>
            <w:vAlign w:val="center"/>
          </w:tcPr>
          <w:p w14:paraId="005CEF9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100≤Y＜1000</w:t>
            </w:r>
          </w:p>
        </w:tc>
        <w:tc>
          <w:tcPr>
            <w:tcW w:w="831" w:type="pct"/>
            <w:vAlign w:val="center"/>
          </w:tcPr>
          <w:p w14:paraId="4F9FF57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Y＜100</w:t>
            </w:r>
          </w:p>
        </w:tc>
      </w:tr>
      <w:tr w14:paraId="66CD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36F9C982">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邮政业</w:t>
            </w:r>
          </w:p>
        </w:tc>
        <w:tc>
          <w:tcPr>
            <w:tcW w:w="785" w:type="pct"/>
            <w:vAlign w:val="center"/>
          </w:tcPr>
          <w:p w14:paraId="68DD70D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5AF3645C">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03E69E41">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300≤X＜1000</w:t>
            </w:r>
          </w:p>
        </w:tc>
        <w:tc>
          <w:tcPr>
            <w:tcW w:w="834" w:type="pct"/>
            <w:vAlign w:val="center"/>
          </w:tcPr>
          <w:p w14:paraId="5D4837D3">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20≤X＜300</w:t>
            </w:r>
          </w:p>
        </w:tc>
        <w:tc>
          <w:tcPr>
            <w:tcW w:w="831" w:type="pct"/>
            <w:vAlign w:val="center"/>
          </w:tcPr>
          <w:p w14:paraId="4C77A243">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X＜20</w:t>
            </w:r>
          </w:p>
        </w:tc>
      </w:tr>
      <w:tr w14:paraId="5936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46DAFEF0">
            <w:pPr>
              <w:jc w:val="center"/>
              <w:rPr>
                <w:rFonts w:ascii="宋体" w:hAnsi="宋体" w:eastAsia="宋体"/>
                <w:b/>
                <w:color w:val="auto"/>
                <w:sz w:val="18"/>
                <w:szCs w:val="18"/>
                <w:highlight w:val="none"/>
              </w:rPr>
            </w:pPr>
          </w:p>
        </w:tc>
        <w:tc>
          <w:tcPr>
            <w:tcW w:w="785" w:type="pct"/>
            <w:vAlign w:val="center"/>
          </w:tcPr>
          <w:p w14:paraId="21DC32BD">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252ADA31">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31EFB1D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2000≤Y＜30000</w:t>
            </w:r>
          </w:p>
        </w:tc>
        <w:tc>
          <w:tcPr>
            <w:tcW w:w="834" w:type="pct"/>
            <w:vAlign w:val="center"/>
          </w:tcPr>
          <w:p w14:paraId="0857760A">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100≤Y＜2000</w:t>
            </w:r>
          </w:p>
        </w:tc>
        <w:tc>
          <w:tcPr>
            <w:tcW w:w="831" w:type="pct"/>
            <w:vAlign w:val="center"/>
          </w:tcPr>
          <w:p w14:paraId="62DF5323">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Y＜100</w:t>
            </w:r>
          </w:p>
        </w:tc>
      </w:tr>
      <w:tr w14:paraId="6210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043CF55E">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住宿业</w:t>
            </w:r>
          </w:p>
        </w:tc>
        <w:tc>
          <w:tcPr>
            <w:tcW w:w="785" w:type="pct"/>
            <w:vAlign w:val="center"/>
          </w:tcPr>
          <w:p w14:paraId="76463E93">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7ACD741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1662BBB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100≤X＜300</w:t>
            </w:r>
          </w:p>
        </w:tc>
        <w:tc>
          <w:tcPr>
            <w:tcW w:w="834" w:type="pct"/>
            <w:vAlign w:val="center"/>
          </w:tcPr>
          <w:p w14:paraId="4AB6F27B">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10≤X＜100</w:t>
            </w:r>
          </w:p>
        </w:tc>
        <w:tc>
          <w:tcPr>
            <w:tcW w:w="831" w:type="pct"/>
            <w:vAlign w:val="center"/>
          </w:tcPr>
          <w:p w14:paraId="3502A419">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X＜10</w:t>
            </w:r>
          </w:p>
        </w:tc>
      </w:tr>
      <w:tr w14:paraId="5B37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16531CBC">
            <w:pPr>
              <w:jc w:val="center"/>
              <w:rPr>
                <w:rFonts w:ascii="宋体" w:hAnsi="宋体" w:eastAsia="宋体"/>
                <w:b/>
                <w:color w:val="auto"/>
                <w:sz w:val="18"/>
                <w:szCs w:val="18"/>
                <w:highlight w:val="none"/>
              </w:rPr>
            </w:pPr>
          </w:p>
        </w:tc>
        <w:tc>
          <w:tcPr>
            <w:tcW w:w="785" w:type="pct"/>
            <w:vAlign w:val="center"/>
          </w:tcPr>
          <w:p w14:paraId="25DC26B5">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468FA4D7">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1C97488D">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2000≤Y＜10000</w:t>
            </w:r>
          </w:p>
        </w:tc>
        <w:tc>
          <w:tcPr>
            <w:tcW w:w="834" w:type="pct"/>
            <w:vAlign w:val="center"/>
          </w:tcPr>
          <w:p w14:paraId="3981A2B7">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100≤Y＜2000</w:t>
            </w:r>
          </w:p>
        </w:tc>
        <w:tc>
          <w:tcPr>
            <w:tcW w:w="831" w:type="pct"/>
            <w:vAlign w:val="center"/>
          </w:tcPr>
          <w:p w14:paraId="3220BB3B">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Y＜100</w:t>
            </w:r>
          </w:p>
        </w:tc>
      </w:tr>
      <w:tr w14:paraId="04E1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20013E00">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餐饮业</w:t>
            </w:r>
          </w:p>
        </w:tc>
        <w:tc>
          <w:tcPr>
            <w:tcW w:w="785" w:type="pct"/>
            <w:vAlign w:val="center"/>
          </w:tcPr>
          <w:p w14:paraId="46EA1E91">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31E5433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6EA04A23">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100≤X＜300</w:t>
            </w:r>
          </w:p>
        </w:tc>
        <w:tc>
          <w:tcPr>
            <w:tcW w:w="834" w:type="pct"/>
            <w:vAlign w:val="center"/>
          </w:tcPr>
          <w:p w14:paraId="73AB0F4E">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10≤X＜100</w:t>
            </w:r>
          </w:p>
        </w:tc>
        <w:tc>
          <w:tcPr>
            <w:tcW w:w="831" w:type="pct"/>
            <w:vAlign w:val="center"/>
          </w:tcPr>
          <w:p w14:paraId="07142E3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X＜10</w:t>
            </w:r>
          </w:p>
        </w:tc>
      </w:tr>
      <w:tr w14:paraId="2AAB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7C337263">
            <w:pPr>
              <w:jc w:val="center"/>
              <w:rPr>
                <w:rFonts w:ascii="宋体" w:hAnsi="宋体" w:eastAsia="宋体"/>
                <w:b/>
                <w:color w:val="auto"/>
                <w:sz w:val="18"/>
                <w:szCs w:val="18"/>
                <w:highlight w:val="none"/>
              </w:rPr>
            </w:pPr>
          </w:p>
        </w:tc>
        <w:tc>
          <w:tcPr>
            <w:tcW w:w="785" w:type="pct"/>
            <w:vAlign w:val="center"/>
          </w:tcPr>
          <w:p w14:paraId="34767A13">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532BE23A">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187EDD62">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2000≤Y＜10000</w:t>
            </w:r>
          </w:p>
        </w:tc>
        <w:tc>
          <w:tcPr>
            <w:tcW w:w="834" w:type="pct"/>
            <w:vAlign w:val="center"/>
          </w:tcPr>
          <w:p w14:paraId="40CAEA1B">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100≤Y＜2000</w:t>
            </w:r>
          </w:p>
        </w:tc>
        <w:tc>
          <w:tcPr>
            <w:tcW w:w="831" w:type="pct"/>
            <w:vAlign w:val="center"/>
          </w:tcPr>
          <w:p w14:paraId="2A35FF3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Y＜100</w:t>
            </w:r>
          </w:p>
        </w:tc>
      </w:tr>
      <w:tr w14:paraId="01C2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4FE33642">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信息传输业</w:t>
            </w:r>
          </w:p>
        </w:tc>
        <w:tc>
          <w:tcPr>
            <w:tcW w:w="785" w:type="pct"/>
            <w:vAlign w:val="center"/>
          </w:tcPr>
          <w:p w14:paraId="7CE7E89E">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7245AD12">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6FA1139E">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100≤X＜2000</w:t>
            </w:r>
          </w:p>
        </w:tc>
        <w:tc>
          <w:tcPr>
            <w:tcW w:w="834" w:type="pct"/>
            <w:vAlign w:val="center"/>
          </w:tcPr>
          <w:p w14:paraId="1C4FC5B8">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10≤X＜100</w:t>
            </w:r>
          </w:p>
        </w:tc>
        <w:tc>
          <w:tcPr>
            <w:tcW w:w="831" w:type="pct"/>
            <w:vAlign w:val="center"/>
          </w:tcPr>
          <w:p w14:paraId="0BA2F93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X＜10</w:t>
            </w:r>
          </w:p>
        </w:tc>
      </w:tr>
      <w:tr w14:paraId="7204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0EDF681B">
            <w:pPr>
              <w:jc w:val="center"/>
              <w:rPr>
                <w:rFonts w:ascii="宋体" w:hAnsi="宋体" w:eastAsia="宋体"/>
                <w:b/>
                <w:color w:val="auto"/>
                <w:sz w:val="18"/>
                <w:szCs w:val="18"/>
                <w:highlight w:val="none"/>
              </w:rPr>
            </w:pPr>
          </w:p>
        </w:tc>
        <w:tc>
          <w:tcPr>
            <w:tcW w:w="785" w:type="pct"/>
            <w:vAlign w:val="center"/>
          </w:tcPr>
          <w:p w14:paraId="77A8F24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29E1A04C">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55E450E2">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1000≤Y＜100000</w:t>
            </w:r>
          </w:p>
        </w:tc>
        <w:tc>
          <w:tcPr>
            <w:tcW w:w="834" w:type="pct"/>
            <w:vAlign w:val="center"/>
          </w:tcPr>
          <w:p w14:paraId="6AACE38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100≤Y＜1000</w:t>
            </w:r>
          </w:p>
        </w:tc>
        <w:tc>
          <w:tcPr>
            <w:tcW w:w="831" w:type="pct"/>
            <w:vAlign w:val="center"/>
          </w:tcPr>
          <w:p w14:paraId="55B5454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Y＜100</w:t>
            </w:r>
          </w:p>
        </w:tc>
      </w:tr>
      <w:tr w14:paraId="541D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18F2E00F">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软件和信息技术服务业</w:t>
            </w:r>
          </w:p>
        </w:tc>
        <w:tc>
          <w:tcPr>
            <w:tcW w:w="785" w:type="pct"/>
            <w:vAlign w:val="center"/>
          </w:tcPr>
          <w:p w14:paraId="571A06A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196E84C9">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518AF4EA">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100≤X＜300</w:t>
            </w:r>
          </w:p>
        </w:tc>
        <w:tc>
          <w:tcPr>
            <w:tcW w:w="834" w:type="pct"/>
            <w:vAlign w:val="center"/>
          </w:tcPr>
          <w:p w14:paraId="6A2FF597">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10≤X＜100</w:t>
            </w:r>
          </w:p>
        </w:tc>
        <w:tc>
          <w:tcPr>
            <w:tcW w:w="831" w:type="pct"/>
            <w:vAlign w:val="center"/>
          </w:tcPr>
          <w:p w14:paraId="1A5C229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X＜10</w:t>
            </w:r>
          </w:p>
        </w:tc>
      </w:tr>
      <w:tr w14:paraId="49F0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0223F648">
            <w:pPr>
              <w:jc w:val="center"/>
              <w:rPr>
                <w:rFonts w:ascii="宋体" w:hAnsi="宋体" w:eastAsia="宋体"/>
                <w:b/>
                <w:color w:val="auto"/>
                <w:sz w:val="18"/>
                <w:szCs w:val="18"/>
                <w:highlight w:val="none"/>
              </w:rPr>
            </w:pPr>
          </w:p>
        </w:tc>
        <w:tc>
          <w:tcPr>
            <w:tcW w:w="785" w:type="pct"/>
            <w:vAlign w:val="center"/>
          </w:tcPr>
          <w:p w14:paraId="122F001B">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126A486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5C5589FC">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1000≤Y＜10000</w:t>
            </w:r>
          </w:p>
        </w:tc>
        <w:tc>
          <w:tcPr>
            <w:tcW w:w="834" w:type="pct"/>
            <w:vAlign w:val="center"/>
          </w:tcPr>
          <w:p w14:paraId="749C30C5">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50≤Y＜1000</w:t>
            </w:r>
          </w:p>
        </w:tc>
        <w:tc>
          <w:tcPr>
            <w:tcW w:w="831" w:type="pct"/>
            <w:vAlign w:val="center"/>
          </w:tcPr>
          <w:p w14:paraId="6B1A37AD">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Y＜50</w:t>
            </w:r>
          </w:p>
        </w:tc>
      </w:tr>
      <w:tr w14:paraId="1AF7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478DDC03">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房地产开发经营</w:t>
            </w:r>
          </w:p>
        </w:tc>
        <w:tc>
          <w:tcPr>
            <w:tcW w:w="785" w:type="pct"/>
            <w:vAlign w:val="center"/>
          </w:tcPr>
          <w:p w14:paraId="7EA127A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119023E2">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404CF5CE">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1000≤Y＜200000</w:t>
            </w:r>
          </w:p>
        </w:tc>
        <w:tc>
          <w:tcPr>
            <w:tcW w:w="834" w:type="pct"/>
            <w:vAlign w:val="center"/>
          </w:tcPr>
          <w:p w14:paraId="3D7A59D0">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100≤X＜1000</w:t>
            </w:r>
          </w:p>
        </w:tc>
        <w:tc>
          <w:tcPr>
            <w:tcW w:w="831" w:type="pct"/>
            <w:vAlign w:val="center"/>
          </w:tcPr>
          <w:p w14:paraId="101F2CF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X＜100</w:t>
            </w:r>
          </w:p>
        </w:tc>
      </w:tr>
      <w:tr w14:paraId="61ED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63EA83C9">
            <w:pPr>
              <w:jc w:val="center"/>
              <w:rPr>
                <w:rFonts w:ascii="宋体" w:hAnsi="宋体" w:eastAsia="宋体"/>
                <w:b/>
                <w:color w:val="auto"/>
                <w:sz w:val="18"/>
                <w:szCs w:val="18"/>
                <w:highlight w:val="none"/>
              </w:rPr>
            </w:pPr>
          </w:p>
        </w:tc>
        <w:tc>
          <w:tcPr>
            <w:tcW w:w="785" w:type="pct"/>
            <w:vAlign w:val="center"/>
          </w:tcPr>
          <w:p w14:paraId="61F9A877">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资产总额（Z）</w:t>
            </w:r>
          </w:p>
        </w:tc>
        <w:tc>
          <w:tcPr>
            <w:tcW w:w="834" w:type="pct"/>
            <w:vAlign w:val="center"/>
          </w:tcPr>
          <w:p w14:paraId="6E11106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325AB689">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5000≤Z＜10000</w:t>
            </w:r>
          </w:p>
        </w:tc>
        <w:tc>
          <w:tcPr>
            <w:tcW w:w="834" w:type="pct"/>
            <w:vAlign w:val="center"/>
          </w:tcPr>
          <w:p w14:paraId="06BB91EE">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2000≤Y＜5000</w:t>
            </w:r>
          </w:p>
        </w:tc>
        <w:tc>
          <w:tcPr>
            <w:tcW w:w="831" w:type="pct"/>
            <w:vAlign w:val="center"/>
          </w:tcPr>
          <w:p w14:paraId="7E63B11C">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Y＜2000</w:t>
            </w:r>
          </w:p>
        </w:tc>
      </w:tr>
      <w:tr w14:paraId="3153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16FF7E6A">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物业管理</w:t>
            </w:r>
          </w:p>
        </w:tc>
        <w:tc>
          <w:tcPr>
            <w:tcW w:w="785" w:type="pct"/>
            <w:vAlign w:val="center"/>
          </w:tcPr>
          <w:p w14:paraId="3568817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5D3BCA8F">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2EFF27F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300≤X＜1000</w:t>
            </w:r>
          </w:p>
        </w:tc>
        <w:tc>
          <w:tcPr>
            <w:tcW w:w="834" w:type="pct"/>
            <w:vAlign w:val="center"/>
          </w:tcPr>
          <w:p w14:paraId="14E967AE">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100≤X＜300</w:t>
            </w:r>
          </w:p>
        </w:tc>
        <w:tc>
          <w:tcPr>
            <w:tcW w:w="831" w:type="pct"/>
            <w:vAlign w:val="center"/>
          </w:tcPr>
          <w:p w14:paraId="620A847A">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X＜100</w:t>
            </w:r>
          </w:p>
        </w:tc>
      </w:tr>
      <w:tr w14:paraId="235F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4D4E2CFA">
            <w:pPr>
              <w:jc w:val="center"/>
              <w:rPr>
                <w:rFonts w:ascii="宋体" w:hAnsi="宋体" w:eastAsia="宋体"/>
                <w:b/>
                <w:color w:val="auto"/>
                <w:sz w:val="18"/>
                <w:szCs w:val="18"/>
                <w:highlight w:val="none"/>
              </w:rPr>
            </w:pPr>
          </w:p>
        </w:tc>
        <w:tc>
          <w:tcPr>
            <w:tcW w:w="785" w:type="pct"/>
            <w:vAlign w:val="center"/>
          </w:tcPr>
          <w:p w14:paraId="2D74BE0E">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营业收入（Y）</w:t>
            </w:r>
          </w:p>
        </w:tc>
        <w:tc>
          <w:tcPr>
            <w:tcW w:w="834" w:type="pct"/>
            <w:vAlign w:val="center"/>
          </w:tcPr>
          <w:p w14:paraId="012FF020">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7C8640F1">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1000≤Y＜5000</w:t>
            </w:r>
          </w:p>
        </w:tc>
        <w:tc>
          <w:tcPr>
            <w:tcW w:w="834" w:type="pct"/>
            <w:vAlign w:val="center"/>
          </w:tcPr>
          <w:p w14:paraId="23A2ABEC">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500≤Y＜1000</w:t>
            </w:r>
          </w:p>
        </w:tc>
        <w:tc>
          <w:tcPr>
            <w:tcW w:w="831" w:type="pct"/>
            <w:vAlign w:val="center"/>
          </w:tcPr>
          <w:p w14:paraId="3FC9265E">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Y＜500</w:t>
            </w:r>
          </w:p>
        </w:tc>
      </w:tr>
      <w:tr w14:paraId="0096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restart"/>
            <w:vAlign w:val="center"/>
          </w:tcPr>
          <w:p w14:paraId="68A7B688">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租赁和商务服务业</w:t>
            </w:r>
          </w:p>
        </w:tc>
        <w:tc>
          <w:tcPr>
            <w:tcW w:w="785" w:type="pct"/>
            <w:vAlign w:val="center"/>
          </w:tcPr>
          <w:p w14:paraId="7FBC0230">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7B407B0D">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05992640">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100≤X＜300</w:t>
            </w:r>
          </w:p>
        </w:tc>
        <w:tc>
          <w:tcPr>
            <w:tcW w:w="834" w:type="pct"/>
            <w:vAlign w:val="center"/>
          </w:tcPr>
          <w:p w14:paraId="5D4AEB68">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10≤X＜100</w:t>
            </w:r>
          </w:p>
        </w:tc>
        <w:tc>
          <w:tcPr>
            <w:tcW w:w="831" w:type="pct"/>
            <w:vAlign w:val="center"/>
          </w:tcPr>
          <w:p w14:paraId="3CD85BC2">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X＜10</w:t>
            </w:r>
          </w:p>
        </w:tc>
      </w:tr>
      <w:tr w14:paraId="0E73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Merge w:val="continue"/>
            <w:vAlign w:val="center"/>
          </w:tcPr>
          <w:p w14:paraId="20C6AB27">
            <w:pPr>
              <w:jc w:val="center"/>
              <w:rPr>
                <w:rFonts w:ascii="宋体" w:hAnsi="宋体" w:eastAsia="宋体"/>
                <w:b/>
                <w:color w:val="auto"/>
                <w:sz w:val="18"/>
                <w:szCs w:val="18"/>
                <w:highlight w:val="none"/>
              </w:rPr>
            </w:pPr>
          </w:p>
        </w:tc>
        <w:tc>
          <w:tcPr>
            <w:tcW w:w="785" w:type="pct"/>
            <w:vAlign w:val="center"/>
          </w:tcPr>
          <w:p w14:paraId="6087C34A">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资产总额（Z）</w:t>
            </w:r>
          </w:p>
        </w:tc>
        <w:tc>
          <w:tcPr>
            <w:tcW w:w="834" w:type="pct"/>
            <w:vAlign w:val="center"/>
          </w:tcPr>
          <w:p w14:paraId="75D45154">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万元</w:t>
            </w:r>
          </w:p>
        </w:tc>
        <w:tc>
          <w:tcPr>
            <w:tcW w:w="834" w:type="pct"/>
            <w:vAlign w:val="center"/>
          </w:tcPr>
          <w:p w14:paraId="7BF78CA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8000≤Z＜120000</w:t>
            </w:r>
          </w:p>
        </w:tc>
        <w:tc>
          <w:tcPr>
            <w:tcW w:w="834" w:type="pct"/>
            <w:vAlign w:val="center"/>
          </w:tcPr>
          <w:p w14:paraId="4CC7AE08">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100≤Z＜8000</w:t>
            </w:r>
          </w:p>
        </w:tc>
        <w:tc>
          <w:tcPr>
            <w:tcW w:w="831" w:type="pct"/>
            <w:vAlign w:val="center"/>
          </w:tcPr>
          <w:p w14:paraId="565CF52A">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Y＜100</w:t>
            </w:r>
          </w:p>
        </w:tc>
      </w:tr>
      <w:tr w14:paraId="2FB3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2" w:type="pct"/>
            <w:vAlign w:val="center"/>
          </w:tcPr>
          <w:p w14:paraId="60BA8074">
            <w:pPr>
              <w:jc w:val="center"/>
              <w:rPr>
                <w:rFonts w:ascii="宋体" w:hAnsi="宋体" w:eastAsia="宋体"/>
                <w:b/>
                <w:color w:val="auto"/>
                <w:sz w:val="18"/>
                <w:szCs w:val="18"/>
                <w:highlight w:val="none"/>
              </w:rPr>
            </w:pPr>
            <w:r>
              <w:rPr>
                <w:rFonts w:hint="eastAsia" w:ascii="宋体" w:hAnsi="宋体" w:eastAsia="宋体"/>
                <w:b/>
                <w:color w:val="auto"/>
                <w:sz w:val="18"/>
                <w:szCs w:val="18"/>
                <w:highlight w:val="none"/>
              </w:rPr>
              <w:t>其他未列明行业</w:t>
            </w:r>
          </w:p>
        </w:tc>
        <w:tc>
          <w:tcPr>
            <w:tcW w:w="785" w:type="pct"/>
            <w:vAlign w:val="center"/>
          </w:tcPr>
          <w:p w14:paraId="5AB854C8">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从业人员（X）</w:t>
            </w:r>
          </w:p>
        </w:tc>
        <w:tc>
          <w:tcPr>
            <w:tcW w:w="834" w:type="pct"/>
            <w:vAlign w:val="center"/>
          </w:tcPr>
          <w:p w14:paraId="3ED753CC">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人</w:t>
            </w:r>
          </w:p>
        </w:tc>
        <w:tc>
          <w:tcPr>
            <w:tcW w:w="834" w:type="pct"/>
            <w:vAlign w:val="center"/>
          </w:tcPr>
          <w:p w14:paraId="34C32986">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100≤X＜300</w:t>
            </w:r>
          </w:p>
        </w:tc>
        <w:tc>
          <w:tcPr>
            <w:tcW w:w="834" w:type="pct"/>
            <w:vAlign w:val="center"/>
          </w:tcPr>
          <w:p w14:paraId="00570EC0">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10≤X＜100</w:t>
            </w:r>
          </w:p>
        </w:tc>
        <w:tc>
          <w:tcPr>
            <w:tcW w:w="831" w:type="pct"/>
            <w:vAlign w:val="center"/>
          </w:tcPr>
          <w:p w14:paraId="5E6D2E65">
            <w:pPr>
              <w:jc w:val="center"/>
              <w:rPr>
                <w:rFonts w:ascii="宋体" w:hAnsi="宋体" w:eastAsia="宋体"/>
                <w:color w:val="auto"/>
                <w:sz w:val="18"/>
                <w:szCs w:val="18"/>
                <w:highlight w:val="none"/>
              </w:rPr>
            </w:pPr>
            <w:r>
              <w:rPr>
                <w:rFonts w:hint="eastAsia" w:ascii="宋体" w:hAnsi="宋体" w:eastAsia="宋体"/>
                <w:color w:val="auto"/>
                <w:sz w:val="18"/>
                <w:szCs w:val="18"/>
                <w:highlight w:val="none"/>
              </w:rPr>
              <w:t>X＜10</w:t>
            </w:r>
          </w:p>
        </w:tc>
      </w:tr>
    </w:tbl>
    <w:p w14:paraId="6C2F148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38B6B4C">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5912C625">
      <w:pPr>
        <w:pStyle w:val="2"/>
        <w:jc w:val="center"/>
        <w:rPr>
          <w:color w:val="auto"/>
          <w:highlight w:val="none"/>
        </w:rPr>
      </w:pPr>
      <w:bookmarkStart w:id="4" w:name="_Toc217642130"/>
      <w:bookmarkStart w:id="5" w:name="_Toc12074"/>
      <w:r>
        <w:rPr>
          <w:rFonts w:hint="eastAsia"/>
          <w:color w:val="auto"/>
          <w:highlight w:val="none"/>
        </w:rPr>
        <w:t>第三</w:t>
      </w:r>
      <w:r>
        <w:rPr>
          <w:rFonts w:hint="eastAsia" w:ascii="宋体" w:hAnsi="宋体" w:eastAsia="宋体"/>
          <w:color w:val="auto"/>
          <w:spacing w:val="120"/>
          <w:highlight w:val="none"/>
        </w:rPr>
        <w:t>章</w:t>
      </w:r>
      <w:r>
        <w:rPr>
          <w:rFonts w:hint="eastAsia"/>
          <w:color w:val="auto"/>
          <w:highlight w:val="none"/>
        </w:rPr>
        <w:t>供应商须知</w:t>
      </w:r>
      <w:bookmarkEnd w:id="4"/>
      <w:bookmarkEnd w:id="5"/>
    </w:p>
    <w:p w14:paraId="363FEA59">
      <w:pPr>
        <w:pStyle w:val="3"/>
        <w:jc w:val="center"/>
        <w:rPr>
          <w:color w:val="auto"/>
          <w:highlight w:val="none"/>
        </w:rPr>
      </w:pPr>
      <w:bookmarkStart w:id="6" w:name="_Toc217642131"/>
      <w:r>
        <w:rPr>
          <w:rFonts w:hint="eastAsia"/>
          <w:color w:val="auto"/>
          <w:highlight w:val="none"/>
        </w:rPr>
        <w:t>第一</w:t>
      </w:r>
      <w:r>
        <w:rPr>
          <w:rFonts w:hint="eastAsia"/>
          <w:color w:val="auto"/>
          <w:spacing w:val="120"/>
          <w:highlight w:val="none"/>
        </w:rPr>
        <w:t>节</w:t>
      </w:r>
      <w:r>
        <w:rPr>
          <w:rFonts w:hint="eastAsia"/>
          <w:color w:val="auto"/>
          <w:highlight w:val="none"/>
        </w:rPr>
        <w:t>供应商须知前附表</w:t>
      </w:r>
      <w:bookmarkEnd w:id="6"/>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176"/>
        <w:gridCol w:w="6802"/>
      </w:tblGrid>
      <w:tr w14:paraId="4632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44C7C0FA">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条款号</w:t>
            </w:r>
          </w:p>
        </w:tc>
        <w:tc>
          <w:tcPr>
            <w:tcW w:w="1105" w:type="pct"/>
            <w:vAlign w:val="center"/>
          </w:tcPr>
          <w:p w14:paraId="4663E73C">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条款内容</w:t>
            </w:r>
          </w:p>
        </w:tc>
        <w:tc>
          <w:tcPr>
            <w:tcW w:w="3455" w:type="pct"/>
            <w:vAlign w:val="center"/>
          </w:tcPr>
          <w:p w14:paraId="0AF9D9E4">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具体要求</w:t>
            </w:r>
          </w:p>
        </w:tc>
      </w:tr>
      <w:tr w14:paraId="19B2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7404F45F">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3.1</w:t>
            </w:r>
          </w:p>
        </w:tc>
        <w:tc>
          <w:tcPr>
            <w:tcW w:w="1105" w:type="pct"/>
            <w:vAlign w:val="center"/>
          </w:tcPr>
          <w:p w14:paraId="11201F0D">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供应商资格条件</w:t>
            </w:r>
          </w:p>
        </w:tc>
        <w:tc>
          <w:tcPr>
            <w:tcW w:w="3455" w:type="pct"/>
            <w:vAlign w:val="center"/>
          </w:tcPr>
          <w:p w14:paraId="038A050A">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供应商资格条件要求详见公告。</w:t>
            </w:r>
          </w:p>
        </w:tc>
      </w:tr>
      <w:tr w14:paraId="37D7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11C84F55">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5.1</w:t>
            </w:r>
          </w:p>
        </w:tc>
        <w:tc>
          <w:tcPr>
            <w:tcW w:w="1105" w:type="pct"/>
            <w:vAlign w:val="center"/>
          </w:tcPr>
          <w:p w14:paraId="49F475F0">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是否接受联合体竞标</w:t>
            </w:r>
          </w:p>
        </w:tc>
        <w:tc>
          <w:tcPr>
            <w:tcW w:w="3455" w:type="pct"/>
            <w:vAlign w:val="center"/>
          </w:tcPr>
          <w:p w14:paraId="0F744F79">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不接受联合体竞标</w:t>
            </w:r>
          </w:p>
        </w:tc>
      </w:tr>
      <w:tr w14:paraId="49B9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08FE0C0E">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5.2</w:t>
            </w:r>
          </w:p>
        </w:tc>
        <w:tc>
          <w:tcPr>
            <w:tcW w:w="1105" w:type="pct"/>
            <w:vAlign w:val="center"/>
          </w:tcPr>
          <w:p w14:paraId="1E1130C3">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联合体竞标要求</w:t>
            </w:r>
          </w:p>
        </w:tc>
        <w:tc>
          <w:tcPr>
            <w:tcW w:w="3455" w:type="pct"/>
            <w:vAlign w:val="center"/>
          </w:tcPr>
          <w:p w14:paraId="5A2148AF">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1.两个以上竞标人可以组成一个竞标联合体，以一个竞标人的身份共同参加竞标，联合体竞标人的名称应统一按“XXX公司与XXX公司的联合体”的规则填写。</w:t>
            </w:r>
          </w:p>
          <w:p w14:paraId="278F014F">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olor w:val="auto"/>
                <w:szCs w:val="21"/>
                <w:highlight w:val="none"/>
              </w:rPr>
              <w:t>.</w:t>
            </w:r>
            <w:r>
              <w:rPr>
                <w:rFonts w:hint="eastAsia" w:ascii="宋体" w:hAnsi="宋体" w:eastAsia="宋体"/>
                <w:color w:val="auto"/>
                <w:szCs w:val="21"/>
                <w:highlight w:val="none"/>
              </w:rPr>
              <w:t>以联合体形式参加竞标的，联合体各方均必须具备《中华人民共和国政府采购法》第二十二条第一款规定的基本条件（涉及行政许可范围的内容，联合体各方均应具备相应资质）。本项目有特殊要求规定竞标人特定条件的，联合体各方中至少有一方必须符合采购文件“4.本项目的特定条件”。</w:t>
            </w:r>
          </w:p>
          <w:p w14:paraId="1942AB2F">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3.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67F65D2A">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4.以联合体形式参加政府采购活动的，联合体各方不得再单独参加或者与其他竞标人另外组成联合体参加同一合同项下的政府采购活动，否则与之相关的响应文件作废。</w:t>
            </w:r>
          </w:p>
          <w:p w14:paraId="12D4A730">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5.联合体中有同类资质的竞标人按照联合体分工承担相同工作的，应当按照资质等级较低的竞标人确定资质等级。</w:t>
            </w:r>
          </w:p>
          <w:p w14:paraId="4167D865">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6.联合体竞标业绩、履约能力按照联合体各方其中较高的一方认定并计算（采购文件另有规定的除外）。</w:t>
            </w:r>
          </w:p>
          <w:p w14:paraId="4B33E69A">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7.联合体各方均应按照采购文件的规定提交资格证明文件。</w:t>
            </w:r>
          </w:p>
        </w:tc>
      </w:tr>
      <w:tr w14:paraId="0DB4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77279C7C">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6.1</w:t>
            </w:r>
          </w:p>
        </w:tc>
        <w:tc>
          <w:tcPr>
            <w:tcW w:w="1105" w:type="pct"/>
            <w:vAlign w:val="center"/>
          </w:tcPr>
          <w:p w14:paraId="5B0F2315">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是否允许分包</w:t>
            </w:r>
          </w:p>
        </w:tc>
        <w:tc>
          <w:tcPr>
            <w:tcW w:w="3455" w:type="pct"/>
            <w:vAlign w:val="center"/>
          </w:tcPr>
          <w:p w14:paraId="11BF00F7">
            <w:pPr>
              <w:spacing w:line="360" w:lineRule="auto"/>
              <w:jc w:val="left"/>
              <w:rPr>
                <w:rFonts w:ascii="宋体" w:hAnsi="宋体" w:eastAsia="宋体"/>
                <w:color w:val="auto"/>
                <w:szCs w:val="21"/>
                <w:highlight w:val="none"/>
              </w:rPr>
            </w:pPr>
            <w:r>
              <w:rPr>
                <w:rFonts w:ascii="Segoe UI Symbol" w:hAnsi="Segoe UI Symbol" w:eastAsia="宋体" w:cs="Segoe UI Symbol"/>
                <w:color w:val="auto"/>
                <w:szCs w:val="21"/>
                <w:highlight w:val="none"/>
              </w:rPr>
              <w:t>☑</w:t>
            </w:r>
            <w:r>
              <w:rPr>
                <w:rFonts w:hint="eastAsia" w:ascii="宋体" w:hAnsi="宋体" w:eastAsia="宋体"/>
                <w:color w:val="auto"/>
                <w:szCs w:val="21"/>
                <w:highlight w:val="none"/>
              </w:rPr>
              <w:t>不允许分包</w:t>
            </w:r>
          </w:p>
          <w:p w14:paraId="1931F660">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□允许分包</w:t>
            </w:r>
          </w:p>
          <w:p w14:paraId="1FFAD667">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分包内容：</w:t>
            </w:r>
            <w:r>
              <w:rPr>
                <w:rFonts w:ascii="Times New Roman" w:hAnsi="Times New Roman" w:eastAsia="宋体" w:cs="Times New Roman"/>
                <w:color w:val="auto"/>
                <w:szCs w:val="21"/>
                <w:highlight w:val="none"/>
              </w:rPr>
              <w:t>___________________________________________________</w:t>
            </w:r>
          </w:p>
          <w:p w14:paraId="4FC2B295">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分包金额或者比例：</w:t>
            </w:r>
            <w:r>
              <w:rPr>
                <w:rFonts w:ascii="Times New Roman" w:hAnsi="Times New Roman" w:eastAsia="宋体" w:cs="Times New Roman"/>
                <w:color w:val="auto"/>
                <w:szCs w:val="21"/>
                <w:highlight w:val="none"/>
              </w:rPr>
              <w:t>___________________________________________</w:t>
            </w:r>
          </w:p>
        </w:tc>
      </w:tr>
      <w:tr w14:paraId="5454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4912A2B7">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12.1.1</w:t>
            </w:r>
          </w:p>
        </w:tc>
        <w:tc>
          <w:tcPr>
            <w:tcW w:w="1105" w:type="pct"/>
            <w:vAlign w:val="center"/>
          </w:tcPr>
          <w:p w14:paraId="14B1CA8F">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资格证明文件组成</w:t>
            </w:r>
          </w:p>
        </w:tc>
        <w:tc>
          <w:tcPr>
            <w:tcW w:w="3455" w:type="pct"/>
            <w:vAlign w:val="center"/>
          </w:tcPr>
          <w:p w14:paraId="4E82CC97">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b/>
                <w:color w:val="auto"/>
                <w:szCs w:val="21"/>
                <w:highlight w:val="none"/>
              </w:rPr>
              <w:t>（必须提供，否则响应文件按无效响应处理）</w:t>
            </w:r>
          </w:p>
          <w:p w14:paraId="408779EA">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2.供应商依法缴纳税收的相关材料：[</w:t>
            </w:r>
            <w:r>
              <w:rPr>
                <w:rFonts w:hint="eastAsia" w:ascii="宋体" w:hAnsi="宋体" w:eastAsia="宋体"/>
                <w:color w:val="auto"/>
                <w:szCs w:val="21"/>
                <w:highlight w:val="none"/>
                <w:u w:val="single"/>
              </w:rPr>
              <w:t>202</w:t>
            </w:r>
            <w:r>
              <w:rPr>
                <w:rFonts w:ascii="宋体" w:hAnsi="宋体" w:eastAsia="宋体"/>
                <w:color w:val="auto"/>
                <w:szCs w:val="21"/>
                <w:highlight w:val="none"/>
                <w:u w:val="single"/>
              </w:rPr>
              <w:t>5</w:t>
            </w:r>
            <w:r>
              <w:rPr>
                <w:rFonts w:hint="eastAsia" w:ascii="宋体" w:hAnsi="宋体" w:eastAsia="宋体"/>
                <w:color w:val="auto"/>
                <w:szCs w:val="21"/>
                <w:highlight w:val="none"/>
              </w:rPr>
              <w:t>年</w:t>
            </w:r>
            <w:r>
              <w:rPr>
                <w:rFonts w:hint="eastAsia" w:ascii="宋体" w:hAnsi="宋体" w:eastAsia="宋体"/>
                <w:color w:val="auto"/>
                <w:szCs w:val="21"/>
                <w:highlight w:val="none"/>
                <w:u w:val="single"/>
                <w:lang w:val="en-US" w:eastAsia="zh-CN"/>
              </w:rPr>
              <w:t>9</w:t>
            </w:r>
            <w:r>
              <w:rPr>
                <w:rFonts w:hint="eastAsia" w:ascii="宋体" w:hAnsi="宋体" w:eastAsia="宋体"/>
                <w:color w:val="auto"/>
                <w:szCs w:val="21"/>
                <w:highlight w:val="none"/>
              </w:rPr>
              <w:t>月至</w:t>
            </w:r>
            <w:r>
              <w:rPr>
                <w:rFonts w:hint="eastAsia" w:ascii="宋体" w:hAnsi="宋体" w:eastAsia="宋体"/>
                <w:color w:val="auto"/>
                <w:szCs w:val="21"/>
                <w:highlight w:val="none"/>
                <w:u w:val="single"/>
              </w:rPr>
              <w:t>202</w:t>
            </w:r>
            <w:r>
              <w:rPr>
                <w:rFonts w:ascii="宋体" w:hAnsi="宋体" w:eastAsia="宋体"/>
                <w:color w:val="auto"/>
                <w:szCs w:val="21"/>
                <w:highlight w:val="none"/>
                <w:u w:val="single"/>
              </w:rPr>
              <w:t>6</w:t>
            </w:r>
            <w:r>
              <w:rPr>
                <w:rFonts w:hint="eastAsia" w:ascii="宋体" w:hAnsi="宋体" w:eastAsia="宋体"/>
                <w:color w:val="auto"/>
                <w:szCs w:val="21"/>
                <w:highlight w:val="none"/>
              </w:rPr>
              <w:t>年</w:t>
            </w:r>
            <w:r>
              <w:rPr>
                <w:rFonts w:hint="eastAsia" w:ascii="宋体" w:hAnsi="宋体" w:eastAsia="宋体"/>
                <w:color w:val="auto"/>
                <w:szCs w:val="21"/>
                <w:highlight w:val="none"/>
                <w:u w:val="single"/>
                <w:lang w:val="en-US" w:eastAsia="zh-CN"/>
              </w:rPr>
              <w:t>2</w:t>
            </w:r>
            <w:r>
              <w:rPr>
                <w:rFonts w:hint="eastAsia" w:ascii="宋体" w:hAnsi="宋体" w:eastAsia="宋体"/>
                <w:color w:val="auto"/>
                <w:szCs w:val="21"/>
                <w:highlight w:val="none"/>
              </w:rPr>
              <w:t>月]任意连续</w:t>
            </w:r>
            <w:r>
              <w:rPr>
                <w:rFonts w:ascii="宋体" w:hAnsi="宋体" w:eastAsia="宋体"/>
                <w:color w:val="auto"/>
                <w:szCs w:val="21"/>
                <w:highlight w:val="none"/>
                <w:u w:val="single"/>
              </w:rPr>
              <w:t>3</w:t>
            </w:r>
            <w:r>
              <w:rPr>
                <w:rFonts w:hint="eastAsia" w:ascii="宋体" w:hAnsi="宋体" w:eastAsia="宋体"/>
                <w:color w:val="auto"/>
                <w:szCs w:val="21"/>
                <w:highlight w:val="none"/>
              </w:rPr>
              <w:t>个月的依法缴纳税收的凭据复印件；依法免税的供应商，必须提供相应文件证明其依法免税。从取得营业执照时间起到竞标文件提交截止时间为止不足要求月数的，只需提供从取得营业执照起的依法缴纳税收相应证明文件）；</w:t>
            </w:r>
            <w:r>
              <w:rPr>
                <w:rFonts w:hint="eastAsia" w:ascii="宋体" w:hAnsi="宋体" w:eastAsia="宋体"/>
                <w:b/>
                <w:color w:val="auto"/>
                <w:szCs w:val="21"/>
                <w:highlight w:val="none"/>
              </w:rPr>
              <w:t>（必须提供，否则作无效竞标处理）</w:t>
            </w:r>
          </w:p>
          <w:p w14:paraId="71B0A111">
            <w:pPr>
              <w:spacing w:line="360" w:lineRule="auto"/>
              <w:rPr>
                <w:rFonts w:ascii="宋体" w:hAnsi="宋体" w:eastAsia="宋体"/>
                <w:b/>
                <w:color w:val="auto"/>
                <w:szCs w:val="21"/>
                <w:highlight w:val="none"/>
              </w:rPr>
            </w:pPr>
            <w:r>
              <w:rPr>
                <w:rFonts w:hint="eastAsia" w:ascii="宋体" w:hAnsi="宋体" w:eastAsia="宋体"/>
                <w:color w:val="auto"/>
                <w:szCs w:val="21"/>
                <w:highlight w:val="none"/>
              </w:rPr>
              <w:t>3.供应商依法缴纳社会保障资金的相关材料：[</w:t>
            </w:r>
            <w:r>
              <w:rPr>
                <w:rFonts w:hint="eastAsia" w:ascii="宋体" w:hAnsi="宋体" w:eastAsia="宋体"/>
                <w:color w:val="auto"/>
                <w:szCs w:val="21"/>
                <w:highlight w:val="none"/>
                <w:u w:val="single"/>
              </w:rPr>
              <w:t>202</w:t>
            </w:r>
            <w:r>
              <w:rPr>
                <w:rFonts w:ascii="宋体" w:hAnsi="宋体" w:eastAsia="宋体"/>
                <w:color w:val="auto"/>
                <w:szCs w:val="21"/>
                <w:highlight w:val="none"/>
                <w:u w:val="single"/>
              </w:rPr>
              <w:t>5</w:t>
            </w:r>
            <w:r>
              <w:rPr>
                <w:rFonts w:hint="eastAsia" w:ascii="宋体" w:hAnsi="宋体" w:eastAsia="宋体"/>
                <w:color w:val="auto"/>
                <w:szCs w:val="21"/>
                <w:highlight w:val="none"/>
              </w:rPr>
              <w:t>年</w:t>
            </w:r>
            <w:r>
              <w:rPr>
                <w:rFonts w:hint="eastAsia" w:ascii="宋体" w:hAnsi="宋体" w:eastAsia="宋体"/>
                <w:color w:val="auto"/>
                <w:szCs w:val="21"/>
                <w:highlight w:val="none"/>
                <w:u w:val="single"/>
                <w:lang w:val="en-US" w:eastAsia="zh-CN"/>
              </w:rPr>
              <w:t>9</w:t>
            </w:r>
            <w:r>
              <w:rPr>
                <w:rFonts w:hint="eastAsia" w:ascii="宋体" w:hAnsi="宋体" w:eastAsia="宋体"/>
                <w:color w:val="auto"/>
                <w:szCs w:val="21"/>
                <w:highlight w:val="none"/>
              </w:rPr>
              <w:t>月至</w:t>
            </w:r>
            <w:r>
              <w:rPr>
                <w:rFonts w:hint="eastAsia" w:ascii="宋体" w:hAnsi="宋体" w:eastAsia="宋体"/>
                <w:color w:val="auto"/>
                <w:szCs w:val="21"/>
                <w:highlight w:val="none"/>
                <w:u w:val="single"/>
              </w:rPr>
              <w:t>202</w:t>
            </w:r>
            <w:r>
              <w:rPr>
                <w:rFonts w:ascii="宋体" w:hAnsi="宋体" w:eastAsia="宋体"/>
                <w:color w:val="auto"/>
                <w:szCs w:val="21"/>
                <w:highlight w:val="none"/>
                <w:u w:val="single"/>
              </w:rPr>
              <w:t>6</w:t>
            </w:r>
            <w:r>
              <w:rPr>
                <w:rFonts w:hint="eastAsia" w:ascii="宋体" w:hAnsi="宋体" w:eastAsia="宋体"/>
                <w:color w:val="auto"/>
                <w:szCs w:val="21"/>
                <w:highlight w:val="none"/>
              </w:rPr>
              <w:t>年</w:t>
            </w:r>
            <w:r>
              <w:rPr>
                <w:rFonts w:hint="eastAsia" w:ascii="宋体" w:hAnsi="宋体" w:eastAsia="宋体"/>
                <w:color w:val="auto"/>
                <w:szCs w:val="21"/>
                <w:highlight w:val="none"/>
                <w:u w:val="single"/>
                <w:lang w:val="en-US" w:eastAsia="zh-CN"/>
              </w:rPr>
              <w:t>2</w:t>
            </w:r>
            <w:r>
              <w:rPr>
                <w:rFonts w:hint="eastAsia" w:ascii="宋体" w:hAnsi="宋体" w:eastAsia="宋体"/>
                <w:color w:val="auto"/>
                <w:szCs w:val="21"/>
                <w:highlight w:val="none"/>
              </w:rPr>
              <w:t>月]连续</w:t>
            </w:r>
            <w:r>
              <w:rPr>
                <w:rFonts w:ascii="宋体" w:hAnsi="宋体" w:eastAsia="宋体"/>
                <w:color w:val="auto"/>
                <w:szCs w:val="21"/>
                <w:highlight w:val="none"/>
                <w:u w:val="single"/>
              </w:rPr>
              <w:t>3</w:t>
            </w:r>
            <w:r>
              <w:rPr>
                <w:rFonts w:hint="eastAsia" w:ascii="宋体" w:hAnsi="宋体" w:eastAsia="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b/>
                <w:color w:val="auto"/>
                <w:szCs w:val="21"/>
                <w:highlight w:val="none"/>
              </w:rPr>
              <w:t>（必须提供，否则作无效竞标处理）</w:t>
            </w:r>
          </w:p>
          <w:p w14:paraId="78799597">
            <w:pPr>
              <w:spacing w:line="360" w:lineRule="auto"/>
              <w:rPr>
                <w:rFonts w:ascii="宋体" w:hAnsi="宋体" w:eastAsia="宋体"/>
                <w:b/>
                <w:color w:val="auto"/>
                <w:szCs w:val="21"/>
                <w:highlight w:val="none"/>
              </w:rPr>
            </w:pPr>
            <w:r>
              <w:rPr>
                <w:rFonts w:hint="eastAsia" w:ascii="宋体" w:hAnsi="宋体" w:eastAsia="宋体"/>
                <w:color w:val="auto"/>
                <w:szCs w:val="21"/>
                <w:highlight w:val="none"/>
              </w:rPr>
              <w:t>4.供应商财务状况报告：[</w:t>
            </w:r>
            <w:r>
              <w:rPr>
                <w:rFonts w:hint="eastAsia" w:ascii="宋体" w:hAnsi="宋体" w:eastAsia="宋体"/>
                <w:color w:val="auto"/>
                <w:szCs w:val="21"/>
                <w:highlight w:val="none"/>
                <w:u w:val="single"/>
              </w:rPr>
              <w:t>202</w:t>
            </w:r>
            <w:r>
              <w:rPr>
                <w:rFonts w:ascii="宋体" w:hAnsi="宋体" w:eastAsia="宋体"/>
                <w:color w:val="auto"/>
                <w:szCs w:val="21"/>
                <w:highlight w:val="none"/>
                <w:u w:val="single"/>
              </w:rPr>
              <w:t>4</w:t>
            </w:r>
            <w:r>
              <w:rPr>
                <w:rFonts w:hint="eastAsia" w:ascii="宋体" w:hAnsi="宋体" w:eastAsia="宋体"/>
                <w:color w:val="auto"/>
                <w:szCs w:val="21"/>
                <w:highlight w:val="none"/>
              </w:rPr>
              <w:t>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b/>
                <w:color w:val="auto"/>
                <w:szCs w:val="21"/>
                <w:highlight w:val="none"/>
              </w:rPr>
              <w:t>（必须提供，否则作无效竞标处理）</w:t>
            </w:r>
          </w:p>
          <w:p w14:paraId="071D6843">
            <w:pPr>
              <w:spacing w:line="360" w:lineRule="auto"/>
              <w:rPr>
                <w:rFonts w:ascii="宋体" w:hAnsi="宋体" w:eastAsia="宋体"/>
                <w:b/>
                <w:color w:val="auto"/>
                <w:szCs w:val="21"/>
                <w:highlight w:val="none"/>
              </w:rPr>
            </w:pPr>
            <w:r>
              <w:rPr>
                <w:rFonts w:hint="eastAsia" w:ascii="宋体" w:hAnsi="宋体" w:eastAsia="宋体"/>
                <w:color w:val="auto"/>
                <w:szCs w:val="21"/>
                <w:highlight w:val="none"/>
              </w:rPr>
              <w:t>5.供应商直接控股、管理关系信息表；</w:t>
            </w:r>
            <w:r>
              <w:rPr>
                <w:rFonts w:hint="eastAsia" w:ascii="宋体" w:hAnsi="宋体" w:eastAsia="宋体"/>
                <w:b/>
                <w:color w:val="auto"/>
                <w:szCs w:val="21"/>
                <w:highlight w:val="none"/>
              </w:rPr>
              <w:t>（必须提供，否则响应文件按无效响应处理）</w:t>
            </w:r>
          </w:p>
          <w:p w14:paraId="6F9C20C4">
            <w:pPr>
              <w:spacing w:line="360" w:lineRule="auto"/>
              <w:rPr>
                <w:rFonts w:ascii="宋体" w:hAnsi="宋体" w:eastAsia="宋体"/>
                <w:b/>
                <w:color w:val="auto"/>
                <w:szCs w:val="21"/>
                <w:highlight w:val="none"/>
              </w:rPr>
            </w:pPr>
            <w:r>
              <w:rPr>
                <w:rFonts w:hint="eastAsia" w:ascii="宋体" w:hAnsi="宋体" w:eastAsia="宋体"/>
                <w:color w:val="auto"/>
                <w:szCs w:val="21"/>
                <w:highlight w:val="none"/>
              </w:rPr>
              <w:t>6.资格声明；</w:t>
            </w:r>
            <w:r>
              <w:rPr>
                <w:rFonts w:hint="eastAsia" w:ascii="宋体" w:hAnsi="宋体" w:eastAsia="宋体"/>
                <w:b/>
                <w:color w:val="auto"/>
                <w:szCs w:val="21"/>
                <w:highlight w:val="none"/>
              </w:rPr>
              <w:t>（必须提供，否则响应文件按无效响应处理）</w:t>
            </w:r>
          </w:p>
          <w:p w14:paraId="7B2249EB">
            <w:pPr>
              <w:spacing w:line="360" w:lineRule="auto"/>
              <w:rPr>
                <w:rFonts w:ascii="宋体" w:hAnsi="宋体" w:eastAsia="宋体"/>
                <w:color w:val="auto"/>
                <w:szCs w:val="21"/>
                <w:highlight w:val="none"/>
              </w:rPr>
            </w:pPr>
            <w:r>
              <w:rPr>
                <w:rFonts w:ascii="宋体" w:hAnsi="宋体" w:eastAsia="宋体"/>
                <w:color w:val="auto"/>
                <w:szCs w:val="21"/>
                <w:highlight w:val="none"/>
              </w:rPr>
              <w:t>7</w:t>
            </w:r>
            <w:r>
              <w:rPr>
                <w:rFonts w:hint="eastAsia" w:ascii="宋体" w:hAnsi="宋体" w:eastAsia="宋体"/>
                <w:color w:val="auto"/>
                <w:szCs w:val="21"/>
                <w:highlight w:val="none"/>
              </w:rPr>
              <w:t>.（采购人或采购代理机构根据竞争性磋商公告对应的特定资格要求及特定条件设置供应商提供的资格证明材料：</w:t>
            </w:r>
          </w:p>
          <w:p w14:paraId="02CEDA3C">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（1）供应商具有有效的</w:t>
            </w:r>
            <w:r>
              <w:rPr>
                <w:rFonts w:hint="eastAsia" w:ascii="宋体" w:hAnsi="宋体" w:eastAsia="宋体"/>
                <w:color w:val="auto"/>
                <w:szCs w:val="21"/>
                <w:highlight w:val="none"/>
                <w:lang w:eastAsia="zh-CN"/>
              </w:rPr>
              <w:t>市政公用工程施工总承包三级</w:t>
            </w:r>
            <w:r>
              <w:rPr>
                <w:rFonts w:hint="eastAsia" w:ascii="宋体" w:hAnsi="宋体" w:eastAsia="宋体"/>
                <w:color w:val="auto"/>
                <w:szCs w:val="21"/>
                <w:highlight w:val="none"/>
              </w:rPr>
              <w:t>（含）以上资质，同时具备有效的省级及以上建设行政主管部门颁发的安全生产许可证，并在人员、设备、资金等方面具备相应的施工能力。</w:t>
            </w:r>
            <w:r>
              <w:rPr>
                <w:rFonts w:hint="eastAsia" w:ascii="宋体" w:hAnsi="宋体" w:eastAsia="宋体"/>
                <w:b/>
                <w:color w:val="auto"/>
                <w:szCs w:val="21"/>
                <w:highlight w:val="none"/>
              </w:rPr>
              <w:t>（必须提供，否则响应文件按无效响应处理）</w:t>
            </w:r>
          </w:p>
          <w:p w14:paraId="1C456E1C">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（2）拟投入本项目的项目经理须具备</w:t>
            </w:r>
            <w:r>
              <w:rPr>
                <w:rFonts w:hint="eastAsia" w:ascii="宋体" w:hAnsi="宋体" w:eastAsia="宋体"/>
                <w:color w:val="auto"/>
                <w:szCs w:val="21"/>
                <w:highlight w:val="none"/>
                <w:lang w:eastAsia="zh-CN"/>
              </w:rPr>
              <w:t>市政公用工程专业二级</w:t>
            </w:r>
            <w:r>
              <w:rPr>
                <w:rFonts w:hint="eastAsia" w:ascii="宋体" w:hAnsi="宋体" w:eastAsia="宋体"/>
                <w:color w:val="auto"/>
                <w:szCs w:val="21"/>
                <w:highlight w:val="none"/>
              </w:rPr>
              <w:t>（含）以上注册建造师执业资格，并持有省级或省级以上行政主管部门或其授权部门（机构）颁发的B类安全生产考核合格证书。本项目不接受有在建、已中标（成交）未开工或已列为其他项目中标候选人第一名的建造师作为项目经理（符合《广西壮族自治区建筑市场诚信卡管理暂行办法》第十六条第一款及桂建管﹝2016﹞70号、桂建管〔2020〕11号文除外）。</w:t>
            </w:r>
            <w:r>
              <w:rPr>
                <w:rFonts w:hint="eastAsia" w:ascii="宋体" w:hAnsi="宋体" w:eastAsia="宋体"/>
                <w:b/>
                <w:color w:val="auto"/>
                <w:szCs w:val="21"/>
                <w:highlight w:val="none"/>
              </w:rPr>
              <w:t>（必须提供，否则响应文件按无效响应处理）</w:t>
            </w:r>
          </w:p>
          <w:p w14:paraId="56FA168E">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（3）拟投入本项目的专职安全生产管理人员须具备有效的安全生产考核合格证书（C类）。</w:t>
            </w:r>
            <w:r>
              <w:rPr>
                <w:rFonts w:hint="eastAsia" w:ascii="宋体" w:hAnsi="宋体" w:eastAsia="宋体"/>
                <w:b/>
                <w:color w:val="auto"/>
                <w:szCs w:val="21"/>
                <w:highlight w:val="none"/>
              </w:rPr>
              <w:t>（必须提供，否则响应文件按无效响应处理）</w:t>
            </w:r>
          </w:p>
          <w:p w14:paraId="190E4E18">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4</w:t>
            </w:r>
            <w:r>
              <w:rPr>
                <w:rFonts w:hint="eastAsia" w:ascii="宋体" w:hAnsi="宋体" w:eastAsia="宋体"/>
                <w:color w:val="auto"/>
                <w:szCs w:val="21"/>
                <w:highlight w:val="none"/>
              </w:rPr>
              <w:t>）中小企业声明函或残疾人福利性单位声明函或属于监狱企业的证明文件；</w:t>
            </w:r>
            <w:r>
              <w:rPr>
                <w:rFonts w:hint="eastAsia" w:ascii="宋体" w:hAnsi="宋体" w:eastAsia="宋体"/>
                <w:b/>
                <w:color w:val="auto"/>
                <w:szCs w:val="21"/>
                <w:highlight w:val="none"/>
              </w:rPr>
              <w:t>（必须提供，否则响应文件按无效响应处理）</w:t>
            </w:r>
          </w:p>
          <w:p w14:paraId="4D7CE777">
            <w:pPr>
              <w:spacing w:line="360" w:lineRule="auto"/>
              <w:rPr>
                <w:rFonts w:ascii="宋体" w:hAnsi="宋体" w:eastAsia="宋体"/>
                <w:color w:val="auto"/>
                <w:szCs w:val="21"/>
                <w:highlight w:val="none"/>
              </w:rPr>
            </w:pPr>
            <w:r>
              <w:rPr>
                <w:rFonts w:ascii="宋体" w:hAnsi="宋体" w:eastAsia="宋体"/>
                <w:color w:val="auto"/>
                <w:szCs w:val="21"/>
                <w:highlight w:val="none"/>
              </w:rPr>
              <w:t>8</w:t>
            </w:r>
            <w:r>
              <w:rPr>
                <w:rFonts w:hint="eastAsia" w:ascii="宋体" w:hAnsi="宋体" w:eastAsia="宋体"/>
                <w:color w:val="auto"/>
                <w:szCs w:val="21"/>
                <w:highlight w:val="none"/>
              </w:rPr>
              <w:t>.除磋商文件规定必须提供以外，供应商认为需要提供的其他证明材料；</w:t>
            </w:r>
          </w:p>
          <w:p w14:paraId="04D590F3">
            <w:pPr>
              <w:spacing w:line="360" w:lineRule="auto"/>
              <w:rPr>
                <w:rFonts w:ascii="宋体" w:hAnsi="宋体" w:eastAsia="宋体"/>
                <w:b/>
                <w:color w:val="auto"/>
                <w:szCs w:val="21"/>
                <w:highlight w:val="none"/>
              </w:rPr>
            </w:pPr>
            <w:r>
              <w:rPr>
                <w:rFonts w:hint="eastAsia" w:ascii="宋体" w:hAnsi="宋体" w:eastAsia="宋体"/>
                <w:b/>
                <w:color w:val="auto"/>
                <w:szCs w:val="21"/>
                <w:highlight w:val="none"/>
              </w:rPr>
              <w:t>注：</w:t>
            </w:r>
          </w:p>
          <w:p w14:paraId="249401A3">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1.以上标明“必须提供”的材料属于复印件的扫描件的，必须加盖供应商电子公章，否则响应文件按无效响应处理。</w:t>
            </w:r>
          </w:p>
          <w:p w14:paraId="50D92F3A">
            <w:pPr>
              <w:spacing w:line="360" w:lineRule="auto"/>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2.联合体竞标时，第1-5项资格证明文件联合体各方均必须分别提供，联合体各方分别盖章和签字，否则响应文件按无效响应处理。</w:t>
            </w:r>
          </w:p>
        </w:tc>
      </w:tr>
      <w:tr w14:paraId="0E33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restart"/>
            <w:vAlign w:val="center"/>
          </w:tcPr>
          <w:p w14:paraId="7A0AF45E">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12.1.2</w:t>
            </w:r>
          </w:p>
        </w:tc>
        <w:tc>
          <w:tcPr>
            <w:tcW w:w="1105" w:type="pct"/>
            <w:vAlign w:val="center"/>
          </w:tcPr>
          <w:p w14:paraId="7F8D2167">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商务文件组成</w:t>
            </w:r>
          </w:p>
        </w:tc>
        <w:tc>
          <w:tcPr>
            <w:tcW w:w="3455" w:type="pct"/>
            <w:vAlign w:val="center"/>
          </w:tcPr>
          <w:p w14:paraId="2BF90D36">
            <w:pPr>
              <w:spacing w:line="360" w:lineRule="auto"/>
              <w:rPr>
                <w:rFonts w:ascii="宋体" w:hAnsi="宋体" w:eastAsia="宋体"/>
                <w:b/>
                <w:color w:val="auto"/>
                <w:szCs w:val="21"/>
                <w:highlight w:val="none"/>
              </w:rPr>
            </w:pPr>
            <w:r>
              <w:rPr>
                <w:rFonts w:hint="eastAsia" w:ascii="宋体" w:hAnsi="宋体" w:eastAsia="宋体"/>
                <w:color w:val="auto"/>
                <w:szCs w:val="21"/>
                <w:highlight w:val="none"/>
              </w:rPr>
              <w:t>1.无串通竞标行为的承诺函；</w:t>
            </w:r>
            <w:r>
              <w:rPr>
                <w:rFonts w:hint="eastAsia" w:ascii="宋体" w:hAnsi="宋体" w:eastAsia="宋体"/>
                <w:b/>
                <w:color w:val="auto"/>
                <w:szCs w:val="21"/>
                <w:highlight w:val="none"/>
              </w:rPr>
              <w:t>（必须提供，否则响应文件按无效响应处理）</w:t>
            </w:r>
          </w:p>
          <w:p w14:paraId="205CAE12">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2.法定代表人身份证明书及法定代表人有效身份证正反面复印件；</w:t>
            </w:r>
            <w:r>
              <w:rPr>
                <w:rFonts w:hint="eastAsia" w:ascii="宋体" w:hAnsi="宋体" w:eastAsia="宋体"/>
                <w:b/>
                <w:color w:val="auto"/>
                <w:szCs w:val="21"/>
                <w:highlight w:val="none"/>
              </w:rPr>
              <w:t>（除自然人竞标外必须提供，否则响应文件按无效响应处理）</w:t>
            </w:r>
          </w:p>
          <w:p w14:paraId="133CC386">
            <w:pPr>
              <w:spacing w:line="360" w:lineRule="auto"/>
              <w:rPr>
                <w:rFonts w:ascii="宋体" w:hAnsi="宋体" w:eastAsia="宋体"/>
                <w:b/>
                <w:color w:val="auto"/>
                <w:szCs w:val="21"/>
                <w:highlight w:val="none"/>
              </w:rPr>
            </w:pPr>
            <w:r>
              <w:rPr>
                <w:rFonts w:hint="eastAsia" w:ascii="宋体" w:hAnsi="宋体" w:eastAsia="宋体"/>
                <w:color w:val="auto"/>
                <w:szCs w:val="21"/>
                <w:highlight w:val="none"/>
              </w:rPr>
              <w:t>3.法定代表人授权委托书及委托代理人有效身份证正反面复印件；</w:t>
            </w:r>
            <w:r>
              <w:rPr>
                <w:rFonts w:hint="eastAsia" w:ascii="宋体" w:hAnsi="宋体" w:eastAsia="宋体"/>
                <w:b/>
                <w:color w:val="auto"/>
                <w:szCs w:val="21"/>
                <w:highlight w:val="none"/>
              </w:rPr>
              <w:t>（委托时必须提供，否则响应文件按无效响应处理）</w:t>
            </w:r>
          </w:p>
          <w:p w14:paraId="502A71D4">
            <w:pPr>
              <w:spacing w:line="360" w:lineRule="auto"/>
              <w:rPr>
                <w:rFonts w:ascii="宋体" w:hAnsi="宋体" w:eastAsia="宋体"/>
                <w:b/>
                <w:color w:val="auto"/>
                <w:szCs w:val="21"/>
                <w:highlight w:val="none"/>
              </w:rPr>
            </w:pPr>
            <w:r>
              <w:rPr>
                <w:rFonts w:hint="eastAsia" w:ascii="宋体" w:hAnsi="宋体" w:eastAsia="宋体"/>
                <w:color w:val="auto"/>
                <w:szCs w:val="21"/>
                <w:highlight w:val="none"/>
              </w:rPr>
              <w:t>4.商务条款偏离表；</w:t>
            </w:r>
            <w:r>
              <w:rPr>
                <w:rFonts w:hint="eastAsia" w:ascii="宋体" w:hAnsi="宋体" w:eastAsia="宋体"/>
                <w:b/>
                <w:color w:val="auto"/>
                <w:szCs w:val="21"/>
                <w:highlight w:val="none"/>
              </w:rPr>
              <w:t>（必须提供，否则响应文件按无效响应处理）</w:t>
            </w:r>
          </w:p>
          <w:p w14:paraId="5233A821">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5.竞标人情况介绍；</w:t>
            </w:r>
          </w:p>
          <w:p w14:paraId="53240005">
            <w:pPr>
              <w:spacing w:line="360" w:lineRule="auto"/>
              <w:rPr>
                <w:rFonts w:ascii="宋体" w:hAnsi="宋体" w:eastAsia="宋体"/>
                <w:color w:val="auto"/>
                <w:szCs w:val="21"/>
                <w:highlight w:val="none"/>
              </w:rPr>
            </w:pPr>
            <w:r>
              <w:rPr>
                <w:rFonts w:ascii="宋体" w:hAnsi="宋体" w:eastAsia="宋体"/>
                <w:color w:val="auto"/>
                <w:szCs w:val="21"/>
                <w:highlight w:val="none"/>
              </w:rPr>
              <w:t>6</w:t>
            </w:r>
            <w:r>
              <w:rPr>
                <w:rFonts w:hint="eastAsia" w:ascii="宋体" w:hAnsi="宋体" w:eastAsia="宋体"/>
                <w:color w:val="auto"/>
                <w:szCs w:val="21"/>
                <w:highlight w:val="none"/>
              </w:rPr>
              <w:t>.供应商认为需要提供的其他有关资料。</w:t>
            </w:r>
          </w:p>
          <w:p w14:paraId="7AE9FF1E">
            <w:pPr>
              <w:spacing w:line="360" w:lineRule="auto"/>
              <w:rPr>
                <w:rFonts w:ascii="宋体" w:hAnsi="宋体" w:eastAsia="宋体"/>
                <w:b/>
                <w:color w:val="auto"/>
                <w:szCs w:val="21"/>
                <w:highlight w:val="none"/>
              </w:rPr>
            </w:pPr>
            <w:r>
              <w:rPr>
                <w:rFonts w:hint="eastAsia" w:ascii="宋体" w:hAnsi="宋体" w:eastAsia="宋体"/>
                <w:b/>
                <w:color w:val="auto"/>
                <w:szCs w:val="21"/>
                <w:highlight w:val="none"/>
              </w:rPr>
              <w:t>注：</w:t>
            </w:r>
          </w:p>
          <w:p w14:paraId="0784148C">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1.法定代表人授权委托书必须由法定代表人及委托代理人签字，并加盖供应商公章，否则响应文件按无效响应处理。</w:t>
            </w:r>
          </w:p>
          <w:p w14:paraId="2B557823">
            <w:pPr>
              <w:spacing w:line="360" w:lineRule="auto"/>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2.以上标明“必须提供”的材料属于复印件的扫描件的，必须加盖供应商电子公章，否则响应文件按无效响应处理。</w:t>
            </w:r>
          </w:p>
        </w:tc>
      </w:tr>
      <w:tr w14:paraId="69B0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continue"/>
            <w:vAlign w:val="center"/>
          </w:tcPr>
          <w:p w14:paraId="5E277220">
            <w:pPr>
              <w:spacing w:line="360" w:lineRule="auto"/>
              <w:jc w:val="center"/>
              <w:rPr>
                <w:rFonts w:ascii="宋体" w:hAnsi="宋体" w:eastAsia="宋体"/>
                <w:color w:val="auto"/>
                <w:szCs w:val="21"/>
                <w:highlight w:val="none"/>
              </w:rPr>
            </w:pPr>
          </w:p>
        </w:tc>
        <w:tc>
          <w:tcPr>
            <w:tcW w:w="1105" w:type="pct"/>
            <w:vAlign w:val="center"/>
          </w:tcPr>
          <w:p w14:paraId="49070727">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技术文件组成</w:t>
            </w:r>
          </w:p>
        </w:tc>
        <w:tc>
          <w:tcPr>
            <w:tcW w:w="3455" w:type="pct"/>
            <w:vAlign w:val="center"/>
          </w:tcPr>
          <w:p w14:paraId="1774DB89">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1.技术需求偏离表；</w:t>
            </w:r>
            <w:r>
              <w:rPr>
                <w:rFonts w:hint="eastAsia" w:ascii="宋体" w:hAnsi="宋体" w:eastAsia="宋体"/>
                <w:b/>
                <w:color w:val="auto"/>
                <w:szCs w:val="21"/>
                <w:highlight w:val="none"/>
              </w:rPr>
              <w:t>（必须提供，否则响应文件按无效响应处理）</w:t>
            </w:r>
          </w:p>
          <w:p w14:paraId="2CBFBE74">
            <w:pPr>
              <w:spacing w:line="360" w:lineRule="auto"/>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.企业概况表；</w:t>
            </w:r>
            <w:r>
              <w:rPr>
                <w:rFonts w:hint="eastAsia" w:ascii="宋体" w:hAnsi="宋体" w:eastAsia="宋体"/>
                <w:b/>
                <w:color w:val="auto"/>
                <w:szCs w:val="21"/>
                <w:highlight w:val="none"/>
              </w:rPr>
              <w:t>（必须提供，否则响应文件按无效响应处理）</w:t>
            </w:r>
          </w:p>
          <w:p w14:paraId="37FC12BE">
            <w:pPr>
              <w:spacing w:line="360" w:lineRule="auto"/>
              <w:rPr>
                <w:rFonts w:ascii="宋体" w:hAnsi="宋体" w:eastAsia="宋体"/>
                <w:color w:val="auto"/>
                <w:szCs w:val="21"/>
                <w:highlight w:val="none"/>
              </w:rPr>
            </w:pPr>
            <w:r>
              <w:rPr>
                <w:rFonts w:ascii="宋体" w:hAnsi="宋体" w:eastAsia="宋体"/>
                <w:color w:val="auto"/>
                <w:szCs w:val="21"/>
                <w:highlight w:val="none"/>
              </w:rPr>
              <w:t>3</w:t>
            </w:r>
            <w:r>
              <w:rPr>
                <w:rFonts w:hint="eastAsia" w:ascii="宋体" w:hAnsi="宋体" w:eastAsia="宋体"/>
                <w:color w:val="auto"/>
                <w:szCs w:val="21"/>
                <w:highlight w:val="none"/>
              </w:rPr>
              <w:t>.施工组织设计（格式自拟）；</w:t>
            </w:r>
            <w:r>
              <w:rPr>
                <w:rFonts w:hint="eastAsia" w:ascii="宋体" w:hAnsi="宋体" w:eastAsia="宋体"/>
                <w:b/>
                <w:color w:val="auto"/>
                <w:szCs w:val="21"/>
                <w:highlight w:val="none"/>
              </w:rPr>
              <w:t>（必须提供，否则响应文件按无效响应处理）</w:t>
            </w:r>
          </w:p>
          <w:p w14:paraId="56F5EBA1">
            <w:pPr>
              <w:spacing w:line="360" w:lineRule="auto"/>
              <w:rPr>
                <w:rFonts w:ascii="宋体" w:hAnsi="宋体" w:eastAsia="宋体"/>
                <w:b/>
                <w:color w:val="auto"/>
                <w:szCs w:val="21"/>
                <w:highlight w:val="none"/>
              </w:rPr>
            </w:pPr>
            <w:r>
              <w:rPr>
                <w:rFonts w:ascii="宋体" w:hAnsi="宋体" w:eastAsia="宋体"/>
                <w:color w:val="auto"/>
                <w:szCs w:val="21"/>
                <w:highlight w:val="none"/>
              </w:rPr>
              <w:t>4</w:t>
            </w:r>
            <w:r>
              <w:rPr>
                <w:rFonts w:hint="eastAsia" w:ascii="宋体" w:hAnsi="宋体" w:eastAsia="宋体"/>
                <w:color w:val="auto"/>
                <w:szCs w:val="21"/>
                <w:highlight w:val="none"/>
              </w:rPr>
              <w:t>.项目管理机构（格式自拟）；</w:t>
            </w:r>
            <w:r>
              <w:rPr>
                <w:rFonts w:hint="eastAsia" w:ascii="宋体" w:hAnsi="宋体" w:eastAsia="宋体"/>
                <w:b/>
                <w:color w:val="auto"/>
                <w:szCs w:val="21"/>
                <w:highlight w:val="none"/>
              </w:rPr>
              <w:t>（必须提供，否则响应文件按无效响应处理）</w:t>
            </w:r>
          </w:p>
          <w:p w14:paraId="0045933F">
            <w:pPr>
              <w:spacing w:line="360" w:lineRule="auto"/>
              <w:rPr>
                <w:rFonts w:ascii="宋体" w:hAnsi="宋体" w:eastAsia="宋体"/>
                <w:b/>
                <w:color w:val="auto"/>
                <w:szCs w:val="21"/>
                <w:highlight w:val="none"/>
              </w:rPr>
            </w:pPr>
            <w:r>
              <w:rPr>
                <w:rFonts w:ascii="宋体" w:hAnsi="宋体" w:eastAsia="宋体"/>
                <w:color w:val="auto"/>
                <w:szCs w:val="21"/>
                <w:highlight w:val="none"/>
              </w:rPr>
              <w:t>5</w:t>
            </w:r>
            <w:r>
              <w:rPr>
                <w:rFonts w:hint="eastAsia" w:ascii="宋体" w:hAnsi="宋体" w:eastAsia="宋体"/>
                <w:color w:val="auto"/>
                <w:szCs w:val="21"/>
                <w:highlight w:val="none"/>
              </w:rPr>
              <w:t>.建设工程项目管理承诺书；</w:t>
            </w:r>
            <w:r>
              <w:rPr>
                <w:rFonts w:hint="eastAsia" w:ascii="宋体" w:hAnsi="宋体" w:eastAsia="宋体"/>
                <w:b/>
                <w:color w:val="auto"/>
                <w:szCs w:val="21"/>
                <w:highlight w:val="none"/>
              </w:rPr>
              <w:t>（必须提供，否则响应文件按无效响应处理）</w:t>
            </w:r>
          </w:p>
          <w:p w14:paraId="7C0BD339">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6.建筑材料和设备节能环保要求承诺书；</w:t>
            </w:r>
            <w:r>
              <w:rPr>
                <w:rFonts w:hint="eastAsia" w:ascii="宋体" w:hAnsi="宋体" w:eastAsia="宋体"/>
                <w:b/>
                <w:color w:val="auto"/>
                <w:szCs w:val="21"/>
                <w:highlight w:val="none"/>
              </w:rPr>
              <w:t>（必须提供，否则响应文件按无效响应处理）</w:t>
            </w:r>
          </w:p>
          <w:p w14:paraId="0ADD4F93">
            <w:pPr>
              <w:spacing w:line="360" w:lineRule="auto"/>
              <w:jc w:val="left"/>
              <w:rPr>
                <w:rFonts w:ascii="宋体" w:hAnsi="宋体" w:eastAsia="宋体"/>
                <w:color w:val="auto"/>
                <w:szCs w:val="21"/>
                <w:highlight w:val="none"/>
              </w:rPr>
            </w:pPr>
            <w:r>
              <w:rPr>
                <w:rFonts w:ascii="宋体" w:hAnsi="宋体" w:eastAsia="宋体"/>
                <w:color w:val="auto"/>
                <w:szCs w:val="21"/>
                <w:highlight w:val="none"/>
              </w:rPr>
              <w:t>7.</w:t>
            </w:r>
            <w:r>
              <w:rPr>
                <w:rFonts w:hint="eastAsia" w:ascii="宋体" w:hAnsi="宋体" w:eastAsia="宋体"/>
                <w:color w:val="auto"/>
                <w:szCs w:val="21"/>
                <w:highlight w:val="none"/>
              </w:rPr>
              <w:t>供应商认为需要提供的其他有关资料。</w:t>
            </w:r>
          </w:p>
          <w:p w14:paraId="4EE29001">
            <w:pPr>
              <w:spacing w:line="360" w:lineRule="auto"/>
              <w:jc w:val="left"/>
              <w:rPr>
                <w:rFonts w:ascii="宋体" w:hAnsi="宋体" w:eastAsia="宋体"/>
                <w:b/>
                <w:color w:val="auto"/>
                <w:szCs w:val="21"/>
                <w:highlight w:val="none"/>
              </w:rPr>
            </w:pPr>
            <w:r>
              <w:rPr>
                <w:rFonts w:hint="eastAsia" w:ascii="宋体" w:hAnsi="宋体" w:eastAsia="宋体"/>
                <w:b/>
                <w:color w:val="auto"/>
                <w:szCs w:val="21"/>
                <w:highlight w:val="none"/>
              </w:rPr>
              <w:t>注：1.以上标明“必须提供”的材料属于复印件的扫描件的，必须加盖供应商电子公章，否则响应文件按无效响应处理。</w:t>
            </w:r>
          </w:p>
        </w:tc>
      </w:tr>
      <w:tr w14:paraId="3DF9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16C23782">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12.1.</w:t>
            </w:r>
            <w:r>
              <w:rPr>
                <w:rFonts w:ascii="宋体" w:hAnsi="宋体" w:eastAsia="宋体"/>
                <w:color w:val="auto"/>
                <w:szCs w:val="21"/>
                <w:highlight w:val="none"/>
              </w:rPr>
              <w:t>3</w:t>
            </w:r>
          </w:p>
        </w:tc>
        <w:tc>
          <w:tcPr>
            <w:tcW w:w="1105" w:type="pct"/>
            <w:vAlign w:val="center"/>
          </w:tcPr>
          <w:p w14:paraId="6C000E4A">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报价文件组成</w:t>
            </w:r>
          </w:p>
        </w:tc>
        <w:tc>
          <w:tcPr>
            <w:tcW w:w="3455" w:type="pct"/>
            <w:vAlign w:val="center"/>
          </w:tcPr>
          <w:p w14:paraId="5FA597B0">
            <w:pPr>
              <w:spacing w:line="360" w:lineRule="auto"/>
              <w:jc w:val="left"/>
              <w:rPr>
                <w:rFonts w:ascii="宋体" w:hAnsi="宋体" w:eastAsia="宋体"/>
                <w:b/>
                <w:color w:val="auto"/>
                <w:szCs w:val="21"/>
                <w:highlight w:val="none"/>
              </w:rPr>
            </w:pPr>
            <w:r>
              <w:rPr>
                <w:rFonts w:hint="eastAsia" w:ascii="宋体" w:hAnsi="宋体" w:eastAsia="宋体"/>
                <w:color w:val="auto"/>
                <w:szCs w:val="21"/>
                <w:highlight w:val="none"/>
              </w:rPr>
              <w:t>1.响应函；</w:t>
            </w:r>
            <w:r>
              <w:rPr>
                <w:rFonts w:hint="eastAsia" w:ascii="宋体" w:hAnsi="宋体" w:eastAsia="宋体"/>
                <w:b/>
                <w:color w:val="auto"/>
                <w:szCs w:val="21"/>
                <w:highlight w:val="none"/>
              </w:rPr>
              <w:t>（必须提供，否则作无效响应处理）</w:t>
            </w:r>
          </w:p>
          <w:p w14:paraId="14C2DAB0">
            <w:pPr>
              <w:spacing w:line="360" w:lineRule="auto"/>
              <w:jc w:val="left"/>
              <w:rPr>
                <w:rFonts w:ascii="宋体" w:hAnsi="宋体" w:eastAsia="宋体"/>
                <w:b/>
                <w:color w:val="auto"/>
                <w:szCs w:val="21"/>
                <w:highlight w:val="none"/>
              </w:rPr>
            </w:pPr>
            <w:r>
              <w:rPr>
                <w:rFonts w:hint="eastAsia" w:ascii="宋体" w:hAnsi="宋体" w:eastAsia="宋体"/>
                <w:color w:val="auto"/>
                <w:szCs w:val="21"/>
                <w:highlight w:val="none"/>
              </w:rPr>
              <w:t>2.响应报价表；</w:t>
            </w:r>
            <w:r>
              <w:rPr>
                <w:rFonts w:hint="eastAsia" w:ascii="宋体" w:hAnsi="宋体" w:eastAsia="宋体"/>
                <w:b/>
                <w:color w:val="auto"/>
                <w:szCs w:val="21"/>
                <w:highlight w:val="none"/>
              </w:rPr>
              <w:t>（必须提供，否则响应文件按无效响应处理）</w:t>
            </w:r>
          </w:p>
          <w:p w14:paraId="2CB66278">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3.已标价工程量清单；</w:t>
            </w:r>
            <w:r>
              <w:rPr>
                <w:rFonts w:hint="eastAsia" w:ascii="宋体" w:hAnsi="宋体" w:eastAsia="宋体"/>
                <w:b/>
                <w:color w:val="auto"/>
                <w:szCs w:val="21"/>
                <w:highlight w:val="none"/>
              </w:rPr>
              <w:t>（必须提供，否则响应文件按无效响应处理）</w:t>
            </w:r>
          </w:p>
          <w:p w14:paraId="79F6F47B">
            <w:pPr>
              <w:spacing w:line="360" w:lineRule="auto"/>
              <w:jc w:val="left"/>
              <w:rPr>
                <w:rFonts w:ascii="宋体" w:hAnsi="宋体" w:eastAsia="宋体"/>
                <w:color w:val="auto"/>
                <w:szCs w:val="21"/>
                <w:highlight w:val="none"/>
              </w:rPr>
            </w:pPr>
            <w:r>
              <w:rPr>
                <w:rFonts w:ascii="宋体" w:hAnsi="宋体" w:eastAsia="宋体"/>
                <w:color w:val="auto"/>
                <w:szCs w:val="21"/>
                <w:highlight w:val="none"/>
              </w:rPr>
              <w:t>4.</w:t>
            </w:r>
            <w:r>
              <w:rPr>
                <w:rFonts w:hint="eastAsia" w:ascii="宋体" w:hAnsi="宋体" w:eastAsia="宋体"/>
                <w:color w:val="auto"/>
                <w:szCs w:val="21"/>
                <w:highlight w:val="none"/>
              </w:rPr>
              <w:t>供应商认为需要提供的其他有关资料。（如有请提供）</w:t>
            </w:r>
          </w:p>
        </w:tc>
      </w:tr>
      <w:tr w14:paraId="48C7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18D9E237">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12.2</w:t>
            </w:r>
          </w:p>
        </w:tc>
        <w:tc>
          <w:tcPr>
            <w:tcW w:w="1105" w:type="pct"/>
            <w:vAlign w:val="center"/>
          </w:tcPr>
          <w:p w14:paraId="702BBBF9">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响应文件电子版要求</w:t>
            </w:r>
          </w:p>
        </w:tc>
        <w:tc>
          <w:tcPr>
            <w:tcW w:w="3455" w:type="pct"/>
            <w:vAlign w:val="center"/>
          </w:tcPr>
          <w:p w14:paraId="51E3A03C">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1.响应文件电子版要求：按照本采购文件“第五章响应文件格式”编写（第五章未附格式的，由供应商自行拟定），不可涂改并在规定加盖公章处加盖电子公章，</w:t>
            </w:r>
            <w:r>
              <w:rPr>
                <w:rFonts w:hint="eastAsia" w:ascii="宋体" w:hAnsi="宋体" w:eastAsia="宋体"/>
                <w:b/>
                <w:color w:val="auto"/>
                <w:szCs w:val="21"/>
                <w:highlight w:val="none"/>
              </w:rPr>
              <w:t>否则响应文件按无效响应处理</w:t>
            </w:r>
            <w:r>
              <w:rPr>
                <w:rFonts w:hint="eastAsia" w:ascii="宋体" w:hAnsi="宋体" w:eastAsia="宋体"/>
                <w:color w:val="auto"/>
                <w:szCs w:val="21"/>
                <w:highlight w:val="none"/>
              </w:rPr>
              <w:t>。</w:t>
            </w:r>
          </w:p>
          <w:p w14:paraId="09AD185E">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2.响应文件电子版密封方式：电子响应文件通过平台有效CA加密后在“广西政府采购云平台”投送。（操作方式见公告附件“电子响应文件制作与投送教程”）</w:t>
            </w:r>
          </w:p>
        </w:tc>
      </w:tr>
      <w:tr w14:paraId="58C1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601270A1">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15.2</w:t>
            </w:r>
          </w:p>
        </w:tc>
        <w:tc>
          <w:tcPr>
            <w:tcW w:w="1105" w:type="pct"/>
            <w:vAlign w:val="center"/>
          </w:tcPr>
          <w:p w14:paraId="7B04BFE1">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响应报价要求</w:t>
            </w:r>
          </w:p>
        </w:tc>
        <w:tc>
          <w:tcPr>
            <w:tcW w:w="3455" w:type="pct"/>
            <w:vAlign w:val="center"/>
          </w:tcPr>
          <w:p w14:paraId="24D80DF0">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响应报价必须包含满足本次竞标全部采购需求所应提供的内容，以及伴随的货物和工程（如有）的价格；包含竞标服务、货物、工程的成本、运输（含保险）、安装（如有）、调试、检验、技术服务、培训、税费等所有费用。</w:t>
            </w:r>
            <w:r>
              <w:rPr>
                <w:rFonts w:hint="eastAsia" w:ascii="宋体" w:hAnsi="宋体" w:eastAsia="宋体"/>
                <w:b/>
                <w:color w:val="auto"/>
                <w:szCs w:val="21"/>
                <w:highlight w:val="none"/>
              </w:rPr>
              <w:t>（采购需求另有约定的，从其约定。）</w:t>
            </w:r>
          </w:p>
        </w:tc>
      </w:tr>
      <w:tr w14:paraId="1EF0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068DE9FB">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16.2</w:t>
            </w:r>
          </w:p>
        </w:tc>
        <w:tc>
          <w:tcPr>
            <w:tcW w:w="1105" w:type="pct"/>
            <w:vAlign w:val="center"/>
          </w:tcPr>
          <w:p w14:paraId="60987B2A">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竞标有效期</w:t>
            </w:r>
          </w:p>
        </w:tc>
        <w:tc>
          <w:tcPr>
            <w:tcW w:w="3455" w:type="pct"/>
            <w:vAlign w:val="center"/>
          </w:tcPr>
          <w:p w14:paraId="2CEEB797">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自首次响应文件提交截止之日起</w:t>
            </w:r>
            <w:r>
              <w:rPr>
                <w:rFonts w:ascii="宋体" w:hAnsi="宋体" w:eastAsia="宋体"/>
                <w:color w:val="auto"/>
                <w:szCs w:val="21"/>
                <w:highlight w:val="none"/>
                <w:u w:val="single"/>
              </w:rPr>
              <w:t>6</w:t>
            </w:r>
            <w:r>
              <w:rPr>
                <w:rFonts w:hint="eastAsia" w:ascii="宋体" w:hAnsi="宋体" w:eastAsia="宋体"/>
                <w:color w:val="auto"/>
                <w:szCs w:val="21"/>
                <w:highlight w:val="none"/>
                <w:u w:val="single"/>
              </w:rPr>
              <w:t>0</w:t>
            </w:r>
            <w:r>
              <w:rPr>
                <w:rFonts w:hint="eastAsia" w:ascii="宋体" w:hAnsi="宋体" w:eastAsia="宋体"/>
                <w:color w:val="auto"/>
                <w:szCs w:val="21"/>
                <w:highlight w:val="none"/>
              </w:rPr>
              <w:t>日。</w:t>
            </w:r>
          </w:p>
        </w:tc>
      </w:tr>
      <w:tr w14:paraId="4596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38735B13">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17.1</w:t>
            </w:r>
          </w:p>
        </w:tc>
        <w:tc>
          <w:tcPr>
            <w:tcW w:w="1105" w:type="pct"/>
            <w:vAlign w:val="center"/>
          </w:tcPr>
          <w:p w14:paraId="34766A93">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磋商保证金</w:t>
            </w:r>
          </w:p>
        </w:tc>
        <w:tc>
          <w:tcPr>
            <w:tcW w:w="3455" w:type="pct"/>
            <w:vAlign w:val="center"/>
          </w:tcPr>
          <w:p w14:paraId="6D6757DB">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本项目不收取磋商保证金。</w:t>
            </w:r>
          </w:p>
        </w:tc>
      </w:tr>
      <w:tr w14:paraId="69D0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restart"/>
            <w:vAlign w:val="center"/>
          </w:tcPr>
          <w:p w14:paraId="72D80096">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20.1</w:t>
            </w:r>
          </w:p>
        </w:tc>
        <w:tc>
          <w:tcPr>
            <w:tcW w:w="1105" w:type="pct"/>
            <w:vAlign w:val="center"/>
          </w:tcPr>
          <w:p w14:paraId="333A8B38">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首次响应文件提交起止时间</w:t>
            </w:r>
          </w:p>
        </w:tc>
        <w:tc>
          <w:tcPr>
            <w:tcW w:w="3455" w:type="pct"/>
            <w:vAlign w:val="center"/>
          </w:tcPr>
          <w:p w14:paraId="57C3A2EE">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详见竞争性磋商公告。</w:t>
            </w:r>
          </w:p>
        </w:tc>
      </w:tr>
      <w:tr w14:paraId="7D6C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continue"/>
            <w:vAlign w:val="center"/>
          </w:tcPr>
          <w:p w14:paraId="777A6A3C">
            <w:pPr>
              <w:spacing w:line="360" w:lineRule="auto"/>
              <w:jc w:val="center"/>
              <w:rPr>
                <w:rFonts w:ascii="宋体" w:hAnsi="宋体" w:eastAsia="宋体"/>
                <w:color w:val="auto"/>
                <w:szCs w:val="21"/>
                <w:highlight w:val="none"/>
              </w:rPr>
            </w:pPr>
          </w:p>
        </w:tc>
        <w:tc>
          <w:tcPr>
            <w:tcW w:w="1105" w:type="pct"/>
            <w:vAlign w:val="center"/>
          </w:tcPr>
          <w:p w14:paraId="79A447F0">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首次响应文件提交地点</w:t>
            </w:r>
          </w:p>
        </w:tc>
        <w:tc>
          <w:tcPr>
            <w:tcW w:w="3455" w:type="pct"/>
            <w:vAlign w:val="center"/>
          </w:tcPr>
          <w:p w14:paraId="61E92244">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详见竞争性磋商公告。</w:t>
            </w:r>
          </w:p>
        </w:tc>
      </w:tr>
      <w:tr w14:paraId="672C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524F4534">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20.6</w:t>
            </w:r>
          </w:p>
        </w:tc>
        <w:tc>
          <w:tcPr>
            <w:tcW w:w="1105" w:type="pct"/>
            <w:vAlign w:val="center"/>
          </w:tcPr>
          <w:p w14:paraId="6067C7D9">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备份响应文件</w:t>
            </w:r>
          </w:p>
        </w:tc>
        <w:tc>
          <w:tcPr>
            <w:tcW w:w="3455" w:type="pct"/>
            <w:vAlign w:val="center"/>
          </w:tcPr>
          <w:p w14:paraId="3C294BB9">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本项目不接受备份响应文件。</w:t>
            </w:r>
          </w:p>
        </w:tc>
      </w:tr>
      <w:tr w14:paraId="33AE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5714F7EE">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21</w:t>
            </w:r>
          </w:p>
        </w:tc>
        <w:tc>
          <w:tcPr>
            <w:tcW w:w="1105" w:type="pct"/>
            <w:vAlign w:val="center"/>
          </w:tcPr>
          <w:p w14:paraId="32327546">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首次响应文件的退回</w:t>
            </w:r>
          </w:p>
        </w:tc>
        <w:tc>
          <w:tcPr>
            <w:tcW w:w="3455" w:type="pct"/>
            <w:vAlign w:val="center"/>
          </w:tcPr>
          <w:p w14:paraId="091FB4B6">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详见竞争性磋商公告。</w:t>
            </w:r>
          </w:p>
        </w:tc>
      </w:tr>
      <w:tr w14:paraId="11BC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restart"/>
            <w:vAlign w:val="center"/>
          </w:tcPr>
          <w:p w14:paraId="6D7F6DD4">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26.2</w:t>
            </w:r>
          </w:p>
        </w:tc>
        <w:tc>
          <w:tcPr>
            <w:tcW w:w="1105" w:type="pct"/>
            <w:vAlign w:val="center"/>
          </w:tcPr>
          <w:p w14:paraId="486932B7">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负偏离要求</w:t>
            </w:r>
          </w:p>
        </w:tc>
        <w:tc>
          <w:tcPr>
            <w:tcW w:w="3455" w:type="pct"/>
            <w:vAlign w:val="center"/>
          </w:tcPr>
          <w:p w14:paraId="2FF75693">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商务条款评审中允许负偏离的条款数为</w:t>
            </w:r>
            <w:r>
              <w:rPr>
                <w:rFonts w:hint="eastAsia" w:ascii="宋体" w:hAnsi="宋体" w:eastAsia="宋体"/>
                <w:color w:val="auto"/>
                <w:szCs w:val="21"/>
                <w:highlight w:val="none"/>
                <w:u w:val="single"/>
              </w:rPr>
              <w:t>0</w:t>
            </w:r>
            <w:r>
              <w:rPr>
                <w:rFonts w:hint="eastAsia" w:ascii="宋体" w:hAnsi="宋体" w:eastAsia="宋体"/>
                <w:color w:val="auto"/>
                <w:szCs w:val="21"/>
                <w:highlight w:val="none"/>
              </w:rPr>
              <w:t>项。</w:t>
            </w:r>
          </w:p>
          <w:p w14:paraId="08BDCA6E">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技术需求评审中允许负偏离的条款数为</w:t>
            </w:r>
            <w:r>
              <w:rPr>
                <w:rFonts w:hint="eastAsia" w:ascii="宋体" w:hAnsi="宋体" w:eastAsia="宋体"/>
                <w:color w:val="auto"/>
                <w:szCs w:val="21"/>
                <w:highlight w:val="none"/>
                <w:u w:val="single"/>
              </w:rPr>
              <w:t>0</w:t>
            </w:r>
            <w:r>
              <w:rPr>
                <w:rFonts w:hint="eastAsia" w:ascii="宋体" w:hAnsi="宋体" w:eastAsia="宋体"/>
                <w:color w:val="auto"/>
                <w:szCs w:val="21"/>
                <w:highlight w:val="none"/>
              </w:rPr>
              <w:t>项。</w:t>
            </w:r>
          </w:p>
        </w:tc>
      </w:tr>
      <w:tr w14:paraId="3F02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continue"/>
            <w:vAlign w:val="center"/>
          </w:tcPr>
          <w:p w14:paraId="39565F17">
            <w:pPr>
              <w:spacing w:line="360" w:lineRule="auto"/>
              <w:jc w:val="center"/>
              <w:rPr>
                <w:rFonts w:ascii="宋体" w:hAnsi="宋体" w:eastAsia="宋体"/>
                <w:color w:val="auto"/>
                <w:szCs w:val="21"/>
                <w:highlight w:val="none"/>
              </w:rPr>
            </w:pPr>
          </w:p>
        </w:tc>
        <w:tc>
          <w:tcPr>
            <w:tcW w:w="1105" w:type="pct"/>
            <w:vAlign w:val="center"/>
          </w:tcPr>
          <w:p w14:paraId="41A5BC6D">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磋商的顺序</w:t>
            </w:r>
          </w:p>
        </w:tc>
        <w:tc>
          <w:tcPr>
            <w:tcW w:w="3455" w:type="pct"/>
            <w:vAlign w:val="center"/>
          </w:tcPr>
          <w:p w14:paraId="2741EFA6">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□按照提交首次响应文件的顺序，通知磋商时，若某供应商不在通知现场时，该供应商排序到最后磋商，按照签到的顺序由其下一位供应商先参与磋商。</w:t>
            </w:r>
          </w:p>
          <w:p w14:paraId="5CB94FE1">
            <w:pPr>
              <w:spacing w:line="360" w:lineRule="auto"/>
              <w:jc w:val="left"/>
              <w:rPr>
                <w:rFonts w:ascii="宋体" w:hAnsi="宋体" w:eastAsia="宋体"/>
                <w:b/>
                <w:color w:val="auto"/>
                <w:szCs w:val="21"/>
                <w:highlight w:val="none"/>
              </w:rPr>
            </w:pPr>
            <w:r>
              <w:rPr>
                <w:rFonts w:ascii="Segoe UI Symbol" w:hAnsi="Segoe UI Symbol" w:eastAsia="宋体" w:cs="Segoe UI Symbol"/>
                <w:color w:val="auto"/>
                <w:szCs w:val="21"/>
                <w:highlight w:val="none"/>
              </w:rPr>
              <w:t>☑</w:t>
            </w:r>
            <w:r>
              <w:rPr>
                <w:rFonts w:hint="eastAsia" w:ascii="宋体" w:hAnsi="宋体" w:eastAsia="宋体"/>
                <w:color w:val="auto"/>
                <w:szCs w:val="21"/>
                <w:highlight w:val="none"/>
              </w:rPr>
              <w:t>随机排序。</w:t>
            </w:r>
          </w:p>
        </w:tc>
      </w:tr>
      <w:tr w14:paraId="6A9C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1AFCA790">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28</w:t>
            </w:r>
          </w:p>
        </w:tc>
        <w:tc>
          <w:tcPr>
            <w:tcW w:w="1105" w:type="pct"/>
            <w:vAlign w:val="center"/>
          </w:tcPr>
          <w:p w14:paraId="214AB480">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履约保证金</w:t>
            </w:r>
          </w:p>
        </w:tc>
        <w:tc>
          <w:tcPr>
            <w:tcW w:w="3455" w:type="pct"/>
            <w:vAlign w:val="center"/>
          </w:tcPr>
          <w:p w14:paraId="233C2975">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本项目不收取履约保证金。</w:t>
            </w:r>
          </w:p>
        </w:tc>
      </w:tr>
      <w:tr w14:paraId="2EFE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37ABFF85">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29.5</w:t>
            </w:r>
          </w:p>
        </w:tc>
        <w:tc>
          <w:tcPr>
            <w:tcW w:w="1105" w:type="pct"/>
            <w:vAlign w:val="center"/>
          </w:tcPr>
          <w:p w14:paraId="464FEA50">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签订合同携带的材料</w:t>
            </w:r>
          </w:p>
        </w:tc>
        <w:tc>
          <w:tcPr>
            <w:tcW w:w="3455" w:type="pct"/>
            <w:vAlign w:val="center"/>
          </w:tcPr>
          <w:p w14:paraId="6254AB4F">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使用的有效CA证书加盖单位电子公章</w:t>
            </w:r>
          </w:p>
        </w:tc>
      </w:tr>
      <w:tr w14:paraId="0FBD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restart"/>
            <w:vAlign w:val="center"/>
          </w:tcPr>
          <w:p w14:paraId="1BD8EF69">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31.2</w:t>
            </w:r>
          </w:p>
        </w:tc>
        <w:tc>
          <w:tcPr>
            <w:tcW w:w="1105" w:type="pct"/>
            <w:vAlign w:val="center"/>
          </w:tcPr>
          <w:p w14:paraId="1A229F3C">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接收质疑函方式</w:t>
            </w:r>
          </w:p>
        </w:tc>
        <w:tc>
          <w:tcPr>
            <w:tcW w:w="3455" w:type="pct"/>
            <w:vAlign w:val="center"/>
          </w:tcPr>
          <w:p w14:paraId="0108C1DE">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以书面形式</w:t>
            </w:r>
          </w:p>
        </w:tc>
      </w:tr>
      <w:tr w14:paraId="464D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continue"/>
            <w:vAlign w:val="center"/>
          </w:tcPr>
          <w:p w14:paraId="37818852">
            <w:pPr>
              <w:spacing w:line="360" w:lineRule="auto"/>
              <w:jc w:val="center"/>
              <w:rPr>
                <w:rFonts w:ascii="宋体" w:hAnsi="宋体" w:eastAsia="宋体"/>
                <w:color w:val="auto"/>
                <w:szCs w:val="21"/>
                <w:highlight w:val="none"/>
              </w:rPr>
            </w:pPr>
          </w:p>
        </w:tc>
        <w:tc>
          <w:tcPr>
            <w:tcW w:w="1105" w:type="pct"/>
            <w:vAlign w:val="center"/>
          </w:tcPr>
          <w:p w14:paraId="6B1EC7DF">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质疑联系部门及联系方式</w:t>
            </w:r>
          </w:p>
        </w:tc>
        <w:tc>
          <w:tcPr>
            <w:tcW w:w="3455" w:type="pct"/>
            <w:vAlign w:val="center"/>
          </w:tcPr>
          <w:p w14:paraId="67153DC7">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u w:val="single"/>
                <w:lang w:eastAsia="zh-CN"/>
              </w:rPr>
              <w:t>中科高盛咨询集团有限公司</w:t>
            </w:r>
            <w:r>
              <w:rPr>
                <w:rFonts w:hint="eastAsia" w:ascii="宋体" w:hAnsi="宋体" w:eastAsia="宋体"/>
                <w:color w:val="auto"/>
                <w:szCs w:val="21"/>
                <w:highlight w:val="none"/>
              </w:rPr>
              <w:t>；</w:t>
            </w:r>
          </w:p>
          <w:p w14:paraId="5DB6DCBE">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联系电话：</w:t>
            </w:r>
            <w:r>
              <w:rPr>
                <w:rFonts w:hint="eastAsia" w:ascii="宋体" w:hAnsi="宋体" w:eastAsia="宋体"/>
                <w:color w:val="auto"/>
                <w:szCs w:val="21"/>
                <w:highlight w:val="none"/>
                <w:u w:val="single"/>
                <w:lang w:eastAsia="zh-CN"/>
              </w:rPr>
              <w:t>15177166346/0771-4135989</w:t>
            </w:r>
            <w:r>
              <w:rPr>
                <w:rFonts w:hint="eastAsia" w:ascii="宋体" w:hAnsi="宋体" w:eastAsia="宋体"/>
                <w:color w:val="auto"/>
                <w:szCs w:val="21"/>
                <w:highlight w:val="none"/>
              </w:rPr>
              <w:t>，</w:t>
            </w:r>
          </w:p>
          <w:p w14:paraId="144C8372">
            <w:pPr>
              <w:spacing w:line="360" w:lineRule="auto"/>
              <w:jc w:val="left"/>
              <w:rPr>
                <w:rFonts w:hint="eastAsia" w:ascii="宋体" w:hAnsi="宋体" w:eastAsia="宋体"/>
                <w:color w:val="auto"/>
                <w:szCs w:val="21"/>
                <w:highlight w:val="none"/>
                <w:u w:val="single"/>
                <w:lang w:eastAsia="zh-CN"/>
              </w:rPr>
            </w:pPr>
            <w:r>
              <w:rPr>
                <w:rFonts w:hint="eastAsia" w:ascii="宋体" w:hAnsi="宋体" w:eastAsia="宋体"/>
                <w:color w:val="auto"/>
                <w:szCs w:val="21"/>
                <w:highlight w:val="none"/>
              </w:rPr>
              <w:t>通讯地址：</w:t>
            </w:r>
            <w:r>
              <w:rPr>
                <w:rFonts w:hint="eastAsia" w:ascii="宋体" w:hAnsi="宋体" w:eastAsia="宋体"/>
                <w:color w:val="auto"/>
                <w:szCs w:val="21"/>
                <w:highlight w:val="none"/>
                <w:u w:val="single"/>
                <w:lang w:eastAsia="zh-CN"/>
              </w:rPr>
              <w:t>崇左市城南区新城路中段北侧（龙胤金街）第32栋1-102号房</w:t>
            </w:r>
          </w:p>
          <w:p w14:paraId="6148E3CE">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u w:val="single"/>
                <w:lang w:eastAsia="zh-CN"/>
              </w:rPr>
              <w:t>南宁市南湖公园</w:t>
            </w:r>
            <w:r>
              <w:rPr>
                <w:rFonts w:hint="eastAsia" w:ascii="宋体" w:hAnsi="宋体" w:eastAsia="宋体"/>
                <w:color w:val="auto"/>
                <w:szCs w:val="21"/>
                <w:highlight w:val="none"/>
              </w:rPr>
              <w:t>；</w:t>
            </w:r>
          </w:p>
          <w:p w14:paraId="0527C689">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联系电话：</w:t>
            </w:r>
            <w:r>
              <w:rPr>
                <w:rFonts w:hint="eastAsia" w:ascii="宋体" w:hAnsi="宋体" w:eastAsia="宋体"/>
                <w:color w:val="auto"/>
                <w:szCs w:val="21"/>
                <w:highlight w:val="none"/>
                <w:u w:val="single"/>
                <w:lang w:eastAsia="zh-CN"/>
              </w:rPr>
              <w:t>15077058619</w:t>
            </w:r>
            <w:r>
              <w:rPr>
                <w:rFonts w:hint="eastAsia" w:ascii="宋体" w:hAnsi="宋体" w:eastAsia="宋体"/>
                <w:color w:val="auto"/>
                <w:szCs w:val="21"/>
                <w:highlight w:val="none"/>
              </w:rPr>
              <w:t>，</w:t>
            </w:r>
          </w:p>
          <w:p w14:paraId="01CF05AA">
            <w:pPr>
              <w:spacing w:line="360" w:lineRule="auto"/>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通讯地址：</w:t>
            </w:r>
            <w:r>
              <w:rPr>
                <w:rFonts w:hint="eastAsia" w:ascii="宋体" w:hAnsi="宋体" w:eastAsia="宋体"/>
                <w:color w:val="auto"/>
                <w:szCs w:val="21"/>
                <w:highlight w:val="none"/>
                <w:lang w:eastAsia="zh-CN"/>
              </w:rPr>
              <w:t>南宁市双拥路1号</w:t>
            </w:r>
          </w:p>
        </w:tc>
      </w:tr>
      <w:tr w14:paraId="40C7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Merge w:val="continue"/>
            <w:vAlign w:val="center"/>
          </w:tcPr>
          <w:p w14:paraId="09A0DDB4">
            <w:pPr>
              <w:spacing w:line="360" w:lineRule="auto"/>
              <w:jc w:val="center"/>
              <w:rPr>
                <w:rFonts w:ascii="宋体" w:hAnsi="宋体" w:eastAsia="宋体"/>
                <w:color w:val="auto"/>
                <w:szCs w:val="21"/>
                <w:highlight w:val="none"/>
              </w:rPr>
            </w:pPr>
          </w:p>
        </w:tc>
        <w:tc>
          <w:tcPr>
            <w:tcW w:w="1105" w:type="pct"/>
            <w:vAlign w:val="center"/>
          </w:tcPr>
          <w:p w14:paraId="3E8CF805">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现场提交质疑办理业务时间</w:t>
            </w:r>
          </w:p>
        </w:tc>
        <w:tc>
          <w:tcPr>
            <w:tcW w:w="3455" w:type="pct"/>
            <w:vAlign w:val="center"/>
          </w:tcPr>
          <w:p w14:paraId="18F9F3F6">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质疑期内每个工作日</w:t>
            </w:r>
            <w:r>
              <w:rPr>
                <w:rFonts w:hint="eastAsia" w:ascii="宋体" w:hAnsi="宋体" w:eastAsia="宋体"/>
                <w:color w:val="auto"/>
                <w:szCs w:val="21"/>
                <w:highlight w:val="none"/>
                <w:u w:val="single"/>
                <w:lang w:val="en-US" w:eastAsia="zh-CN"/>
              </w:rPr>
              <w:t>9</w:t>
            </w:r>
            <w:r>
              <w:rPr>
                <w:rFonts w:hint="eastAsia" w:ascii="宋体" w:hAnsi="宋体" w:eastAsia="宋体"/>
                <w:color w:val="auto"/>
                <w:szCs w:val="21"/>
                <w:highlight w:val="none"/>
              </w:rPr>
              <w:t>时</w:t>
            </w:r>
            <w:r>
              <w:rPr>
                <w:rFonts w:hint="eastAsia" w:ascii="宋体" w:hAnsi="宋体" w:eastAsia="宋体"/>
                <w:color w:val="auto"/>
                <w:szCs w:val="21"/>
                <w:highlight w:val="none"/>
                <w:u w:val="single"/>
              </w:rPr>
              <w:t>00</w:t>
            </w:r>
            <w:r>
              <w:rPr>
                <w:rFonts w:hint="eastAsia" w:ascii="宋体" w:hAnsi="宋体" w:eastAsia="宋体"/>
                <w:color w:val="auto"/>
                <w:szCs w:val="21"/>
                <w:highlight w:val="none"/>
              </w:rPr>
              <w:t>分到</w:t>
            </w:r>
            <w:r>
              <w:rPr>
                <w:rFonts w:hint="eastAsia" w:ascii="宋体" w:hAnsi="宋体" w:eastAsia="宋体"/>
                <w:color w:val="auto"/>
                <w:szCs w:val="21"/>
                <w:highlight w:val="none"/>
                <w:u w:val="single"/>
              </w:rPr>
              <w:t>12</w:t>
            </w:r>
            <w:r>
              <w:rPr>
                <w:rFonts w:hint="eastAsia" w:ascii="宋体" w:hAnsi="宋体" w:eastAsia="宋体"/>
                <w:color w:val="auto"/>
                <w:szCs w:val="21"/>
                <w:highlight w:val="none"/>
              </w:rPr>
              <w:t>时</w:t>
            </w:r>
            <w:r>
              <w:rPr>
                <w:rFonts w:hint="eastAsia" w:ascii="宋体" w:hAnsi="宋体" w:eastAsia="宋体"/>
                <w:color w:val="auto"/>
                <w:szCs w:val="21"/>
                <w:highlight w:val="none"/>
                <w:u w:val="single"/>
              </w:rPr>
              <w:t>00</w:t>
            </w:r>
            <w:r>
              <w:rPr>
                <w:rFonts w:hint="eastAsia" w:ascii="宋体" w:hAnsi="宋体" w:eastAsia="宋体"/>
                <w:color w:val="auto"/>
                <w:szCs w:val="21"/>
                <w:highlight w:val="none"/>
              </w:rPr>
              <w:t>分，</w:t>
            </w:r>
            <w:r>
              <w:rPr>
                <w:rFonts w:hint="eastAsia" w:ascii="宋体" w:hAnsi="宋体" w:eastAsia="宋体"/>
                <w:color w:val="auto"/>
                <w:szCs w:val="21"/>
                <w:highlight w:val="none"/>
                <w:u w:val="single"/>
              </w:rPr>
              <w:t>15</w:t>
            </w:r>
            <w:r>
              <w:rPr>
                <w:rFonts w:hint="eastAsia" w:ascii="宋体" w:hAnsi="宋体" w:eastAsia="宋体"/>
                <w:color w:val="auto"/>
                <w:szCs w:val="21"/>
                <w:highlight w:val="none"/>
              </w:rPr>
              <w:t>时</w:t>
            </w:r>
            <w:r>
              <w:rPr>
                <w:rFonts w:hint="eastAsia" w:ascii="宋体" w:hAnsi="宋体" w:eastAsia="宋体"/>
                <w:color w:val="auto"/>
                <w:szCs w:val="21"/>
                <w:highlight w:val="none"/>
                <w:u w:val="single"/>
              </w:rPr>
              <w:t>00</w:t>
            </w:r>
            <w:r>
              <w:rPr>
                <w:rFonts w:hint="eastAsia" w:ascii="宋体" w:hAnsi="宋体" w:eastAsia="宋体"/>
                <w:color w:val="auto"/>
                <w:szCs w:val="21"/>
                <w:highlight w:val="none"/>
              </w:rPr>
              <w:t>分到</w:t>
            </w:r>
            <w:r>
              <w:rPr>
                <w:rFonts w:hint="eastAsia" w:ascii="宋体" w:hAnsi="宋体" w:eastAsia="宋体"/>
                <w:color w:val="auto"/>
                <w:szCs w:val="21"/>
                <w:highlight w:val="none"/>
                <w:u w:val="single"/>
              </w:rPr>
              <w:t>18</w:t>
            </w:r>
            <w:r>
              <w:rPr>
                <w:rFonts w:hint="eastAsia" w:ascii="宋体" w:hAnsi="宋体" w:eastAsia="宋体"/>
                <w:color w:val="auto"/>
                <w:szCs w:val="21"/>
                <w:highlight w:val="none"/>
              </w:rPr>
              <w:t>时</w:t>
            </w:r>
            <w:r>
              <w:rPr>
                <w:rFonts w:hint="eastAsia" w:ascii="宋体" w:hAnsi="宋体" w:eastAsia="宋体"/>
                <w:color w:val="auto"/>
                <w:szCs w:val="21"/>
                <w:highlight w:val="none"/>
                <w:u w:val="single"/>
              </w:rPr>
              <w:t>00</w:t>
            </w:r>
            <w:r>
              <w:rPr>
                <w:rFonts w:hint="eastAsia" w:ascii="宋体" w:hAnsi="宋体" w:eastAsia="宋体"/>
                <w:color w:val="auto"/>
                <w:szCs w:val="21"/>
                <w:highlight w:val="none"/>
              </w:rPr>
              <w:t>分</w:t>
            </w:r>
          </w:p>
        </w:tc>
      </w:tr>
      <w:tr w14:paraId="68F5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2676D62A">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31.6</w:t>
            </w:r>
          </w:p>
        </w:tc>
        <w:tc>
          <w:tcPr>
            <w:tcW w:w="1105" w:type="pct"/>
            <w:vAlign w:val="center"/>
          </w:tcPr>
          <w:p w14:paraId="304D1482">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受理投诉方式</w:t>
            </w:r>
          </w:p>
        </w:tc>
        <w:tc>
          <w:tcPr>
            <w:tcW w:w="3455" w:type="pct"/>
            <w:vAlign w:val="center"/>
          </w:tcPr>
          <w:p w14:paraId="47EF961F">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1、受理方式：纸质方式受理，投诉书正、副本（经过质疑的事项才可投诉）。</w:t>
            </w:r>
          </w:p>
          <w:p w14:paraId="506DE711">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2、邮寄地址：</w:t>
            </w:r>
          </w:p>
          <w:p w14:paraId="5E6040F3">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名称：南宁市财政局政府采购监督管理科</w:t>
            </w:r>
          </w:p>
          <w:p w14:paraId="39E029DD">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地址：南宁市青秀区东葛路129号</w:t>
            </w:r>
          </w:p>
          <w:p w14:paraId="6649F357">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联系电话：</w:t>
            </w:r>
            <w:r>
              <w:rPr>
                <w:rFonts w:ascii="宋体" w:hAnsi="宋体" w:eastAsia="宋体"/>
                <w:color w:val="auto"/>
                <w:szCs w:val="21"/>
                <w:highlight w:val="none"/>
              </w:rPr>
              <w:t>0771-2189091</w:t>
            </w:r>
          </w:p>
        </w:tc>
      </w:tr>
      <w:tr w14:paraId="4800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519897CE">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33</w:t>
            </w:r>
          </w:p>
        </w:tc>
        <w:tc>
          <w:tcPr>
            <w:tcW w:w="1105" w:type="pct"/>
            <w:vAlign w:val="center"/>
          </w:tcPr>
          <w:p w14:paraId="48EF75D7">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采购代理费</w:t>
            </w:r>
          </w:p>
        </w:tc>
        <w:tc>
          <w:tcPr>
            <w:tcW w:w="3455" w:type="pct"/>
            <w:vAlign w:val="center"/>
          </w:tcPr>
          <w:p w14:paraId="18E71BCC">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1.是否收取采购代理费：</w:t>
            </w:r>
          </w:p>
          <w:p w14:paraId="0C9D0A69">
            <w:pPr>
              <w:spacing w:line="360" w:lineRule="auto"/>
              <w:jc w:val="left"/>
              <w:rPr>
                <w:rFonts w:ascii="宋体" w:hAnsi="宋体" w:eastAsia="宋体"/>
                <w:color w:val="auto"/>
                <w:szCs w:val="21"/>
                <w:highlight w:val="none"/>
              </w:rPr>
            </w:pPr>
            <w:r>
              <w:rPr>
                <w:rFonts w:ascii="Segoe UI Symbol" w:hAnsi="Segoe UI Symbol" w:eastAsia="宋体" w:cs="Segoe UI Symbol"/>
                <w:color w:val="auto"/>
                <w:szCs w:val="21"/>
                <w:highlight w:val="none"/>
              </w:rPr>
              <w:t>☑</w:t>
            </w:r>
            <w:r>
              <w:rPr>
                <w:rFonts w:hint="eastAsia" w:ascii="宋体" w:hAnsi="宋体" w:eastAsia="宋体"/>
                <w:color w:val="auto"/>
                <w:szCs w:val="21"/>
                <w:highlight w:val="none"/>
              </w:rPr>
              <w:t>是，□否</w:t>
            </w:r>
          </w:p>
          <w:p w14:paraId="17CE1C80">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2.采购代理费支付方式：</w:t>
            </w:r>
          </w:p>
          <w:p w14:paraId="6A2FA8EF">
            <w:pPr>
              <w:spacing w:line="360" w:lineRule="auto"/>
              <w:jc w:val="left"/>
              <w:rPr>
                <w:rFonts w:ascii="宋体" w:hAnsi="宋体" w:eastAsia="宋体"/>
                <w:color w:val="auto"/>
                <w:szCs w:val="21"/>
                <w:highlight w:val="none"/>
              </w:rPr>
            </w:pPr>
            <w:r>
              <w:rPr>
                <w:rFonts w:ascii="Segoe UI Symbol" w:hAnsi="Segoe UI Symbol" w:eastAsia="宋体" w:cs="Segoe UI Symbol"/>
                <w:color w:val="auto"/>
                <w:szCs w:val="21"/>
                <w:highlight w:val="none"/>
              </w:rPr>
              <w:t>☑</w:t>
            </w:r>
            <w:r>
              <w:rPr>
                <w:rFonts w:hint="eastAsia" w:ascii="宋体" w:hAnsi="宋体" w:eastAsia="宋体"/>
                <w:color w:val="auto"/>
                <w:szCs w:val="21"/>
                <w:highlight w:val="none"/>
              </w:rPr>
              <w:t>本项目代理服务费由</w:t>
            </w:r>
            <w:r>
              <w:rPr>
                <w:rFonts w:hint="eastAsia" w:ascii="宋体" w:hAnsi="宋体" w:eastAsia="宋体"/>
                <w:color w:val="auto"/>
                <w:szCs w:val="21"/>
                <w:highlight w:val="none"/>
                <w:u w:val="single"/>
              </w:rPr>
              <w:t>成交供应商</w:t>
            </w:r>
            <w:r>
              <w:rPr>
                <w:rFonts w:hint="eastAsia" w:ascii="宋体" w:hAnsi="宋体" w:eastAsia="宋体"/>
                <w:color w:val="auto"/>
                <w:szCs w:val="21"/>
                <w:highlight w:val="none"/>
              </w:rPr>
              <w:t>领取成交通知书前，一次性向采购代理机构支付。</w:t>
            </w:r>
          </w:p>
          <w:p w14:paraId="35CEC46A">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□采购人支付。</w:t>
            </w:r>
          </w:p>
          <w:p w14:paraId="68063C69">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3.采购代理费收取标准：</w:t>
            </w:r>
          </w:p>
          <w:p w14:paraId="2A80A653">
            <w:pPr>
              <w:spacing w:line="360" w:lineRule="auto"/>
              <w:jc w:val="left"/>
              <w:rPr>
                <w:rFonts w:ascii="宋体" w:hAnsi="宋体" w:eastAsia="宋体"/>
                <w:color w:val="auto"/>
                <w:szCs w:val="21"/>
                <w:highlight w:val="none"/>
              </w:rPr>
            </w:pPr>
            <w:r>
              <w:rPr>
                <w:rFonts w:hint="eastAsia" w:ascii="Segoe UI Symbol" w:hAnsi="Segoe UI Symbol" w:eastAsia="宋体" w:cs="Segoe UI Symbol"/>
                <w:color w:val="auto"/>
                <w:szCs w:val="21"/>
                <w:highlight w:val="none"/>
              </w:rPr>
              <w:t>委托代理费参照国家计委《招标代理服务收费管理暂行办法》（计价格〔2002〕1980号）收费标准（工程类）计算。</w:t>
            </w:r>
          </w:p>
          <w:p w14:paraId="7537BDB7">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□固定采购代理收费</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w:t>
            </w:r>
          </w:p>
          <w:p w14:paraId="1C7F2FD0">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4.采购代理费收取银行账户</w:t>
            </w:r>
          </w:p>
          <w:p w14:paraId="60403A9F">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开户名称：中科高盛咨询集团有限公司崇左分公司</w:t>
            </w:r>
          </w:p>
          <w:p w14:paraId="0DCDE8B4">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开户银行：中国银行股份有限公司崇左市友谊大道支行</w:t>
            </w:r>
          </w:p>
          <w:p w14:paraId="6AA71C4D">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银行账号：623679609947</w:t>
            </w:r>
          </w:p>
        </w:tc>
      </w:tr>
      <w:tr w14:paraId="555D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6EC93E9B">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34.1</w:t>
            </w:r>
          </w:p>
        </w:tc>
        <w:tc>
          <w:tcPr>
            <w:tcW w:w="1105" w:type="pct"/>
            <w:vAlign w:val="center"/>
          </w:tcPr>
          <w:p w14:paraId="422F2384">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解释</w:t>
            </w:r>
          </w:p>
        </w:tc>
        <w:tc>
          <w:tcPr>
            <w:tcW w:w="3455" w:type="pct"/>
            <w:vAlign w:val="center"/>
          </w:tcPr>
          <w:p w14:paraId="256E6273">
            <w:pPr>
              <w:spacing w:line="360" w:lineRule="auto"/>
              <w:jc w:val="left"/>
              <w:rPr>
                <w:rFonts w:ascii="宋体" w:hAnsi="宋体" w:eastAsia="宋体"/>
                <w:color w:val="auto"/>
                <w:szCs w:val="21"/>
                <w:highlight w:val="none"/>
              </w:rPr>
            </w:pPr>
            <w:r>
              <w:rPr>
                <w:rFonts w:hint="eastAsia" w:ascii="宋体" w:hAnsi="宋体" w:eastAsia="宋体"/>
                <w:b/>
                <w:color w:val="auto"/>
                <w:szCs w:val="21"/>
                <w:highlight w:val="none"/>
              </w:rPr>
              <w:t>解释权</w:t>
            </w:r>
            <w:r>
              <w:rPr>
                <w:rFonts w:hint="eastAsia" w:ascii="宋体" w:hAnsi="宋体" w:eastAsia="宋体"/>
                <w:color w:val="auto"/>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b/>
                <w:color w:val="auto"/>
                <w:szCs w:val="21"/>
                <w:highlight w:val="none"/>
              </w:rPr>
              <w:t>由采购人或者采购代理机构负责解释</w:t>
            </w:r>
            <w:r>
              <w:rPr>
                <w:rFonts w:hint="eastAsia" w:ascii="宋体" w:hAnsi="宋体" w:eastAsia="宋体"/>
                <w:color w:val="auto"/>
                <w:szCs w:val="21"/>
                <w:highlight w:val="none"/>
              </w:rPr>
              <w:t>。</w:t>
            </w:r>
          </w:p>
          <w:p w14:paraId="7980A9D9">
            <w:pPr>
              <w:spacing w:line="360" w:lineRule="auto"/>
              <w:jc w:val="left"/>
              <w:rPr>
                <w:rFonts w:ascii="宋体" w:hAnsi="宋体" w:eastAsia="宋体"/>
                <w:color w:val="auto"/>
                <w:szCs w:val="21"/>
                <w:highlight w:val="none"/>
              </w:rPr>
            </w:pPr>
            <w:r>
              <w:rPr>
                <w:rFonts w:hint="eastAsia" w:ascii="宋体" w:hAnsi="宋体" w:eastAsia="宋体"/>
                <w:b/>
                <w:color w:val="auto"/>
                <w:szCs w:val="21"/>
                <w:highlight w:val="none"/>
              </w:rPr>
              <w:t>法律责任</w:t>
            </w:r>
            <w:r>
              <w:rPr>
                <w:rFonts w:hint="eastAsia" w:ascii="宋体" w:hAnsi="宋体" w:eastAsia="宋体"/>
                <w:color w:val="auto"/>
                <w:szCs w:val="21"/>
                <w:highlight w:val="none"/>
              </w:rPr>
              <w:t>：</w:t>
            </w:r>
          </w:p>
          <w:p w14:paraId="26636465">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1.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A50D310">
            <w:pPr>
              <w:spacing w:line="360" w:lineRule="auto"/>
              <w:jc w:val="left"/>
              <w:rPr>
                <w:rFonts w:ascii="宋体" w:hAnsi="宋体" w:eastAsia="宋体"/>
                <w:b/>
                <w:color w:val="auto"/>
                <w:szCs w:val="21"/>
                <w:highlight w:val="none"/>
              </w:rPr>
            </w:pPr>
            <w:r>
              <w:rPr>
                <w:rFonts w:hint="eastAsia" w:ascii="宋体" w:hAnsi="宋体" w:eastAsia="宋体"/>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27E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 w:type="pct"/>
            <w:vAlign w:val="center"/>
          </w:tcPr>
          <w:p w14:paraId="728A9C37">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34.2</w:t>
            </w:r>
          </w:p>
        </w:tc>
        <w:tc>
          <w:tcPr>
            <w:tcW w:w="1105" w:type="pct"/>
            <w:vAlign w:val="center"/>
          </w:tcPr>
          <w:p w14:paraId="0EA875B3">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其他</w:t>
            </w:r>
          </w:p>
        </w:tc>
        <w:tc>
          <w:tcPr>
            <w:tcW w:w="3455" w:type="pct"/>
            <w:vAlign w:val="center"/>
          </w:tcPr>
          <w:p w14:paraId="53CAA795">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691675C">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2946DFA">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5811EB4D">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4.自然人竞标的，磋商文件规定盖公章处由自然人摁手指指印。</w:t>
            </w:r>
          </w:p>
          <w:p w14:paraId="35494AF7">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5.本磋商文件所称的“以上”“以下”“以内”“届满”，包括本数；所称的“不满”“超过”“以外”，不包括本数。</w:t>
            </w:r>
          </w:p>
        </w:tc>
      </w:tr>
    </w:tbl>
    <w:p w14:paraId="4D7B2C75">
      <w:pPr>
        <w:spacing w:line="360" w:lineRule="auto"/>
        <w:jc w:val="center"/>
        <w:rPr>
          <w:rFonts w:ascii="宋体" w:hAnsi="宋体" w:eastAsia="宋体"/>
          <w:color w:val="auto"/>
          <w:szCs w:val="21"/>
          <w:highlight w:val="none"/>
        </w:rPr>
      </w:pPr>
    </w:p>
    <w:p w14:paraId="2FDF5214">
      <w:pPr>
        <w:spacing w:line="360" w:lineRule="auto"/>
        <w:jc w:val="center"/>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0E861107">
      <w:pPr>
        <w:pStyle w:val="3"/>
        <w:jc w:val="center"/>
        <w:rPr>
          <w:color w:val="auto"/>
          <w:highlight w:val="none"/>
        </w:rPr>
      </w:pPr>
      <w:bookmarkStart w:id="7" w:name="_Toc217642132"/>
      <w:r>
        <w:rPr>
          <w:rFonts w:hint="eastAsia"/>
          <w:color w:val="auto"/>
          <w:highlight w:val="none"/>
        </w:rPr>
        <w:t>第二</w:t>
      </w:r>
      <w:r>
        <w:rPr>
          <w:rFonts w:hint="eastAsia"/>
          <w:color w:val="auto"/>
          <w:spacing w:val="120"/>
          <w:highlight w:val="none"/>
        </w:rPr>
        <w:t>节</w:t>
      </w:r>
      <w:r>
        <w:rPr>
          <w:rFonts w:hint="eastAsia"/>
          <w:color w:val="auto"/>
          <w:highlight w:val="none"/>
        </w:rPr>
        <w:t>供应商须知正文</w:t>
      </w:r>
      <w:bookmarkEnd w:id="7"/>
    </w:p>
    <w:p w14:paraId="27F14DC7">
      <w:pPr>
        <w:pStyle w:val="4"/>
        <w:jc w:val="left"/>
        <w:rPr>
          <w:rFonts w:ascii="宋体" w:hAnsi="宋体" w:eastAsia="宋体"/>
          <w:color w:val="auto"/>
          <w:sz w:val="28"/>
          <w:szCs w:val="28"/>
          <w:highlight w:val="none"/>
        </w:rPr>
      </w:pPr>
      <w:bookmarkStart w:id="8" w:name="_Toc217642133"/>
      <w:r>
        <w:rPr>
          <w:rFonts w:hint="eastAsia" w:ascii="宋体" w:hAnsi="宋体" w:eastAsia="宋体"/>
          <w:color w:val="auto"/>
          <w:sz w:val="28"/>
          <w:szCs w:val="28"/>
          <w:highlight w:val="none"/>
        </w:rPr>
        <w:t>一、总则</w:t>
      </w:r>
      <w:bookmarkEnd w:id="8"/>
    </w:p>
    <w:p w14:paraId="63654BE9">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1.适用范围</w:t>
      </w:r>
    </w:p>
    <w:p w14:paraId="687DEDA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DDAD9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1.2本竞争性磋商文件（以下简称磋商文件）适用于本项目的所有采购程序和环节（法律、法规另有规定的，从其规定）。</w:t>
      </w:r>
    </w:p>
    <w:p w14:paraId="10751927">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2.定义</w:t>
      </w:r>
    </w:p>
    <w:p w14:paraId="7F85947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2.1“采购人”是指依法进行政府采购的国家机关、事业单位、团体组织。</w:t>
      </w:r>
    </w:p>
    <w:p w14:paraId="7390243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2.2“采购代理机构”是指政府采购集中采购机构和集中采购机构以外的采购代理机构。</w:t>
      </w:r>
    </w:p>
    <w:p w14:paraId="259ADB5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2.3“供应商”是指向采购人提供货物、工程或者服务的法人、其他组织或者自然人。</w:t>
      </w:r>
    </w:p>
    <w:p w14:paraId="514035C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2.4“工程”是指除货物和服务以外的其他政府采购对象。</w:t>
      </w:r>
    </w:p>
    <w:p w14:paraId="5F626FA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2.5“竞标”是指供应商按照本项目竞争性磋商公告或者邀请函规定的方式获取磋商文件、提交响应文件并希望获得标的的行为。</w:t>
      </w:r>
    </w:p>
    <w:p w14:paraId="086A06B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2.6“响应文件”是指：供应商根据本磋商文件要求，编制包含资格证明、报价商务技术等所有内容的文件。</w:t>
      </w:r>
    </w:p>
    <w:p w14:paraId="10F58CA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2.7“实质性要求”是指磋商文件中已经指明不满足则响应文件按无效响应处理的条款，或者不能负偏离的条款，或者采购需求中带“▲”的条款。</w:t>
      </w:r>
    </w:p>
    <w:p w14:paraId="65EB20E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2.8“正偏离”，是指响应文件对磋商文件“采购需求”中有关条款作出的响应优于条款要求并有利于采购人的情形。</w:t>
      </w:r>
    </w:p>
    <w:p w14:paraId="24C5970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2.9“负偏离”，是指响应文件对磋商文件“采购需求”中有关条款作出的响应不满足条款要求，导致采购人要求不能得到满足的情形。</w:t>
      </w:r>
    </w:p>
    <w:p w14:paraId="2416029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2.10“允许负偏离的条款”是指采购需求中的不属于“实质性要求”的条款。</w:t>
      </w:r>
    </w:p>
    <w:p w14:paraId="285E5AF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2.11“书面形式”是指合同书、信件和数据电文（包括电报、电传、传真、电子数据交换和电子邮件）等可以有形地表现所载内容的形式。</w:t>
      </w:r>
    </w:p>
    <w:p w14:paraId="02D333D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2.12“首次报价”是指供应商提交的首次响应文件中的报价。</w:t>
      </w:r>
    </w:p>
    <w:p w14:paraId="4DB7DC9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2.13“评审报价”是指供应商提交的最后报价并经修正（如有）和政策功能价格扣除（如有）后的价格。</w:t>
      </w:r>
    </w:p>
    <w:p w14:paraId="5E16DD30">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3.供应商的资格条件</w:t>
      </w:r>
    </w:p>
    <w:p w14:paraId="37E6951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供应商的资格条件详见“供应商须知前附表”。</w:t>
      </w:r>
    </w:p>
    <w:p w14:paraId="70DE9350">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4.磋商费用</w:t>
      </w:r>
    </w:p>
    <w:p w14:paraId="701CE8A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6C317F75">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5.联合体竞标</w:t>
      </w:r>
    </w:p>
    <w:p w14:paraId="2D6EDDA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5.1本项目是否接受联合体竞标，详见“供应商须知前附表”。</w:t>
      </w:r>
    </w:p>
    <w:p w14:paraId="2A198DE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5.2如接受联合体竞标，联合体竞标要求详见“供应商须知前附表”。</w:t>
      </w:r>
    </w:p>
    <w:p w14:paraId="25894A8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5.3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318D7FA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6.转包与分包</w:t>
      </w:r>
    </w:p>
    <w:p w14:paraId="24048A3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6.1本项目是否允许分包详见“供应商须知前附表”，本项目不允许违法分包。</w:t>
      </w:r>
    </w:p>
    <w:p w14:paraId="728AC58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7345C840">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7.特别说明</w:t>
      </w:r>
    </w:p>
    <w:p w14:paraId="0A3FAD5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7.1如果本磋商文件要求提供供应商或制造商的资格、信誉、荣誉、业绩与企业认证等材料的，资格、信誉、荣誉、业绩与企业认证等必须为供应商或者制造商所拥有或自身获得。</w:t>
      </w:r>
    </w:p>
    <w:p w14:paraId="22155AF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7.2供应商应仔细阅读磋商文件的所有内容，按照磋商文件的要求提交响应文件，并对所提供的全部资料的真实性承担法律责任。</w:t>
      </w:r>
    </w:p>
    <w:p w14:paraId="0FE0DDD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938308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7.4在政府采购活动中，采购人员及相关人员与供应商有下列利害关系之一的，应当回避：</w:t>
      </w:r>
    </w:p>
    <w:p w14:paraId="08D45C6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（1）参加采购活动前3年内与供应商存在劳动关系；</w:t>
      </w:r>
    </w:p>
    <w:p w14:paraId="18F00D8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（2）参加采购活动前3年内担任供应商的董事、监事；</w:t>
      </w:r>
    </w:p>
    <w:p w14:paraId="37E8DCA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（3）参加采购活动前3年内是供应商的控股股东或者实际控制人；</w:t>
      </w:r>
    </w:p>
    <w:p w14:paraId="1CE2D4C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（4）与供应商的法定代表人或者负责人有夫妻、直系血亲、三代以内旁系血亲或者近姻亲关系；</w:t>
      </w:r>
    </w:p>
    <w:p w14:paraId="02BC406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（5）与供应商有其他可能影响政府采购活动公平、公正进行的关系。</w:t>
      </w:r>
    </w:p>
    <w:p w14:paraId="1A378D1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337523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7.5有下列情形之一的视为供应商相互串通竞标，响应文件将被视为无效：</w:t>
      </w:r>
    </w:p>
    <w:p w14:paraId="2F7B1B7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（1）不同供应商的响应文件由同一单位或者个人编制；或者不同供应商报名的IP地址一致的；或者编制响应文件硬件设备CPU编号、硬盘编号、网卡地址一致的情况。</w:t>
      </w:r>
    </w:p>
    <w:p w14:paraId="11A9E21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（2）不同供应商委托同一单位或者个人办理竞标事宜；</w:t>
      </w:r>
    </w:p>
    <w:p w14:paraId="2BBE06C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（3）不同的供应商的响应文件载明的项目管理员为同一个人；</w:t>
      </w:r>
    </w:p>
    <w:p w14:paraId="7A78CF0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（4）不同供应商的响应文件异常一致或者报价呈规律性差异；</w:t>
      </w:r>
    </w:p>
    <w:p w14:paraId="663C6FF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（5）不同供应商的响应文件相互混装；</w:t>
      </w:r>
    </w:p>
    <w:p w14:paraId="48C9883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（6）不同供应商的磋商保证金从同一单位或者个人账户转出。</w:t>
      </w:r>
      <w:r>
        <w:rPr>
          <w:rFonts w:hint="eastAsia" w:ascii="宋体" w:hAnsi="宋体" w:eastAsia="宋体"/>
          <w:color w:val="auto"/>
          <w:szCs w:val="21"/>
          <w:highlight w:val="none"/>
        </w:rPr>
        <w:tab/>
      </w:r>
    </w:p>
    <w:p w14:paraId="6DFC30A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7.6供应商有下列情形之一的，属于恶意串通行为，将报同级监督管理部门：</w:t>
      </w:r>
    </w:p>
    <w:p w14:paraId="433055C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（1）供应商直接或者间接从采购人或者采购代理机构处获得其他供应商的相关信息并修改其响应文件；</w:t>
      </w:r>
    </w:p>
    <w:p w14:paraId="0909F03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（2）供应商按照采购人或者采购代理机构的授意撤换、修改响应文件；</w:t>
      </w:r>
    </w:p>
    <w:p w14:paraId="1F34CAD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（3）供应商之间协商报价、技术方案等响应文件或者响应文件的实质性内容；</w:t>
      </w:r>
    </w:p>
    <w:p w14:paraId="4B2795E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（4）属于同一集团、协会、商会等组织成员的供应商按照该组织要求协同参加政府采购活动；</w:t>
      </w:r>
    </w:p>
    <w:p w14:paraId="73E3139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1C8C83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（6）供应商之间商定部分供应商放弃参加政府采购活动或者放弃成交；</w:t>
      </w:r>
    </w:p>
    <w:p w14:paraId="5CAB394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（7）供应商与采购人或者采购代理机构之间、供应商相互之间，为谋求特定供应商成交或者排斥其他供应商的其他串通行为。</w:t>
      </w:r>
    </w:p>
    <w:p w14:paraId="753A8D95">
      <w:pPr>
        <w:pStyle w:val="4"/>
        <w:jc w:val="left"/>
        <w:rPr>
          <w:rFonts w:ascii="宋体" w:hAnsi="宋体" w:eastAsia="宋体"/>
          <w:color w:val="auto"/>
          <w:sz w:val="28"/>
          <w:szCs w:val="28"/>
          <w:highlight w:val="none"/>
        </w:rPr>
      </w:pPr>
      <w:bookmarkStart w:id="9" w:name="_Toc217642134"/>
      <w:r>
        <w:rPr>
          <w:rFonts w:hint="eastAsia" w:ascii="宋体" w:hAnsi="宋体" w:eastAsia="宋体"/>
          <w:color w:val="auto"/>
          <w:sz w:val="28"/>
          <w:szCs w:val="28"/>
          <w:highlight w:val="none"/>
        </w:rPr>
        <w:t>二、磋商文件</w:t>
      </w:r>
      <w:bookmarkEnd w:id="9"/>
    </w:p>
    <w:p w14:paraId="322A81B7">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8.磋商文件的构成</w:t>
      </w:r>
    </w:p>
    <w:p w14:paraId="61E2DB3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第一章、竞争性磋商公告；</w:t>
      </w:r>
    </w:p>
    <w:p w14:paraId="59630F6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第二章、采购需求；</w:t>
      </w:r>
    </w:p>
    <w:p w14:paraId="360075C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第三章、供应商须知；</w:t>
      </w:r>
    </w:p>
    <w:p w14:paraId="35C23A6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第四章、评审程序、评审方法和评审标准；</w:t>
      </w:r>
    </w:p>
    <w:p w14:paraId="0F1FAA1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第五章、响应文件格式；</w:t>
      </w:r>
    </w:p>
    <w:p w14:paraId="2269578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第六章、合同文本；</w:t>
      </w:r>
    </w:p>
    <w:p w14:paraId="7C22D12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第七章、质疑、投诉材料格式。</w:t>
      </w:r>
    </w:p>
    <w:p w14:paraId="7A6C98F3">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9.供应商的询问</w:t>
      </w:r>
    </w:p>
    <w:p w14:paraId="02B13C2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135DF2C8">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10.磋商文件的澄清和修改</w:t>
      </w:r>
    </w:p>
    <w:p w14:paraId="30F5229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116600C9">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59D437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ascii="宋体" w:hAnsi="宋体" w:eastAsia="宋体"/>
          <w:color w:val="auto"/>
          <w:szCs w:val="21"/>
          <w:highlight w:val="none"/>
        </w:rPr>
        <w:t>3个工作日</w:t>
      </w:r>
      <w:r>
        <w:rPr>
          <w:rFonts w:hint="eastAsia" w:ascii="宋体" w:hAnsi="宋体" w:eastAsia="宋体"/>
          <w:color w:val="auto"/>
          <w:szCs w:val="21"/>
          <w:highlight w:val="none"/>
        </w:rPr>
        <w:t>前，以书面形式（目前为网上公告和系统短信等形式）通知所有获取磋商文件的供应商，不足</w:t>
      </w:r>
      <w:r>
        <w:rPr>
          <w:rFonts w:ascii="宋体" w:hAnsi="宋体" w:eastAsia="宋体"/>
          <w:color w:val="auto"/>
          <w:szCs w:val="21"/>
          <w:highlight w:val="none"/>
        </w:rPr>
        <w:t>3个工作日</w:t>
      </w:r>
      <w:r>
        <w:rPr>
          <w:rFonts w:hint="eastAsia" w:ascii="宋体" w:hAnsi="宋体" w:eastAsia="宋体"/>
          <w:color w:val="auto"/>
          <w:szCs w:val="21"/>
          <w:highlight w:val="none"/>
        </w:rPr>
        <w:t>的，应当顺延提交首次响应文件截止之日。</w:t>
      </w:r>
    </w:p>
    <w:p w14:paraId="25D50D8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10.4采购信息更正公告的内容应当包括采购人和采购代理机构名称、地址、联系方式，原公告的采购项目名称及首次公告日期，更正事项、内容及日期，采购项目联系人和电话。</w:t>
      </w:r>
    </w:p>
    <w:p w14:paraId="3E91A17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采购人和采购代理机构可以视采购具体情况，变更提交首次响应文件截止时间和竞谈时间，将变更时间将在“采购文件公告”中“七、其他补充事宜2.网上查询地址”规定的政府采购信息发布媒体上发布更正公告。</w:t>
      </w:r>
    </w:p>
    <w:p w14:paraId="7BEB7A16">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▲响应文件未按磋商文件的澄清、修改的内容编制，又不符合实质性要求的，其响应文件作无效处理。</w:t>
      </w:r>
    </w:p>
    <w:p w14:paraId="2FB404ED">
      <w:pPr>
        <w:pStyle w:val="4"/>
        <w:jc w:val="left"/>
        <w:rPr>
          <w:rFonts w:ascii="宋体" w:hAnsi="宋体" w:eastAsia="宋体"/>
          <w:color w:val="auto"/>
          <w:sz w:val="28"/>
          <w:szCs w:val="28"/>
          <w:highlight w:val="none"/>
        </w:rPr>
      </w:pPr>
      <w:bookmarkStart w:id="10" w:name="_Toc217642135"/>
      <w:r>
        <w:rPr>
          <w:rFonts w:hint="eastAsia" w:ascii="宋体" w:hAnsi="宋体" w:eastAsia="宋体"/>
          <w:color w:val="auto"/>
          <w:sz w:val="28"/>
          <w:szCs w:val="28"/>
          <w:highlight w:val="none"/>
        </w:rPr>
        <w:t>三、响应文件的编制</w:t>
      </w:r>
      <w:bookmarkEnd w:id="10"/>
    </w:p>
    <w:p w14:paraId="5E9F5D65">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11.响应文件的编制原则</w:t>
      </w:r>
    </w:p>
    <w:p w14:paraId="224B39D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供应商必须按照磋商文件的要求编制响应文件，并对其提交的响应文件的真实性、合法性承担法律责任。响应文件必须对磋商文件作出实质性响应。</w:t>
      </w:r>
    </w:p>
    <w:p w14:paraId="452D253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12.响应文件的组成</w:t>
      </w:r>
    </w:p>
    <w:p w14:paraId="2882F86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12.1响应文件由资格证明文件、报价文件、商务和技术文件三部分组成。</w:t>
      </w:r>
    </w:p>
    <w:p w14:paraId="349EF78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12.1.1资格证明文件：详见须知前附表</w:t>
      </w:r>
    </w:p>
    <w:p w14:paraId="6264208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12.1.2商务技术文件：详见须知前附表</w:t>
      </w:r>
    </w:p>
    <w:p w14:paraId="5F96536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12.1.3报价文件：详见须知前附表</w:t>
      </w:r>
    </w:p>
    <w:p w14:paraId="16B6AD7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12.2响应文件电子版：详见须知前附表</w:t>
      </w:r>
    </w:p>
    <w:p w14:paraId="47FAEA20">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13.计量单位</w:t>
      </w:r>
    </w:p>
    <w:p w14:paraId="13BA549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磋商文件已有明确规定的，使用磋商文件规定的计量单位；磋商文件没有规定的，应采用中华人民共和国法定计量单位，货币种类为人民币，否则视同未响应。</w:t>
      </w:r>
    </w:p>
    <w:p w14:paraId="4903A27F">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14.竞标的风险</w:t>
      </w:r>
    </w:p>
    <w:p w14:paraId="4806562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供应商没有按照磋商文件要求提供全部资料，或者供应商没有对磋商文件在各方面作出实质性响应可能导致其响应无效，是供应商应当考虑的风险。</w:t>
      </w:r>
    </w:p>
    <w:p w14:paraId="0B2E6B80">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15.响应报价要求和构成</w:t>
      </w:r>
    </w:p>
    <w:p w14:paraId="4C8D173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15.1响应报价应按“第五章响应文件格式”中“响应报价表、已标价工程量清单”格式填写。</w:t>
      </w:r>
    </w:p>
    <w:p w14:paraId="5BAF82D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15.2响应报价的价格构成见“供应商须知前附表”。</w:t>
      </w:r>
    </w:p>
    <w:p w14:paraId="7DF1FF9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15.3响应报价要求</w:t>
      </w:r>
    </w:p>
    <w:p w14:paraId="1B0C9FF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15.3.1供应商的响应报价应符合以下要求，否则响应文件按无效响应处理：</w:t>
      </w:r>
    </w:p>
    <w:p w14:paraId="5DA63BE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（1）供应商必须就“采购需求”中所竞标的每个分标的全部内容分别作完整唯一总价报价，不得存在漏项报价；</w:t>
      </w:r>
    </w:p>
    <w:p w14:paraId="28347CD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（2）供应商必须就所竞标的分标的单项内容作唯一报价。</w:t>
      </w:r>
    </w:p>
    <w:p w14:paraId="48F71A9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15.3.2响应报价（包含首次报价、最后报价）超过所竞标分标规定的采购预算金额或者最高限价的，其响应文件将作无效处理。</w:t>
      </w:r>
    </w:p>
    <w:p w14:paraId="2E7630A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15.3.3响应报价（包含首次报价、最后报价）超过分项采购预算金额或者最高限价的，其响应文件将作无效处理。</w:t>
      </w:r>
    </w:p>
    <w:p w14:paraId="12682F6A">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16.竞标有效期</w:t>
      </w:r>
    </w:p>
    <w:p w14:paraId="29E13FF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5AAD48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16.2竞标有效期应由供应商按“供应商须知前附表”规定的期限作出响应。</w:t>
      </w:r>
    </w:p>
    <w:p w14:paraId="501C999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16.3供应商的响应文件在竞标有效期内均保持有效。</w:t>
      </w:r>
    </w:p>
    <w:p w14:paraId="6DCD4C6A">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17.磋商保证金</w:t>
      </w:r>
    </w:p>
    <w:p w14:paraId="7956B1C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详见“供应商须知前附表”。</w:t>
      </w:r>
    </w:p>
    <w:p w14:paraId="22443452">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18.响应文件编制的要求</w:t>
      </w:r>
    </w:p>
    <w:p w14:paraId="6D9879B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18.1各供应商在编制响应文件时请按照磋商文件“第五章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7FAE54D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18.2响应文件应按资格证明、报价分别编制，商务技术文件合并编制，本磋商只接受电子版响应文件，要求见本章“12.2响应文件电子版要求”。</w:t>
      </w:r>
    </w:p>
    <w:p w14:paraId="678EE44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18.3响应文件须由供应商在“第五章响应文件格式”规定位置进行签署、盖章，否则其响应文件按无效响应处理。骑缝盖公章不视为在规定位置盖章。</w:t>
      </w:r>
    </w:p>
    <w:p w14:paraId="1E2C5FD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18.4响应文件中标注的供应商名称应与营业执照（事业单位法人证书、执业许可证、自然人身份证）及电子公章一致，否则其响应文件按无效响应处理。</w:t>
      </w:r>
    </w:p>
    <w:p w14:paraId="720BE79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18.5响应文件应避免涂改、行间插字或者删除，否则其响应文件按无效响应处理。</w:t>
      </w:r>
    </w:p>
    <w:p w14:paraId="647EB845">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19.响应文件的密封和标记</w:t>
      </w:r>
    </w:p>
    <w:p w14:paraId="6FE13E8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4F00DEF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19.2使用“广西政府采购云平台电子交易客户端”需要提前申领CA数字证书，申领流程见该项目采购公告附件。</w:t>
      </w:r>
    </w:p>
    <w:p w14:paraId="15E1DD4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3FE50CF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20.响应文件的提交</w:t>
      </w:r>
    </w:p>
    <w:p w14:paraId="5F647F4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20.1供应商必须在“供应商须知前附表”规定的时间和地点提交响应文件。</w:t>
      </w:r>
    </w:p>
    <w:p w14:paraId="0FF098F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20.2在响应文件提交截止时间以后，不能补充、修改响应文件。</w:t>
      </w:r>
    </w:p>
    <w:p w14:paraId="463FE68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20.3在提交“最后报价”后，供应商不能退出磋商。</w:t>
      </w:r>
    </w:p>
    <w:p w14:paraId="576616C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20.4电子交易平台收到响应文件，将妥善保存并即时向供应商发出确认回执通知。在响应文件提交截止时间前，除供应商补充、修改或者撤回响应文件外，任何单位和个人不得解密或提取响应文件。</w:t>
      </w:r>
    </w:p>
    <w:p w14:paraId="551D28A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20.5采购机构不可视情况延长提交响应文件的截止时间。</w:t>
      </w:r>
    </w:p>
    <w:p w14:paraId="760BD72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20.6备份响应文件。详见在“供应商须知前附表”。</w:t>
      </w:r>
    </w:p>
    <w:p w14:paraId="6DF7A125">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21.首次响应文件的补充、修改与撤回</w:t>
      </w:r>
    </w:p>
    <w:p w14:paraId="530B5ED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详见“供应商须知前附表”。</w:t>
      </w:r>
    </w:p>
    <w:p w14:paraId="4AB13836">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22.首次响应文件的退回</w:t>
      </w:r>
    </w:p>
    <w:p w14:paraId="7A9C9E5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65E7546F">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23.截止时间后的撤回</w:t>
      </w:r>
    </w:p>
    <w:p w14:paraId="5CAAF94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本项目不收取磋商保证金，供应商在首次响应文件提交截止时间后可向采购人、采购代理机构书面申请撤回电子响应文件。</w:t>
      </w:r>
    </w:p>
    <w:p w14:paraId="3716C508">
      <w:pPr>
        <w:pStyle w:val="4"/>
        <w:jc w:val="left"/>
        <w:rPr>
          <w:rFonts w:ascii="宋体" w:hAnsi="宋体" w:eastAsia="宋体"/>
          <w:color w:val="auto"/>
          <w:sz w:val="28"/>
          <w:szCs w:val="28"/>
          <w:highlight w:val="none"/>
        </w:rPr>
      </w:pPr>
      <w:bookmarkStart w:id="11" w:name="_Toc217642136"/>
      <w:r>
        <w:rPr>
          <w:rFonts w:hint="eastAsia" w:ascii="宋体" w:hAnsi="宋体" w:eastAsia="宋体"/>
          <w:color w:val="auto"/>
          <w:sz w:val="28"/>
          <w:szCs w:val="28"/>
          <w:highlight w:val="none"/>
        </w:rPr>
        <w:t>四、评审及磋商</w:t>
      </w:r>
      <w:bookmarkEnd w:id="11"/>
    </w:p>
    <w:p w14:paraId="3CE41ECC">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24.磋商小组成立</w:t>
      </w:r>
    </w:p>
    <w:p w14:paraId="546177D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1938F6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28D89F6">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25.首次响应文件的开启</w:t>
      </w:r>
    </w:p>
    <w:p w14:paraId="4225B3B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25.1首次响应文件由磋商小组或者采购代理机构在“供应商须知前附表”规定的时间开启。</w:t>
      </w:r>
    </w:p>
    <w:p w14:paraId="27E7A1F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25.2响应文件解密</w:t>
      </w:r>
    </w:p>
    <w:p w14:paraId="70D928D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采购代理机构将在“供应商须知前附表”规定的时间通过电子交易平台组织响应文件开启，采购机构依托电子交易平台发起开始解密指令，供应商的法定代表人或其委托代理人</w:t>
      </w:r>
      <w:r>
        <w:rPr>
          <w:rFonts w:hint="eastAsia" w:ascii="宋体" w:hAnsi="宋体" w:eastAsia="宋体"/>
          <w:b/>
          <w:color w:val="auto"/>
          <w:szCs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olor w:val="auto"/>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b/>
          <w:color w:val="auto"/>
          <w:szCs w:val="21"/>
          <w:highlight w:val="none"/>
        </w:rPr>
        <w:t>视为响应文件无效</w:t>
      </w:r>
      <w:r>
        <w:rPr>
          <w:rFonts w:hint="eastAsia" w:ascii="宋体" w:hAnsi="宋体" w:eastAsia="宋体"/>
          <w:color w:val="auto"/>
          <w:szCs w:val="21"/>
          <w:highlight w:val="none"/>
        </w:rPr>
        <w:t>。（解密异常情况处理：详见本章26.3电子交易活动的中止。）</w:t>
      </w:r>
    </w:p>
    <w:p w14:paraId="7D3A883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如供应商成功解密响应文件，但未在“广西政府采购云平台”电子开标大厅参加磋商的，视同认可磋商过程和结果，由此产生的后果由供应商自行负责。参与磋商的供应商不足3家的，不得磋商。</w:t>
      </w:r>
    </w:p>
    <w:p w14:paraId="31B5CE7C">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26.评审程序、评审方法和评审标准</w:t>
      </w:r>
    </w:p>
    <w:p w14:paraId="5B6C05B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26.1磋商小组按照“第四章评审程序、评审方法和评审标准”规定的方法、评审因素、标准和程序对响应文件进行评审。</w:t>
      </w:r>
    </w:p>
    <w:p w14:paraId="5236B30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26.2磋商文件内容违反国家有关强制性规定的，磋商小组应当停止评审并向采购人或者采购代理机构说明情况，并在评审报告中书面体现。</w:t>
      </w:r>
    </w:p>
    <w:p w14:paraId="72B793D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26.3采购需求负偏离要求及磋商顺序详见“供应商须知前附表”。</w:t>
      </w:r>
    </w:p>
    <w:p w14:paraId="15E3795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26.4电子交易活动的中止。采购过程中出现以下情形，导致电子交易平台无法正常运行，或者无法保证电子交易的公平、公正和安全时，采购机构可中止电子交易活动：</w:t>
      </w:r>
    </w:p>
    <w:p w14:paraId="4D9E10C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（1）电子交易平台发生故障而无法登录访问的；</w:t>
      </w:r>
    </w:p>
    <w:p w14:paraId="7AF6201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（2）电子交易平台应用或数据库出现错误，不能进行正常操作的；</w:t>
      </w:r>
    </w:p>
    <w:p w14:paraId="7EA9445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（3）电子交易平台发现严重安全漏洞，有潜在泄密危险的；</w:t>
      </w:r>
    </w:p>
    <w:p w14:paraId="507EB38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（4）病毒发作导致不能进行正常操作的；</w:t>
      </w:r>
    </w:p>
    <w:p w14:paraId="451496B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（5）其他无法保证电子交易的公平、公正和安全的情况。</w:t>
      </w:r>
    </w:p>
    <w:p w14:paraId="4E69300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0BCE1B1">
      <w:pPr>
        <w:pStyle w:val="4"/>
        <w:jc w:val="left"/>
        <w:rPr>
          <w:rFonts w:ascii="宋体" w:hAnsi="宋体" w:eastAsia="宋体"/>
          <w:color w:val="auto"/>
          <w:sz w:val="28"/>
          <w:szCs w:val="28"/>
          <w:highlight w:val="none"/>
        </w:rPr>
      </w:pPr>
      <w:bookmarkStart w:id="12" w:name="_Toc217642137"/>
      <w:r>
        <w:rPr>
          <w:rFonts w:hint="eastAsia" w:ascii="宋体" w:hAnsi="宋体" w:eastAsia="宋体"/>
          <w:color w:val="auto"/>
          <w:sz w:val="28"/>
          <w:szCs w:val="28"/>
          <w:highlight w:val="none"/>
        </w:rPr>
        <w:t>五、成交及合同</w:t>
      </w:r>
      <w:bookmarkEnd w:id="12"/>
    </w:p>
    <w:p w14:paraId="20A85F17">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27.确定成交供应商及结果公告</w:t>
      </w:r>
    </w:p>
    <w:p w14:paraId="050BBCB9">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27.1确定成交供应商。</w:t>
      </w:r>
      <w:r>
        <w:rPr>
          <w:rFonts w:hint="eastAsia" w:ascii="宋体" w:hAnsi="宋体" w:eastAsia="宋体"/>
          <w:color w:val="auto"/>
          <w:szCs w:val="21"/>
          <w:highlight w:val="none"/>
          <w:u w:val="single"/>
        </w:rPr>
        <w:t>由采购人直接委托评审</w:t>
      </w:r>
      <w:r>
        <w:rPr>
          <w:rFonts w:hint="eastAsia" w:ascii="宋体" w:hAnsi="宋体" w:eastAsia="宋体"/>
          <w:color w:val="auto"/>
          <w:szCs w:val="21"/>
          <w:highlight w:val="none"/>
          <w:u w:val="single"/>
          <w:lang w:eastAsia="zh-CN"/>
        </w:rPr>
        <w:t>委员会</w:t>
      </w:r>
      <w:r>
        <w:rPr>
          <w:rFonts w:hint="eastAsia" w:ascii="宋体" w:hAnsi="宋体" w:eastAsia="宋体"/>
          <w:color w:val="auto"/>
          <w:szCs w:val="21"/>
          <w:highlight w:val="none"/>
          <w:u w:val="single"/>
        </w:rPr>
        <w:t>确定，评审报告提出的排序第一的供应商为成交供应商。</w:t>
      </w:r>
    </w:p>
    <w:p w14:paraId="539B1B3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27.2成交通知及成交结果公告。成交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6522BFF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305CB1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51AD6A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79E72556">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28.履约保证金</w:t>
      </w:r>
    </w:p>
    <w:p w14:paraId="0B4DFC3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详见“供应商须知前附表”</w:t>
      </w:r>
    </w:p>
    <w:p w14:paraId="640142A7">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29.签订合同</w:t>
      </w:r>
    </w:p>
    <w:p w14:paraId="0A916F5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29.1采购人与成交供应商应当在成交通知书规定的时间内，按照磋商文件确定的合同文本以及采购标的、服务技术、采购金额、采购数量、技术和服务要求等事项签订政府采购合同。如成交供应商为联合体的，由联合体成员各方法定代表人或其授权代表与采购人代表签订合同。</w:t>
      </w:r>
    </w:p>
    <w:p w14:paraId="766BBA6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0EC2C6C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C56ACD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29.4如签订合同并生效后，供应商无故拒绝或延期，除按照合同条款处理外，列入不良行为记录，并给予通报。</w:t>
      </w:r>
    </w:p>
    <w:p w14:paraId="45B85DE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29.5采购合同由采购人与成交供应商根据磋商文件、响应文件等内容通过政府采购电子交易平台在线签订，自动备案，在线签订须携带的材料见“供应商须知前附表”。</w:t>
      </w:r>
    </w:p>
    <w:p w14:paraId="4867D81A">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30.政府采购合同公告</w:t>
      </w:r>
    </w:p>
    <w:p w14:paraId="639CE52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采购人或者受托采购代理机构应当自政府采购合同签订之日起2个工作日内，将政府采购合同在以下媒体上发布“广西政府采购网”（</w:t>
      </w:r>
      <w:r>
        <w:rPr>
          <w:rFonts w:hint="eastAsia" w:ascii="宋体" w:hAnsi="宋体" w:eastAsia="宋体" w:cs="Times New Roman"/>
          <w:color w:val="auto"/>
          <w:szCs w:val="21"/>
          <w:highlight w:val="none"/>
        </w:rPr>
        <w:t>zfcg.gxzf.gov.cn</w:t>
      </w:r>
      <w:r>
        <w:rPr>
          <w:rFonts w:hint="eastAsia" w:ascii="宋体" w:hAnsi="宋体" w:eastAsia="宋体"/>
          <w:color w:val="auto"/>
          <w:szCs w:val="21"/>
          <w:highlight w:val="none"/>
        </w:rPr>
        <w:t>）上公告，但政府采购合同中涉及国家秘密、商业秘密的内容除外。</w:t>
      </w:r>
    </w:p>
    <w:p w14:paraId="411EE981">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31.询问、质疑和投诉</w:t>
      </w:r>
    </w:p>
    <w:p w14:paraId="789385A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31.1供应商对政府采购活动事项有疑问的，可以向采购人、采购代理机构提出询问，采购人或者采购代理机构应当在3个工作日内对供应商依法提出的询问作出答复。</w:t>
      </w:r>
    </w:p>
    <w:p w14:paraId="729B09A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w:t>
      </w:r>
      <w:r>
        <w:rPr>
          <w:rFonts w:hint="eastAsia" w:ascii="宋体" w:hAnsi="宋体" w:eastAsia="宋体"/>
          <w:b/>
          <w:color w:val="auto"/>
          <w:szCs w:val="21"/>
          <w:highlight w:val="none"/>
        </w:rPr>
        <w:t>具体质疑起算时间及处理方式如下</w:t>
      </w:r>
      <w:r>
        <w:rPr>
          <w:rFonts w:hint="eastAsia" w:ascii="宋体" w:hAnsi="宋体" w:eastAsia="宋体"/>
          <w:color w:val="auto"/>
          <w:szCs w:val="21"/>
          <w:highlight w:val="none"/>
        </w:rPr>
        <w:t>：</w:t>
      </w:r>
    </w:p>
    <w:p w14:paraId="26BD794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潜在供应商依法获取采购文件后，认为采购文件使自己的权益受到损害的，应当在竞争性磋商采购文件公告期限届满之日起7个工作日内提出质疑。委托代理协议无特殊约定的，对竞争性磋商文件中采购需求（含资格要求、采购预算和评分办法）的质疑由采购人受理并负责答复；对竞争性磋商文件中的采购执行程序的质疑由采购代理机构受理并负责答复。</w:t>
      </w:r>
    </w:p>
    <w:p w14:paraId="1AAC5C9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48CCDF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（3）供应商认为成交结果使自己的权益受到损害的，应当在成交结果公告期限届满之日起7个工作日内提出质疑，由采购人受理并负责答复。</w:t>
      </w:r>
    </w:p>
    <w:p w14:paraId="0619F3A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3D584A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31.4供应商提出质疑应当提交质疑函和必要的证明材料，针对同一采购程序环节的质疑必须在法定质疑期内一次性提出。质疑函应当包括下列内容（质疑函格式后附）：</w:t>
      </w:r>
    </w:p>
    <w:p w14:paraId="0A3AAD6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（1）供应商的姓名或者名称、地址、邮编、联系人及联系电话；</w:t>
      </w:r>
    </w:p>
    <w:p w14:paraId="33B2964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（2）质疑项目的名称、编号；</w:t>
      </w:r>
    </w:p>
    <w:p w14:paraId="25E410C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（3）具体、明确的质疑事项和与质疑事项相关的请求；</w:t>
      </w:r>
    </w:p>
    <w:p w14:paraId="503386C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（4）事实依据；</w:t>
      </w:r>
    </w:p>
    <w:p w14:paraId="7754798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（5）必要的法律依据；</w:t>
      </w:r>
    </w:p>
    <w:p w14:paraId="734305C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（6）提出质疑的日期。</w:t>
      </w:r>
    </w:p>
    <w:p w14:paraId="211E8C4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供应商为自然人的，应当由本人签字；供应商为法人或者其他组织的，应当由法定代表人、主要负责人，或者其委托代理人签字或者盖章，并加盖公章。</w:t>
      </w:r>
    </w:p>
    <w:p w14:paraId="7B42FC7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3765A67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（一）对采购文件提出的质疑，依法通过澄清或者修改可以继续开展采购活动的，澄清或者修改采购文件后继续开展采购活动；否则应当修改采购文件后重新开展采购活动。</w:t>
      </w:r>
    </w:p>
    <w:p w14:paraId="1394737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6BA16ED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质疑答复导致成交结果改变的，采购人或者采购代理机构应当将有关情况书面报告本级财政部门。</w:t>
      </w:r>
    </w:p>
    <w:p w14:paraId="0FCE1D8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12B3F688">
      <w:pPr>
        <w:pStyle w:val="4"/>
        <w:jc w:val="left"/>
        <w:rPr>
          <w:rFonts w:ascii="宋体" w:hAnsi="宋体" w:eastAsia="宋体"/>
          <w:color w:val="auto"/>
          <w:sz w:val="28"/>
          <w:szCs w:val="28"/>
          <w:highlight w:val="none"/>
        </w:rPr>
      </w:pPr>
      <w:bookmarkStart w:id="13" w:name="_Toc217642138"/>
      <w:r>
        <w:rPr>
          <w:rFonts w:hint="eastAsia" w:ascii="宋体" w:hAnsi="宋体" w:eastAsia="宋体"/>
          <w:color w:val="auto"/>
          <w:sz w:val="28"/>
          <w:szCs w:val="28"/>
          <w:highlight w:val="none"/>
        </w:rPr>
        <w:t>六、验收</w:t>
      </w:r>
      <w:bookmarkEnd w:id="13"/>
    </w:p>
    <w:p w14:paraId="448D68E0">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32.验收</w:t>
      </w:r>
    </w:p>
    <w:p w14:paraId="2C1E5CF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6E5042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32.2采购人可以邀请参加本项目的其他供应商或者第三方机构参与验收。参与验收的供应商或者第三方机构的意见作为验收书的参考资料一并存档。</w:t>
      </w:r>
    </w:p>
    <w:p w14:paraId="0017F39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EDA67C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A36D773">
      <w:pPr>
        <w:pStyle w:val="4"/>
        <w:jc w:val="left"/>
        <w:rPr>
          <w:rFonts w:ascii="宋体" w:hAnsi="宋体" w:eastAsia="宋体"/>
          <w:color w:val="auto"/>
          <w:sz w:val="28"/>
          <w:szCs w:val="28"/>
          <w:highlight w:val="none"/>
        </w:rPr>
      </w:pPr>
      <w:bookmarkStart w:id="14" w:name="_Toc217642139"/>
      <w:r>
        <w:rPr>
          <w:rFonts w:hint="eastAsia" w:ascii="宋体" w:hAnsi="宋体" w:eastAsia="宋体"/>
          <w:color w:val="auto"/>
          <w:sz w:val="28"/>
          <w:szCs w:val="28"/>
          <w:highlight w:val="none"/>
        </w:rPr>
        <w:t>七、其他事项</w:t>
      </w:r>
      <w:bookmarkEnd w:id="14"/>
    </w:p>
    <w:p w14:paraId="0547C9D8">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33.代理服务费</w:t>
      </w:r>
    </w:p>
    <w:p w14:paraId="2E66FB8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代理服务收费标准及缴费账户详见“供应商须知前附表”，供应商为联合体的，可以由联合体中的一方或者多方共同交纳代理服务费。</w:t>
      </w:r>
    </w:p>
    <w:p w14:paraId="10CD098F">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34.需要补充的其他内容</w:t>
      </w:r>
    </w:p>
    <w:p w14:paraId="6155BC1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34.1本磋商文件解释规则详见“供应商须知前附表”。</w:t>
      </w:r>
    </w:p>
    <w:p w14:paraId="053C3AB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34.2其他事项详见“供应商须知前附表”。</w:t>
      </w:r>
    </w:p>
    <w:p w14:paraId="57D872A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15AEAA1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以联合体形式参加政府采购活动，联合体各方均为中小企业的，联合体视同中小企业。其中，联合体各方均为小微企业的，联合体视同小微企业。</w:t>
      </w:r>
    </w:p>
    <w:p w14:paraId="16C05CF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依据本文件规定享受扶持政策获得政府采购合同的，小微企业不得将合同分包给大中型企业，中型企业不得将合同分包给大型企业。</w:t>
      </w:r>
    </w:p>
    <w:p w14:paraId="07303BA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w:t>
      </w:r>
      <w:r>
        <w:rPr>
          <w:rFonts w:ascii="宋体" w:hAnsi="宋体" w:eastAsia="宋体"/>
          <w:color w:val="auto"/>
          <w:szCs w:val="21"/>
          <w:highlight w:val="none"/>
        </w:rPr>
        <w:t>4.3</w:t>
      </w:r>
      <w:r>
        <w:rPr>
          <w:rFonts w:hint="eastAsia" w:ascii="宋体" w:hAnsi="宋体" w:eastAsia="宋体"/>
          <w:color w:val="auto"/>
          <w:szCs w:val="21"/>
          <w:highlight w:val="none"/>
        </w:rPr>
        <w:t>现场踏勘：见“供应商须知前附表”。</w:t>
      </w:r>
    </w:p>
    <w:p w14:paraId="1EEDA872">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35.政采贷相关说明</w:t>
      </w:r>
    </w:p>
    <w:p w14:paraId="6DCBCCC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为优化政府采购营商环境，缓解供应商资金难题，南宁市政府采购试行政府采购信用融资制度，成交供应商如有融资需求，可凭政府采购合同通过以下方式申请政府采购信用融资贷款：</w:t>
      </w:r>
    </w:p>
    <w:p w14:paraId="0293ADC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（1）线下渠道：在“南宁市公共资源交易中心”官网（网址：</w:t>
      </w:r>
      <w:r>
        <w:rPr>
          <w:rFonts w:hint="eastAsia" w:ascii="宋体" w:hAnsi="宋体" w:eastAsia="宋体"/>
          <w:color w:val="auto"/>
          <w:szCs w:val="21"/>
          <w:highlight w:val="none"/>
          <w:u w:val="single"/>
        </w:rPr>
        <w:t>http：//www.nnggzy.org.cn）“交易信息-政府采购-政府采购信用融资”中融资银行和南宁市企业融资服务中心专栏信息申请政府采购信用融资。</w:t>
      </w:r>
    </w:p>
    <w:p w14:paraId="65BA3186">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w:t>
      </w:r>
      <w:r>
        <w:rPr>
          <w:rFonts w:ascii="宋体" w:hAnsi="宋体" w:eastAsia="宋体"/>
          <w:b/>
          <w:color w:val="auto"/>
          <w:szCs w:val="21"/>
          <w:highlight w:val="none"/>
        </w:rPr>
        <w:t>830442.html</w:t>
      </w:r>
      <w:r>
        <w:rPr>
          <w:rFonts w:hint="eastAsia" w:ascii="宋体" w:hAnsi="宋体" w:eastAsia="宋体"/>
          <w:b/>
          <w:color w:val="auto"/>
          <w:szCs w:val="21"/>
          <w:highlight w:val="none"/>
        </w:rPr>
        <w:t>）</w:t>
      </w:r>
    </w:p>
    <w:p w14:paraId="18439FAD">
      <w:pPr>
        <w:pStyle w:val="2"/>
        <w:jc w:val="center"/>
        <w:rPr>
          <w:color w:val="auto"/>
          <w:highlight w:val="none"/>
        </w:rPr>
        <w:sectPr>
          <w:pgSz w:w="11906" w:h="16838"/>
          <w:pgMar w:top="1134" w:right="1134" w:bottom="1134" w:left="1134" w:header="851" w:footer="680" w:gutter="0"/>
          <w:cols w:space="425" w:num="1"/>
          <w:docGrid w:type="lines" w:linePitch="312" w:charSpace="0"/>
        </w:sectPr>
      </w:pPr>
    </w:p>
    <w:p w14:paraId="79EDC894">
      <w:pPr>
        <w:pStyle w:val="2"/>
        <w:jc w:val="center"/>
        <w:rPr>
          <w:color w:val="auto"/>
          <w:highlight w:val="none"/>
        </w:rPr>
      </w:pPr>
      <w:bookmarkStart w:id="15" w:name="_Toc217642140"/>
      <w:bookmarkStart w:id="16" w:name="_Toc12920"/>
      <w:r>
        <w:rPr>
          <w:rFonts w:hint="eastAsia"/>
          <w:color w:val="auto"/>
          <w:highlight w:val="none"/>
        </w:rPr>
        <w:t>第四</w:t>
      </w:r>
      <w:r>
        <w:rPr>
          <w:rFonts w:hint="eastAsia" w:ascii="宋体" w:hAnsi="宋体" w:eastAsia="宋体"/>
          <w:color w:val="auto"/>
          <w:spacing w:val="120"/>
          <w:highlight w:val="none"/>
        </w:rPr>
        <w:t>章</w:t>
      </w:r>
      <w:r>
        <w:rPr>
          <w:rFonts w:hint="eastAsia"/>
          <w:color w:val="auto"/>
          <w:highlight w:val="none"/>
        </w:rPr>
        <w:t>评审程序、评审方法和评审标准</w:t>
      </w:r>
      <w:bookmarkEnd w:id="15"/>
      <w:bookmarkEnd w:id="16"/>
    </w:p>
    <w:p w14:paraId="6F25EBEE">
      <w:pPr>
        <w:pStyle w:val="3"/>
        <w:jc w:val="center"/>
        <w:rPr>
          <w:color w:val="auto"/>
          <w:highlight w:val="none"/>
        </w:rPr>
      </w:pPr>
      <w:bookmarkStart w:id="17" w:name="_Toc217642141"/>
      <w:r>
        <w:rPr>
          <w:rFonts w:hint="eastAsia"/>
          <w:color w:val="auto"/>
          <w:highlight w:val="none"/>
        </w:rPr>
        <w:t>第一</w:t>
      </w:r>
      <w:r>
        <w:rPr>
          <w:rFonts w:hint="eastAsia"/>
          <w:color w:val="auto"/>
          <w:spacing w:val="120"/>
          <w:highlight w:val="none"/>
        </w:rPr>
        <w:t>节</w:t>
      </w:r>
      <w:r>
        <w:rPr>
          <w:rFonts w:hint="eastAsia"/>
          <w:color w:val="auto"/>
          <w:highlight w:val="none"/>
        </w:rPr>
        <w:t>评审程序和评审方法</w:t>
      </w:r>
      <w:bookmarkEnd w:id="17"/>
    </w:p>
    <w:p w14:paraId="28F42ED6">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1.确认磋商文件</w:t>
      </w:r>
    </w:p>
    <w:p w14:paraId="2D88BA2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由磋商小组确认磋商文件。</w:t>
      </w:r>
    </w:p>
    <w:p w14:paraId="78C13A91">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2.资格审查</w:t>
      </w:r>
    </w:p>
    <w:p w14:paraId="5234D75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2.1响应文件开启后，磋商小组依法对供应商的资格证明文件进行审查。</w:t>
      </w:r>
    </w:p>
    <w:p w14:paraId="424A5BB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注：采购人代表或者采购代理机构在资格审查结束前，对供应商进行信用查询。</w:t>
      </w:r>
    </w:p>
    <w:p w14:paraId="591E4EA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（1）查询渠道：“广西政府采购云平台”“信用中国”网站（</w:t>
      </w:r>
      <w:r>
        <w:rPr>
          <w:rFonts w:hint="eastAsia" w:ascii="宋体" w:hAnsi="宋体" w:eastAsia="宋体"/>
          <w:color w:val="auto"/>
          <w:szCs w:val="21"/>
          <w:highlight w:val="none"/>
          <w:u w:val="single"/>
        </w:rPr>
        <w:t>www.creditchina.gov.cn</w:t>
      </w:r>
      <w:r>
        <w:rPr>
          <w:rFonts w:hint="eastAsia" w:ascii="宋体" w:hAnsi="宋体" w:eastAsia="宋体"/>
          <w:color w:val="auto"/>
          <w:szCs w:val="21"/>
          <w:highlight w:val="none"/>
        </w:rPr>
        <w:t>）、中国政府采购网（</w:t>
      </w:r>
      <w:r>
        <w:rPr>
          <w:rFonts w:hint="eastAsia" w:ascii="宋体" w:hAnsi="宋体" w:eastAsia="宋体"/>
          <w:color w:val="auto"/>
          <w:szCs w:val="21"/>
          <w:highlight w:val="none"/>
          <w:u w:val="single"/>
        </w:rPr>
        <w:t>www.ccgp.gov.cn</w:t>
      </w:r>
      <w:r>
        <w:rPr>
          <w:rFonts w:hint="eastAsia" w:ascii="宋体" w:hAnsi="宋体" w:eastAsia="宋体"/>
          <w:color w:val="auto"/>
          <w:szCs w:val="21"/>
          <w:highlight w:val="none"/>
        </w:rPr>
        <w:t>）链接入口。</w:t>
      </w:r>
    </w:p>
    <w:p w14:paraId="0B6E295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（2）信用查询截止时点：资格审查结束前。</w:t>
      </w:r>
    </w:p>
    <w:p w14:paraId="392274A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查询记录和证据留存方式：在查询网站中直接打印查询记录，截图另存为电子文档作为评审资料保存。</w:t>
      </w:r>
    </w:p>
    <w:p w14:paraId="77EE5B9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9712C8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2.2资格审查标准为本磋商文件中载明对供应商资格要求的条件。资格审查采用合格制，凡符合磋商文件规定的供应商资格要求的响应文件均通过资格审查。</w:t>
      </w:r>
    </w:p>
    <w:p w14:paraId="5F0462E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2.3供应商有下列情形之一的，资格审查不通过，其响应文件按无效响应处理：</w:t>
      </w:r>
    </w:p>
    <w:p w14:paraId="37FCF33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（1）不具备磋商文件中规定的资格要求的；</w:t>
      </w:r>
    </w:p>
    <w:p w14:paraId="4D9167D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（2）响应文件未提供任一项“供应商须知前附表”资格证明文件规定的“必须提供”的文件资料的；</w:t>
      </w:r>
    </w:p>
    <w:p w14:paraId="3A356B6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（3）响应文件提供的资格证明文件出现任一项不符合“供应商须知前附表”资格证明文件规定的“必须提供”的文件资料要求或者无效的。</w:t>
      </w:r>
    </w:p>
    <w:p w14:paraId="6C0FB08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（4）同一合同项下的不同供应商，单位负责人为同一人或者存在直接控股、管理关系的；为本项目提供过整体设计、规范编制或者项目管理、监理、检测等服务的。</w:t>
      </w:r>
    </w:p>
    <w:p w14:paraId="77304A5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2.4通过资格审查的合格供应商不足3家的，不得进入符合性审查环节，采购人或者采购代理机构应当重新开展采购活动。</w:t>
      </w:r>
    </w:p>
    <w:p w14:paraId="697B706F">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3.符合性审查</w:t>
      </w:r>
    </w:p>
    <w:p w14:paraId="7C53C6D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3.1由磋商小组对通过资格审查的合格供应商的响应文件的响应报价、商务、技术等实质性要求进行符合性审查，以确定其是否满足磋商文件的实质性要求。</w:t>
      </w:r>
    </w:p>
    <w:p w14:paraId="5E2633B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35DA03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579A11A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3.4首次响应文件报价出现前后不一致的，按照下列规定修正：</w:t>
      </w:r>
    </w:p>
    <w:p w14:paraId="5CC6344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（1）响应文件中报价表内容与响应文件中相应内容不一致的，以报价表为准；</w:t>
      </w:r>
    </w:p>
    <w:p w14:paraId="03E9833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（2）大写金额和小写金额不一致的，以大写金额为准；</w:t>
      </w:r>
    </w:p>
    <w:p w14:paraId="72D4333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（3）单价金额小数点或者百分比有明显错位的，以报价表的总价为准，并修改单价；</w:t>
      </w:r>
    </w:p>
    <w:p w14:paraId="2352006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（4）总价金额与按单价汇总金额不一致的，以单价金额计算结果为准。</w:t>
      </w:r>
    </w:p>
    <w:p w14:paraId="40FD648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同时出现两种以上不一致的，按照以上（1）-（4）规定的顺序逐条进行修正。修正后的报价经供应商确认后产生约束力，供应商不确认的，其响应文件按无效响应处理。</w:t>
      </w:r>
    </w:p>
    <w:p w14:paraId="257534F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3.5商务技术、报价评审</w:t>
      </w:r>
    </w:p>
    <w:p w14:paraId="618CCBB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在评审时，如发现下列情形之一的，将被视为响应文件无效处理：</w:t>
      </w:r>
    </w:p>
    <w:p w14:paraId="2EC759D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（1）商务技术评审</w:t>
      </w:r>
    </w:p>
    <w:p w14:paraId="77B6D62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1）响应文件未按磋商文件要求签署、盖章；</w:t>
      </w:r>
    </w:p>
    <w:p w14:paraId="136E6C4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2）委托代理人未能出具有效身份证明或者出具的身份证明与授权委托书中的信息不符；</w:t>
      </w:r>
    </w:p>
    <w:p w14:paraId="2C6E47E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41AD5FD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4）商务条款中标“▲”的条款发生负偏离的或者允许负偏离的条款数超过“供应商须知前附表”规定项数的或者标明实质性的要求发生负偏离；</w:t>
      </w:r>
    </w:p>
    <w:p w14:paraId="264E69C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5）未对竞标有效期作出响应或者响应文件承诺的竞标有效期不满足磋商文件要求；</w:t>
      </w:r>
    </w:p>
    <w:p w14:paraId="1A22B7D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6）响应文件的实质性内容未使用中文表述、使用计量单位不符合磋商文件要求；</w:t>
      </w:r>
    </w:p>
    <w:p w14:paraId="5C3F5D4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7）响应文件中的文件资料因填写不齐全或者内容虚假或者出现其他情形而导致被磋商小组认定无效；</w:t>
      </w:r>
    </w:p>
    <w:p w14:paraId="7E56E3D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8）响应文件含有采购人不能接受的附加条件；</w:t>
      </w:r>
    </w:p>
    <w:p w14:paraId="20AD21C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9）属于“供应商须知正文”第7.5条情形；</w:t>
      </w:r>
    </w:p>
    <w:p w14:paraId="516133E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10）技术需求允许负偏离的条款数超过“供应商须知前附表”规定项数；</w:t>
      </w:r>
    </w:p>
    <w:p w14:paraId="4650AC6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11）虚假竞标，或者出现其他情形而导致被磋商小组认定无效；</w:t>
      </w:r>
    </w:p>
    <w:p w14:paraId="5B45347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12）竞标技术方案不明确，磋商文件未允许但响应文件中存在一个或者一个以上备选（替代）竞标方案；</w:t>
      </w:r>
    </w:p>
    <w:p w14:paraId="60E2F9A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13）响应文件标注的项目名称或者项目编号与竞争性磋商文件标注的项目名称或者项目编号不一致的；</w:t>
      </w:r>
    </w:p>
    <w:p w14:paraId="63DBA2A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14）未响应磋商文件实质性要求；</w:t>
      </w:r>
    </w:p>
    <w:p w14:paraId="4748B93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15）法律、法规和磋商文件规定的其他无效情形。</w:t>
      </w:r>
    </w:p>
    <w:p w14:paraId="7836B38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（2）报价评审</w:t>
      </w:r>
    </w:p>
    <w:p w14:paraId="6116D3D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1）响应文件未提供“供应商须知前附表”报价文件中规定的“响应报价表”；</w:t>
      </w:r>
    </w:p>
    <w:p w14:paraId="261E9AB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2）未采用人民币报价或者未按照磋商文件标明的币种报价；</w:t>
      </w:r>
    </w:p>
    <w:p w14:paraId="5E2A049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43BC4F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4DEAC6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3478368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6）在单价合同工程中供应商采用总价优惠或以总价百分比优惠的方式进行竞标报价的；</w:t>
      </w:r>
    </w:p>
    <w:p w14:paraId="400F341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7）竞标总报价与已标价工程量清单汇总表不一致的；</w:t>
      </w:r>
    </w:p>
    <w:p w14:paraId="3394A17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8）安全文明施工费和规费、增值税不按广西区费用定额及造价管理相关文件规定报价的（园林绿化及仿古建筑工程除外）；（注：适用于房屋建筑和市政工程项目，其他类型项目时请删除该条款并调整序号）</w:t>
      </w:r>
    </w:p>
    <w:p w14:paraId="2CE8FD4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9）供应商已标价工程量清单的项目编码（12位）、计量单位、工程量任何一处与工程量清单不一致的；</w:t>
      </w:r>
    </w:p>
    <w:p w14:paraId="266F4EA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10）供应商已标价工程量清单的项目名称或项目特征与工程量清单不一致，磋商小组要求澄清、说明或补正，但供应商拒绝澄清、说明或补正的；</w:t>
      </w:r>
    </w:p>
    <w:p w14:paraId="71C0A59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11）设有暂估价、暂列金额的，竞标时未按工程量清单给出的暂估价总价、暂列金额总价计入竞标总报价中的；</w:t>
      </w:r>
    </w:p>
    <w:p w14:paraId="6CC7768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12）供应商对工程量清单内容进行增减或对竞标范围进行调整的；</w:t>
      </w:r>
    </w:p>
    <w:p w14:paraId="1A1B16F5">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13</w:t>
      </w:r>
      <w:r>
        <w:rPr>
          <w:rFonts w:hint="eastAsia" w:ascii="宋体" w:hAnsi="宋体" w:eastAsia="宋体"/>
          <w:color w:val="auto"/>
          <w:szCs w:val="21"/>
          <w:highlight w:val="none"/>
        </w:rPr>
        <w:t>）响应文件响应的标的数量及单位与竞争性磋商采购文件要求实质性不一致的。</w:t>
      </w:r>
    </w:p>
    <w:p w14:paraId="2FA3E6B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A83530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D02DF76">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4.磋商程序</w:t>
      </w:r>
    </w:p>
    <w:p w14:paraId="0172432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4.1磋商小组按照“供应商须知前附表”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F167CC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FD573A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4.3对磋商文件作出的实质性变动是磋商文件的有效组成部分，由磋商小组及时以电子澄清函形式同时通知所有参加磋商的供应商。</w:t>
      </w:r>
    </w:p>
    <w:p w14:paraId="76B3728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9C7182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4.5磋商中，磋商的任何一方不得透露与磋商有关的其他供应商的技术资料、价格和其他信息。</w:t>
      </w:r>
    </w:p>
    <w:p w14:paraId="2FD83E9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4.6磋商小组应对磋商过程和重要磋商内容进行记录，作为评标报告一部分，磋商小组在记录上签字确认。</w:t>
      </w:r>
      <w:r>
        <w:rPr>
          <w:rFonts w:hint="eastAsia" w:ascii="宋体" w:hAnsi="宋体" w:eastAsia="宋体"/>
          <w:b/>
          <w:color w:val="auto"/>
          <w:szCs w:val="21"/>
          <w:highlight w:val="none"/>
        </w:rPr>
        <w:t>主要内容包括</w:t>
      </w:r>
      <w:r>
        <w:rPr>
          <w:rFonts w:hint="eastAsia" w:ascii="宋体" w:hAnsi="宋体" w:eastAsia="宋体"/>
          <w:color w:val="auto"/>
          <w:szCs w:val="21"/>
          <w:highlight w:val="none"/>
        </w:rPr>
        <w:t>：</w:t>
      </w:r>
    </w:p>
    <w:p w14:paraId="6879CAD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（1）按照相关规定进行公示的，公示情况说明；</w:t>
      </w:r>
    </w:p>
    <w:p w14:paraId="1F4D706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（2）磋商日期和地点，磋商人员名单；</w:t>
      </w:r>
    </w:p>
    <w:p w14:paraId="54EFC2E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（3）合同主要条款及价格商定情况。</w:t>
      </w:r>
    </w:p>
    <w:p w14:paraId="5709BC2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4.7磋商过程中重新提交的响应文件，供应商可以在开启前补充、修改。</w:t>
      </w:r>
    </w:p>
    <w:p w14:paraId="11121B4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4.8对磋商过程提交的响应文件进行有效性、完整性和响应程度审查，通过审查的合格供应商不足3家的，采购人或者采购代理机构应当重新开展采购活动。</w:t>
      </w:r>
    </w:p>
    <w:p w14:paraId="160C1443">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5.最后报价</w:t>
      </w:r>
    </w:p>
    <w:p w14:paraId="1238ED5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73C8021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E49A5A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937785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5.4已经提交响应文件的供应商，在提交最后报价之前，可以根据磋商情况退出磋商，退出磋商的供应商的响应文件按无效响应处理。</w:t>
      </w:r>
    </w:p>
    <w:p w14:paraId="07CEBB8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5.5供应商未在规定时间内提交最后报价的，视同退出磋商。</w:t>
      </w:r>
    </w:p>
    <w:p w14:paraId="096FC7E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5.6磋商小组收齐某一分标最后报价后统一开启，磋商小组对最后报价进行有效性、完整性和响应程度的审查。</w:t>
      </w:r>
    </w:p>
    <w:p w14:paraId="192A347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5.7最终响应文件的报价出现前后不一致的，按照本章第3.4条的规定修正。</w:t>
      </w:r>
    </w:p>
    <w:p w14:paraId="10067C6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5.8修正后的最终报价出现下列情形的，按无效响应处理：</w:t>
      </w:r>
    </w:p>
    <w:p w14:paraId="7E36301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（1）供应商不确认的（全流程电子化评标采取在线确认）；</w:t>
      </w:r>
    </w:p>
    <w:p w14:paraId="7583743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（2）经供应商确认修正后的响应报价（包含首次报价、最后报价）超过所竞标分标规定的采购预算金额或者最高限价的（如本项目公布了最高限价）；</w:t>
      </w:r>
    </w:p>
    <w:p w14:paraId="6A49F94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（3）经供应商确认修正后的响应报价（包含首次报价、最后报价）超过分项采购预算金额或者最高限价的（如本项目公布了最高限价）。</w:t>
      </w:r>
    </w:p>
    <w:p w14:paraId="671060B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5.9经供应商确认修正后的最后报价作为评审及签订合同的依据。</w:t>
      </w:r>
    </w:p>
    <w:p w14:paraId="521B141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5.10供应商出现最后报价按无效响应处理或者响应文件按无效处理时，磋商小组应当告知有关供应商。</w:t>
      </w:r>
    </w:p>
    <w:p w14:paraId="721E853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5.11最后报价结束后，磋商小组不得再与供应商进行任何形式的商谈。</w:t>
      </w:r>
    </w:p>
    <w:p w14:paraId="46F6B95E">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5.12供应商的最终竞标报价总额与首次递交响应文件中竞标报价总额不一致，须在最终报价时提交一份已标价工程量清单。供应商须提前做好相关准备并按时递交最终报价文件，否则按无效响应处理。</w:t>
      </w:r>
    </w:p>
    <w:p w14:paraId="17C5319F">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6.比较与评价</w:t>
      </w:r>
    </w:p>
    <w:p w14:paraId="19F9F44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6.1评审方法：综合评分法。</w:t>
      </w:r>
    </w:p>
    <w:p w14:paraId="0616253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6.2经磋商确定最终采购需求和提交最后报价的供应商后，由磋商小组采用综合评分法对提交最后报价的供应商的响应文件和最后报价进行综合评分。</w:t>
      </w:r>
    </w:p>
    <w:p w14:paraId="4499B25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6.3评审时，磋商小组各成员应当独立对每个有效响应的文件进行评价、打分，然后汇总每个供应商每项评分因素的得分。</w:t>
      </w:r>
    </w:p>
    <w:p w14:paraId="756E367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2134B2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（2）磋商小组按照磋商文件中规定的评审标准计算各供应商的报价得分。项目评审过程中，不得去掉最后报价中的最高报价和最低报价。</w:t>
      </w:r>
    </w:p>
    <w:p w14:paraId="1266C21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（3）各供应商的得分为磋商小组所有成员的有效评分的算术平均数。</w:t>
      </w:r>
    </w:p>
    <w:p w14:paraId="431D522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75C48DC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6.5由磋商小组根据综合评分情况，按照评审得分由高到低顺序推荐3名以上成交候选供应商，并编写评审报告。符合本章第3.7、5.3条情形的，可以推荐2家成交候选供应商。评审得分相同的，按照最后报价由低到高的顺序推荐。评审得分且最后报价相同的，按照技术指标优劣顺序推荐。</w:t>
      </w:r>
    </w:p>
    <w:p w14:paraId="3FF2DE1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ABF514F">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7.评审复核</w:t>
      </w:r>
    </w:p>
    <w:p w14:paraId="102DEC5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7.1评审报告签署前，评审委员会要对评审结果进行复核，复核意见要体现在评审报告中。</w:t>
      </w:r>
    </w:p>
    <w:p w14:paraId="460E5AC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1E6E6E71">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8.评审标准</w:t>
      </w:r>
    </w:p>
    <w:p w14:paraId="05F371F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8.1评审依据：磋商小组将以磋商响应文件为评审依据，对供应商的报价、技术、商务等方面内容按百分制打分。（计分方法按四舍五入取至百分位）</w:t>
      </w:r>
    </w:p>
    <w:p w14:paraId="246F0177">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总得分=</w:t>
      </w:r>
      <w:r>
        <w:rPr>
          <w:rFonts w:hint="eastAsia" w:ascii="宋体" w:hAnsi="宋体" w:eastAsia="宋体"/>
          <w:color w:val="auto"/>
          <w:szCs w:val="21"/>
          <w:highlight w:val="none"/>
          <w:u w:val="single"/>
        </w:rPr>
        <w:t>1+2+3</w:t>
      </w:r>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1020"/>
        <w:gridCol w:w="7542"/>
        <w:gridCol w:w="707"/>
      </w:tblGrid>
      <w:tr w14:paraId="63A7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4CC0BEBB">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序号</w:t>
            </w:r>
          </w:p>
        </w:tc>
        <w:tc>
          <w:tcPr>
            <w:tcW w:w="518" w:type="pct"/>
            <w:vAlign w:val="center"/>
          </w:tcPr>
          <w:p w14:paraId="07FE1404">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评审因素</w:t>
            </w:r>
          </w:p>
        </w:tc>
        <w:tc>
          <w:tcPr>
            <w:tcW w:w="3831" w:type="pct"/>
            <w:vAlign w:val="center"/>
          </w:tcPr>
          <w:p w14:paraId="1B055863">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评审因素具体内容</w:t>
            </w:r>
          </w:p>
        </w:tc>
        <w:tc>
          <w:tcPr>
            <w:tcW w:w="359" w:type="pct"/>
            <w:vAlign w:val="center"/>
          </w:tcPr>
          <w:p w14:paraId="09F2DED8">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分值</w:t>
            </w:r>
          </w:p>
        </w:tc>
      </w:tr>
      <w:tr w14:paraId="3174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56DAF6F5">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518" w:type="pct"/>
            <w:vAlign w:val="center"/>
          </w:tcPr>
          <w:p w14:paraId="596346D4">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价格分</w:t>
            </w:r>
          </w:p>
        </w:tc>
        <w:tc>
          <w:tcPr>
            <w:tcW w:w="3831" w:type="pct"/>
            <w:vAlign w:val="center"/>
          </w:tcPr>
          <w:p w14:paraId="56F3C6A9">
            <w:pPr>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（1）价格分计算公式：满足磋商文件要求且评审报价最低的评审报价为评审基准价，其价格分为满分。</w:t>
            </w:r>
          </w:p>
          <w:p w14:paraId="553A1C70">
            <w:pPr>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（2）价格分计算公式：价格分=（评审基准价／评标报价）×</w:t>
            </w:r>
            <w:r>
              <w:rPr>
                <w:rFonts w:ascii="宋体" w:hAnsi="宋体" w:eastAsia="宋体"/>
                <w:color w:val="auto"/>
                <w:szCs w:val="21"/>
                <w:highlight w:val="none"/>
              </w:rPr>
              <w:t>20</w:t>
            </w:r>
            <w:r>
              <w:rPr>
                <w:rFonts w:hint="eastAsia" w:ascii="宋体" w:hAnsi="宋体" w:eastAsia="宋体"/>
                <w:color w:val="auto"/>
                <w:szCs w:val="21"/>
                <w:highlight w:val="none"/>
              </w:rPr>
              <w:t>分</w:t>
            </w:r>
          </w:p>
        </w:tc>
        <w:tc>
          <w:tcPr>
            <w:tcW w:w="359" w:type="pct"/>
            <w:vAlign w:val="center"/>
          </w:tcPr>
          <w:p w14:paraId="49BFB552">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20</w:t>
            </w:r>
            <w:r>
              <w:rPr>
                <w:rFonts w:hint="eastAsia" w:ascii="宋体" w:hAnsi="宋体" w:eastAsia="宋体"/>
                <w:color w:val="auto"/>
                <w:szCs w:val="21"/>
                <w:highlight w:val="none"/>
              </w:rPr>
              <w:t>分</w:t>
            </w:r>
          </w:p>
        </w:tc>
      </w:tr>
      <w:tr w14:paraId="035F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35C9B06D">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2</w:t>
            </w:r>
          </w:p>
        </w:tc>
        <w:tc>
          <w:tcPr>
            <w:tcW w:w="518" w:type="pct"/>
            <w:vAlign w:val="center"/>
          </w:tcPr>
          <w:p w14:paraId="0B980934">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技术分</w:t>
            </w:r>
          </w:p>
        </w:tc>
        <w:tc>
          <w:tcPr>
            <w:tcW w:w="3831" w:type="pct"/>
            <w:vAlign w:val="center"/>
          </w:tcPr>
          <w:p w14:paraId="645877A9">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评审因素</w:t>
            </w:r>
          </w:p>
        </w:tc>
        <w:tc>
          <w:tcPr>
            <w:tcW w:w="359" w:type="pct"/>
            <w:vAlign w:val="center"/>
          </w:tcPr>
          <w:p w14:paraId="14D8539D">
            <w:pPr>
              <w:spacing w:line="360" w:lineRule="auto"/>
              <w:jc w:val="center"/>
              <w:rPr>
                <w:rFonts w:ascii="宋体" w:hAnsi="宋体" w:eastAsia="宋体"/>
                <w:b/>
                <w:color w:val="auto"/>
                <w:szCs w:val="21"/>
                <w:highlight w:val="none"/>
              </w:rPr>
            </w:pPr>
            <w:r>
              <w:rPr>
                <w:rFonts w:ascii="宋体" w:hAnsi="宋体" w:eastAsia="宋体"/>
                <w:b/>
                <w:color w:val="auto"/>
                <w:szCs w:val="21"/>
                <w:highlight w:val="none"/>
              </w:rPr>
              <w:t>70</w:t>
            </w:r>
            <w:r>
              <w:rPr>
                <w:rFonts w:hint="eastAsia" w:ascii="宋体" w:hAnsi="宋体" w:eastAsia="宋体"/>
                <w:b/>
                <w:color w:val="auto"/>
                <w:szCs w:val="21"/>
                <w:highlight w:val="none"/>
              </w:rPr>
              <w:t>分</w:t>
            </w:r>
          </w:p>
        </w:tc>
      </w:tr>
      <w:tr w14:paraId="13F2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55497D38">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olor w:val="auto"/>
                <w:szCs w:val="21"/>
                <w:highlight w:val="none"/>
              </w:rPr>
              <w:t>.1</w:t>
            </w:r>
          </w:p>
        </w:tc>
        <w:tc>
          <w:tcPr>
            <w:tcW w:w="518" w:type="pct"/>
            <w:vAlign w:val="center"/>
          </w:tcPr>
          <w:p w14:paraId="5EB6ED31">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工程进度计划与措施</w:t>
            </w:r>
          </w:p>
        </w:tc>
        <w:tc>
          <w:tcPr>
            <w:tcW w:w="3831" w:type="pct"/>
            <w:vAlign w:val="center"/>
          </w:tcPr>
          <w:p w14:paraId="1807245C">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三档（1</w:t>
            </w:r>
            <w:r>
              <w:rPr>
                <w:rFonts w:ascii="宋体" w:hAnsi="宋体" w:eastAsia="宋体"/>
                <w:color w:val="auto"/>
                <w:szCs w:val="21"/>
                <w:highlight w:val="none"/>
              </w:rPr>
              <w:t>5</w:t>
            </w:r>
            <w:r>
              <w:rPr>
                <w:rFonts w:hint="eastAsia" w:ascii="宋体" w:hAnsi="宋体" w:eastAsia="宋体"/>
                <w:color w:val="auto"/>
                <w:szCs w:val="21"/>
                <w:highlight w:val="none"/>
              </w:rPr>
              <w:t>分）：供应商在满足二档的基础上，关键线路清晰，有各项计划图表编制，其内容完全符合项目实际情况。</w:t>
            </w:r>
          </w:p>
          <w:p w14:paraId="15CC2867">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二档（</w:t>
            </w:r>
            <w:r>
              <w:rPr>
                <w:rFonts w:ascii="宋体" w:hAnsi="宋体" w:eastAsia="宋体"/>
                <w:color w:val="auto"/>
                <w:szCs w:val="21"/>
                <w:highlight w:val="none"/>
              </w:rPr>
              <w:t>10</w:t>
            </w:r>
            <w:r>
              <w:rPr>
                <w:rFonts w:hint="eastAsia" w:ascii="宋体" w:hAnsi="宋体" w:eastAsia="宋体"/>
                <w:color w:val="auto"/>
                <w:szCs w:val="21"/>
                <w:highlight w:val="none"/>
              </w:rPr>
              <w:t>分）：供应商在满足一档的基础上，提供的工程进度计划与措施符合本项目施工实际要求，有施工总进度表或施工网络图，其内容符合项目实际情况；</w:t>
            </w:r>
          </w:p>
          <w:p w14:paraId="0292296F">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一档（5分）：供应商能提供工程进度计划与措施，内容包括：控制工期的施工进度计划、保证工期的措施，其内容符合项目实际情况；</w:t>
            </w:r>
          </w:p>
        </w:tc>
        <w:tc>
          <w:tcPr>
            <w:tcW w:w="359" w:type="pct"/>
            <w:vAlign w:val="center"/>
          </w:tcPr>
          <w:p w14:paraId="1C2D6BCD">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5</w:t>
            </w:r>
            <w:r>
              <w:rPr>
                <w:rFonts w:hint="eastAsia" w:ascii="宋体" w:hAnsi="宋体" w:eastAsia="宋体"/>
                <w:color w:val="auto"/>
                <w:szCs w:val="21"/>
                <w:highlight w:val="none"/>
              </w:rPr>
              <w:t>分</w:t>
            </w:r>
          </w:p>
        </w:tc>
      </w:tr>
      <w:tr w14:paraId="63A1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08EB958E">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olor w:val="auto"/>
                <w:szCs w:val="21"/>
                <w:highlight w:val="none"/>
              </w:rPr>
              <w:t>.2</w:t>
            </w:r>
          </w:p>
        </w:tc>
        <w:tc>
          <w:tcPr>
            <w:tcW w:w="518" w:type="pct"/>
            <w:vAlign w:val="center"/>
          </w:tcPr>
          <w:p w14:paraId="2008AC98">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工程施工的重点和难点及保证措施</w:t>
            </w:r>
          </w:p>
        </w:tc>
        <w:tc>
          <w:tcPr>
            <w:tcW w:w="3831" w:type="pct"/>
            <w:vAlign w:val="center"/>
          </w:tcPr>
          <w:p w14:paraId="59A977E8">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三档（15分）：供应商在满足二档的基础上，提供对本项目施工重点和难点相关合理性优化建议，确保项目顺利实施，其内容完全符合项目实际情况。</w:t>
            </w:r>
          </w:p>
          <w:p w14:paraId="281195BB">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二档（10分）：供应商在满足一档的基础上，提供针对该重点、难点的相关解决方案，方案较符合项目实际情况；</w:t>
            </w:r>
          </w:p>
          <w:p w14:paraId="1EFFEC5C">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一档（5分）：供应商能针对本工程特点提出施工重点、难点相关建议，其内容符合项目实际情况；</w:t>
            </w:r>
          </w:p>
        </w:tc>
        <w:tc>
          <w:tcPr>
            <w:tcW w:w="359" w:type="pct"/>
            <w:vAlign w:val="center"/>
          </w:tcPr>
          <w:p w14:paraId="54CD545D">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15</w:t>
            </w:r>
            <w:r>
              <w:rPr>
                <w:rFonts w:hint="eastAsia" w:ascii="宋体" w:hAnsi="宋体" w:eastAsia="宋体"/>
                <w:color w:val="auto"/>
                <w:szCs w:val="21"/>
                <w:highlight w:val="none"/>
              </w:rPr>
              <w:t>分</w:t>
            </w:r>
          </w:p>
        </w:tc>
      </w:tr>
      <w:tr w14:paraId="6256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43682106">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olor w:val="auto"/>
                <w:szCs w:val="21"/>
                <w:highlight w:val="none"/>
              </w:rPr>
              <w:t>.3</w:t>
            </w:r>
          </w:p>
        </w:tc>
        <w:tc>
          <w:tcPr>
            <w:tcW w:w="518" w:type="pct"/>
            <w:vAlign w:val="center"/>
          </w:tcPr>
          <w:p w14:paraId="1929B7C7">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主要施工方法</w:t>
            </w:r>
          </w:p>
        </w:tc>
        <w:tc>
          <w:tcPr>
            <w:tcW w:w="3831" w:type="pct"/>
            <w:vAlign w:val="center"/>
          </w:tcPr>
          <w:p w14:paraId="38C71D91">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三档（15分）：对项目施工总体有深刻认识，贴切用户需求，所提出的施工方案，对本项目的施工需求、建设思路、系统架构、功能设计等方面内容完整、表述清晰、完整、严谨、合理，措施先进、具体、有效、成熟，采用了已论证的新技术、新工艺、新材料、新设备；施工段划分呼应总体表述，划分清晰、合理，符合规范要求，切合采购人实际需求。提供的施工方案科学合理，有明确的工程进度和管理措施，有明确的项目实施保障措施，对质量有详细的控制方案和措施，拟投入项目小组成员职责分工有介绍，对实施方法和步骤均有说明，且完全可以执行，符合项目实际情况。</w:t>
            </w:r>
          </w:p>
          <w:p w14:paraId="2CC1A693">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二档（10分）：对各主要分部施工工程分别进行了具体的施工技术方案的阐述，提供的各主要分部施工方法符合项目实际，能指导具体施工并确保施工质量和施工安全。有主要建筑材料稳定供应的保证措施，满足施工需要。</w:t>
            </w:r>
          </w:p>
          <w:p w14:paraId="5E6A4C8D">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一档（5）：提供的主要施工方法符合项目实际，但未能针对各主要分部施工配有全面的施工技术方案；</w:t>
            </w:r>
          </w:p>
        </w:tc>
        <w:tc>
          <w:tcPr>
            <w:tcW w:w="359" w:type="pct"/>
            <w:vAlign w:val="center"/>
          </w:tcPr>
          <w:p w14:paraId="2CD6FE59">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15</w:t>
            </w:r>
            <w:r>
              <w:rPr>
                <w:rFonts w:hint="eastAsia" w:ascii="宋体" w:hAnsi="宋体" w:eastAsia="宋体"/>
                <w:color w:val="auto"/>
                <w:szCs w:val="21"/>
                <w:highlight w:val="none"/>
              </w:rPr>
              <w:t>分</w:t>
            </w:r>
          </w:p>
        </w:tc>
      </w:tr>
      <w:tr w14:paraId="53E4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374CD8FC">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olor w:val="auto"/>
                <w:szCs w:val="21"/>
                <w:highlight w:val="none"/>
              </w:rPr>
              <w:t>.4</w:t>
            </w:r>
          </w:p>
        </w:tc>
        <w:tc>
          <w:tcPr>
            <w:tcW w:w="518" w:type="pct"/>
            <w:vAlign w:val="center"/>
          </w:tcPr>
          <w:p w14:paraId="201F9788">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确保工程质量的技术组织措施</w:t>
            </w:r>
          </w:p>
        </w:tc>
        <w:tc>
          <w:tcPr>
            <w:tcW w:w="3831" w:type="pct"/>
            <w:vAlign w:val="center"/>
          </w:tcPr>
          <w:p w14:paraId="68F969C7">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三档（15分）：有专门的质量技术管理班子和制度，且人员配备合理，制度健全。主要工序有质量技术保证措施和手段，自控体系完整，能有效保证技术质量，完全能达到承诺的质量标准。有主要建筑材料质量保证措施确保施工质量，对材料的环保要求的把控措施。有投入的施工材料组织计划且计划周密，并根据本项目的特点提出其它有针对性的确保工程质量的技术组织措施，满足施工需要。</w:t>
            </w:r>
          </w:p>
          <w:p w14:paraId="590BACF3">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二档（10分）：有专门的质量技术管理班子和制度，且人员配备基本合理，制度较健全。主要工序有较好的质量技术保证措施和手段，基本能有效保证技术质量，提供的自控体系较完整。有主要建筑材料质量保证措施确保施工质量；</w:t>
            </w:r>
          </w:p>
          <w:p w14:paraId="6FAC292D">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一档（5分）：有专门的质量技术管理班子和制度但质量技术管理班子和制度不健全，主要工序无质量技术保证措施和手段，自控体系不完整，不能有效保证承诺的技术质量；</w:t>
            </w:r>
          </w:p>
        </w:tc>
        <w:tc>
          <w:tcPr>
            <w:tcW w:w="359" w:type="pct"/>
            <w:vAlign w:val="center"/>
          </w:tcPr>
          <w:p w14:paraId="6818648C">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15</w:t>
            </w:r>
            <w:r>
              <w:rPr>
                <w:rFonts w:hint="eastAsia" w:ascii="宋体" w:hAnsi="宋体" w:eastAsia="宋体"/>
                <w:color w:val="auto"/>
                <w:szCs w:val="21"/>
                <w:highlight w:val="none"/>
              </w:rPr>
              <w:t>分</w:t>
            </w:r>
          </w:p>
        </w:tc>
      </w:tr>
      <w:tr w14:paraId="5B9E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0A2CCD70">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2.5</w:t>
            </w:r>
          </w:p>
        </w:tc>
        <w:tc>
          <w:tcPr>
            <w:tcW w:w="518" w:type="pct"/>
            <w:vAlign w:val="center"/>
          </w:tcPr>
          <w:p w14:paraId="0EB7DFE6">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文明施工的技术组织措施</w:t>
            </w:r>
          </w:p>
        </w:tc>
        <w:tc>
          <w:tcPr>
            <w:tcW w:w="3831" w:type="pct"/>
            <w:vAlign w:val="center"/>
          </w:tcPr>
          <w:p w14:paraId="2D9F5158">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三档（10分）：针对项目实际情况及项目特点，有现场文明施工、环境保护措施，且措施内容达到《建筑施工安全生产检查标准》（JGJ59-2011）合格标准并符合《广西壮族自治区建筑工程文明施工导则》要求。有分阶段文明、环保施工的重点措施。各项措施周全、具体、有效，其内容符合项目实际情况，被评委接受。有具体实现现场文明施工目标的承诺。</w:t>
            </w:r>
          </w:p>
          <w:p w14:paraId="41A9E3C5">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二档（6分）：针对项目实际情况及项</w:t>
            </w:r>
            <w:bookmarkStart w:id="367" w:name="_GoBack"/>
            <w:bookmarkEnd w:id="367"/>
            <w:r>
              <w:rPr>
                <w:rFonts w:hint="eastAsia" w:ascii="宋体" w:hAnsi="宋体" w:eastAsia="宋体"/>
                <w:color w:val="auto"/>
                <w:szCs w:val="21"/>
                <w:highlight w:val="none"/>
              </w:rPr>
              <w:t>目特点，有现场文明施工、环境保护措施，且措施内容达到《建筑施工安全生产检查标准》（JGJ59-2011）合格标准并符合《广西壮族自治区建筑工程文明施工导则》要求。有实现现场文明施工目标的承诺。</w:t>
            </w:r>
          </w:p>
          <w:p w14:paraId="6E2B85FF">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一档（3分）：有现场文明施工、环境保护措施，且措施内容达到《建筑施工安全生产检查标准》（JGJ59-2011）合格标准并符合《广西壮族自治区建筑工程文明施工导则》要求。无实现现场文明施工目标的承诺。</w:t>
            </w:r>
          </w:p>
        </w:tc>
        <w:tc>
          <w:tcPr>
            <w:tcW w:w="359" w:type="pct"/>
            <w:vAlign w:val="center"/>
          </w:tcPr>
          <w:p w14:paraId="0CFD7081">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0分</w:t>
            </w:r>
          </w:p>
        </w:tc>
      </w:tr>
      <w:tr w14:paraId="16BE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121F80B7">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3</w:t>
            </w:r>
          </w:p>
        </w:tc>
        <w:tc>
          <w:tcPr>
            <w:tcW w:w="518" w:type="pct"/>
            <w:vAlign w:val="center"/>
          </w:tcPr>
          <w:p w14:paraId="4041DFD7">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商务分</w:t>
            </w:r>
          </w:p>
        </w:tc>
        <w:tc>
          <w:tcPr>
            <w:tcW w:w="3831" w:type="pct"/>
            <w:vAlign w:val="center"/>
          </w:tcPr>
          <w:p w14:paraId="5B88CBE8">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评审因素（客观分）</w:t>
            </w:r>
          </w:p>
        </w:tc>
        <w:tc>
          <w:tcPr>
            <w:tcW w:w="359" w:type="pct"/>
            <w:vAlign w:val="center"/>
          </w:tcPr>
          <w:p w14:paraId="59AABDC4">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10</w:t>
            </w:r>
            <w:r>
              <w:rPr>
                <w:rFonts w:hint="eastAsia" w:ascii="宋体" w:hAnsi="宋体" w:eastAsia="宋体"/>
                <w:color w:val="auto"/>
                <w:szCs w:val="21"/>
                <w:highlight w:val="none"/>
              </w:rPr>
              <w:t>分</w:t>
            </w:r>
          </w:p>
        </w:tc>
      </w:tr>
      <w:tr w14:paraId="17A0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16A7CBED">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3.1</w:t>
            </w:r>
          </w:p>
        </w:tc>
        <w:tc>
          <w:tcPr>
            <w:tcW w:w="518" w:type="pct"/>
            <w:vAlign w:val="center"/>
          </w:tcPr>
          <w:p w14:paraId="2D0B99DB">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业绩分</w:t>
            </w:r>
          </w:p>
        </w:tc>
        <w:tc>
          <w:tcPr>
            <w:tcW w:w="3831" w:type="pct"/>
            <w:vAlign w:val="center"/>
          </w:tcPr>
          <w:p w14:paraId="61C1CE0D">
            <w:pPr>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供应商自202</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年以来，承接过类似业绩，每提供1份符合要求的业绩得1分，满分6分。</w:t>
            </w:r>
          </w:p>
          <w:p w14:paraId="7C777BAE">
            <w:pPr>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注：响应文件中提供有效的中标（成交）通知书或合同关键页扫描件，加盖供应商电子公章，否则不予计分。</w:t>
            </w:r>
          </w:p>
        </w:tc>
        <w:tc>
          <w:tcPr>
            <w:tcW w:w="359" w:type="pct"/>
            <w:vAlign w:val="center"/>
          </w:tcPr>
          <w:p w14:paraId="49EF62FD">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6</w:t>
            </w:r>
            <w:r>
              <w:rPr>
                <w:rFonts w:hint="eastAsia" w:ascii="宋体" w:hAnsi="宋体" w:eastAsia="宋体"/>
                <w:color w:val="auto"/>
                <w:szCs w:val="21"/>
                <w:highlight w:val="none"/>
              </w:rPr>
              <w:t>分</w:t>
            </w:r>
          </w:p>
        </w:tc>
      </w:tr>
      <w:tr w14:paraId="08F3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2" w:type="pct"/>
            <w:vAlign w:val="center"/>
          </w:tcPr>
          <w:p w14:paraId="7E484095">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3</w:t>
            </w:r>
            <w:r>
              <w:rPr>
                <w:rFonts w:ascii="宋体" w:hAnsi="宋体" w:eastAsia="宋体"/>
                <w:color w:val="auto"/>
                <w:szCs w:val="21"/>
                <w:highlight w:val="none"/>
              </w:rPr>
              <w:t>.2</w:t>
            </w:r>
          </w:p>
        </w:tc>
        <w:tc>
          <w:tcPr>
            <w:tcW w:w="518" w:type="pct"/>
            <w:vAlign w:val="center"/>
          </w:tcPr>
          <w:p w14:paraId="22EB7BF2">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项目人员配置</w:t>
            </w:r>
          </w:p>
        </w:tc>
        <w:tc>
          <w:tcPr>
            <w:tcW w:w="3831" w:type="pct"/>
            <w:vAlign w:val="center"/>
          </w:tcPr>
          <w:p w14:paraId="75D70425">
            <w:pPr>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（1）项目经理具备工程类专业中级及以上（含中级）职称的得2分，具备助理工程师职称得1分。此项满分2分。</w:t>
            </w:r>
          </w:p>
          <w:p w14:paraId="6FBF1F43">
            <w:pPr>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（2）技术负责人职称：具有工程类专业中级及以上（含中级）职称的得2分，具备助理工程师职称得1分。此项满分2分。</w:t>
            </w:r>
          </w:p>
          <w:p w14:paraId="7457E0E0">
            <w:pPr>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注：需提供相关证书扫描件并加盖供应商电子公章。</w:t>
            </w:r>
          </w:p>
        </w:tc>
        <w:tc>
          <w:tcPr>
            <w:tcW w:w="359" w:type="pct"/>
            <w:vAlign w:val="center"/>
          </w:tcPr>
          <w:p w14:paraId="60174AFE">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4分</w:t>
            </w:r>
          </w:p>
        </w:tc>
      </w:tr>
      <w:tr w14:paraId="1818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vAlign w:val="center"/>
          </w:tcPr>
          <w:p w14:paraId="4A2AC6FF">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总得分＝1＋2＋3</w:t>
            </w:r>
          </w:p>
        </w:tc>
      </w:tr>
    </w:tbl>
    <w:p w14:paraId="0D06241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8.2商务技术评审因素为客观评分项的，应在评分项目或评分标准中予以标注为“客观分”。对供应商的客观评分项目，各评审专家评分应当一致。</w:t>
      </w:r>
    </w:p>
    <w:p w14:paraId="765859C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8.3.终止竞争性磋商采购活动</w:t>
      </w:r>
    </w:p>
    <w:p w14:paraId="72204FE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A03DAF6">
      <w:pPr>
        <w:pStyle w:val="3"/>
        <w:jc w:val="center"/>
        <w:rPr>
          <w:color w:val="auto"/>
          <w:highlight w:val="none"/>
        </w:rPr>
      </w:pPr>
      <w:bookmarkStart w:id="18" w:name="_Toc217642142"/>
      <w:r>
        <w:rPr>
          <w:rFonts w:hint="eastAsia"/>
          <w:color w:val="auto"/>
          <w:highlight w:val="none"/>
        </w:rPr>
        <w:t>第二</w:t>
      </w:r>
      <w:r>
        <w:rPr>
          <w:rFonts w:hint="eastAsia"/>
          <w:color w:val="auto"/>
          <w:spacing w:val="120"/>
          <w:highlight w:val="none"/>
        </w:rPr>
        <w:t>节</w:t>
      </w:r>
      <w:r>
        <w:rPr>
          <w:rFonts w:hint="eastAsia"/>
          <w:color w:val="auto"/>
          <w:highlight w:val="none"/>
        </w:rPr>
        <w:t>评标报告</w:t>
      </w:r>
      <w:bookmarkEnd w:id="18"/>
    </w:p>
    <w:p w14:paraId="612298CE">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1.成交标准</w:t>
      </w:r>
    </w:p>
    <w:p w14:paraId="22784CA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A36477F">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2.评标争议事项处理</w:t>
      </w:r>
    </w:p>
    <w:p w14:paraId="20AE363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02E6ED6B">
      <w:pPr>
        <w:pStyle w:val="3"/>
        <w:jc w:val="center"/>
        <w:rPr>
          <w:color w:val="auto"/>
          <w:highlight w:val="none"/>
        </w:rPr>
      </w:pPr>
      <w:bookmarkStart w:id="19" w:name="_Toc217642143"/>
      <w:r>
        <w:rPr>
          <w:rFonts w:hint="eastAsia"/>
          <w:color w:val="auto"/>
          <w:highlight w:val="none"/>
        </w:rPr>
        <w:t>第三</w:t>
      </w:r>
      <w:r>
        <w:rPr>
          <w:rFonts w:hint="eastAsia"/>
          <w:color w:val="auto"/>
          <w:spacing w:val="120"/>
          <w:highlight w:val="none"/>
        </w:rPr>
        <w:t>节</w:t>
      </w:r>
      <w:r>
        <w:rPr>
          <w:rFonts w:hint="eastAsia"/>
          <w:color w:val="auto"/>
          <w:highlight w:val="none"/>
        </w:rPr>
        <w:t>评审过程的保密与录像</w:t>
      </w:r>
      <w:bookmarkEnd w:id="19"/>
    </w:p>
    <w:p w14:paraId="26FF7648">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1.保密。</w:t>
      </w:r>
    </w:p>
    <w:p w14:paraId="07011F7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53C498E7">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2.录音录像。</w:t>
      </w:r>
    </w:p>
    <w:p w14:paraId="73A73FB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采购代理机构对评审工作现场及操作屏幕进行全过程录音录像，录音录像资料作为采购项目文件随其他文件一并存档。</w:t>
      </w:r>
    </w:p>
    <w:p w14:paraId="6F5CA4E8">
      <w:pPr>
        <w:pStyle w:val="2"/>
        <w:jc w:val="center"/>
        <w:rPr>
          <w:color w:val="auto"/>
          <w:highlight w:val="none"/>
        </w:rPr>
        <w:sectPr>
          <w:pgSz w:w="11906" w:h="16838"/>
          <w:pgMar w:top="1134" w:right="1134" w:bottom="1134" w:left="1134" w:header="851" w:footer="680" w:gutter="0"/>
          <w:cols w:space="425" w:num="1"/>
          <w:docGrid w:type="lines" w:linePitch="312" w:charSpace="0"/>
        </w:sectPr>
      </w:pPr>
    </w:p>
    <w:p w14:paraId="4D587FE3">
      <w:pPr>
        <w:spacing w:line="360" w:lineRule="auto"/>
        <w:ind w:firstLine="420" w:firstLineChars="200"/>
        <w:rPr>
          <w:rFonts w:ascii="宋体" w:hAnsi="宋体" w:eastAsia="宋体"/>
          <w:color w:val="auto"/>
          <w:szCs w:val="21"/>
          <w:highlight w:val="none"/>
        </w:rPr>
      </w:pPr>
    </w:p>
    <w:p w14:paraId="68BA2136">
      <w:pPr>
        <w:spacing w:line="360" w:lineRule="auto"/>
        <w:ind w:firstLine="420" w:firstLineChars="200"/>
        <w:rPr>
          <w:rFonts w:ascii="宋体" w:hAnsi="宋体" w:eastAsia="宋体"/>
          <w:color w:val="auto"/>
          <w:szCs w:val="21"/>
          <w:highlight w:val="none"/>
        </w:rPr>
      </w:pPr>
    </w:p>
    <w:p w14:paraId="722FFB4F">
      <w:pPr>
        <w:spacing w:line="360" w:lineRule="auto"/>
        <w:ind w:firstLine="420" w:firstLineChars="200"/>
        <w:rPr>
          <w:rFonts w:ascii="宋体" w:hAnsi="宋体" w:eastAsia="宋体"/>
          <w:color w:val="auto"/>
          <w:szCs w:val="21"/>
          <w:highlight w:val="none"/>
        </w:rPr>
      </w:pPr>
    </w:p>
    <w:p w14:paraId="71F96B5E">
      <w:pPr>
        <w:spacing w:line="360" w:lineRule="auto"/>
        <w:ind w:firstLine="420" w:firstLineChars="200"/>
        <w:rPr>
          <w:rFonts w:ascii="宋体" w:hAnsi="宋体" w:eastAsia="宋体"/>
          <w:color w:val="auto"/>
          <w:szCs w:val="21"/>
          <w:highlight w:val="none"/>
        </w:rPr>
      </w:pPr>
    </w:p>
    <w:p w14:paraId="77C05711">
      <w:pPr>
        <w:spacing w:line="360" w:lineRule="auto"/>
        <w:ind w:firstLine="420" w:firstLineChars="200"/>
        <w:rPr>
          <w:rFonts w:ascii="宋体" w:hAnsi="宋体" w:eastAsia="宋体"/>
          <w:color w:val="auto"/>
          <w:szCs w:val="21"/>
          <w:highlight w:val="none"/>
        </w:rPr>
      </w:pPr>
    </w:p>
    <w:p w14:paraId="12AFB7BF">
      <w:pPr>
        <w:spacing w:line="360" w:lineRule="auto"/>
        <w:ind w:firstLine="420" w:firstLineChars="200"/>
        <w:rPr>
          <w:rFonts w:ascii="宋体" w:hAnsi="宋体" w:eastAsia="宋体"/>
          <w:color w:val="auto"/>
          <w:szCs w:val="21"/>
          <w:highlight w:val="none"/>
        </w:rPr>
      </w:pPr>
    </w:p>
    <w:p w14:paraId="571AE07A">
      <w:pPr>
        <w:spacing w:line="360" w:lineRule="auto"/>
        <w:ind w:firstLine="420" w:firstLineChars="200"/>
        <w:rPr>
          <w:rFonts w:ascii="宋体" w:hAnsi="宋体" w:eastAsia="宋体"/>
          <w:color w:val="auto"/>
          <w:szCs w:val="21"/>
          <w:highlight w:val="none"/>
        </w:rPr>
      </w:pPr>
    </w:p>
    <w:p w14:paraId="226FB2E9">
      <w:pPr>
        <w:spacing w:line="360" w:lineRule="auto"/>
        <w:ind w:firstLine="420" w:firstLineChars="200"/>
        <w:rPr>
          <w:rFonts w:ascii="宋体" w:hAnsi="宋体" w:eastAsia="宋体"/>
          <w:color w:val="auto"/>
          <w:szCs w:val="21"/>
          <w:highlight w:val="none"/>
        </w:rPr>
      </w:pPr>
    </w:p>
    <w:p w14:paraId="4A5C2317">
      <w:pPr>
        <w:spacing w:line="360" w:lineRule="auto"/>
        <w:ind w:firstLine="420" w:firstLineChars="200"/>
        <w:rPr>
          <w:rFonts w:ascii="宋体" w:hAnsi="宋体" w:eastAsia="宋体"/>
          <w:color w:val="auto"/>
          <w:szCs w:val="21"/>
          <w:highlight w:val="none"/>
        </w:rPr>
      </w:pPr>
    </w:p>
    <w:p w14:paraId="3CA296DA">
      <w:pPr>
        <w:spacing w:line="360" w:lineRule="auto"/>
        <w:ind w:firstLine="420" w:firstLineChars="200"/>
        <w:rPr>
          <w:rFonts w:ascii="宋体" w:hAnsi="宋体" w:eastAsia="宋体"/>
          <w:color w:val="auto"/>
          <w:szCs w:val="21"/>
          <w:highlight w:val="none"/>
        </w:rPr>
      </w:pPr>
    </w:p>
    <w:p w14:paraId="120DE80F">
      <w:pPr>
        <w:pStyle w:val="2"/>
        <w:jc w:val="center"/>
        <w:rPr>
          <w:color w:val="auto"/>
          <w:highlight w:val="none"/>
        </w:rPr>
      </w:pPr>
      <w:bookmarkStart w:id="20" w:name="_Toc217642144"/>
      <w:bookmarkStart w:id="21" w:name="_Toc20735"/>
      <w:r>
        <w:rPr>
          <w:rFonts w:hint="eastAsia"/>
          <w:color w:val="auto"/>
          <w:highlight w:val="none"/>
        </w:rPr>
        <w:t>第五</w:t>
      </w:r>
      <w:r>
        <w:rPr>
          <w:rFonts w:hint="eastAsia" w:ascii="宋体" w:hAnsi="宋体" w:eastAsia="宋体"/>
          <w:color w:val="auto"/>
          <w:spacing w:val="120"/>
          <w:highlight w:val="none"/>
        </w:rPr>
        <w:t>章</w:t>
      </w:r>
      <w:r>
        <w:rPr>
          <w:rFonts w:hint="eastAsia"/>
          <w:color w:val="auto"/>
          <w:highlight w:val="none"/>
        </w:rPr>
        <w:t>响应文件格式</w:t>
      </w:r>
      <w:bookmarkEnd w:id="20"/>
      <w:bookmarkEnd w:id="21"/>
    </w:p>
    <w:p w14:paraId="47908562">
      <w:pPr>
        <w:spacing w:line="300" w:lineRule="auto"/>
        <w:ind w:firstLine="420" w:firstLineChars="200"/>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72BA1FA7">
      <w:pPr>
        <w:pStyle w:val="3"/>
        <w:jc w:val="center"/>
        <w:rPr>
          <w:color w:val="auto"/>
          <w:highlight w:val="none"/>
        </w:rPr>
      </w:pPr>
      <w:bookmarkStart w:id="22" w:name="_Toc217642145"/>
      <w:r>
        <w:rPr>
          <w:rFonts w:hint="eastAsia"/>
          <w:color w:val="auto"/>
          <w:highlight w:val="none"/>
        </w:rPr>
        <w:t>第一</w:t>
      </w:r>
      <w:r>
        <w:rPr>
          <w:rFonts w:hint="eastAsia"/>
          <w:color w:val="auto"/>
          <w:spacing w:val="120"/>
          <w:highlight w:val="none"/>
        </w:rPr>
        <w:t>节</w:t>
      </w:r>
      <w:r>
        <w:rPr>
          <w:rFonts w:hint="eastAsia"/>
          <w:color w:val="auto"/>
          <w:highlight w:val="none"/>
        </w:rPr>
        <w:t>封面格式</w:t>
      </w:r>
      <w:bookmarkEnd w:id="22"/>
    </w:p>
    <w:p w14:paraId="21F7CF69">
      <w:pPr>
        <w:spacing w:line="360" w:lineRule="auto"/>
        <w:ind w:firstLine="420" w:firstLineChars="200"/>
        <w:rPr>
          <w:rFonts w:ascii="宋体" w:hAnsi="宋体" w:eastAsia="宋体"/>
          <w:color w:val="auto"/>
          <w:szCs w:val="21"/>
          <w:highlight w:val="none"/>
        </w:rPr>
      </w:pPr>
    </w:p>
    <w:p w14:paraId="5D34CCE8">
      <w:pPr>
        <w:spacing w:line="360" w:lineRule="auto"/>
        <w:ind w:firstLine="420" w:firstLineChars="200"/>
        <w:rPr>
          <w:rFonts w:ascii="宋体" w:hAnsi="宋体" w:eastAsia="宋体"/>
          <w:color w:val="auto"/>
          <w:szCs w:val="21"/>
          <w:highlight w:val="none"/>
        </w:rPr>
      </w:pPr>
    </w:p>
    <w:p w14:paraId="0502DC94">
      <w:pPr>
        <w:spacing w:line="360" w:lineRule="auto"/>
        <w:jc w:val="center"/>
        <w:rPr>
          <w:rFonts w:ascii="宋体" w:hAnsi="宋体" w:eastAsia="宋体"/>
          <w:b/>
          <w:color w:val="auto"/>
          <w:sz w:val="84"/>
          <w:szCs w:val="84"/>
          <w:highlight w:val="none"/>
        </w:rPr>
      </w:pPr>
      <w:r>
        <w:rPr>
          <w:rFonts w:hint="eastAsia" w:ascii="宋体" w:hAnsi="宋体" w:eastAsia="宋体"/>
          <w:b/>
          <w:color w:val="auto"/>
          <w:sz w:val="84"/>
          <w:szCs w:val="84"/>
          <w:highlight w:val="none"/>
        </w:rPr>
        <w:t>响应文件</w:t>
      </w:r>
    </w:p>
    <w:p w14:paraId="7D0FC1BE">
      <w:pPr>
        <w:spacing w:line="360" w:lineRule="auto"/>
        <w:ind w:firstLine="420" w:firstLineChars="200"/>
        <w:rPr>
          <w:rFonts w:ascii="宋体" w:hAnsi="宋体" w:eastAsia="宋体"/>
          <w:color w:val="auto"/>
          <w:szCs w:val="21"/>
          <w:highlight w:val="none"/>
        </w:rPr>
      </w:pPr>
    </w:p>
    <w:p w14:paraId="13964CFE">
      <w:pPr>
        <w:spacing w:line="360" w:lineRule="auto"/>
        <w:ind w:firstLine="420" w:firstLineChars="200"/>
        <w:rPr>
          <w:rFonts w:ascii="宋体" w:hAnsi="宋体" w:eastAsia="宋体"/>
          <w:color w:val="auto"/>
          <w:szCs w:val="21"/>
          <w:highlight w:val="none"/>
        </w:rPr>
      </w:pPr>
    </w:p>
    <w:p w14:paraId="53796CF3">
      <w:pPr>
        <w:spacing w:line="360" w:lineRule="auto"/>
        <w:ind w:firstLine="420" w:firstLineChars="200"/>
        <w:rPr>
          <w:rFonts w:ascii="宋体" w:hAnsi="宋体" w:eastAsia="宋体"/>
          <w:color w:val="auto"/>
          <w:szCs w:val="21"/>
          <w:highlight w:val="none"/>
        </w:rPr>
      </w:pPr>
    </w:p>
    <w:p w14:paraId="77D3C763">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项目名称：[项目采购-项目名称_]</w:t>
      </w:r>
    </w:p>
    <w:p w14:paraId="13F860E0">
      <w:pPr>
        <w:spacing w:line="360" w:lineRule="auto"/>
        <w:ind w:firstLine="640" w:firstLineChars="200"/>
        <w:rPr>
          <w:rFonts w:ascii="宋体" w:hAnsi="宋体" w:eastAsia="宋体"/>
          <w:color w:val="auto"/>
          <w:sz w:val="32"/>
          <w:szCs w:val="32"/>
          <w:highlight w:val="none"/>
        </w:rPr>
      </w:pPr>
    </w:p>
    <w:p w14:paraId="6DAC1ED3">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项目编号：[项目采购-项目编号_]</w:t>
      </w:r>
    </w:p>
    <w:p w14:paraId="41E51632">
      <w:pPr>
        <w:spacing w:line="360" w:lineRule="auto"/>
        <w:ind w:firstLine="640" w:firstLineChars="200"/>
        <w:rPr>
          <w:rFonts w:ascii="宋体" w:hAnsi="宋体" w:eastAsia="宋体"/>
          <w:color w:val="auto"/>
          <w:sz w:val="32"/>
          <w:szCs w:val="32"/>
          <w:highlight w:val="none"/>
        </w:rPr>
      </w:pPr>
    </w:p>
    <w:p w14:paraId="37FFFDCA">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所竞分标（如有则填写，无分标时填写“无”或者留空）：</w:t>
      </w:r>
    </w:p>
    <w:p w14:paraId="47A58829">
      <w:pPr>
        <w:spacing w:line="360" w:lineRule="auto"/>
        <w:ind w:firstLine="640" w:firstLineChars="200"/>
        <w:rPr>
          <w:rFonts w:ascii="宋体" w:hAnsi="宋体" w:eastAsia="宋体"/>
          <w:color w:val="auto"/>
          <w:sz w:val="32"/>
          <w:szCs w:val="32"/>
          <w:highlight w:val="none"/>
        </w:rPr>
      </w:pPr>
    </w:p>
    <w:p w14:paraId="3D5417F4">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供应商名称：</w:t>
      </w:r>
    </w:p>
    <w:p w14:paraId="77B54D0E">
      <w:pPr>
        <w:spacing w:line="360" w:lineRule="auto"/>
        <w:ind w:firstLine="640" w:firstLineChars="200"/>
        <w:rPr>
          <w:rFonts w:ascii="宋体" w:hAnsi="宋体" w:eastAsia="宋体"/>
          <w:color w:val="auto"/>
          <w:sz w:val="32"/>
          <w:szCs w:val="32"/>
          <w:highlight w:val="none"/>
        </w:rPr>
      </w:pPr>
    </w:p>
    <w:p w14:paraId="22730FE4">
      <w:pPr>
        <w:spacing w:line="360" w:lineRule="auto"/>
        <w:jc w:val="center"/>
        <w:rPr>
          <w:rFonts w:ascii="宋体" w:hAnsi="宋体" w:eastAsia="宋体"/>
          <w:color w:val="auto"/>
          <w:sz w:val="32"/>
          <w:szCs w:val="32"/>
          <w:highlight w:val="none"/>
        </w:rPr>
      </w:pPr>
      <w:r>
        <w:rPr>
          <w:rFonts w:hint="eastAsia" w:ascii="宋体" w:hAnsi="宋体" w:eastAsia="宋体"/>
          <w:color w:val="auto"/>
          <w:sz w:val="32"/>
          <w:szCs w:val="32"/>
          <w:highlight w:val="none"/>
        </w:rPr>
        <w:t>首次响应文件提交截止时间前不得解密</w:t>
      </w:r>
    </w:p>
    <w:p w14:paraId="5C925F38">
      <w:pPr>
        <w:spacing w:line="360" w:lineRule="auto"/>
        <w:ind w:firstLine="640" w:firstLineChars="200"/>
        <w:rPr>
          <w:rFonts w:ascii="宋体" w:hAnsi="宋体" w:eastAsia="宋体"/>
          <w:color w:val="auto"/>
          <w:sz w:val="32"/>
          <w:szCs w:val="32"/>
          <w:highlight w:val="none"/>
        </w:rPr>
      </w:pPr>
    </w:p>
    <w:p w14:paraId="23B0C066">
      <w:pPr>
        <w:spacing w:line="360" w:lineRule="auto"/>
        <w:jc w:val="center"/>
        <w:rPr>
          <w:rFonts w:ascii="宋体" w:hAnsi="宋体" w:eastAsia="宋体"/>
          <w:color w:val="auto"/>
          <w:szCs w:val="21"/>
          <w:highlight w:val="none"/>
        </w:rPr>
      </w:pPr>
      <w:r>
        <w:rPr>
          <w:rFonts w:ascii="宋体" w:hAnsi="宋体" w:eastAsia="宋体" w:cs="Times New Roman"/>
          <w:color w:val="auto"/>
          <w:sz w:val="32"/>
          <w:szCs w:val="32"/>
          <w:highlight w:val="none"/>
        </w:rPr>
        <w:t>___</w:t>
      </w:r>
      <w:r>
        <w:rPr>
          <w:rFonts w:hint="eastAsia" w:ascii="宋体" w:hAnsi="宋体" w:eastAsia="宋体"/>
          <w:color w:val="auto"/>
          <w:sz w:val="32"/>
          <w:szCs w:val="32"/>
          <w:highlight w:val="none"/>
        </w:rPr>
        <w:t>年</w:t>
      </w:r>
      <w:r>
        <w:rPr>
          <w:rFonts w:ascii="宋体" w:hAnsi="宋体" w:eastAsia="宋体" w:cs="Times New Roman"/>
          <w:color w:val="auto"/>
          <w:sz w:val="32"/>
          <w:szCs w:val="32"/>
          <w:highlight w:val="none"/>
        </w:rPr>
        <w:t>___</w:t>
      </w:r>
      <w:r>
        <w:rPr>
          <w:rFonts w:hint="eastAsia" w:ascii="宋体" w:hAnsi="宋体" w:eastAsia="宋体"/>
          <w:color w:val="auto"/>
          <w:sz w:val="32"/>
          <w:szCs w:val="32"/>
          <w:highlight w:val="none"/>
        </w:rPr>
        <w:t>月</w:t>
      </w:r>
      <w:r>
        <w:rPr>
          <w:rFonts w:ascii="宋体" w:hAnsi="宋体" w:eastAsia="宋体" w:cs="Times New Roman"/>
          <w:color w:val="auto"/>
          <w:sz w:val="32"/>
          <w:szCs w:val="32"/>
          <w:highlight w:val="none"/>
        </w:rPr>
        <w:t>___</w:t>
      </w:r>
      <w:r>
        <w:rPr>
          <w:rFonts w:hint="eastAsia" w:ascii="宋体" w:hAnsi="宋体" w:eastAsia="宋体"/>
          <w:color w:val="auto"/>
          <w:sz w:val="32"/>
          <w:szCs w:val="32"/>
          <w:highlight w:val="none"/>
        </w:rPr>
        <w:t>日</w:t>
      </w:r>
    </w:p>
    <w:p w14:paraId="441B1414">
      <w:pPr>
        <w:pStyle w:val="3"/>
        <w:jc w:val="center"/>
        <w:rPr>
          <w:color w:val="auto"/>
          <w:highlight w:val="none"/>
        </w:rPr>
        <w:sectPr>
          <w:pgSz w:w="11906" w:h="16838"/>
          <w:pgMar w:top="1134" w:right="1134" w:bottom="1134" w:left="1134" w:header="851" w:footer="680" w:gutter="0"/>
          <w:cols w:space="425" w:num="1"/>
          <w:docGrid w:type="lines" w:linePitch="312" w:charSpace="0"/>
        </w:sectPr>
      </w:pPr>
    </w:p>
    <w:p w14:paraId="72E8B39B">
      <w:pPr>
        <w:pStyle w:val="3"/>
        <w:jc w:val="center"/>
        <w:rPr>
          <w:color w:val="auto"/>
          <w:highlight w:val="none"/>
        </w:rPr>
      </w:pPr>
      <w:bookmarkStart w:id="23" w:name="_Toc217642146"/>
      <w:r>
        <w:rPr>
          <w:rFonts w:hint="eastAsia"/>
          <w:color w:val="auto"/>
          <w:highlight w:val="none"/>
        </w:rPr>
        <w:t>第二</w:t>
      </w:r>
      <w:r>
        <w:rPr>
          <w:rFonts w:hint="eastAsia"/>
          <w:color w:val="auto"/>
          <w:spacing w:val="120"/>
          <w:highlight w:val="none"/>
        </w:rPr>
        <w:t>节</w:t>
      </w:r>
      <w:r>
        <w:rPr>
          <w:rFonts w:hint="eastAsia"/>
          <w:color w:val="auto"/>
          <w:highlight w:val="none"/>
        </w:rPr>
        <w:t>资格证明文件格式</w:t>
      </w:r>
      <w:bookmarkEnd w:id="23"/>
    </w:p>
    <w:p w14:paraId="68E9A7BB">
      <w:pPr>
        <w:spacing w:line="360" w:lineRule="auto"/>
        <w:ind w:firstLine="640" w:firstLineChars="200"/>
        <w:jc w:val="right"/>
        <w:rPr>
          <w:rFonts w:ascii="宋体" w:hAnsi="宋体" w:eastAsia="宋体"/>
          <w:color w:val="auto"/>
          <w:sz w:val="32"/>
          <w:szCs w:val="32"/>
          <w:highlight w:val="none"/>
        </w:rPr>
      </w:pPr>
      <w:r>
        <w:rPr>
          <w:rFonts w:hint="eastAsia" w:ascii="宋体" w:hAnsi="宋体" w:eastAsia="宋体"/>
          <w:color w:val="auto"/>
          <w:sz w:val="32"/>
          <w:szCs w:val="32"/>
          <w:highlight w:val="none"/>
        </w:rPr>
        <w:t>全流程电子文件</w:t>
      </w:r>
    </w:p>
    <w:p w14:paraId="7C411209">
      <w:pPr>
        <w:spacing w:line="360" w:lineRule="auto"/>
        <w:ind w:firstLine="420" w:firstLineChars="200"/>
        <w:rPr>
          <w:rFonts w:ascii="宋体" w:hAnsi="宋体" w:eastAsia="宋体"/>
          <w:color w:val="auto"/>
          <w:szCs w:val="21"/>
          <w:highlight w:val="none"/>
        </w:rPr>
      </w:pPr>
    </w:p>
    <w:p w14:paraId="3BF2C8AC">
      <w:pPr>
        <w:spacing w:line="360" w:lineRule="auto"/>
        <w:ind w:firstLine="420" w:firstLineChars="200"/>
        <w:rPr>
          <w:rFonts w:ascii="宋体" w:hAnsi="宋体" w:eastAsia="宋体"/>
          <w:color w:val="auto"/>
          <w:szCs w:val="21"/>
          <w:highlight w:val="none"/>
        </w:rPr>
      </w:pPr>
    </w:p>
    <w:p w14:paraId="55BD2392">
      <w:pPr>
        <w:spacing w:line="360" w:lineRule="auto"/>
        <w:jc w:val="center"/>
        <w:rPr>
          <w:rFonts w:ascii="宋体" w:hAnsi="宋体" w:eastAsia="宋体"/>
          <w:b/>
          <w:color w:val="auto"/>
          <w:sz w:val="84"/>
          <w:szCs w:val="84"/>
          <w:highlight w:val="none"/>
        </w:rPr>
      </w:pPr>
      <w:r>
        <w:rPr>
          <w:rFonts w:hint="eastAsia" w:ascii="宋体" w:hAnsi="宋体" w:eastAsia="宋体"/>
          <w:b/>
          <w:color w:val="auto"/>
          <w:sz w:val="84"/>
          <w:szCs w:val="84"/>
          <w:highlight w:val="none"/>
        </w:rPr>
        <w:t>资格证明文件（封面）</w:t>
      </w:r>
    </w:p>
    <w:p w14:paraId="0D1D2F9B">
      <w:pPr>
        <w:spacing w:line="360" w:lineRule="auto"/>
        <w:ind w:firstLine="420" w:firstLineChars="200"/>
        <w:rPr>
          <w:rFonts w:ascii="宋体" w:hAnsi="宋体" w:eastAsia="宋体"/>
          <w:color w:val="auto"/>
          <w:szCs w:val="21"/>
          <w:highlight w:val="none"/>
        </w:rPr>
      </w:pPr>
    </w:p>
    <w:p w14:paraId="7E0A9B71">
      <w:pPr>
        <w:spacing w:line="360" w:lineRule="auto"/>
        <w:ind w:firstLine="420" w:firstLineChars="200"/>
        <w:rPr>
          <w:rFonts w:ascii="宋体" w:hAnsi="宋体" w:eastAsia="宋体"/>
          <w:color w:val="auto"/>
          <w:szCs w:val="21"/>
          <w:highlight w:val="none"/>
        </w:rPr>
      </w:pPr>
    </w:p>
    <w:p w14:paraId="4590671C">
      <w:pPr>
        <w:spacing w:line="360" w:lineRule="auto"/>
        <w:ind w:firstLine="420" w:firstLineChars="200"/>
        <w:rPr>
          <w:rFonts w:ascii="宋体" w:hAnsi="宋体" w:eastAsia="宋体"/>
          <w:color w:val="auto"/>
          <w:szCs w:val="21"/>
          <w:highlight w:val="none"/>
        </w:rPr>
      </w:pPr>
    </w:p>
    <w:p w14:paraId="0C10804E">
      <w:pPr>
        <w:spacing w:line="360" w:lineRule="auto"/>
        <w:ind w:firstLine="420" w:firstLineChars="200"/>
        <w:rPr>
          <w:rFonts w:ascii="宋体" w:hAnsi="宋体" w:eastAsia="宋体"/>
          <w:color w:val="auto"/>
          <w:szCs w:val="21"/>
          <w:highlight w:val="none"/>
        </w:rPr>
      </w:pPr>
    </w:p>
    <w:p w14:paraId="1BE1922C">
      <w:pPr>
        <w:spacing w:line="360" w:lineRule="auto"/>
        <w:ind w:firstLine="420" w:firstLineChars="200"/>
        <w:rPr>
          <w:rFonts w:ascii="宋体" w:hAnsi="宋体" w:eastAsia="宋体"/>
          <w:color w:val="auto"/>
          <w:szCs w:val="21"/>
          <w:highlight w:val="none"/>
        </w:rPr>
      </w:pPr>
    </w:p>
    <w:p w14:paraId="4E88149E">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项目名称：[项目采购-项目名称_]</w:t>
      </w:r>
    </w:p>
    <w:p w14:paraId="4671D7BD">
      <w:pPr>
        <w:spacing w:line="360" w:lineRule="auto"/>
        <w:ind w:firstLine="420" w:firstLineChars="200"/>
        <w:rPr>
          <w:rFonts w:ascii="宋体" w:hAnsi="宋体" w:eastAsia="宋体"/>
          <w:color w:val="auto"/>
          <w:szCs w:val="21"/>
          <w:highlight w:val="none"/>
        </w:rPr>
      </w:pPr>
    </w:p>
    <w:p w14:paraId="2B792A72">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项目编号：[项目采购-项目编号_]</w:t>
      </w:r>
    </w:p>
    <w:p w14:paraId="199D9490">
      <w:pPr>
        <w:spacing w:line="360" w:lineRule="auto"/>
        <w:ind w:firstLine="420" w:firstLineChars="200"/>
        <w:rPr>
          <w:rFonts w:ascii="宋体" w:hAnsi="宋体" w:eastAsia="宋体"/>
          <w:color w:val="auto"/>
          <w:szCs w:val="21"/>
          <w:highlight w:val="none"/>
        </w:rPr>
      </w:pPr>
    </w:p>
    <w:p w14:paraId="419DA05E">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所竞分标（如有则填写，无分标时填写“无”或者留空）：</w:t>
      </w:r>
    </w:p>
    <w:p w14:paraId="2B478123">
      <w:pPr>
        <w:spacing w:line="360" w:lineRule="auto"/>
        <w:ind w:firstLine="420" w:firstLineChars="200"/>
        <w:rPr>
          <w:rFonts w:ascii="宋体" w:hAnsi="宋体" w:eastAsia="宋体"/>
          <w:color w:val="auto"/>
          <w:szCs w:val="21"/>
          <w:highlight w:val="none"/>
        </w:rPr>
      </w:pPr>
    </w:p>
    <w:p w14:paraId="429DF225">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供应商名称：</w:t>
      </w:r>
    </w:p>
    <w:p w14:paraId="1028C6E9">
      <w:pPr>
        <w:spacing w:line="360" w:lineRule="auto"/>
        <w:ind w:firstLine="640" w:firstLineChars="200"/>
        <w:rPr>
          <w:rFonts w:ascii="宋体" w:hAnsi="宋体" w:eastAsia="宋体"/>
          <w:color w:val="auto"/>
          <w:sz w:val="32"/>
          <w:szCs w:val="32"/>
          <w:highlight w:val="none"/>
        </w:rPr>
      </w:pPr>
    </w:p>
    <w:p w14:paraId="6A015845">
      <w:pPr>
        <w:spacing w:line="360" w:lineRule="auto"/>
        <w:ind w:firstLine="420" w:firstLineChars="200"/>
        <w:rPr>
          <w:rFonts w:ascii="宋体" w:hAnsi="宋体" w:eastAsia="宋体"/>
          <w:color w:val="auto"/>
          <w:szCs w:val="21"/>
          <w:highlight w:val="none"/>
        </w:rPr>
      </w:pPr>
    </w:p>
    <w:p w14:paraId="13DE30A5">
      <w:pPr>
        <w:spacing w:line="360" w:lineRule="auto"/>
        <w:ind w:firstLine="420" w:firstLineChars="200"/>
        <w:rPr>
          <w:rFonts w:ascii="宋体" w:hAnsi="宋体" w:eastAsia="宋体"/>
          <w:color w:val="auto"/>
          <w:szCs w:val="21"/>
          <w:highlight w:val="none"/>
        </w:rPr>
      </w:pPr>
    </w:p>
    <w:p w14:paraId="1EB28A06">
      <w:pPr>
        <w:spacing w:line="360" w:lineRule="auto"/>
        <w:ind w:firstLine="420" w:firstLineChars="200"/>
        <w:rPr>
          <w:rFonts w:ascii="宋体" w:hAnsi="宋体" w:eastAsia="宋体"/>
          <w:color w:val="auto"/>
          <w:szCs w:val="21"/>
          <w:highlight w:val="none"/>
        </w:rPr>
      </w:pPr>
    </w:p>
    <w:p w14:paraId="3DFA16A3">
      <w:pPr>
        <w:spacing w:line="360" w:lineRule="auto"/>
        <w:jc w:val="center"/>
        <w:rPr>
          <w:rFonts w:ascii="宋体" w:hAnsi="宋体" w:eastAsia="宋体"/>
          <w:color w:val="auto"/>
          <w:szCs w:val="21"/>
          <w:highlight w:val="none"/>
        </w:rPr>
      </w:pPr>
      <w:r>
        <w:rPr>
          <w:rFonts w:ascii="宋体" w:hAnsi="宋体" w:eastAsia="宋体" w:cs="Times New Roman"/>
          <w:color w:val="auto"/>
          <w:sz w:val="32"/>
          <w:szCs w:val="32"/>
          <w:highlight w:val="none"/>
        </w:rPr>
        <w:t>___</w:t>
      </w:r>
      <w:r>
        <w:rPr>
          <w:rFonts w:hint="eastAsia" w:ascii="宋体" w:hAnsi="宋体" w:eastAsia="宋体"/>
          <w:color w:val="auto"/>
          <w:sz w:val="32"/>
          <w:szCs w:val="32"/>
          <w:highlight w:val="none"/>
        </w:rPr>
        <w:t>年</w:t>
      </w:r>
      <w:r>
        <w:rPr>
          <w:rFonts w:ascii="宋体" w:hAnsi="宋体" w:eastAsia="宋体" w:cs="Times New Roman"/>
          <w:color w:val="auto"/>
          <w:sz w:val="32"/>
          <w:szCs w:val="32"/>
          <w:highlight w:val="none"/>
        </w:rPr>
        <w:t>___</w:t>
      </w:r>
      <w:r>
        <w:rPr>
          <w:rFonts w:hint="eastAsia" w:ascii="宋体" w:hAnsi="宋体" w:eastAsia="宋体"/>
          <w:color w:val="auto"/>
          <w:sz w:val="32"/>
          <w:szCs w:val="32"/>
          <w:highlight w:val="none"/>
        </w:rPr>
        <w:t>月</w:t>
      </w:r>
      <w:r>
        <w:rPr>
          <w:rFonts w:ascii="宋体" w:hAnsi="宋体" w:eastAsia="宋体" w:cs="Times New Roman"/>
          <w:color w:val="auto"/>
          <w:sz w:val="32"/>
          <w:szCs w:val="32"/>
          <w:highlight w:val="none"/>
        </w:rPr>
        <w:t>___</w:t>
      </w:r>
      <w:r>
        <w:rPr>
          <w:rFonts w:hint="eastAsia" w:ascii="宋体" w:hAnsi="宋体" w:eastAsia="宋体"/>
          <w:color w:val="auto"/>
          <w:sz w:val="32"/>
          <w:szCs w:val="32"/>
          <w:highlight w:val="none"/>
        </w:rPr>
        <w:t>日</w:t>
      </w:r>
    </w:p>
    <w:p w14:paraId="0C569468">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070B2118">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资格证明文件目录</w:t>
      </w:r>
    </w:p>
    <w:p w14:paraId="312EE627">
      <w:pPr>
        <w:spacing w:line="360" w:lineRule="auto"/>
        <w:ind w:firstLine="420" w:firstLineChars="200"/>
        <w:rPr>
          <w:rFonts w:ascii="宋体" w:hAnsi="宋体" w:eastAsia="宋体"/>
          <w:color w:val="auto"/>
          <w:szCs w:val="21"/>
          <w:highlight w:val="none"/>
        </w:rPr>
      </w:pPr>
    </w:p>
    <w:p w14:paraId="42CA7A93">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一、营业执照（或事业法人登记证或其他工商等登记证明材料）复印件（供应商为自然人的，须提供自然人的身份证明）………………………………………………………………………………………………（页码）</w:t>
      </w:r>
    </w:p>
    <w:p w14:paraId="108E61DA">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二、符合参与政府采购活动的资格条件依法缴纳税收、社会保障资金等方面的材料………………………………………………………………………………………………………………（页码）</w:t>
      </w:r>
    </w:p>
    <w:p w14:paraId="2DE8AEE2">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三、财务状况报告方面的材料………………………………………………………………………………（页码）</w:t>
      </w:r>
    </w:p>
    <w:p w14:paraId="7FEE66D6">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四、供应商直接控股股东信息………………………………………………………………………………（页码）</w:t>
      </w:r>
    </w:p>
    <w:p w14:paraId="705E1322">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五、供应商直接管理关系信息表……………………………………………………………………………（页码）</w:t>
      </w:r>
    </w:p>
    <w:p w14:paraId="7CE6B23D">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六、资格声明函………………………………………………………………………………………………（页码）</w:t>
      </w:r>
    </w:p>
    <w:p w14:paraId="043BEE8A">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七、联合体协议书（以联合体形式响应的，提供联合体协议；本项目不接受联合体响应或者供应商不以联合体形式响应的，则不需要提供）…………………………………………………………………………（页码）</w:t>
      </w:r>
    </w:p>
    <w:p w14:paraId="426CBC0A">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八、符合特定资格条件（如有）的有关证明材料（复印件）……………………………………………（页码）</w:t>
      </w:r>
    </w:p>
    <w:p w14:paraId="23D18D5B">
      <w:pPr>
        <w:spacing w:line="360" w:lineRule="auto"/>
        <w:ind w:firstLine="420" w:firstLineChars="200"/>
        <w:rPr>
          <w:rFonts w:ascii="宋体" w:hAnsi="宋体" w:eastAsia="宋体"/>
          <w:color w:val="auto"/>
          <w:szCs w:val="21"/>
          <w:highlight w:val="none"/>
        </w:rPr>
      </w:pPr>
    </w:p>
    <w:p w14:paraId="24404D3A">
      <w:pPr>
        <w:spacing w:line="360" w:lineRule="auto"/>
        <w:rPr>
          <w:rFonts w:ascii="宋体" w:hAnsi="宋体" w:eastAsia="宋体"/>
          <w:b/>
          <w:color w:val="auto"/>
          <w:szCs w:val="21"/>
          <w:highlight w:val="none"/>
        </w:rPr>
      </w:pPr>
      <w:r>
        <w:rPr>
          <w:rFonts w:hint="eastAsia" w:ascii="宋体" w:hAnsi="宋体" w:eastAsia="宋体"/>
          <w:b/>
          <w:color w:val="auto"/>
          <w:szCs w:val="21"/>
          <w:highlight w:val="none"/>
        </w:rPr>
        <w:t>注：以上目录是编制供应商响应文件的基本格式要求，各供应商可根据自身情况进一步细化。</w:t>
      </w:r>
    </w:p>
    <w:p w14:paraId="1423B4E4">
      <w:pPr>
        <w:spacing w:line="360" w:lineRule="auto"/>
        <w:rPr>
          <w:rFonts w:ascii="宋体" w:hAnsi="宋体" w:eastAsia="宋体"/>
          <w:b/>
          <w:color w:val="auto"/>
          <w:szCs w:val="21"/>
          <w:highlight w:val="none"/>
        </w:rPr>
        <w:sectPr>
          <w:pgSz w:w="11906" w:h="16838"/>
          <w:pgMar w:top="1134" w:right="1134" w:bottom="1134" w:left="1134" w:header="851" w:footer="680" w:gutter="0"/>
          <w:cols w:space="425" w:num="1"/>
          <w:docGrid w:type="lines" w:linePitch="312" w:charSpace="0"/>
        </w:sectPr>
      </w:pPr>
    </w:p>
    <w:p w14:paraId="21B5B69F">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一、营业执照（或事业法人登记证或其他工商等登记证明材料）复印件（供应商为自然人的，提供自然人的身份证明）</w:t>
      </w:r>
    </w:p>
    <w:p w14:paraId="6F03CEA4">
      <w:pPr>
        <w:spacing w:line="360" w:lineRule="auto"/>
        <w:ind w:firstLine="420" w:firstLineChars="200"/>
        <w:rPr>
          <w:rFonts w:ascii="宋体" w:hAnsi="宋体" w:eastAsia="宋体"/>
          <w:color w:val="auto"/>
          <w:szCs w:val="21"/>
          <w:highlight w:val="none"/>
        </w:rPr>
      </w:pPr>
    </w:p>
    <w:p w14:paraId="408AF5E7">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4F0F33CA">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宋体" w:hAnsi="宋体" w:eastAsia="宋体" w:cs="Times New Roman"/>
          <w:color w:val="auto"/>
          <w:szCs w:val="21"/>
          <w:highlight w:val="none"/>
        </w:rPr>
        <w:t>___</w:t>
      </w:r>
      <w:r>
        <w:rPr>
          <w:rFonts w:hint="eastAsia" w:ascii="宋体" w:hAnsi="宋体" w:eastAsia="宋体"/>
          <w:color w:val="auto"/>
          <w:szCs w:val="21"/>
          <w:highlight w:val="none"/>
        </w:rPr>
        <w:t>年</w:t>
      </w:r>
      <w:r>
        <w:rPr>
          <w:rFonts w:ascii="宋体" w:hAnsi="宋体" w:eastAsia="宋体" w:cs="Times New Roman"/>
          <w:color w:val="auto"/>
          <w:szCs w:val="21"/>
          <w:highlight w:val="none"/>
        </w:rPr>
        <w:t>___</w:t>
      </w:r>
      <w:r>
        <w:rPr>
          <w:rFonts w:hint="eastAsia" w:ascii="宋体" w:hAnsi="宋体" w:eastAsia="宋体"/>
          <w:color w:val="auto"/>
          <w:szCs w:val="21"/>
          <w:highlight w:val="none"/>
        </w:rPr>
        <w:t>月</w:t>
      </w:r>
      <w:r>
        <w:rPr>
          <w:rFonts w:ascii="宋体" w:hAnsi="宋体" w:eastAsia="宋体" w:cs="Times New Roman"/>
          <w:color w:val="auto"/>
          <w:szCs w:val="21"/>
          <w:highlight w:val="none"/>
        </w:rPr>
        <w:t>___</w:t>
      </w:r>
      <w:r>
        <w:rPr>
          <w:rFonts w:hint="eastAsia" w:ascii="宋体" w:hAnsi="宋体" w:eastAsia="宋体"/>
          <w:color w:val="auto"/>
          <w:szCs w:val="21"/>
          <w:highlight w:val="none"/>
        </w:rPr>
        <w:t>日</w:t>
      </w:r>
    </w:p>
    <w:p w14:paraId="37FEC85B">
      <w:pPr>
        <w:spacing w:line="360" w:lineRule="auto"/>
        <w:ind w:firstLine="420" w:firstLineChars="200"/>
        <w:rPr>
          <w:rFonts w:ascii="宋体" w:hAnsi="宋体" w:eastAsia="宋体"/>
          <w:color w:val="auto"/>
          <w:szCs w:val="21"/>
          <w:highlight w:val="none"/>
        </w:rPr>
      </w:pPr>
    </w:p>
    <w:p w14:paraId="703393D2">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二、符合参与政府采购活动的资格条件依法缴纳税收、社会保障资金等方面的材料</w:t>
      </w:r>
    </w:p>
    <w:p w14:paraId="009434A5">
      <w:pPr>
        <w:spacing w:line="360" w:lineRule="auto"/>
        <w:ind w:firstLine="420" w:firstLineChars="200"/>
        <w:rPr>
          <w:rFonts w:ascii="宋体" w:hAnsi="宋体" w:eastAsia="宋体"/>
          <w:color w:val="auto"/>
          <w:szCs w:val="21"/>
          <w:highlight w:val="none"/>
        </w:rPr>
      </w:pPr>
    </w:p>
    <w:p w14:paraId="3A77A133">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44CBD61C">
      <w:pPr>
        <w:spacing w:line="360" w:lineRule="auto"/>
        <w:ind w:firstLine="420" w:firstLineChars="200"/>
        <w:jc w:val="right"/>
        <w:rPr>
          <w:rFonts w:ascii="宋体" w:hAnsi="宋体" w:eastAsia="宋体"/>
          <w:color w:val="auto"/>
          <w:sz w:val="28"/>
          <w:szCs w:val="28"/>
          <w:highlight w:val="none"/>
        </w:rPr>
      </w:pPr>
      <w:r>
        <w:rPr>
          <w:rFonts w:hint="eastAsia" w:ascii="宋体" w:hAnsi="宋体" w:eastAsia="宋体"/>
          <w:color w:val="auto"/>
          <w:szCs w:val="21"/>
          <w:highlight w:val="none"/>
        </w:rPr>
        <w:t>日期：</w:t>
      </w:r>
      <w:r>
        <w:rPr>
          <w:rFonts w:ascii="宋体" w:hAnsi="宋体" w:eastAsia="宋体" w:cs="Times New Roman"/>
          <w:color w:val="auto"/>
          <w:szCs w:val="21"/>
          <w:highlight w:val="none"/>
        </w:rPr>
        <w:t>___</w:t>
      </w:r>
      <w:r>
        <w:rPr>
          <w:rFonts w:hint="eastAsia" w:ascii="宋体" w:hAnsi="宋体" w:eastAsia="宋体"/>
          <w:color w:val="auto"/>
          <w:szCs w:val="21"/>
          <w:highlight w:val="none"/>
        </w:rPr>
        <w:t>年</w:t>
      </w:r>
      <w:r>
        <w:rPr>
          <w:rFonts w:ascii="宋体" w:hAnsi="宋体" w:eastAsia="宋体" w:cs="Times New Roman"/>
          <w:color w:val="auto"/>
          <w:szCs w:val="21"/>
          <w:highlight w:val="none"/>
        </w:rPr>
        <w:t>___</w:t>
      </w:r>
      <w:r>
        <w:rPr>
          <w:rFonts w:hint="eastAsia" w:ascii="宋体" w:hAnsi="宋体" w:eastAsia="宋体"/>
          <w:color w:val="auto"/>
          <w:szCs w:val="21"/>
          <w:highlight w:val="none"/>
        </w:rPr>
        <w:t>月</w:t>
      </w:r>
      <w:r>
        <w:rPr>
          <w:rFonts w:ascii="宋体" w:hAnsi="宋体" w:eastAsia="宋体" w:cs="Times New Roman"/>
          <w:color w:val="auto"/>
          <w:szCs w:val="21"/>
          <w:highlight w:val="none"/>
        </w:rPr>
        <w:t>___</w:t>
      </w:r>
      <w:r>
        <w:rPr>
          <w:rFonts w:hint="eastAsia" w:ascii="宋体" w:hAnsi="宋体" w:eastAsia="宋体"/>
          <w:color w:val="auto"/>
          <w:szCs w:val="21"/>
          <w:highlight w:val="none"/>
        </w:rPr>
        <w:t>日</w:t>
      </w:r>
    </w:p>
    <w:p w14:paraId="660BB945">
      <w:pPr>
        <w:spacing w:line="360" w:lineRule="auto"/>
        <w:ind w:firstLine="420" w:firstLineChars="200"/>
        <w:rPr>
          <w:rFonts w:ascii="宋体" w:hAnsi="宋体" w:eastAsia="宋体"/>
          <w:color w:val="auto"/>
          <w:szCs w:val="21"/>
          <w:highlight w:val="none"/>
        </w:rPr>
      </w:pPr>
    </w:p>
    <w:p w14:paraId="313CABD5">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三、财务状况报告方面的材料</w:t>
      </w:r>
    </w:p>
    <w:p w14:paraId="662D7FEB">
      <w:pPr>
        <w:spacing w:line="360" w:lineRule="auto"/>
        <w:ind w:firstLine="420" w:firstLineChars="200"/>
        <w:rPr>
          <w:rFonts w:ascii="宋体" w:hAnsi="宋体" w:eastAsia="宋体"/>
          <w:color w:val="auto"/>
          <w:szCs w:val="21"/>
          <w:highlight w:val="none"/>
        </w:rPr>
      </w:pPr>
    </w:p>
    <w:p w14:paraId="1800EB6A">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17FA5157">
      <w:pPr>
        <w:spacing w:line="360" w:lineRule="auto"/>
        <w:ind w:firstLine="420" w:firstLineChars="200"/>
        <w:jc w:val="right"/>
        <w:rPr>
          <w:rFonts w:ascii="宋体" w:hAnsi="宋体" w:eastAsia="宋体"/>
          <w:color w:val="auto"/>
          <w:sz w:val="28"/>
          <w:szCs w:val="28"/>
          <w:highlight w:val="none"/>
        </w:rPr>
      </w:pPr>
      <w:r>
        <w:rPr>
          <w:rFonts w:hint="eastAsia" w:ascii="宋体" w:hAnsi="宋体" w:eastAsia="宋体"/>
          <w:color w:val="auto"/>
          <w:szCs w:val="21"/>
          <w:highlight w:val="none"/>
        </w:rPr>
        <w:t>日期：</w:t>
      </w:r>
      <w:r>
        <w:rPr>
          <w:rFonts w:ascii="宋体" w:hAnsi="宋体" w:eastAsia="宋体" w:cs="Times New Roman"/>
          <w:color w:val="auto"/>
          <w:szCs w:val="21"/>
          <w:highlight w:val="none"/>
        </w:rPr>
        <w:t>___</w:t>
      </w:r>
      <w:r>
        <w:rPr>
          <w:rFonts w:hint="eastAsia" w:ascii="宋体" w:hAnsi="宋体" w:eastAsia="宋体"/>
          <w:color w:val="auto"/>
          <w:szCs w:val="21"/>
          <w:highlight w:val="none"/>
        </w:rPr>
        <w:t>年</w:t>
      </w:r>
      <w:r>
        <w:rPr>
          <w:rFonts w:ascii="宋体" w:hAnsi="宋体" w:eastAsia="宋体" w:cs="Times New Roman"/>
          <w:color w:val="auto"/>
          <w:szCs w:val="21"/>
          <w:highlight w:val="none"/>
        </w:rPr>
        <w:t>___</w:t>
      </w:r>
      <w:r>
        <w:rPr>
          <w:rFonts w:hint="eastAsia" w:ascii="宋体" w:hAnsi="宋体" w:eastAsia="宋体"/>
          <w:color w:val="auto"/>
          <w:szCs w:val="21"/>
          <w:highlight w:val="none"/>
        </w:rPr>
        <w:t>月</w:t>
      </w:r>
      <w:r>
        <w:rPr>
          <w:rFonts w:ascii="宋体" w:hAnsi="宋体" w:eastAsia="宋体" w:cs="Times New Roman"/>
          <w:color w:val="auto"/>
          <w:szCs w:val="21"/>
          <w:highlight w:val="none"/>
        </w:rPr>
        <w:t>___</w:t>
      </w:r>
      <w:r>
        <w:rPr>
          <w:rFonts w:hint="eastAsia" w:ascii="宋体" w:hAnsi="宋体" w:eastAsia="宋体"/>
          <w:color w:val="auto"/>
          <w:szCs w:val="21"/>
          <w:highlight w:val="none"/>
        </w:rPr>
        <w:t>日</w:t>
      </w:r>
    </w:p>
    <w:p w14:paraId="61F15509">
      <w:pPr>
        <w:spacing w:line="360" w:lineRule="auto"/>
        <w:ind w:firstLine="420" w:firstLineChars="200"/>
        <w:rPr>
          <w:rFonts w:ascii="宋体" w:hAnsi="宋体" w:eastAsia="宋体"/>
          <w:color w:val="auto"/>
          <w:szCs w:val="21"/>
          <w:highlight w:val="none"/>
        </w:rPr>
      </w:pPr>
    </w:p>
    <w:p w14:paraId="29D93D9F">
      <w:pPr>
        <w:spacing w:line="360" w:lineRule="auto"/>
        <w:ind w:firstLine="420" w:firstLineChars="200"/>
        <w:rPr>
          <w:rFonts w:ascii="宋体" w:hAnsi="宋体" w:eastAsia="宋体"/>
          <w:color w:val="auto"/>
          <w:szCs w:val="21"/>
          <w:highlight w:val="none"/>
        </w:rPr>
      </w:pPr>
    </w:p>
    <w:p w14:paraId="301BD569">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四、供应商直接控股股东信息</w:t>
      </w:r>
    </w:p>
    <w:p w14:paraId="37FCE394">
      <w:pPr>
        <w:spacing w:line="360" w:lineRule="auto"/>
        <w:ind w:firstLine="420" w:firstLineChars="200"/>
        <w:rPr>
          <w:rFonts w:ascii="宋体" w:hAnsi="宋体" w:eastAsia="宋体"/>
          <w:color w:val="auto"/>
          <w:szCs w:val="21"/>
          <w:highlight w:val="none"/>
        </w:rPr>
      </w:pPr>
    </w:p>
    <w:tbl>
      <w:tblPr>
        <w:tblStyle w:val="3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680"/>
        <w:gridCol w:w="1449"/>
        <w:gridCol w:w="3917"/>
        <w:gridCol w:w="1144"/>
      </w:tblGrid>
      <w:tr w14:paraId="3CB1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3F88BD85">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序号</w:t>
            </w:r>
          </w:p>
        </w:tc>
        <w:tc>
          <w:tcPr>
            <w:tcW w:w="1361" w:type="pct"/>
          </w:tcPr>
          <w:p w14:paraId="7FA78C6A">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直接控股股东名称</w:t>
            </w:r>
          </w:p>
        </w:tc>
        <w:tc>
          <w:tcPr>
            <w:tcW w:w="736" w:type="pct"/>
          </w:tcPr>
          <w:p w14:paraId="201E13BC">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出资比例</w:t>
            </w:r>
          </w:p>
        </w:tc>
        <w:tc>
          <w:tcPr>
            <w:tcW w:w="1989" w:type="pct"/>
          </w:tcPr>
          <w:p w14:paraId="75B99102">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身份证号码或者统一社会信用代码</w:t>
            </w:r>
          </w:p>
        </w:tc>
        <w:tc>
          <w:tcPr>
            <w:tcW w:w="581" w:type="pct"/>
          </w:tcPr>
          <w:p w14:paraId="7D1051C2">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备注</w:t>
            </w:r>
          </w:p>
        </w:tc>
      </w:tr>
      <w:tr w14:paraId="0831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2690CD0C">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1361" w:type="pct"/>
          </w:tcPr>
          <w:p w14:paraId="586D3DDF">
            <w:pPr>
              <w:spacing w:line="360" w:lineRule="auto"/>
              <w:jc w:val="center"/>
              <w:rPr>
                <w:rFonts w:ascii="宋体" w:hAnsi="宋体" w:eastAsia="宋体"/>
                <w:color w:val="auto"/>
                <w:szCs w:val="21"/>
                <w:highlight w:val="none"/>
              </w:rPr>
            </w:pPr>
          </w:p>
        </w:tc>
        <w:tc>
          <w:tcPr>
            <w:tcW w:w="736" w:type="pct"/>
          </w:tcPr>
          <w:p w14:paraId="110423ED">
            <w:pPr>
              <w:spacing w:line="360" w:lineRule="auto"/>
              <w:jc w:val="center"/>
              <w:rPr>
                <w:rFonts w:ascii="宋体" w:hAnsi="宋体" w:eastAsia="宋体"/>
                <w:color w:val="auto"/>
                <w:szCs w:val="21"/>
                <w:highlight w:val="none"/>
              </w:rPr>
            </w:pPr>
          </w:p>
        </w:tc>
        <w:tc>
          <w:tcPr>
            <w:tcW w:w="1989" w:type="pct"/>
          </w:tcPr>
          <w:p w14:paraId="0C5425F9">
            <w:pPr>
              <w:spacing w:line="360" w:lineRule="auto"/>
              <w:jc w:val="center"/>
              <w:rPr>
                <w:rFonts w:ascii="宋体" w:hAnsi="宋体" w:eastAsia="宋体"/>
                <w:color w:val="auto"/>
                <w:szCs w:val="21"/>
                <w:highlight w:val="none"/>
              </w:rPr>
            </w:pPr>
          </w:p>
        </w:tc>
        <w:tc>
          <w:tcPr>
            <w:tcW w:w="581" w:type="pct"/>
          </w:tcPr>
          <w:p w14:paraId="132BCFFC">
            <w:pPr>
              <w:spacing w:line="360" w:lineRule="auto"/>
              <w:jc w:val="center"/>
              <w:rPr>
                <w:rFonts w:ascii="宋体" w:hAnsi="宋体" w:eastAsia="宋体"/>
                <w:color w:val="auto"/>
                <w:szCs w:val="21"/>
                <w:highlight w:val="none"/>
              </w:rPr>
            </w:pPr>
          </w:p>
        </w:tc>
      </w:tr>
      <w:tr w14:paraId="0ADA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101C822E">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2</w:t>
            </w:r>
          </w:p>
        </w:tc>
        <w:tc>
          <w:tcPr>
            <w:tcW w:w="1361" w:type="pct"/>
          </w:tcPr>
          <w:p w14:paraId="1FDADAD2">
            <w:pPr>
              <w:spacing w:line="360" w:lineRule="auto"/>
              <w:jc w:val="center"/>
              <w:rPr>
                <w:rFonts w:ascii="宋体" w:hAnsi="宋体" w:eastAsia="宋体"/>
                <w:color w:val="auto"/>
                <w:szCs w:val="21"/>
                <w:highlight w:val="none"/>
              </w:rPr>
            </w:pPr>
          </w:p>
        </w:tc>
        <w:tc>
          <w:tcPr>
            <w:tcW w:w="736" w:type="pct"/>
          </w:tcPr>
          <w:p w14:paraId="54635479">
            <w:pPr>
              <w:spacing w:line="360" w:lineRule="auto"/>
              <w:jc w:val="center"/>
              <w:rPr>
                <w:rFonts w:ascii="宋体" w:hAnsi="宋体" w:eastAsia="宋体"/>
                <w:color w:val="auto"/>
                <w:szCs w:val="21"/>
                <w:highlight w:val="none"/>
              </w:rPr>
            </w:pPr>
          </w:p>
        </w:tc>
        <w:tc>
          <w:tcPr>
            <w:tcW w:w="1989" w:type="pct"/>
          </w:tcPr>
          <w:p w14:paraId="45913A8F">
            <w:pPr>
              <w:spacing w:line="360" w:lineRule="auto"/>
              <w:jc w:val="center"/>
              <w:rPr>
                <w:rFonts w:ascii="宋体" w:hAnsi="宋体" w:eastAsia="宋体"/>
                <w:color w:val="auto"/>
                <w:szCs w:val="21"/>
                <w:highlight w:val="none"/>
              </w:rPr>
            </w:pPr>
          </w:p>
        </w:tc>
        <w:tc>
          <w:tcPr>
            <w:tcW w:w="581" w:type="pct"/>
          </w:tcPr>
          <w:p w14:paraId="4EDB3E99">
            <w:pPr>
              <w:spacing w:line="360" w:lineRule="auto"/>
              <w:jc w:val="center"/>
              <w:rPr>
                <w:rFonts w:ascii="宋体" w:hAnsi="宋体" w:eastAsia="宋体"/>
                <w:color w:val="auto"/>
                <w:szCs w:val="21"/>
                <w:highlight w:val="none"/>
              </w:rPr>
            </w:pPr>
          </w:p>
        </w:tc>
      </w:tr>
      <w:tr w14:paraId="6554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6CFB04A6">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3</w:t>
            </w:r>
          </w:p>
        </w:tc>
        <w:tc>
          <w:tcPr>
            <w:tcW w:w="1361" w:type="pct"/>
          </w:tcPr>
          <w:p w14:paraId="2F1D4F89">
            <w:pPr>
              <w:spacing w:line="360" w:lineRule="auto"/>
              <w:jc w:val="center"/>
              <w:rPr>
                <w:rFonts w:ascii="宋体" w:hAnsi="宋体" w:eastAsia="宋体"/>
                <w:color w:val="auto"/>
                <w:szCs w:val="21"/>
                <w:highlight w:val="none"/>
              </w:rPr>
            </w:pPr>
          </w:p>
        </w:tc>
        <w:tc>
          <w:tcPr>
            <w:tcW w:w="736" w:type="pct"/>
          </w:tcPr>
          <w:p w14:paraId="7BA0BB8C">
            <w:pPr>
              <w:spacing w:line="360" w:lineRule="auto"/>
              <w:jc w:val="center"/>
              <w:rPr>
                <w:rFonts w:ascii="宋体" w:hAnsi="宋体" w:eastAsia="宋体"/>
                <w:color w:val="auto"/>
                <w:szCs w:val="21"/>
                <w:highlight w:val="none"/>
              </w:rPr>
            </w:pPr>
          </w:p>
        </w:tc>
        <w:tc>
          <w:tcPr>
            <w:tcW w:w="1989" w:type="pct"/>
          </w:tcPr>
          <w:p w14:paraId="14444986">
            <w:pPr>
              <w:spacing w:line="360" w:lineRule="auto"/>
              <w:jc w:val="center"/>
              <w:rPr>
                <w:rFonts w:ascii="宋体" w:hAnsi="宋体" w:eastAsia="宋体"/>
                <w:color w:val="auto"/>
                <w:szCs w:val="21"/>
                <w:highlight w:val="none"/>
              </w:rPr>
            </w:pPr>
          </w:p>
        </w:tc>
        <w:tc>
          <w:tcPr>
            <w:tcW w:w="581" w:type="pct"/>
          </w:tcPr>
          <w:p w14:paraId="293690AD">
            <w:pPr>
              <w:spacing w:line="360" w:lineRule="auto"/>
              <w:jc w:val="center"/>
              <w:rPr>
                <w:rFonts w:ascii="宋体" w:hAnsi="宋体" w:eastAsia="宋体"/>
                <w:color w:val="auto"/>
                <w:szCs w:val="21"/>
                <w:highlight w:val="none"/>
              </w:rPr>
            </w:pPr>
          </w:p>
        </w:tc>
      </w:tr>
      <w:tr w14:paraId="14EF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tcPr>
          <w:p w14:paraId="3C372834">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w:t>
            </w:r>
          </w:p>
        </w:tc>
        <w:tc>
          <w:tcPr>
            <w:tcW w:w="1361" w:type="pct"/>
          </w:tcPr>
          <w:p w14:paraId="7DC916B3">
            <w:pPr>
              <w:spacing w:line="360" w:lineRule="auto"/>
              <w:jc w:val="center"/>
              <w:rPr>
                <w:rFonts w:ascii="宋体" w:hAnsi="宋体" w:eastAsia="宋体"/>
                <w:color w:val="auto"/>
                <w:szCs w:val="21"/>
                <w:highlight w:val="none"/>
              </w:rPr>
            </w:pPr>
          </w:p>
        </w:tc>
        <w:tc>
          <w:tcPr>
            <w:tcW w:w="736" w:type="pct"/>
          </w:tcPr>
          <w:p w14:paraId="43390440">
            <w:pPr>
              <w:spacing w:line="360" w:lineRule="auto"/>
              <w:jc w:val="center"/>
              <w:rPr>
                <w:rFonts w:ascii="宋体" w:hAnsi="宋体" w:eastAsia="宋体"/>
                <w:color w:val="auto"/>
                <w:szCs w:val="21"/>
                <w:highlight w:val="none"/>
              </w:rPr>
            </w:pPr>
          </w:p>
        </w:tc>
        <w:tc>
          <w:tcPr>
            <w:tcW w:w="1989" w:type="pct"/>
          </w:tcPr>
          <w:p w14:paraId="1649B555">
            <w:pPr>
              <w:spacing w:line="360" w:lineRule="auto"/>
              <w:jc w:val="center"/>
              <w:rPr>
                <w:rFonts w:ascii="宋体" w:hAnsi="宋体" w:eastAsia="宋体"/>
                <w:color w:val="auto"/>
                <w:szCs w:val="21"/>
                <w:highlight w:val="none"/>
              </w:rPr>
            </w:pPr>
          </w:p>
        </w:tc>
        <w:tc>
          <w:tcPr>
            <w:tcW w:w="581" w:type="pct"/>
          </w:tcPr>
          <w:p w14:paraId="04A9EC7C">
            <w:pPr>
              <w:spacing w:line="360" w:lineRule="auto"/>
              <w:jc w:val="center"/>
              <w:rPr>
                <w:rFonts w:ascii="宋体" w:hAnsi="宋体" w:eastAsia="宋体"/>
                <w:color w:val="auto"/>
                <w:szCs w:val="21"/>
                <w:highlight w:val="none"/>
              </w:rPr>
            </w:pPr>
          </w:p>
        </w:tc>
      </w:tr>
    </w:tbl>
    <w:p w14:paraId="2606DA9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w:t>
      </w:r>
    </w:p>
    <w:p w14:paraId="736C8E1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3A1133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2.本表所指的控股关系仅限于直接控股关系，不包括间接的控股关系。公司实际控制人与公司之间的关系不属于本表所指的直接控股关系。</w:t>
      </w:r>
    </w:p>
    <w:p w14:paraId="1CB9ED6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3.供应商不存在直接控股股东的，则填“无”。</w:t>
      </w:r>
    </w:p>
    <w:p w14:paraId="06596246">
      <w:pPr>
        <w:spacing w:line="360" w:lineRule="auto"/>
        <w:ind w:firstLine="420" w:firstLineChars="200"/>
        <w:rPr>
          <w:rFonts w:ascii="宋体" w:hAnsi="宋体" w:eastAsia="宋体"/>
          <w:color w:val="auto"/>
          <w:szCs w:val="21"/>
          <w:highlight w:val="none"/>
        </w:rPr>
      </w:pPr>
    </w:p>
    <w:p w14:paraId="40AFC497">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10D308FE">
      <w:pPr>
        <w:spacing w:line="360" w:lineRule="auto"/>
        <w:ind w:firstLine="420" w:firstLineChars="200"/>
        <w:jc w:val="right"/>
        <w:rPr>
          <w:rFonts w:ascii="宋体" w:hAnsi="宋体" w:eastAsia="宋体"/>
          <w:color w:val="auto"/>
          <w:sz w:val="28"/>
          <w:szCs w:val="28"/>
          <w:highlight w:val="none"/>
        </w:rPr>
      </w:pPr>
      <w:r>
        <w:rPr>
          <w:rFonts w:hint="eastAsia" w:ascii="宋体" w:hAnsi="宋体" w:eastAsia="宋体"/>
          <w:color w:val="auto"/>
          <w:szCs w:val="21"/>
          <w:highlight w:val="none"/>
        </w:rPr>
        <w:t>日期：</w:t>
      </w:r>
      <w:r>
        <w:rPr>
          <w:rFonts w:ascii="宋体" w:hAnsi="宋体" w:eastAsia="宋体" w:cs="Times New Roman"/>
          <w:color w:val="auto"/>
          <w:szCs w:val="21"/>
          <w:highlight w:val="none"/>
        </w:rPr>
        <w:t>___</w:t>
      </w:r>
      <w:r>
        <w:rPr>
          <w:rFonts w:hint="eastAsia" w:ascii="宋体" w:hAnsi="宋体" w:eastAsia="宋体"/>
          <w:color w:val="auto"/>
          <w:szCs w:val="21"/>
          <w:highlight w:val="none"/>
        </w:rPr>
        <w:t>年</w:t>
      </w:r>
      <w:r>
        <w:rPr>
          <w:rFonts w:ascii="宋体" w:hAnsi="宋体" w:eastAsia="宋体" w:cs="Times New Roman"/>
          <w:color w:val="auto"/>
          <w:szCs w:val="21"/>
          <w:highlight w:val="none"/>
        </w:rPr>
        <w:t>___</w:t>
      </w:r>
      <w:r>
        <w:rPr>
          <w:rFonts w:hint="eastAsia" w:ascii="宋体" w:hAnsi="宋体" w:eastAsia="宋体"/>
          <w:color w:val="auto"/>
          <w:szCs w:val="21"/>
          <w:highlight w:val="none"/>
        </w:rPr>
        <w:t>月</w:t>
      </w:r>
      <w:r>
        <w:rPr>
          <w:rFonts w:ascii="宋体" w:hAnsi="宋体" w:eastAsia="宋体" w:cs="Times New Roman"/>
          <w:color w:val="auto"/>
          <w:szCs w:val="21"/>
          <w:highlight w:val="none"/>
        </w:rPr>
        <w:t>___</w:t>
      </w:r>
      <w:r>
        <w:rPr>
          <w:rFonts w:hint="eastAsia" w:ascii="宋体" w:hAnsi="宋体" w:eastAsia="宋体"/>
          <w:color w:val="auto"/>
          <w:szCs w:val="21"/>
          <w:highlight w:val="none"/>
        </w:rPr>
        <w:t>日</w:t>
      </w:r>
    </w:p>
    <w:p w14:paraId="18AA8C67">
      <w:pPr>
        <w:spacing w:line="360" w:lineRule="auto"/>
        <w:ind w:firstLine="420" w:firstLineChars="200"/>
        <w:rPr>
          <w:rFonts w:ascii="宋体" w:hAnsi="宋体" w:eastAsia="宋体"/>
          <w:color w:val="auto"/>
          <w:szCs w:val="21"/>
          <w:highlight w:val="none"/>
        </w:rPr>
      </w:pPr>
    </w:p>
    <w:p w14:paraId="61AF3009">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五、供应商直接管理关系信息表</w:t>
      </w:r>
    </w:p>
    <w:p w14:paraId="29BD046D">
      <w:pPr>
        <w:spacing w:line="360" w:lineRule="auto"/>
        <w:ind w:firstLine="420" w:firstLineChars="200"/>
        <w:rPr>
          <w:rFonts w:ascii="宋体" w:hAnsi="宋体" w:eastAsia="宋体"/>
          <w:color w:val="auto"/>
          <w:szCs w:val="21"/>
          <w:highlight w:val="none"/>
        </w:rPr>
      </w:pPr>
    </w:p>
    <w:tbl>
      <w:tblPr>
        <w:tblStyle w:val="3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1"/>
        <w:gridCol w:w="2461"/>
        <w:gridCol w:w="2461"/>
        <w:gridCol w:w="2461"/>
      </w:tblGrid>
      <w:tr w14:paraId="096A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7C1673E1">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序号</w:t>
            </w:r>
          </w:p>
        </w:tc>
        <w:tc>
          <w:tcPr>
            <w:tcW w:w="1250" w:type="pct"/>
          </w:tcPr>
          <w:p w14:paraId="1203FBA1">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直接管理关系单位名称</w:t>
            </w:r>
          </w:p>
        </w:tc>
        <w:tc>
          <w:tcPr>
            <w:tcW w:w="1250" w:type="pct"/>
          </w:tcPr>
          <w:p w14:paraId="520DD22B">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统一社会信用代码</w:t>
            </w:r>
          </w:p>
        </w:tc>
        <w:tc>
          <w:tcPr>
            <w:tcW w:w="1250" w:type="pct"/>
          </w:tcPr>
          <w:p w14:paraId="61A74155">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备注</w:t>
            </w:r>
          </w:p>
        </w:tc>
      </w:tr>
      <w:tr w14:paraId="5818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6FB5F9B5">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1250" w:type="pct"/>
          </w:tcPr>
          <w:p w14:paraId="73672210">
            <w:pPr>
              <w:spacing w:line="360" w:lineRule="auto"/>
              <w:jc w:val="center"/>
              <w:rPr>
                <w:rFonts w:ascii="宋体" w:hAnsi="宋体" w:eastAsia="宋体"/>
                <w:color w:val="auto"/>
                <w:szCs w:val="21"/>
                <w:highlight w:val="none"/>
              </w:rPr>
            </w:pPr>
          </w:p>
        </w:tc>
        <w:tc>
          <w:tcPr>
            <w:tcW w:w="1250" w:type="pct"/>
          </w:tcPr>
          <w:p w14:paraId="2BB01E34">
            <w:pPr>
              <w:spacing w:line="360" w:lineRule="auto"/>
              <w:jc w:val="center"/>
              <w:rPr>
                <w:rFonts w:ascii="宋体" w:hAnsi="宋体" w:eastAsia="宋体"/>
                <w:color w:val="auto"/>
                <w:szCs w:val="21"/>
                <w:highlight w:val="none"/>
              </w:rPr>
            </w:pPr>
          </w:p>
        </w:tc>
        <w:tc>
          <w:tcPr>
            <w:tcW w:w="1250" w:type="pct"/>
          </w:tcPr>
          <w:p w14:paraId="64011622">
            <w:pPr>
              <w:spacing w:line="360" w:lineRule="auto"/>
              <w:jc w:val="center"/>
              <w:rPr>
                <w:rFonts w:ascii="宋体" w:hAnsi="宋体" w:eastAsia="宋体"/>
                <w:color w:val="auto"/>
                <w:szCs w:val="21"/>
                <w:highlight w:val="none"/>
              </w:rPr>
            </w:pPr>
          </w:p>
        </w:tc>
      </w:tr>
      <w:tr w14:paraId="6018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6148D853">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2</w:t>
            </w:r>
          </w:p>
        </w:tc>
        <w:tc>
          <w:tcPr>
            <w:tcW w:w="1250" w:type="pct"/>
          </w:tcPr>
          <w:p w14:paraId="53500D6A">
            <w:pPr>
              <w:spacing w:line="360" w:lineRule="auto"/>
              <w:jc w:val="center"/>
              <w:rPr>
                <w:rFonts w:ascii="宋体" w:hAnsi="宋体" w:eastAsia="宋体"/>
                <w:color w:val="auto"/>
                <w:szCs w:val="21"/>
                <w:highlight w:val="none"/>
              </w:rPr>
            </w:pPr>
          </w:p>
        </w:tc>
        <w:tc>
          <w:tcPr>
            <w:tcW w:w="1250" w:type="pct"/>
          </w:tcPr>
          <w:p w14:paraId="34CD4303">
            <w:pPr>
              <w:spacing w:line="360" w:lineRule="auto"/>
              <w:jc w:val="center"/>
              <w:rPr>
                <w:rFonts w:ascii="宋体" w:hAnsi="宋体" w:eastAsia="宋体"/>
                <w:color w:val="auto"/>
                <w:szCs w:val="21"/>
                <w:highlight w:val="none"/>
              </w:rPr>
            </w:pPr>
          </w:p>
        </w:tc>
        <w:tc>
          <w:tcPr>
            <w:tcW w:w="1250" w:type="pct"/>
          </w:tcPr>
          <w:p w14:paraId="63F21A24">
            <w:pPr>
              <w:spacing w:line="360" w:lineRule="auto"/>
              <w:jc w:val="center"/>
              <w:rPr>
                <w:rFonts w:ascii="宋体" w:hAnsi="宋体" w:eastAsia="宋体"/>
                <w:color w:val="auto"/>
                <w:szCs w:val="21"/>
                <w:highlight w:val="none"/>
              </w:rPr>
            </w:pPr>
          </w:p>
        </w:tc>
      </w:tr>
      <w:tr w14:paraId="5013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1C9EED86">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3</w:t>
            </w:r>
          </w:p>
        </w:tc>
        <w:tc>
          <w:tcPr>
            <w:tcW w:w="1250" w:type="pct"/>
          </w:tcPr>
          <w:p w14:paraId="181C960F">
            <w:pPr>
              <w:spacing w:line="360" w:lineRule="auto"/>
              <w:jc w:val="center"/>
              <w:rPr>
                <w:rFonts w:ascii="宋体" w:hAnsi="宋体" w:eastAsia="宋体"/>
                <w:color w:val="auto"/>
                <w:szCs w:val="21"/>
                <w:highlight w:val="none"/>
              </w:rPr>
            </w:pPr>
          </w:p>
        </w:tc>
        <w:tc>
          <w:tcPr>
            <w:tcW w:w="1250" w:type="pct"/>
          </w:tcPr>
          <w:p w14:paraId="63C30C7B">
            <w:pPr>
              <w:spacing w:line="360" w:lineRule="auto"/>
              <w:jc w:val="center"/>
              <w:rPr>
                <w:rFonts w:ascii="宋体" w:hAnsi="宋体" w:eastAsia="宋体"/>
                <w:color w:val="auto"/>
                <w:szCs w:val="21"/>
                <w:highlight w:val="none"/>
              </w:rPr>
            </w:pPr>
          </w:p>
        </w:tc>
        <w:tc>
          <w:tcPr>
            <w:tcW w:w="1250" w:type="pct"/>
          </w:tcPr>
          <w:p w14:paraId="48749D59">
            <w:pPr>
              <w:spacing w:line="360" w:lineRule="auto"/>
              <w:jc w:val="center"/>
              <w:rPr>
                <w:rFonts w:ascii="宋体" w:hAnsi="宋体" w:eastAsia="宋体"/>
                <w:color w:val="auto"/>
                <w:szCs w:val="21"/>
                <w:highlight w:val="none"/>
              </w:rPr>
            </w:pPr>
          </w:p>
        </w:tc>
      </w:tr>
      <w:tr w14:paraId="5D4A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472772E1">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w:t>
            </w:r>
          </w:p>
        </w:tc>
        <w:tc>
          <w:tcPr>
            <w:tcW w:w="1250" w:type="pct"/>
          </w:tcPr>
          <w:p w14:paraId="01E12784">
            <w:pPr>
              <w:spacing w:line="360" w:lineRule="auto"/>
              <w:jc w:val="center"/>
              <w:rPr>
                <w:rFonts w:ascii="宋体" w:hAnsi="宋体" w:eastAsia="宋体"/>
                <w:color w:val="auto"/>
                <w:szCs w:val="21"/>
                <w:highlight w:val="none"/>
              </w:rPr>
            </w:pPr>
          </w:p>
        </w:tc>
        <w:tc>
          <w:tcPr>
            <w:tcW w:w="1250" w:type="pct"/>
          </w:tcPr>
          <w:p w14:paraId="1E673927">
            <w:pPr>
              <w:spacing w:line="360" w:lineRule="auto"/>
              <w:jc w:val="center"/>
              <w:rPr>
                <w:rFonts w:ascii="宋体" w:hAnsi="宋体" w:eastAsia="宋体"/>
                <w:color w:val="auto"/>
                <w:szCs w:val="21"/>
                <w:highlight w:val="none"/>
              </w:rPr>
            </w:pPr>
          </w:p>
        </w:tc>
        <w:tc>
          <w:tcPr>
            <w:tcW w:w="1250" w:type="pct"/>
          </w:tcPr>
          <w:p w14:paraId="1C5647F9">
            <w:pPr>
              <w:spacing w:line="360" w:lineRule="auto"/>
              <w:jc w:val="center"/>
              <w:rPr>
                <w:rFonts w:ascii="宋体" w:hAnsi="宋体" w:eastAsia="宋体"/>
                <w:color w:val="auto"/>
                <w:szCs w:val="21"/>
                <w:highlight w:val="none"/>
              </w:rPr>
            </w:pPr>
          </w:p>
        </w:tc>
      </w:tr>
    </w:tbl>
    <w:p w14:paraId="12DBACA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w:t>
      </w:r>
    </w:p>
    <w:p w14:paraId="12645F3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1.管理关系：是指不具有出资持股关系的其他单位之间存在的管理与被管理关系，如一些上下级关系的事业单位和团体组织。</w:t>
      </w:r>
    </w:p>
    <w:p w14:paraId="7B21FE2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2.本表所指的管理关系仅限于直接管理关系，不包括间接的管理关系。</w:t>
      </w:r>
    </w:p>
    <w:p w14:paraId="75D88A5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3.供应商不存在直接管理关系的，则填“无”。</w:t>
      </w:r>
    </w:p>
    <w:p w14:paraId="3C40F572">
      <w:pPr>
        <w:spacing w:line="360" w:lineRule="auto"/>
        <w:ind w:firstLine="420" w:firstLineChars="200"/>
        <w:rPr>
          <w:rFonts w:ascii="宋体" w:hAnsi="宋体" w:eastAsia="宋体"/>
          <w:color w:val="auto"/>
          <w:szCs w:val="21"/>
          <w:highlight w:val="none"/>
        </w:rPr>
      </w:pPr>
    </w:p>
    <w:p w14:paraId="43F8758F">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39E976EA">
      <w:pPr>
        <w:spacing w:line="360" w:lineRule="auto"/>
        <w:ind w:firstLine="420" w:firstLineChars="200"/>
        <w:jc w:val="right"/>
        <w:rPr>
          <w:rFonts w:ascii="宋体" w:hAnsi="宋体" w:eastAsia="宋体"/>
          <w:color w:val="auto"/>
          <w:sz w:val="28"/>
          <w:szCs w:val="28"/>
          <w:highlight w:val="none"/>
        </w:rPr>
      </w:pPr>
      <w:r>
        <w:rPr>
          <w:rFonts w:hint="eastAsia" w:ascii="宋体" w:hAnsi="宋体" w:eastAsia="宋体"/>
          <w:color w:val="auto"/>
          <w:szCs w:val="21"/>
          <w:highlight w:val="none"/>
        </w:rPr>
        <w:t>日期：</w:t>
      </w:r>
      <w:r>
        <w:rPr>
          <w:rFonts w:ascii="宋体" w:hAnsi="宋体" w:eastAsia="宋体" w:cs="Times New Roman"/>
          <w:color w:val="auto"/>
          <w:szCs w:val="21"/>
          <w:highlight w:val="none"/>
        </w:rPr>
        <w:t>___</w:t>
      </w:r>
      <w:r>
        <w:rPr>
          <w:rFonts w:hint="eastAsia" w:ascii="宋体" w:hAnsi="宋体" w:eastAsia="宋体"/>
          <w:color w:val="auto"/>
          <w:szCs w:val="21"/>
          <w:highlight w:val="none"/>
        </w:rPr>
        <w:t>年</w:t>
      </w:r>
      <w:r>
        <w:rPr>
          <w:rFonts w:ascii="宋体" w:hAnsi="宋体" w:eastAsia="宋体" w:cs="Times New Roman"/>
          <w:color w:val="auto"/>
          <w:szCs w:val="21"/>
          <w:highlight w:val="none"/>
        </w:rPr>
        <w:t>___</w:t>
      </w:r>
      <w:r>
        <w:rPr>
          <w:rFonts w:hint="eastAsia" w:ascii="宋体" w:hAnsi="宋体" w:eastAsia="宋体"/>
          <w:color w:val="auto"/>
          <w:szCs w:val="21"/>
          <w:highlight w:val="none"/>
        </w:rPr>
        <w:t>月</w:t>
      </w:r>
      <w:r>
        <w:rPr>
          <w:rFonts w:ascii="宋体" w:hAnsi="宋体" w:eastAsia="宋体" w:cs="Times New Roman"/>
          <w:color w:val="auto"/>
          <w:szCs w:val="21"/>
          <w:highlight w:val="none"/>
        </w:rPr>
        <w:t>___</w:t>
      </w:r>
      <w:r>
        <w:rPr>
          <w:rFonts w:hint="eastAsia" w:ascii="宋体" w:hAnsi="宋体" w:eastAsia="宋体"/>
          <w:color w:val="auto"/>
          <w:szCs w:val="21"/>
          <w:highlight w:val="none"/>
        </w:rPr>
        <w:t>日</w:t>
      </w:r>
    </w:p>
    <w:p w14:paraId="0C0A6FC4">
      <w:pPr>
        <w:spacing w:line="360" w:lineRule="auto"/>
        <w:ind w:firstLine="560" w:firstLineChars="200"/>
        <w:jc w:val="right"/>
        <w:rPr>
          <w:rFonts w:ascii="宋体" w:hAnsi="宋体" w:eastAsia="宋体"/>
          <w:color w:val="auto"/>
          <w:sz w:val="28"/>
          <w:szCs w:val="28"/>
          <w:highlight w:val="none"/>
        </w:rPr>
        <w:sectPr>
          <w:pgSz w:w="11906" w:h="16838"/>
          <w:pgMar w:top="1134" w:right="1134" w:bottom="1134" w:left="1134" w:header="851" w:footer="680" w:gutter="0"/>
          <w:cols w:space="425" w:num="1"/>
          <w:docGrid w:type="lines" w:linePitch="312" w:charSpace="0"/>
        </w:sectPr>
      </w:pPr>
    </w:p>
    <w:p w14:paraId="3D4A7FCA">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六、资格声明函</w:t>
      </w:r>
    </w:p>
    <w:p w14:paraId="0801275E">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资格声明函</w:t>
      </w:r>
    </w:p>
    <w:p w14:paraId="5B2532D0">
      <w:pPr>
        <w:spacing w:line="360" w:lineRule="auto"/>
        <w:ind w:firstLine="420" w:firstLineChars="200"/>
        <w:rPr>
          <w:rFonts w:ascii="宋体" w:hAnsi="宋体" w:eastAsia="宋体"/>
          <w:color w:val="auto"/>
          <w:szCs w:val="21"/>
          <w:highlight w:val="none"/>
        </w:rPr>
      </w:pPr>
    </w:p>
    <w:p w14:paraId="5594D9FC">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致：</w:t>
      </w:r>
      <w:r>
        <w:rPr>
          <w:rFonts w:hint="eastAsia" w:ascii="宋体" w:hAnsi="宋体" w:eastAsia="宋体"/>
          <w:color w:val="auto"/>
          <w:szCs w:val="21"/>
          <w:highlight w:val="none"/>
          <w:u w:val="single"/>
        </w:rPr>
        <w:t>[项目采购-采购组织机构_]</w:t>
      </w:r>
      <w:r>
        <w:rPr>
          <w:rFonts w:hint="eastAsia" w:ascii="宋体" w:hAnsi="宋体" w:eastAsia="宋体"/>
          <w:color w:val="auto"/>
          <w:szCs w:val="21"/>
          <w:highlight w:val="none"/>
        </w:rPr>
        <w:t>：</w:t>
      </w:r>
    </w:p>
    <w:p w14:paraId="3102EF7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u w:val="single"/>
        </w:rPr>
        <w:t>（供应商名称）</w:t>
      </w:r>
      <w:r>
        <w:rPr>
          <w:rFonts w:hint="eastAsia" w:ascii="宋体" w:hAnsi="宋体" w:eastAsia="宋体"/>
          <w:color w:val="auto"/>
          <w:szCs w:val="21"/>
          <w:highlight w:val="none"/>
        </w:rPr>
        <w:t>系中华人民共和国合法供应商，经营地址</w:t>
      </w:r>
      <w:r>
        <w:rPr>
          <w:rFonts w:ascii="Times New Roman" w:hAnsi="Times New Roman" w:eastAsia="宋体" w:cs="Times New Roman"/>
          <w:color w:val="auto"/>
          <w:szCs w:val="21"/>
          <w:highlight w:val="none"/>
        </w:rPr>
        <w:t>_______________________________________</w:t>
      </w:r>
      <w:r>
        <w:rPr>
          <w:rFonts w:hint="eastAsia" w:ascii="宋体" w:hAnsi="宋体" w:eastAsia="宋体"/>
          <w:color w:val="auto"/>
          <w:szCs w:val="21"/>
          <w:highlight w:val="none"/>
        </w:rPr>
        <w:t>。</w:t>
      </w:r>
    </w:p>
    <w:p w14:paraId="6A58C91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我方愿意参加贵方组织的</w:t>
      </w:r>
      <w:r>
        <w:rPr>
          <w:rFonts w:hint="eastAsia" w:ascii="宋体" w:hAnsi="宋体" w:eastAsia="宋体"/>
          <w:color w:val="auto"/>
          <w:szCs w:val="21"/>
          <w:highlight w:val="none"/>
          <w:u w:val="single"/>
        </w:rPr>
        <w:t>[项目采购-项目名称_]）</w:t>
      </w:r>
      <w:r>
        <w:rPr>
          <w:rFonts w:hint="eastAsia" w:ascii="宋体" w:hAnsi="宋体" w:eastAsia="宋体"/>
          <w:color w:val="auto"/>
          <w:szCs w:val="21"/>
          <w:highlight w:val="none"/>
        </w:rPr>
        <w:t>项目的竞标，为便于贵方公正、择优地确定成交供应商及其竞标产品和服务，我方就本次竞标有关事项郑重声明如下：</w:t>
      </w:r>
    </w:p>
    <w:p w14:paraId="05D7229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1.我方向贵方提交的所有响应文件、资料都是准确的和真实的。</w:t>
      </w:r>
    </w:p>
    <w:p w14:paraId="6FDCD8F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D77DB5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3.在此，我方宣布同意如下：</w:t>
      </w:r>
    </w:p>
    <w:p w14:paraId="5A47FFF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（1）将按磋商文件的约定履行合同责任和义务；</w:t>
      </w:r>
    </w:p>
    <w:p w14:paraId="3150B7A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（2）已详细审查全部磋商文件，包括澄清或者更正公告（如有）；</w:t>
      </w:r>
    </w:p>
    <w:p w14:paraId="096EE5B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（3）同意提供按照贵方可能要求的与磋商有关的一切数据或者资料；</w:t>
      </w:r>
    </w:p>
    <w:p w14:paraId="3675F79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（4）响应磋商文件规定的竞标有效期。</w:t>
      </w:r>
    </w:p>
    <w:p w14:paraId="47D69A1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22FDABF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EB4A50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3F8393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□我方本次响应文件内容中未涉及商业秘密；</w:t>
      </w:r>
    </w:p>
    <w:p w14:paraId="06F90D6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□我方本次响应文件涉及商业秘密的内容有：</w:t>
      </w:r>
      <w:r>
        <w:rPr>
          <w:rFonts w:ascii="Times New Roman" w:hAnsi="Times New Roman" w:eastAsia="宋体" w:cs="Times New Roman"/>
          <w:color w:val="auto"/>
          <w:szCs w:val="21"/>
          <w:highlight w:val="none"/>
        </w:rPr>
        <w:t>________________________________________________</w:t>
      </w:r>
      <w:r>
        <w:rPr>
          <w:rFonts w:hint="eastAsia" w:ascii="宋体" w:hAnsi="宋体" w:eastAsia="宋体"/>
          <w:color w:val="auto"/>
          <w:szCs w:val="21"/>
          <w:highlight w:val="none"/>
        </w:rPr>
        <w:t>；</w:t>
      </w:r>
    </w:p>
    <w:p w14:paraId="3390660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7.与本磋商有关的一切正式往来信函请寄：</w:t>
      </w:r>
      <w:r>
        <w:rPr>
          <w:rFonts w:ascii="Times New Roman" w:hAnsi="Times New Roman" w:eastAsia="宋体" w:cs="Times New Roman"/>
          <w:color w:val="auto"/>
          <w:szCs w:val="21"/>
          <w:highlight w:val="none"/>
        </w:rPr>
        <w:t>____________________</w:t>
      </w:r>
      <w:r>
        <w:rPr>
          <w:rFonts w:hint="eastAsia" w:ascii="宋体" w:hAnsi="宋体" w:eastAsia="宋体"/>
          <w:color w:val="auto"/>
          <w:szCs w:val="21"/>
          <w:highlight w:val="none"/>
        </w:rPr>
        <w:t>邮政编号：</w:t>
      </w:r>
      <w:r>
        <w:rPr>
          <w:rFonts w:ascii="Times New Roman" w:hAnsi="Times New Roman" w:eastAsia="宋体" w:cs="Times New Roman"/>
          <w:color w:val="auto"/>
          <w:szCs w:val="21"/>
          <w:highlight w:val="none"/>
        </w:rPr>
        <w:t>_____________________</w:t>
      </w:r>
    </w:p>
    <w:p w14:paraId="1A4B44E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电话/传真：</w:t>
      </w:r>
      <w:r>
        <w:rPr>
          <w:rFonts w:ascii="Times New Roman" w:hAnsi="Times New Roman" w:eastAsia="宋体" w:cs="Times New Roman"/>
          <w:color w:val="auto"/>
          <w:szCs w:val="21"/>
          <w:highlight w:val="none"/>
        </w:rPr>
        <w:t>__________________________________</w:t>
      </w:r>
      <w:r>
        <w:rPr>
          <w:rFonts w:hint="eastAsia" w:ascii="宋体" w:hAnsi="宋体" w:eastAsia="宋体"/>
          <w:color w:val="auto"/>
          <w:szCs w:val="21"/>
          <w:highlight w:val="none"/>
        </w:rPr>
        <w:t>电子函件：</w:t>
      </w:r>
      <w:r>
        <w:rPr>
          <w:rFonts w:ascii="Times New Roman" w:hAnsi="Times New Roman" w:eastAsia="宋体" w:cs="Times New Roman"/>
          <w:color w:val="auto"/>
          <w:szCs w:val="21"/>
          <w:highlight w:val="none"/>
        </w:rPr>
        <w:t>__________________________________</w:t>
      </w:r>
    </w:p>
    <w:p w14:paraId="62F60D8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开户银行：</w:t>
      </w:r>
      <w:r>
        <w:rPr>
          <w:rFonts w:ascii="Times New Roman" w:hAnsi="Times New Roman" w:eastAsia="宋体" w:cs="Times New Roman"/>
          <w:color w:val="auto"/>
          <w:szCs w:val="21"/>
          <w:highlight w:val="none"/>
        </w:rPr>
        <w:t>__________________________________</w:t>
      </w:r>
      <w:r>
        <w:rPr>
          <w:rFonts w:hint="eastAsia" w:ascii="宋体" w:hAnsi="宋体" w:eastAsia="宋体"/>
          <w:color w:val="auto"/>
          <w:szCs w:val="21"/>
          <w:highlight w:val="none"/>
        </w:rPr>
        <w:t>帐号：</w:t>
      </w:r>
      <w:r>
        <w:rPr>
          <w:rFonts w:ascii="Times New Roman" w:hAnsi="Times New Roman" w:eastAsia="宋体" w:cs="Times New Roman"/>
          <w:color w:val="auto"/>
          <w:szCs w:val="21"/>
          <w:highlight w:val="none"/>
        </w:rPr>
        <w:t>______________________________________</w:t>
      </w:r>
    </w:p>
    <w:p w14:paraId="31C2C33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8.以上事项如有虚假或者隐瞒，我方愿意承担一切后果，并不再寻求任何旨在减轻或者免除法律责任的辩解。</w:t>
      </w:r>
    </w:p>
    <w:p w14:paraId="695DB60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特此承诺。</w:t>
      </w:r>
    </w:p>
    <w:p w14:paraId="646F747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注：如为联合体竞标，盖章处须加盖联合体各方公章并由联合体各方法定代表人签署，否则其响应文件按无效响应处理。</w:t>
      </w:r>
    </w:p>
    <w:p w14:paraId="5202F05F">
      <w:pPr>
        <w:spacing w:line="360" w:lineRule="auto"/>
        <w:ind w:firstLine="420" w:firstLineChars="200"/>
        <w:rPr>
          <w:rFonts w:ascii="宋体" w:hAnsi="宋体" w:eastAsia="宋体"/>
          <w:color w:val="auto"/>
          <w:szCs w:val="21"/>
          <w:highlight w:val="none"/>
        </w:rPr>
      </w:pPr>
    </w:p>
    <w:p w14:paraId="0D2487C2">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534A8F3C">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367A9C86">
      <w:pPr>
        <w:spacing w:line="360" w:lineRule="auto"/>
        <w:ind w:firstLine="643" w:firstLineChars="200"/>
        <w:rPr>
          <w:rFonts w:ascii="宋体" w:hAnsi="宋体" w:eastAsia="宋体"/>
          <w:b/>
          <w:color w:val="auto"/>
          <w:sz w:val="32"/>
          <w:szCs w:val="32"/>
          <w:highlight w:val="none"/>
        </w:rPr>
        <w:sectPr>
          <w:pgSz w:w="11906" w:h="16838"/>
          <w:pgMar w:top="1134" w:right="1134" w:bottom="1134" w:left="1134" w:header="851" w:footer="680" w:gutter="0"/>
          <w:cols w:space="425" w:num="1"/>
          <w:docGrid w:type="lines" w:linePitch="312" w:charSpace="0"/>
        </w:sectPr>
      </w:pPr>
    </w:p>
    <w:p w14:paraId="04F40A7D">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七、联合体协议书（如有）</w:t>
      </w:r>
    </w:p>
    <w:p w14:paraId="76A52639">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联合体竞标协议书（格式）</w:t>
      </w:r>
    </w:p>
    <w:p w14:paraId="38F5AB97">
      <w:pPr>
        <w:spacing w:line="360" w:lineRule="auto"/>
        <w:ind w:firstLine="420" w:firstLineChars="200"/>
        <w:rPr>
          <w:rFonts w:ascii="宋体" w:hAnsi="宋体" w:eastAsia="宋体"/>
          <w:color w:val="auto"/>
          <w:szCs w:val="21"/>
          <w:highlight w:val="none"/>
        </w:rPr>
      </w:pPr>
    </w:p>
    <w:p w14:paraId="7C18D807">
      <w:pPr>
        <w:spacing w:line="360" w:lineRule="auto"/>
        <w:ind w:firstLine="420" w:firstLineChars="200"/>
        <w:rPr>
          <w:rFonts w:ascii="宋体" w:hAnsi="宋体" w:eastAsia="宋体"/>
          <w:color w:val="auto"/>
          <w:szCs w:val="21"/>
          <w:highlight w:val="none"/>
        </w:rPr>
      </w:pPr>
      <w:r>
        <w:rPr>
          <w:rFonts w:ascii="Times New Roman" w:hAnsi="Times New Roman" w:eastAsia="宋体" w:cs="Times New Roman"/>
          <w:color w:val="auto"/>
          <w:szCs w:val="21"/>
          <w:highlight w:val="none"/>
        </w:rPr>
        <w:t>____________________</w:t>
      </w:r>
      <w:r>
        <w:rPr>
          <w:rFonts w:hint="eastAsia" w:ascii="宋体" w:hAnsi="宋体" w:eastAsia="宋体"/>
          <w:color w:val="auto"/>
          <w:szCs w:val="21"/>
          <w:highlight w:val="none"/>
        </w:rPr>
        <w:t>（所有成员单位名称）自愿组成联合体，共同参加</w:t>
      </w:r>
      <w:r>
        <w:rPr>
          <w:rFonts w:hint="eastAsia" w:ascii="宋体" w:hAnsi="宋体" w:eastAsia="宋体"/>
          <w:color w:val="auto"/>
          <w:szCs w:val="21"/>
          <w:highlight w:val="none"/>
          <w:u w:val="single"/>
        </w:rPr>
        <w:t>[项目采购-采购组织机构]</w:t>
      </w:r>
      <w:r>
        <w:rPr>
          <w:rFonts w:hint="eastAsia" w:ascii="宋体" w:hAnsi="宋体" w:eastAsia="宋体"/>
          <w:color w:val="auto"/>
          <w:szCs w:val="21"/>
          <w:highlight w:val="none"/>
        </w:rPr>
        <w:t>组织的</w:t>
      </w:r>
      <w:r>
        <w:rPr>
          <w:rFonts w:hint="eastAsia" w:ascii="宋体" w:hAnsi="宋体" w:eastAsia="宋体"/>
          <w:color w:val="auto"/>
          <w:szCs w:val="21"/>
          <w:highlight w:val="none"/>
          <w:u w:val="single"/>
        </w:rPr>
        <w:t>[项目采购-项目名称_]</w:t>
      </w:r>
      <w:r>
        <w:rPr>
          <w:rFonts w:hint="eastAsia" w:ascii="宋体" w:hAnsi="宋体" w:eastAsia="宋体"/>
          <w:color w:val="auto"/>
          <w:szCs w:val="21"/>
          <w:highlight w:val="none"/>
        </w:rPr>
        <w:t>（项目编号：</w:t>
      </w:r>
      <w:r>
        <w:rPr>
          <w:rFonts w:hint="eastAsia" w:ascii="宋体" w:hAnsi="宋体" w:eastAsia="宋体"/>
          <w:color w:val="auto"/>
          <w:szCs w:val="21"/>
          <w:highlight w:val="none"/>
          <w:u w:val="single"/>
        </w:rPr>
        <w:t>[项目采购-项目编号_]</w:t>
      </w:r>
      <w:r>
        <w:rPr>
          <w:rFonts w:hint="eastAsia" w:ascii="宋体" w:hAnsi="宋体" w:eastAsia="宋体"/>
          <w:color w:val="auto"/>
          <w:szCs w:val="21"/>
          <w:highlight w:val="none"/>
        </w:rPr>
        <w:t>）竞争性磋商采购。现就联合体竞标事宜订立如下协议：</w:t>
      </w:r>
    </w:p>
    <w:p w14:paraId="43ABF67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w:t>
      </w:r>
      <w:r>
        <w:rPr>
          <w:rFonts w:ascii="Times New Roman" w:hAnsi="Times New Roman" w:eastAsia="宋体" w:cs="Times New Roman"/>
          <w:color w:val="auto"/>
          <w:szCs w:val="21"/>
          <w:highlight w:val="none"/>
        </w:rPr>
        <w:t>____________________</w:t>
      </w:r>
      <w:r>
        <w:rPr>
          <w:rFonts w:hint="eastAsia" w:ascii="宋体" w:hAnsi="宋体" w:eastAsia="宋体"/>
          <w:color w:val="auto"/>
          <w:szCs w:val="21"/>
          <w:highlight w:val="none"/>
        </w:rPr>
        <w:t>（某成员单位名称）为联合体名称牵头人。</w:t>
      </w:r>
    </w:p>
    <w:p w14:paraId="10A5229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A8B44D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769C36C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4、联合体各成员单位内部的职责分工如下：</w:t>
      </w:r>
      <w:r>
        <w:rPr>
          <w:rFonts w:ascii="Times New Roman" w:hAnsi="Times New Roman" w:eastAsia="宋体" w:cs="Times New Roman"/>
          <w:color w:val="auto"/>
          <w:szCs w:val="21"/>
          <w:highlight w:val="none"/>
        </w:rPr>
        <w:t>__________________________________________________</w:t>
      </w:r>
      <w:r>
        <w:rPr>
          <w:rFonts w:hint="eastAsia" w:ascii="宋体" w:hAnsi="宋体" w:eastAsia="宋体"/>
          <w:color w:val="auto"/>
          <w:szCs w:val="21"/>
          <w:highlight w:val="none"/>
        </w:rPr>
        <w:t>。</w:t>
      </w:r>
    </w:p>
    <w:p w14:paraId="4ED8F88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5、本联合体中，</w:t>
      </w:r>
      <w:r>
        <w:rPr>
          <w:rFonts w:ascii="Times New Roman" w:hAnsi="Times New Roman" w:eastAsia="宋体" w:cs="Times New Roman"/>
          <w:color w:val="auto"/>
          <w:szCs w:val="21"/>
          <w:highlight w:val="none"/>
        </w:rPr>
        <w:t>____________________</w:t>
      </w:r>
      <w:r>
        <w:rPr>
          <w:rFonts w:hint="eastAsia" w:ascii="宋体" w:hAnsi="宋体" w:eastAsia="宋体"/>
          <w:color w:val="auto"/>
          <w:szCs w:val="21"/>
          <w:highlight w:val="none"/>
        </w:rPr>
        <w:t>（某成员单位名称）为______（请填写：中型、小型、微型）企业，其协议合同金额占联合体协议合同总金额的______%。【如联合体成员中有小型、微型企业的，请填写此条，否则无需填写；如联合体成员中有多个小型、微型企业的，请逐一列出。】</w:t>
      </w:r>
    </w:p>
    <w:p w14:paraId="2CB0888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6、本协议书自签署之日起生效，合同履行完毕后自动失效。</w:t>
      </w:r>
    </w:p>
    <w:p w14:paraId="58BB55C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7、本协议书一式______份，联合体成员和采购代理机构各执一份。</w:t>
      </w:r>
    </w:p>
    <w:p w14:paraId="4404805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注：本协议书由法定代表人签字的，应附法定代表人身份证明；本协议书由委托代理人签字的，应附法定代表人授权委托书。</w:t>
      </w:r>
    </w:p>
    <w:p w14:paraId="01B3B93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牵头人名称：</w:t>
      </w:r>
      <w:r>
        <w:rPr>
          <w:rFonts w:ascii="Times New Roman" w:hAnsi="Times New Roman" w:eastAsia="宋体" w:cs="Times New Roman"/>
          <w:color w:val="auto"/>
          <w:szCs w:val="21"/>
          <w:highlight w:val="none"/>
        </w:rPr>
        <w:t>_________________________________________________________</w:t>
      </w:r>
      <w:r>
        <w:rPr>
          <w:rFonts w:hint="eastAsia" w:ascii="宋体" w:hAnsi="宋体" w:eastAsia="宋体"/>
          <w:color w:val="auto"/>
          <w:szCs w:val="21"/>
          <w:highlight w:val="none"/>
        </w:rPr>
        <w:t>（盖单位公章）</w:t>
      </w:r>
    </w:p>
    <w:p w14:paraId="5530F28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法定代表人或其委托代理人：</w:t>
      </w:r>
      <w:r>
        <w:rPr>
          <w:rFonts w:ascii="Times New Roman" w:hAnsi="Times New Roman" w:eastAsia="宋体" w:cs="Times New Roman"/>
          <w:color w:val="auto"/>
          <w:szCs w:val="21"/>
          <w:highlight w:val="none"/>
        </w:rPr>
        <w:t>______________________________________________</w:t>
      </w:r>
      <w:r>
        <w:rPr>
          <w:rFonts w:hint="eastAsia" w:ascii="宋体" w:hAnsi="宋体" w:eastAsia="宋体"/>
          <w:color w:val="auto"/>
          <w:szCs w:val="21"/>
          <w:highlight w:val="none"/>
        </w:rPr>
        <w:t>（签字或盖章）</w:t>
      </w:r>
    </w:p>
    <w:p w14:paraId="44D1E00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成员一名称：</w:t>
      </w:r>
      <w:r>
        <w:rPr>
          <w:rFonts w:ascii="Times New Roman" w:hAnsi="Times New Roman" w:eastAsia="宋体" w:cs="Times New Roman"/>
          <w:color w:val="auto"/>
          <w:szCs w:val="21"/>
          <w:highlight w:val="none"/>
        </w:rPr>
        <w:t>__________________________________________________________</w:t>
      </w:r>
      <w:r>
        <w:rPr>
          <w:rFonts w:hint="eastAsia" w:ascii="宋体" w:hAnsi="宋体" w:eastAsia="宋体"/>
          <w:color w:val="auto"/>
          <w:szCs w:val="21"/>
          <w:highlight w:val="none"/>
        </w:rPr>
        <w:t>（盖单位公章）</w:t>
      </w:r>
    </w:p>
    <w:p w14:paraId="6D594AC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法定代表人或其委托代理人：</w:t>
      </w:r>
      <w:r>
        <w:rPr>
          <w:rFonts w:ascii="Times New Roman" w:hAnsi="Times New Roman" w:eastAsia="宋体" w:cs="Times New Roman"/>
          <w:color w:val="auto"/>
          <w:szCs w:val="21"/>
          <w:highlight w:val="none"/>
        </w:rPr>
        <w:t>___________________________________________</w:t>
      </w:r>
      <w:r>
        <w:rPr>
          <w:rFonts w:hint="eastAsia" w:ascii="宋体" w:hAnsi="宋体" w:eastAsia="宋体"/>
          <w:color w:val="auto"/>
          <w:szCs w:val="21"/>
          <w:highlight w:val="none"/>
        </w:rPr>
        <w:t>（签字或盖章）</w:t>
      </w:r>
    </w:p>
    <w:p w14:paraId="693A3C9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成员二名称：</w:t>
      </w:r>
      <w:r>
        <w:rPr>
          <w:rFonts w:ascii="Times New Roman" w:hAnsi="Times New Roman" w:eastAsia="宋体" w:cs="Times New Roman"/>
          <w:color w:val="auto"/>
          <w:szCs w:val="21"/>
          <w:highlight w:val="none"/>
        </w:rPr>
        <w:t>___________________________________________________________</w:t>
      </w:r>
      <w:r>
        <w:rPr>
          <w:rFonts w:hint="eastAsia" w:ascii="宋体" w:hAnsi="宋体" w:eastAsia="宋体"/>
          <w:color w:val="auto"/>
          <w:szCs w:val="21"/>
          <w:highlight w:val="none"/>
        </w:rPr>
        <w:t>（盖单位公章）</w:t>
      </w:r>
    </w:p>
    <w:p w14:paraId="47E29B7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法定代表人或其委托代理人：</w:t>
      </w:r>
      <w:r>
        <w:rPr>
          <w:rFonts w:ascii="Times New Roman" w:hAnsi="Times New Roman" w:eastAsia="宋体" w:cs="Times New Roman"/>
          <w:color w:val="auto"/>
          <w:szCs w:val="21"/>
          <w:highlight w:val="none"/>
        </w:rPr>
        <w:t>__________________________________________</w:t>
      </w:r>
      <w:r>
        <w:rPr>
          <w:rFonts w:hint="eastAsia" w:ascii="宋体" w:hAnsi="宋体" w:eastAsia="宋体"/>
          <w:color w:val="auto"/>
          <w:szCs w:val="21"/>
          <w:highlight w:val="none"/>
        </w:rPr>
        <w:t>（签字或盖章）</w:t>
      </w:r>
    </w:p>
    <w:p w14:paraId="4128189F">
      <w:pPr>
        <w:spacing w:line="360" w:lineRule="auto"/>
        <w:ind w:firstLine="420" w:firstLineChars="200"/>
        <w:rPr>
          <w:rFonts w:ascii="宋体" w:hAnsi="宋体" w:eastAsia="宋体"/>
          <w:color w:val="auto"/>
          <w:szCs w:val="21"/>
          <w:highlight w:val="none"/>
        </w:rPr>
      </w:pPr>
    </w:p>
    <w:p w14:paraId="712603D5">
      <w:pPr>
        <w:spacing w:line="360" w:lineRule="auto"/>
        <w:ind w:firstLine="420" w:firstLineChars="200"/>
        <w:rPr>
          <w:rFonts w:ascii="宋体" w:hAnsi="宋体" w:eastAsia="宋体"/>
          <w:color w:val="auto"/>
          <w:szCs w:val="21"/>
          <w:highlight w:val="none"/>
        </w:rPr>
      </w:pPr>
    </w:p>
    <w:p w14:paraId="4C9BC8CD">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593C658E">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49841C08">
      <w:pPr>
        <w:spacing w:line="360" w:lineRule="auto"/>
        <w:ind w:firstLine="420" w:firstLineChars="200"/>
        <w:jc w:val="right"/>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3A6BC684">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八、符合特定资格条件（如果项目要求）的有关证明材料（复印件）</w:t>
      </w:r>
    </w:p>
    <w:p w14:paraId="1ECEDC10">
      <w:pPr>
        <w:spacing w:line="360" w:lineRule="auto"/>
        <w:ind w:firstLine="420" w:firstLineChars="200"/>
        <w:rPr>
          <w:rFonts w:ascii="宋体" w:hAnsi="宋体" w:eastAsia="宋体"/>
          <w:color w:val="auto"/>
          <w:szCs w:val="21"/>
          <w:highlight w:val="none"/>
        </w:rPr>
      </w:pPr>
    </w:p>
    <w:p w14:paraId="787834AE">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1C13C206">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1F1AE60D">
      <w:pPr>
        <w:spacing w:line="360" w:lineRule="auto"/>
        <w:ind w:firstLine="420" w:firstLineChars="200"/>
        <w:jc w:val="right"/>
        <w:rPr>
          <w:rFonts w:ascii="宋体" w:hAnsi="宋体" w:eastAsia="宋体"/>
          <w:color w:val="auto"/>
          <w:szCs w:val="21"/>
          <w:highlight w:val="none"/>
        </w:rPr>
      </w:pPr>
    </w:p>
    <w:p w14:paraId="4205ECFB">
      <w:pPr>
        <w:spacing w:line="360" w:lineRule="auto"/>
        <w:ind w:firstLine="420" w:firstLineChars="200"/>
        <w:jc w:val="right"/>
        <w:rPr>
          <w:rFonts w:ascii="宋体" w:hAnsi="宋体" w:eastAsia="宋体"/>
          <w:color w:val="auto"/>
          <w:szCs w:val="21"/>
          <w:highlight w:val="none"/>
        </w:rPr>
      </w:pPr>
    </w:p>
    <w:p w14:paraId="4880F93B">
      <w:pPr>
        <w:spacing w:line="360" w:lineRule="auto"/>
        <w:jc w:val="center"/>
        <w:rPr>
          <w:rFonts w:ascii="宋体" w:hAnsi="宋体" w:eastAsia="宋体"/>
          <w:b/>
          <w:color w:val="auto"/>
          <w:sz w:val="28"/>
          <w:szCs w:val="28"/>
          <w:highlight w:val="none"/>
        </w:rPr>
      </w:pPr>
      <w:r>
        <w:rPr>
          <w:rFonts w:hint="eastAsia" w:ascii="宋体" w:hAnsi="宋体" w:eastAsia="宋体"/>
          <w:b/>
          <w:color w:val="auto"/>
          <w:sz w:val="28"/>
          <w:szCs w:val="28"/>
          <w:highlight w:val="none"/>
        </w:rPr>
        <w:t>承诺书</w:t>
      </w:r>
    </w:p>
    <w:p w14:paraId="7408A26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现承诺我单位投入本工程的项目经理是本单位的在岗人员，且不在任何在建工程中担任任何管理职务。如我单位有不符合上述要求的，采购人有权依法依规取消我单位成交资格。</w:t>
      </w:r>
    </w:p>
    <w:p w14:paraId="7904FE51">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68D22786">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法定代表人或授权委托代理人：</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（签字或电子签名）</w:t>
      </w:r>
    </w:p>
    <w:p w14:paraId="3C23DAAB">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118549BB">
      <w:pPr>
        <w:spacing w:line="360" w:lineRule="auto"/>
        <w:ind w:firstLine="420" w:firstLineChars="200"/>
        <w:jc w:val="right"/>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49C74877">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中小企业声明函（工程类）</w:t>
      </w:r>
    </w:p>
    <w:p w14:paraId="1D9C2DB5">
      <w:pPr>
        <w:spacing w:line="360" w:lineRule="auto"/>
        <w:ind w:firstLine="420" w:firstLineChars="200"/>
        <w:rPr>
          <w:rFonts w:ascii="宋体" w:hAnsi="宋体" w:eastAsia="宋体"/>
          <w:color w:val="auto"/>
          <w:szCs w:val="21"/>
          <w:highlight w:val="none"/>
        </w:rPr>
      </w:pPr>
    </w:p>
    <w:p w14:paraId="2330A81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本公司（联合体）郑重声明，根据《政府采购促进中小企业发展管理办法》（财库﹝2020﹞46号）的规定，本公司（联合体）参加</w:t>
      </w:r>
      <w:r>
        <w:rPr>
          <w:rFonts w:hint="eastAsia" w:ascii="宋体" w:hAnsi="宋体" w:eastAsia="宋体"/>
          <w:color w:val="auto"/>
          <w:szCs w:val="21"/>
          <w:highlight w:val="none"/>
          <w:u w:val="single"/>
        </w:rPr>
        <w:t>[项目采购-采购人_]</w:t>
      </w:r>
      <w:r>
        <w:rPr>
          <w:rFonts w:hint="eastAsia" w:ascii="宋体" w:hAnsi="宋体" w:eastAsia="宋体"/>
          <w:color w:val="auto"/>
          <w:szCs w:val="21"/>
          <w:highlight w:val="none"/>
        </w:rPr>
        <w:t>的</w:t>
      </w:r>
      <w:r>
        <w:rPr>
          <w:rFonts w:hint="eastAsia" w:ascii="宋体" w:hAnsi="宋体" w:eastAsia="宋体"/>
          <w:color w:val="auto"/>
          <w:szCs w:val="21"/>
          <w:highlight w:val="none"/>
          <w:u w:val="single"/>
        </w:rPr>
        <w:t>[项目采购-项目名称_]</w:t>
      </w:r>
      <w:r>
        <w:rPr>
          <w:rFonts w:hint="eastAsia" w:ascii="宋体" w:hAnsi="宋体" w:eastAsia="宋体"/>
          <w:color w:val="auto"/>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EDF647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u w:val="single"/>
        </w:rPr>
        <w:t>（标的名称）</w:t>
      </w:r>
      <w:r>
        <w:rPr>
          <w:rFonts w:hint="eastAsia" w:ascii="宋体" w:hAnsi="宋体" w:eastAsia="宋体"/>
          <w:color w:val="auto"/>
          <w:szCs w:val="21"/>
          <w:highlight w:val="none"/>
        </w:rPr>
        <w:t>，属于</w:t>
      </w:r>
      <w:r>
        <w:rPr>
          <w:rFonts w:hint="eastAsia" w:ascii="宋体" w:hAnsi="宋体" w:eastAsia="宋体"/>
          <w:color w:val="auto"/>
          <w:szCs w:val="21"/>
          <w:highlight w:val="none"/>
          <w:u w:val="single"/>
        </w:rPr>
        <w:t>（采购文件中明确的所属行业：见服务需求一览表）</w:t>
      </w:r>
      <w:r>
        <w:rPr>
          <w:rFonts w:hint="eastAsia" w:ascii="宋体" w:hAnsi="宋体" w:eastAsia="宋体"/>
          <w:color w:val="auto"/>
          <w:szCs w:val="21"/>
          <w:highlight w:val="none"/>
        </w:rPr>
        <w:t>行业；承建（承接）企业为</w:t>
      </w:r>
      <w:r>
        <w:rPr>
          <w:rFonts w:hint="eastAsia" w:ascii="宋体" w:hAnsi="宋体" w:eastAsia="宋体"/>
          <w:color w:val="auto"/>
          <w:szCs w:val="21"/>
          <w:highlight w:val="none"/>
          <w:u w:val="single"/>
        </w:rPr>
        <w:t>（企业名称）</w:t>
      </w:r>
      <w:r>
        <w:rPr>
          <w:rFonts w:hint="eastAsia" w:ascii="宋体" w:hAnsi="宋体" w:eastAsia="宋体"/>
          <w:color w:val="auto"/>
          <w:szCs w:val="21"/>
          <w:highlight w:val="none"/>
        </w:rPr>
        <w:t>，从业人员</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人，营业收入为</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万元，资产总额为</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万元，属于</w:t>
      </w:r>
      <w:r>
        <w:rPr>
          <w:rFonts w:hint="eastAsia" w:ascii="宋体" w:hAnsi="宋体" w:eastAsia="宋体"/>
          <w:color w:val="auto"/>
          <w:szCs w:val="21"/>
          <w:highlight w:val="none"/>
          <w:u w:val="single"/>
        </w:rPr>
        <w:t>（中型企业、小型企业、微型企业）</w:t>
      </w:r>
      <w:r>
        <w:rPr>
          <w:rFonts w:hint="eastAsia" w:ascii="宋体" w:hAnsi="宋体" w:eastAsia="宋体"/>
          <w:color w:val="auto"/>
          <w:szCs w:val="21"/>
          <w:highlight w:val="none"/>
        </w:rPr>
        <w:t>；</w:t>
      </w:r>
    </w:p>
    <w:p w14:paraId="163E58F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u w:val="single"/>
        </w:rPr>
        <w:t>（标的名称）</w:t>
      </w:r>
      <w:r>
        <w:rPr>
          <w:rFonts w:hint="eastAsia" w:ascii="宋体" w:hAnsi="宋体" w:eastAsia="宋体"/>
          <w:color w:val="auto"/>
          <w:szCs w:val="21"/>
          <w:highlight w:val="none"/>
        </w:rPr>
        <w:t>，属于</w:t>
      </w:r>
      <w:r>
        <w:rPr>
          <w:rFonts w:hint="eastAsia" w:ascii="宋体" w:hAnsi="宋体" w:eastAsia="宋体"/>
          <w:color w:val="auto"/>
          <w:szCs w:val="21"/>
          <w:highlight w:val="none"/>
          <w:u w:val="single"/>
        </w:rPr>
        <w:t>（采购文件中明确的所属行业：见服务需求一览表）</w:t>
      </w:r>
      <w:r>
        <w:rPr>
          <w:rFonts w:hint="eastAsia" w:ascii="宋体" w:hAnsi="宋体" w:eastAsia="宋体"/>
          <w:color w:val="auto"/>
          <w:szCs w:val="21"/>
          <w:highlight w:val="none"/>
        </w:rPr>
        <w:t>行业；承建（承接）企业为</w:t>
      </w:r>
      <w:r>
        <w:rPr>
          <w:rFonts w:hint="eastAsia" w:ascii="宋体" w:hAnsi="宋体" w:eastAsia="宋体"/>
          <w:color w:val="auto"/>
          <w:szCs w:val="21"/>
          <w:highlight w:val="none"/>
          <w:u w:val="single"/>
        </w:rPr>
        <w:t>（企业名称）</w:t>
      </w:r>
      <w:r>
        <w:rPr>
          <w:rFonts w:hint="eastAsia" w:ascii="宋体" w:hAnsi="宋体" w:eastAsia="宋体"/>
          <w:color w:val="auto"/>
          <w:szCs w:val="21"/>
          <w:highlight w:val="none"/>
        </w:rPr>
        <w:t>，从业人员</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人，营业收入为</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万元，资产总额为</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万元，属于</w:t>
      </w:r>
      <w:r>
        <w:rPr>
          <w:rFonts w:hint="eastAsia" w:ascii="宋体" w:hAnsi="宋体" w:eastAsia="宋体"/>
          <w:color w:val="auto"/>
          <w:szCs w:val="21"/>
          <w:highlight w:val="none"/>
          <w:u w:val="single"/>
        </w:rPr>
        <w:t>（中型企业、小型企业、微型企业）</w:t>
      </w:r>
      <w:r>
        <w:rPr>
          <w:rFonts w:hint="eastAsia" w:ascii="宋体" w:hAnsi="宋体" w:eastAsia="宋体"/>
          <w:color w:val="auto"/>
          <w:szCs w:val="21"/>
          <w:highlight w:val="none"/>
        </w:rPr>
        <w:t>；</w:t>
      </w:r>
    </w:p>
    <w:p w14:paraId="41EE540C">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w:t>
      </w:r>
    </w:p>
    <w:p w14:paraId="67633C3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以上企业，不属于大企业的分支机构，不存在控股股东为大企业的情形，也不存在与大企业的负责人为同一人的情形。</w:t>
      </w:r>
    </w:p>
    <w:p w14:paraId="377C340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本企业对上述声明内容的真实性负责。如有虚假，将依法承担相应责任。</w:t>
      </w:r>
    </w:p>
    <w:p w14:paraId="6FB5805E">
      <w:pPr>
        <w:spacing w:line="360" w:lineRule="auto"/>
        <w:ind w:firstLine="420" w:firstLineChars="200"/>
        <w:rPr>
          <w:rFonts w:ascii="宋体" w:hAnsi="宋体" w:eastAsia="宋体"/>
          <w:color w:val="auto"/>
          <w:szCs w:val="21"/>
          <w:highlight w:val="none"/>
        </w:rPr>
      </w:pPr>
    </w:p>
    <w:p w14:paraId="196E1013">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36426A09">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2F8765AF">
      <w:pPr>
        <w:spacing w:line="360" w:lineRule="auto"/>
        <w:ind w:firstLine="420" w:firstLineChars="200"/>
        <w:rPr>
          <w:rFonts w:ascii="宋体" w:hAnsi="宋体" w:eastAsia="宋体"/>
          <w:color w:val="auto"/>
          <w:szCs w:val="21"/>
          <w:highlight w:val="none"/>
        </w:rPr>
      </w:pPr>
    </w:p>
    <w:p w14:paraId="21041A2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D20104D">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454ED552">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残疾人福利性单位声明函</w:t>
      </w:r>
    </w:p>
    <w:p w14:paraId="0359BDF3">
      <w:pPr>
        <w:spacing w:line="360" w:lineRule="auto"/>
        <w:ind w:firstLine="420" w:firstLineChars="200"/>
        <w:rPr>
          <w:rFonts w:ascii="宋体" w:hAnsi="宋体" w:eastAsia="宋体"/>
          <w:color w:val="auto"/>
          <w:szCs w:val="21"/>
          <w:highlight w:val="none"/>
        </w:rPr>
      </w:pPr>
    </w:p>
    <w:p w14:paraId="4A4F2CF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olor w:val="auto"/>
          <w:szCs w:val="21"/>
          <w:highlight w:val="none"/>
          <w:u w:val="single"/>
        </w:rPr>
        <w:t>[项目采购-采购人-]</w:t>
      </w:r>
      <w:r>
        <w:rPr>
          <w:rFonts w:hint="eastAsia" w:ascii="宋体" w:hAnsi="宋体" w:eastAsia="宋体"/>
          <w:color w:val="auto"/>
          <w:szCs w:val="21"/>
          <w:highlight w:val="none"/>
        </w:rPr>
        <w:t>单位的</w:t>
      </w:r>
      <w:r>
        <w:rPr>
          <w:rFonts w:hint="eastAsia" w:ascii="宋体" w:hAnsi="宋体" w:eastAsia="宋体"/>
          <w:color w:val="auto"/>
          <w:szCs w:val="21"/>
          <w:highlight w:val="none"/>
          <w:u w:val="single"/>
        </w:rPr>
        <w:t>[项目采购-项目名称-]</w:t>
      </w:r>
      <w:r>
        <w:rPr>
          <w:rFonts w:hint="eastAsia" w:ascii="宋体" w:hAnsi="宋体" w:eastAsia="宋体"/>
          <w:color w:val="auto"/>
          <w:szCs w:val="21"/>
          <w:highlight w:val="none"/>
        </w:rPr>
        <w:t>项目采购活动由本单位提供服务。</w:t>
      </w:r>
    </w:p>
    <w:p w14:paraId="5CEEF32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本单位对上述声明的真实性负责。如有虚假，将依法承担相应责任。</w:t>
      </w:r>
    </w:p>
    <w:p w14:paraId="0020EE89">
      <w:pPr>
        <w:spacing w:line="360" w:lineRule="auto"/>
        <w:ind w:firstLine="420" w:firstLineChars="200"/>
        <w:rPr>
          <w:rFonts w:ascii="宋体" w:hAnsi="宋体" w:eastAsia="宋体"/>
          <w:color w:val="auto"/>
          <w:szCs w:val="21"/>
          <w:highlight w:val="none"/>
        </w:rPr>
      </w:pPr>
    </w:p>
    <w:p w14:paraId="3C19790E">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17D7E4A2">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63563CC0">
      <w:pPr>
        <w:spacing w:line="360" w:lineRule="auto"/>
        <w:ind w:firstLine="420" w:firstLineChars="200"/>
        <w:rPr>
          <w:rFonts w:ascii="宋体" w:hAnsi="宋体" w:eastAsia="宋体"/>
          <w:color w:val="auto"/>
          <w:szCs w:val="21"/>
          <w:highlight w:val="none"/>
        </w:rPr>
      </w:pPr>
    </w:p>
    <w:p w14:paraId="204347A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竞标人提供由省级以上监狱管理局、戒毒管理局（含新疆生产建设兵团）出具的属于监狱企业证明文件的，视同为小型和微型企业。</w:t>
      </w:r>
    </w:p>
    <w:p w14:paraId="339B3F5E">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21027B89">
      <w:pPr>
        <w:pStyle w:val="3"/>
        <w:jc w:val="center"/>
        <w:rPr>
          <w:color w:val="auto"/>
          <w:highlight w:val="none"/>
        </w:rPr>
      </w:pPr>
      <w:bookmarkStart w:id="24" w:name="_Toc217642147"/>
      <w:r>
        <w:rPr>
          <w:rFonts w:hint="eastAsia"/>
          <w:color w:val="auto"/>
          <w:highlight w:val="none"/>
        </w:rPr>
        <w:t>第三</w:t>
      </w:r>
      <w:r>
        <w:rPr>
          <w:rFonts w:hint="eastAsia"/>
          <w:color w:val="auto"/>
          <w:spacing w:val="120"/>
          <w:highlight w:val="none"/>
        </w:rPr>
        <w:t>节</w:t>
      </w:r>
      <w:r>
        <w:rPr>
          <w:rFonts w:hint="eastAsia"/>
          <w:color w:val="auto"/>
          <w:highlight w:val="none"/>
        </w:rPr>
        <w:t>商务技术文件格式</w:t>
      </w:r>
      <w:bookmarkEnd w:id="24"/>
    </w:p>
    <w:p w14:paraId="315BF074">
      <w:pPr>
        <w:spacing w:line="360" w:lineRule="auto"/>
        <w:ind w:firstLine="640" w:firstLineChars="200"/>
        <w:jc w:val="right"/>
        <w:rPr>
          <w:rFonts w:ascii="宋体" w:hAnsi="宋体" w:eastAsia="宋体"/>
          <w:color w:val="auto"/>
          <w:sz w:val="32"/>
          <w:szCs w:val="32"/>
          <w:highlight w:val="none"/>
        </w:rPr>
      </w:pPr>
      <w:r>
        <w:rPr>
          <w:rFonts w:hint="eastAsia" w:ascii="宋体" w:hAnsi="宋体" w:eastAsia="宋体"/>
          <w:color w:val="auto"/>
          <w:sz w:val="32"/>
          <w:szCs w:val="32"/>
          <w:highlight w:val="none"/>
        </w:rPr>
        <w:t>全流程电子文件</w:t>
      </w:r>
    </w:p>
    <w:p w14:paraId="5022CBCD">
      <w:pPr>
        <w:spacing w:line="360" w:lineRule="auto"/>
        <w:ind w:firstLine="420" w:firstLineChars="200"/>
        <w:rPr>
          <w:rFonts w:ascii="宋体" w:hAnsi="宋体" w:eastAsia="宋体"/>
          <w:color w:val="auto"/>
          <w:szCs w:val="21"/>
          <w:highlight w:val="none"/>
        </w:rPr>
      </w:pPr>
    </w:p>
    <w:p w14:paraId="7151FBE4">
      <w:pPr>
        <w:spacing w:line="360" w:lineRule="auto"/>
        <w:ind w:firstLine="420" w:firstLineChars="200"/>
        <w:rPr>
          <w:rFonts w:ascii="宋体" w:hAnsi="宋体" w:eastAsia="宋体"/>
          <w:color w:val="auto"/>
          <w:szCs w:val="21"/>
          <w:highlight w:val="none"/>
        </w:rPr>
      </w:pPr>
    </w:p>
    <w:p w14:paraId="0BF9A149">
      <w:pPr>
        <w:spacing w:line="360" w:lineRule="auto"/>
        <w:jc w:val="center"/>
        <w:rPr>
          <w:rFonts w:ascii="宋体" w:hAnsi="宋体" w:eastAsia="宋体"/>
          <w:b/>
          <w:color w:val="auto"/>
          <w:sz w:val="84"/>
          <w:szCs w:val="84"/>
          <w:highlight w:val="none"/>
        </w:rPr>
      </w:pPr>
      <w:r>
        <w:rPr>
          <w:rFonts w:hint="eastAsia" w:ascii="宋体" w:hAnsi="宋体" w:eastAsia="宋体"/>
          <w:b/>
          <w:color w:val="auto"/>
          <w:sz w:val="84"/>
          <w:szCs w:val="84"/>
          <w:highlight w:val="none"/>
        </w:rPr>
        <w:t>商务技术文件（封面）</w:t>
      </w:r>
    </w:p>
    <w:p w14:paraId="433DF9A9">
      <w:pPr>
        <w:spacing w:line="360" w:lineRule="auto"/>
        <w:ind w:firstLine="420" w:firstLineChars="200"/>
        <w:rPr>
          <w:rFonts w:ascii="宋体" w:hAnsi="宋体" w:eastAsia="宋体"/>
          <w:color w:val="auto"/>
          <w:szCs w:val="21"/>
          <w:highlight w:val="none"/>
        </w:rPr>
      </w:pPr>
    </w:p>
    <w:p w14:paraId="68E63A0C">
      <w:pPr>
        <w:spacing w:line="360" w:lineRule="auto"/>
        <w:ind w:firstLine="420" w:firstLineChars="200"/>
        <w:rPr>
          <w:rFonts w:ascii="宋体" w:hAnsi="宋体" w:eastAsia="宋体"/>
          <w:color w:val="auto"/>
          <w:szCs w:val="21"/>
          <w:highlight w:val="none"/>
        </w:rPr>
      </w:pPr>
    </w:p>
    <w:p w14:paraId="1C08AB1F">
      <w:pPr>
        <w:spacing w:line="360" w:lineRule="auto"/>
        <w:ind w:firstLine="420" w:firstLineChars="200"/>
        <w:rPr>
          <w:rFonts w:ascii="宋体" w:hAnsi="宋体" w:eastAsia="宋体"/>
          <w:color w:val="auto"/>
          <w:szCs w:val="21"/>
          <w:highlight w:val="none"/>
        </w:rPr>
      </w:pPr>
    </w:p>
    <w:p w14:paraId="10805231">
      <w:pPr>
        <w:spacing w:line="360" w:lineRule="auto"/>
        <w:ind w:firstLine="420" w:firstLineChars="200"/>
        <w:rPr>
          <w:rFonts w:ascii="宋体" w:hAnsi="宋体" w:eastAsia="宋体"/>
          <w:color w:val="auto"/>
          <w:szCs w:val="21"/>
          <w:highlight w:val="none"/>
        </w:rPr>
      </w:pPr>
    </w:p>
    <w:p w14:paraId="53843BDE">
      <w:pPr>
        <w:spacing w:line="360" w:lineRule="auto"/>
        <w:ind w:firstLine="420" w:firstLineChars="200"/>
        <w:rPr>
          <w:rFonts w:ascii="宋体" w:hAnsi="宋体" w:eastAsia="宋体"/>
          <w:color w:val="auto"/>
          <w:szCs w:val="21"/>
          <w:highlight w:val="none"/>
        </w:rPr>
      </w:pPr>
    </w:p>
    <w:p w14:paraId="7234883C">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项目名称：[项目采购-项目名称_]</w:t>
      </w:r>
    </w:p>
    <w:p w14:paraId="49B30F06">
      <w:pPr>
        <w:spacing w:line="360" w:lineRule="auto"/>
        <w:ind w:firstLine="420" w:firstLineChars="200"/>
        <w:rPr>
          <w:rFonts w:ascii="宋体" w:hAnsi="宋体" w:eastAsia="宋体"/>
          <w:color w:val="auto"/>
          <w:szCs w:val="21"/>
          <w:highlight w:val="none"/>
        </w:rPr>
      </w:pPr>
    </w:p>
    <w:p w14:paraId="7B451F5A">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项目编号：[项目采购-项目编号_]</w:t>
      </w:r>
    </w:p>
    <w:p w14:paraId="7035C64E">
      <w:pPr>
        <w:spacing w:line="360" w:lineRule="auto"/>
        <w:ind w:firstLine="420" w:firstLineChars="200"/>
        <w:rPr>
          <w:rFonts w:ascii="宋体" w:hAnsi="宋体" w:eastAsia="宋体"/>
          <w:color w:val="auto"/>
          <w:szCs w:val="21"/>
          <w:highlight w:val="none"/>
        </w:rPr>
      </w:pPr>
    </w:p>
    <w:p w14:paraId="04468F30">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所竞分标（如有则填写，无分标时填写“无”或者留空）：</w:t>
      </w:r>
    </w:p>
    <w:p w14:paraId="5C1B6CFF">
      <w:pPr>
        <w:spacing w:line="360" w:lineRule="auto"/>
        <w:ind w:firstLine="420" w:firstLineChars="200"/>
        <w:rPr>
          <w:rFonts w:ascii="宋体" w:hAnsi="宋体" w:eastAsia="宋体"/>
          <w:color w:val="auto"/>
          <w:szCs w:val="21"/>
          <w:highlight w:val="none"/>
        </w:rPr>
      </w:pPr>
    </w:p>
    <w:p w14:paraId="6028A611">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供应商名称：</w:t>
      </w:r>
    </w:p>
    <w:p w14:paraId="5F4A6A66">
      <w:pPr>
        <w:spacing w:line="360" w:lineRule="auto"/>
        <w:ind w:firstLine="420" w:firstLineChars="200"/>
        <w:rPr>
          <w:rFonts w:ascii="宋体" w:hAnsi="宋体" w:eastAsia="宋体"/>
          <w:color w:val="auto"/>
          <w:szCs w:val="21"/>
          <w:highlight w:val="none"/>
        </w:rPr>
      </w:pPr>
    </w:p>
    <w:p w14:paraId="1426E38A">
      <w:pPr>
        <w:spacing w:line="360" w:lineRule="auto"/>
        <w:ind w:firstLine="420" w:firstLineChars="200"/>
        <w:rPr>
          <w:rFonts w:ascii="宋体" w:hAnsi="宋体" w:eastAsia="宋体"/>
          <w:color w:val="auto"/>
          <w:szCs w:val="21"/>
          <w:highlight w:val="none"/>
        </w:rPr>
      </w:pPr>
    </w:p>
    <w:p w14:paraId="21F4BC82">
      <w:pPr>
        <w:spacing w:line="360" w:lineRule="auto"/>
        <w:ind w:firstLine="420" w:firstLineChars="200"/>
        <w:rPr>
          <w:rFonts w:ascii="宋体" w:hAnsi="宋体" w:eastAsia="宋体"/>
          <w:color w:val="auto"/>
          <w:szCs w:val="21"/>
          <w:highlight w:val="none"/>
        </w:rPr>
      </w:pPr>
    </w:p>
    <w:p w14:paraId="2512B41C">
      <w:pPr>
        <w:spacing w:line="360" w:lineRule="auto"/>
        <w:jc w:val="center"/>
        <w:rPr>
          <w:rFonts w:ascii="宋体" w:hAnsi="宋体" w:eastAsia="宋体"/>
          <w:color w:val="auto"/>
          <w:szCs w:val="21"/>
          <w:highlight w:val="none"/>
        </w:rPr>
      </w:pPr>
      <w:r>
        <w:rPr>
          <w:rFonts w:ascii="宋体" w:hAnsi="宋体" w:eastAsia="宋体" w:cs="Times New Roman"/>
          <w:color w:val="auto"/>
          <w:sz w:val="32"/>
          <w:szCs w:val="32"/>
          <w:highlight w:val="none"/>
        </w:rPr>
        <w:t>___</w:t>
      </w:r>
      <w:r>
        <w:rPr>
          <w:rFonts w:hint="eastAsia" w:ascii="宋体" w:hAnsi="宋体" w:eastAsia="宋体"/>
          <w:color w:val="auto"/>
          <w:sz w:val="32"/>
          <w:szCs w:val="32"/>
          <w:highlight w:val="none"/>
        </w:rPr>
        <w:t>年</w:t>
      </w:r>
      <w:r>
        <w:rPr>
          <w:rFonts w:ascii="宋体" w:hAnsi="宋体" w:eastAsia="宋体" w:cs="Times New Roman"/>
          <w:color w:val="auto"/>
          <w:sz w:val="32"/>
          <w:szCs w:val="32"/>
          <w:highlight w:val="none"/>
        </w:rPr>
        <w:t>___</w:t>
      </w:r>
      <w:r>
        <w:rPr>
          <w:rFonts w:hint="eastAsia" w:ascii="宋体" w:hAnsi="宋体" w:eastAsia="宋体"/>
          <w:color w:val="auto"/>
          <w:sz w:val="32"/>
          <w:szCs w:val="32"/>
          <w:highlight w:val="none"/>
        </w:rPr>
        <w:t>月</w:t>
      </w:r>
      <w:r>
        <w:rPr>
          <w:rFonts w:ascii="宋体" w:hAnsi="宋体" w:eastAsia="宋体" w:cs="Times New Roman"/>
          <w:color w:val="auto"/>
          <w:sz w:val="32"/>
          <w:szCs w:val="32"/>
          <w:highlight w:val="none"/>
        </w:rPr>
        <w:t>___</w:t>
      </w:r>
      <w:r>
        <w:rPr>
          <w:rFonts w:hint="eastAsia" w:ascii="宋体" w:hAnsi="宋体" w:eastAsia="宋体"/>
          <w:color w:val="auto"/>
          <w:sz w:val="32"/>
          <w:szCs w:val="32"/>
          <w:highlight w:val="none"/>
        </w:rPr>
        <w:t>日</w:t>
      </w:r>
    </w:p>
    <w:p w14:paraId="7E1F4A0D">
      <w:pPr>
        <w:spacing w:line="360" w:lineRule="auto"/>
        <w:jc w:val="center"/>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778E699C">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商务技术文件目录</w:t>
      </w:r>
    </w:p>
    <w:p w14:paraId="4C143AE3">
      <w:pPr>
        <w:spacing w:line="360" w:lineRule="auto"/>
        <w:ind w:firstLine="420" w:firstLineChars="200"/>
        <w:rPr>
          <w:rFonts w:ascii="宋体" w:hAnsi="宋体" w:eastAsia="宋体"/>
          <w:color w:val="auto"/>
          <w:szCs w:val="21"/>
          <w:highlight w:val="none"/>
        </w:rPr>
      </w:pPr>
    </w:p>
    <w:p w14:paraId="0887512B">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一、无串标行为承诺函……………………………………………………………………………………（页码）</w:t>
      </w:r>
    </w:p>
    <w:p w14:paraId="2E1AE4EB">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二、法定代表人身份证明书及法定代表人有效身份证正反面复印件…………………………………（页码）</w:t>
      </w:r>
    </w:p>
    <w:p w14:paraId="49E69967">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三、法定代表人授权委托书（如有委托时）及委托代理人有效身份证正反面复印件…………………（页码）</w:t>
      </w:r>
    </w:p>
    <w:p w14:paraId="4A68D728">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四、商务条款偏离表………………………………………………………………………………………（页码）</w:t>
      </w:r>
    </w:p>
    <w:p w14:paraId="168EA469">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五、竞标人情况介绍………………………………………………………………………………………（页码）</w:t>
      </w:r>
    </w:p>
    <w:p w14:paraId="465117E8">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六、供应商类似业绩的证明文件（如有要求）…………………………………………………………（页码）</w:t>
      </w:r>
    </w:p>
    <w:p w14:paraId="73518E33">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七、技术需求偏离表………………………………………………………………………………………（页码）</w:t>
      </w:r>
    </w:p>
    <w:p w14:paraId="77D3D860">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八、企业概况表……………………………………………………………………………………………（页码）</w:t>
      </w:r>
    </w:p>
    <w:p w14:paraId="17D2707B">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九、施工组织设计…………………………………………………………………………………………（页码）</w:t>
      </w:r>
    </w:p>
    <w:p w14:paraId="1C4317C1">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十、项目管理机构…………………………………………………………………………………………（页码）</w:t>
      </w:r>
    </w:p>
    <w:p w14:paraId="65F82CB4">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十一、建设工程项目管理承诺书…………………………………………………………………………（页码）</w:t>
      </w:r>
    </w:p>
    <w:p w14:paraId="65485EFC">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十二、供应商认为需要提供的其他有关资料……………………………………………………………（页码）</w:t>
      </w:r>
    </w:p>
    <w:p w14:paraId="2B1C6858">
      <w:pPr>
        <w:spacing w:line="360" w:lineRule="auto"/>
        <w:rPr>
          <w:rFonts w:ascii="宋体" w:hAnsi="宋体" w:eastAsia="宋体"/>
          <w:b/>
          <w:color w:val="auto"/>
          <w:szCs w:val="21"/>
          <w:highlight w:val="none"/>
        </w:rPr>
      </w:pPr>
      <w:r>
        <w:rPr>
          <w:rFonts w:hint="eastAsia" w:ascii="宋体" w:hAnsi="宋体" w:eastAsia="宋体"/>
          <w:b/>
          <w:color w:val="auto"/>
          <w:szCs w:val="21"/>
          <w:highlight w:val="none"/>
        </w:rPr>
        <w:t>注：以上目录是基本格式要求，各供应商可根据自身情况进一步向下增加内容或细化。</w:t>
      </w:r>
    </w:p>
    <w:p w14:paraId="6198C52B">
      <w:pPr>
        <w:spacing w:line="360" w:lineRule="auto"/>
        <w:rPr>
          <w:rFonts w:ascii="宋体" w:hAnsi="宋体" w:eastAsia="宋体"/>
          <w:b/>
          <w:color w:val="auto"/>
          <w:szCs w:val="21"/>
          <w:highlight w:val="none"/>
        </w:rPr>
        <w:sectPr>
          <w:pgSz w:w="11906" w:h="16838"/>
          <w:pgMar w:top="1134" w:right="1134" w:bottom="1134" w:left="1134" w:header="851" w:footer="680" w:gutter="0"/>
          <w:cols w:space="425" w:num="1"/>
          <w:docGrid w:type="lines" w:linePitch="312" w:charSpace="0"/>
        </w:sectPr>
      </w:pPr>
    </w:p>
    <w:p w14:paraId="02FB0F9A">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一、无串标行为承诺函</w:t>
      </w:r>
    </w:p>
    <w:p w14:paraId="7912C8F5">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无串通竞标行为的承诺函</w:t>
      </w:r>
    </w:p>
    <w:p w14:paraId="1EC41E5D">
      <w:pPr>
        <w:spacing w:line="360" w:lineRule="auto"/>
        <w:ind w:firstLine="420" w:firstLineChars="200"/>
        <w:rPr>
          <w:rFonts w:ascii="宋体" w:hAnsi="宋体" w:eastAsia="宋体"/>
          <w:color w:val="auto"/>
          <w:szCs w:val="21"/>
          <w:highlight w:val="none"/>
        </w:rPr>
      </w:pPr>
    </w:p>
    <w:p w14:paraId="610D877A">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一、我方承诺无下列相互串通竞标的情形：</w:t>
      </w:r>
    </w:p>
    <w:p w14:paraId="6A3FFD3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1.不同供应商的响应文件由同一单位或者个人编制；或者不同供应商报名的IP地址一致的；或者编制响应文件硬件设备CPU编号、硬盘编号、网卡地址一致的情况。</w:t>
      </w:r>
    </w:p>
    <w:p w14:paraId="7EECDD5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2.不同供应商委托同一单位或者个人办理竞标事宜；</w:t>
      </w:r>
    </w:p>
    <w:p w14:paraId="4ABDE1D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3.不同供应商的响应文件载明的项目管理员为同一个人；</w:t>
      </w:r>
    </w:p>
    <w:p w14:paraId="307D4C0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4.不同供应商的响应文件异常一致或者响应报价呈规律性差异；</w:t>
      </w:r>
    </w:p>
    <w:p w14:paraId="769E188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5.不同供应商的响应文件相互混装；</w:t>
      </w:r>
    </w:p>
    <w:p w14:paraId="6F69838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6.不同供应商的磋商保证金从同一单位或者个人账户转出。</w:t>
      </w:r>
    </w:p>
    <w:p w14:paraId="0E023175">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二、我方承诺无下列恶意串通的情形：</w:t>
      </w:r>
    </w:p>
    <w:p w14:paraId="084EFF9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1.供应商直接或者间接从采购人或者采购代理机构处获得其他供应商的相关信息并修改其响应文件；</w:t>
      </w:r>
    </w:p>
    <w:p w14:paraId="04C8A71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2.供应商按照采购人或者采购代理机构的授意撤换、修改响应文件；</w:t>
      </w:r>
    </w:p>
    <w:p w14:paraId="1F75849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3.供应商之间协商报价、技术方案等响应文件的实质性内容；</w:t>
      </w:r>
    </w:p>
    <w:p w14:paraId="69F430F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4.属于同一集团、协会、商会等组织成员的供应商按照该组织要求协同参加政府采购活动；</w:t>
      </w:r>
    </w:p>
    <w:p w14:paraId="1DF835E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5.供应商之间事先约定一致抬高或者压低响应报价，或者在竞争性磋商项目中事先约定轮流以高价位或者低价位成交，或者事先约定由某一特定供应商成交，然后再参加竞标；</w:t>
      </w:r>
    </w:p>
    <w:p w14:paraId="117B992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6.供应商之间商定部分供应商放弃参加政府采购活动或者放弃成交；</w:t>
      </w:r>
    </w:p>
    <w:p w14:paraId="201EFE0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7.供应商与采购人或者采购代理机构之间、供应商相互之间，为谋求特定供应商成交或者排斥其他供应商的其他串通行为。</w:t>
      </w:r>
    </w:p>
    <w:p w14:paraId="25C7DFCF">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以上情形一经核查属实，接受政府采购监管部门对我方认定存在围标串标行为，我方愿意承担一切后果，并不再寻求任何旨在减轻或者免除法律责任的辩解。</w:t>
      </w:r>
    </w:p>
    <w:p w14:paraId="37B67D94">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31F41A50">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5023B45E">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3DD9D3C1">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二、法定代表人身份证明书及法定代表人有效身份证正反面复印件</w:t>
      </w:r>
    </w:p>
    <w:p w14:paraId="21B6C22D">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法定代表人证明书</w:t>
      </w:r>
    </w:p>
    <w:p w14:paraId="2D7C09B5">
      <w:pPr>
        <w:spacing w:line="360" w:lineRule="auto"/>
        <w:ind w:firstLine="420" w:firstLineChars="200"/>
        <w:rPr>
          <w:rFonts w:ascii="宋体" w:hAnsi="宋体" w:eastAsia="宋体"/>
          <w:color w:val="auto"/>
          <w:szCs w:val="21"/>
          <w:highlight w:val="none"/>
        </w:rPr>
      </w:pPr>
    </w:p>
    <w:p w14:paraId="1D67FC6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供应商名称：</w:t>
      </w:r>
      <w:r>
        <w:rPr>
          <w:rFonts w:ascii="Times New Roman" w:hAnsi="Times New Roman" w:eastAsia="宋体" w:cs="Times New Roman"/>
          <w:color w:val="auto"/>
          <w:szCs w:val="21"/>
          <w:highlight w:val="none"/>
        </w:rPr>
        <w:t>____________________________________________________________________________</w:t>
      </w:r>
    </w:p>
    <w:p w14:paraId="28645F3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rPr>
        <w:t>__________________________________________________________________________________</w:t>
      </w:r>
    </w:p>
    <w:p w14:paraId="1B2ADE4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姓名：</w:t>
      </w:r>
      <w:r>
        <w:rPr>
          <w:rFonts w:ascii="Times New Roman" w:hAnsi="Times New Roman" w:eastAsia="宋体" w:cs="Times New Roman"/>
          <w:color w:val="auto"/>
          <w:szCs w:val="21"/>
          <w:highlight w:val="none"/>
        </w:rPr>
        <w:t>_______________________________________</w:t>
      </w:r>
      <w:r>
        <w:rPr>
          <w:rFonts w:hint="eastAsia" w:ascii="宋体" w:hAnsi="宋体" w:eastAsia="宋体"/>
          <w:color w:val="auto"/>
          <w:szCs w:val="21"/>
          <w:highlight w:val="none"/>
        </w:rPr>
        <w:t>性别：</w:t>
      </w:r>
      <w:r>
        <w:rPr>
          <w:rFonts w:ascii="Times New Roman" w:hAnsi="Times New Roman" w:eastAsia="宋体" w:cs="Times New Roman"/>
          <w:color w:val="auto"/>
          <w:szCs w:val="21"/>
          <w:highlight w:val="none"/>
        </w:rPr>
        <w:t>______________________________________</w:t>
      </w:r>
    </w:p>
    <w:p w14:paraId="2B99110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年龄：</w:t>
      </w:r>
      <w:r>
        <w:rPr>
          <w:rFonts w:ascii="Times New Roman" w:hAnsi="Times New Roman" w:eastAsia="宋体" w:cs="Times New Roman"/>
          <w:color w:val="auto"/>
          <w:szCs w:val="21"/>
          <w:highlight w:val="none"/>
        </w:rPr>
        <w:t>_______________________________________</w:t>
      </w:r>
      <w:r>
        <w:rPr>
          <w:rFonts w:hint="eastAsia" w:ascii="宋体" w:hAnsi="宋体" w:eastAsia="宋体"/>
          <w:color w:val="auto"/>
          <w:szCs w:val="21"/>
          <w:highlight w:val="none"/>
        </w:rPr>
        <w:t>职务：</w:t>
      </w:r>
      <w:r>
        <w:rPr>
          <w:rFonts w:ascii="Times New Roman" w:hAnsi="Times New Roman" w:eastAsia="宋体" w:cs="Times New Roman"/>
          <w:color w:val="auto"/>
          <w:szCs w:val="21"/>
          <w:highlight w:val="none"/>
        </w:rPr>
        <w:t>______________________________________</w:t>
      </w:r>
    </w:p>
    <w:p w14:paraId="1E4248B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身份证号码：</w:t>
      </w:r>
      <w:r>
        <w:rPr>
          <w:rFonts w:ascii="Times New Roman" w:hAnsi="Times New Roman" w:eastAsia="宋体" w:cs="Times New Roman"/>
          <w:color w:val="auto"/>
          <w:szCs w:val="21"/>
          <w:highlight w:val="none"/>
        </w:rPr>
        <w:t>____________________________________________________________________________</w:t>
      </w:r>
    </w:p>
    <w:p w14:paraId="5341478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系</w:t>
      </w:r>
      <w:r>
        <w:rPr>
          <w:rFonts w:hint="eastAsia" w:ascii="宋体" w:hAnsi="宋体" w:eastAsia="宋体"/>
          <w:color w:val="auto"/>
          <w:szCs w:val="21"/>
          <w:highlight w:val="none"/>
          <w:u w:val="single"/>
        </w:rPr>
        <w:t>（供应商名称）</w:t>
      </w:r>
      <w:r>
        <w:rPr>
          <w:rFonts w:hint="eastAsia" w:ascii="宋体" w:hAnsi="宋体" w:eastAsia="宋体"/>
          <w:color w:val="auto"/>
          <w:szCs w:val="21"/>
          <w:highlight w:val="none"/>
        </w:rPr>
        <w:t>的法定代表人。</w:t>
      </w:r>
    </w:p>
    <w:p w14:paraId="37F02D6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特此证明。</w:t>
      </w:r>
    </w:p>
    <w:p w14:paraId="4B63CA63">
      <w:pPr>
        <w:spacing w:line="360" w:lineRule="auto"/>
        <w:ind w:firstLine="420" w:firstLineChars="200"/>
        <w:rPr>
          <w:rFonts w:ascii="宋体" w:hAnsi="宋体" w:eastAsia="宋体"/>
          <w:color w:val="auto"/>
          <w:szCs w:val="21"/>
          <w:highlight w:val="none"/>
        </w:rPr>
      </w:pPr>
    </w:p>
    <w:p w14:paraId="4B96CA5D">
      <w:pPr>
        <w:spacing w:line="360" w:lineRule="auto"/>
        <w:ind w:firstLine="420" w:firstLineChars="200"/>
        <w:rPr>
          <w:rFonts w:ascii="宋体" w:hAnsi="宋体" w:eastAsia="宋体"/>
          <w:color w:val="auto"/>
          <w:szCs w:val="21"/>
          <w:highlight w:val="none"/>
        </w:rPr>
      </w:pPr>
    </w:p>
    <w:p w14:paraId="5E2B8CC9">
      <w:pPr>
        <w:spacing w:line="360" w:lineRule="auto"/>
        <w:ind w:firstLine="420" w:firstLineChars="200"/>
        <w:rPr>
          <w:rFonts w:ascii="宋体" w:hAnsi="宋体" w:eastAsia="宋体"/>
          <w:color w:val="auto"/>
          <w:szCs w:val="21"/>
          <w:highlight w:val="none"/>
        </w:rPr>
      </w:pPr>
    </w:p>
    <w:p w14:paraId="77634F1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附件：法定代表人有效身份证正反面复印件</w:t>
      </w:r>
    </w:p>
    <w:p w14:paraId="4051E0B2">
      <w:pPr>
        <w:spacing w:line="360" w:lineRule="auto"/>
        <w:ind w:firstLine="420" w:firstLineChars="200"/>
        <w:rPr>
          <w:rFonts w:ascii="宋体" w:hAnsi="宋体" w:eastAsia="宋体"/>
          <w:color w:val="auto"/>
          <w:szCs w:val="21"/>
          <w:highlight w:val="none"/>
        </w:rPr>
      </w:pPr>
    </w:p>
    <w:p w14:paraId="467FB9E8">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29EA431C">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5C56B499">
      <w:pPr>
        <w:spacing w:line="360" w:lineRule="auto"/>
        <w:ind w:firstLine="420" w:firstLineChars="200"/>
        <w:rPr>
          <w:rFonts w:ascii="宋体" w:hAnsi="宋体" w:eastAsia="宋体"/>
          <w:color w:val="auto"/>
          <w:szCs w:val="21"/>
          <w:highlight w:val="none"/>
        </w:rPr>
      </w:pPr>
    </w:p>
    <w:p w14:paraId="54C4A83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注：1.自然人竞标的无需提供，联合体竞标的只需牵头人出具。</w:t>
      </w:r>
    </w:p>
    <w:p w14:paraId="1ACD09D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7D86E3D">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0AEE3131">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附件：</w:t>
      </w:r>
    </w:p>
    <w:tbl>
      <w:tblPr>
        <w:tblStyle w:val="38"/>
        <w:tblW w:w="48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5"/>
      </w:tblGrid>
      <w:tr w14:paraId="4889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5000" w:type="pct"/>
          </w:tcPr>
          <w:p w14:paraId="709B7085">
            <w:pPr>
              <w:spacing w:line="360" w:lineRule="auto"/>
              <w:jc w:val="left"/>
              <w:rPr>
                <w:rFonts w:ascii="宋体" w:hAnsi="宋体" w:eastAsia="宋体"/>
                <w:b/>
                <w:color w:val="auto"/>
                <w:szCs w:val="21"/>
                <w:highlight w:val="none"/>
              </w:rPr>
            </w:pPr>
            <w:r>
              <w:rPr>
                <w:rFonts w:hint="eastAsia" w:ascii="宋体" w:hAnsi="宋体" w:eastAsia="宋体"/>
                <w:b/>
                <w:color w:val="auto"/>
                <w:szCs w:val="21"/>
                <w:highlight w:val="none"/>
              </w:rPr>
              <w:t>法定代表身份证复印件粘帖处（正、反面）</w:t>
            </w:r>
          </w:p>
        </w:tc>
      </w:tr>
    </w:tbl>
    <w:p w14:paraId="5955BF3D">
      <w:pPr>
        <w:spacing w:line="360" w:lineRule="auto"/>
        <w:jc w:val="center"/>
        <w:rPr>
          <w:rFonts w:ascii="宋体" w:hAnsi="宋体" w:eastAsia="宋体"/>
          <w:color w:val="auto"/>
          <w:szCs w:val="21"/>
          <w:highlight w:val="none"/>
        </w:rPr>
      </w:pPr>
    </w:p>
    <w:p w14:paraId="68E1D50D">
      <w:pPr>
        <w:spacing w:line="360" w:lineRule="auto"/>
        <w:jc w:val="center"/>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499FB049">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三、法定代表人授权委托书</w:t>
      </w:r>
    </w:p>
    <w:p w14:paraId="4FB96A89">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授权委托书（非联合体竞标格式）</w:t>
      </w:r>
    </w:p>
    <w:p w14:paraId="2B9FAF87">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（如有委托时）</w:t>
      </w:r>
    </w:p>
    <w:p w14:paraId="141030BE">
      <w:pPr>
        <w:spacing w:line="360" w:lineRule="auto"/>
        <w:ind w:firstLine="420" w:firstLineChars="200"/>
        <w:rPr>
          <w:rFonts w:ascii="宋体" w:hAnsi="宋体" w:eastAsia="宋体"/>
          <w:color w:val="auto"/>
          <w:szCs w:val="21"/>
          <w:highlight w:val="none"/>
        </w:rPr>
      </w:pPr>
    </w:p>
    <w:p w14:paraId="09D78DB1">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致：</w:t>
      </w:r>
      <w:r>
        <w:rPr>
          <w:rFonts w:hint="eastAsia" w:ascii="宋体" w:hAnsi="宋体" w:eastAsia="宋体"/>
          <w:color w:val="auto"/>
          <w:szCs w:val="21"/>
          <w:highlight w:val="none"/>
          <w:u w:val="single"/>
        </w:rPr>
        <w:t>[项目采购-采购组织机构_]</w:t>
      </w:r>
      <w:r>
        <w:rPr>
          <w:rFonts w:hint="eastAsia" w:ascii="宋体" w:hAnsi="宋体" w:eastAsia="宋体"/>
          <w:color w:val="auto"/>
          <w:szCs w:val="21"/>
          <w:highlight w:val="none"/>
        </w:rPr>
        <w:t>：</w:t>
      </w:r>
    </w:p>
    <w:p w14:paraId="0BF5BDC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我</w:t>
      </w:r>
      <w:r>
        <w:rPr>
          <w:rFonts w:hint="eastAsia" w:ascii="宋体" w:hAnsi="宋体" w:eastAsia="宋体"/>
          <w:color w:val="auto"/>
          <w:szCs w:val="21"/>
          <w:highlight w:val="none"/>
          <w:u w:val="single"/>
        </w:rPr>
        <w:t>（姓名）</w:t>
      </w:r>
      <w:r>
        <w:rPr>
          <w:rFonts w:hint="eastAsia" w:ascii="宋体" w:hAnsi="宋体" w:eastAsia="宋体"/>
          <w:color w:val="auto"/>
          <w:szCs w:val="21"/>
          <w:highlight w:val="none"/>
        </w:rPr>
        <w:t>系</w:t>
      </w:r>
      <w:r>
        <w:rPr>
          <w:rFonts w:hint="eastAsia" w:ascii="宋体" w:hAnsi="宋体" w:eastAsia="宋体"/>
          <w:color w:val="auto"/>
          <w:szCs w:val="21"/>
          <w:highlight w:val="none"/>
          <w:u w:val="single"/>
        </w:rPr>
        <w:t>（供应商名称）</w:t>
      </w:r>
      <w:r>
        <w:rPr>
          <w:rFonts w:hint="eastAsia" w:ascii="宋体" w:hAnsi="宋体" w:eastAsia="宋体"/>
          <w:color w:val="auto"/>
          <w:szCs w:val="21"/>
          <w:highlight w:val="none"/>
        </w:rPr>
        <w:t>的（</w:t>
      </w:r>
      <w:r>
        <w:rPr>
          <w:rFonts w:hint="eastAsia" w:ascii="宋体" w:hAnsi="宋体" w:eastAsia="宋体"/>
          <w:color w:val="auto"/>
          <w:szCs w:val="21"/>
          <w:highlight w:val="none"/>
          <w:u w:val="single"/>
        </w:rPr>
        <w:t>□法定代表人/□负责人/□自然人本人</w:t>
      </w:r>
      <w:r>
        <w:rPr>
          <w:rFonts w:hint="eastAsia" w:ascii="宋体" w:hAnsi="宋体" w:eastAsia="宋体"/>
          <w:color w:val="auto"/>
          <w:szCs w:val="21"/>
          <w:highlight w:val="none"/>
        </w:rPr>
        <w:t>），现授权</w:t>
      </w:r>
      <w:r>
        <w:rPr>
          <w:rFonts w:hint="eastAsia" w:ascii="宋体" w:hAnsi="宋体" w:eastAsia="宋体"/>
          <w:color w:val="auto"/>
          <w:szCs w:val="21"/>
          <w:highlight w:val="none"/>
          <w:u w:val="single"/>
        </w:rPr>
        <w:t>（姓名）</w:t>
      </w:r>
      <w:r>
        <w:rPr>
          <w:rFonts w:hint="eastAsia" w:ascii="宋体" w:hAnsi="宋体" w:eastAsia="宋体"/>
          <w:color w:val="auto"/>
          <w:szCs w:val="21"/>
          <w:highlight w:val="none"/>
        </w:rPr>
        <w:t>以我方的名义参加</w:t>
      </w:r>
      <w:r>
        <w:rPr>
          <w:rFonts w:hint="eastAsia" w:ascii="宋体" w:hAnsi="宋体" w:eastAsia="宋体"/>
          <w:color w:val="auto"/>
          <w:szCs w:val="21"/>
          <w:highlight w:val="none"/>
          <w:u w:val="single"/>
        </w:rPr>
        <w:t>[项目采购-项目名称_]</w:t>
      </w:r>
      <w:r>
        <w:rPr>
          <w:rFonts w:hint="eastAsia" w:ascii="宋体" w:hAnsi="宋体" w:eastAsia="宋体"/>
          <w:color w:val="auto"/>
          <w:szCs w:val="21"/>
          <w:highlight w:val="none"/>
        </w:rPr>
        <w:t>项目的竞标活动，并代表我方全权办理针对上述项目的所有采购程序和环节的具体事务和签署相关文件。</w:t>
      </w:r>
    </w:p>
    <w:p w14:paraId="74351AB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我方对委托代理人的签字事项负全部责任。</w:t>
      </w:r>
    </w:p>
    <w:p w14:paraId="142CD53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本授权书自签署之日起生效，在撤销授权的书面通知以前，本授权书一直有效。委托代理人在授权书有效期内签署的所有文件不因授权的撤销而失效。</w:t>
      </w:r>
    </w:p>
    <w:p w14:paraId="1503010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委托代理人无转委托权，特此委托。</w:t>
      </w:r>
    </w:p>
    <w:p w14:paraId="0149862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附：法定代表人身份证明书及委托代理人有效身份证正反面复印件</w:t>
      </w:r>
    </w:p>
    <w:p w14:paraId="1EE6ED74">
      <w:pPr>
        <w:spacing w:line="360" w:lineRule="auto"/>
        <w:ind w:firstLine="420" w:firstLineChars="200"/>
        <w:rPr>
          <w:rFonts w:ascii="宋体" w:hAnsi="宋体" w:eastAsia="宋体"/>
          <w:color w:val="auto"/>
          <w:szCs w:val="21"/>
          <w:highlight w:val="none"/>
        </w:rPr>
      </w:pPr>
    </w:p>
    <w:p w14:paraId="64C8EB7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委托代理人（签字）：</w:t>
      </w:r>
      <w:r>
        <w:rPr>
          <w:rFonts w:ascii="Times New Roman" w:hAnsi="Times New Roman" w:eastAsia="宋体" w:cs="Times New Roman"/>
          <w:color w:val="auto"/>
          <w:szCs w:val="21"/>
          <w:highlight w:val="none"/>
        </w:rPr>
        <w:t>______________________</w:t>
      </w:r>
      <w:r>
        <w:rPr>
          <w:rFonts w:hint="eastAsia" w:ascii="宋体" w:hAnsi="宋体" w:eastAsia="宋体"/>
          <w:color w:val="auto"/>
          <w:szCs w:val="21"/>
          <w:highlight w:val="none"/>
        </w:rPr>
        <w:t>法定代表人（签字或盖章）：</w:t>
      </w:r>
      <w:r>
        <w:rPr>
          <w:rFonts w:ascii="Times New Roman" w:hAnsi="Times New Roman" w:eastAsia="宋体" w:cs="Times New Roman"/>
          <w:color w:val="auto"/>
          <w:szCs w:val="21"/>
          <w:highlight w:val="none"/>
        </w:rPr>
        <w:t>______________________</w:t>
      </w:r>
    </w:p>
    <w:p w14:paraId="5A98EAE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委托代理人身份证号码：</w:t>
      </w:r>
    </w:p>
    <w:p w14:paraId="7A7232B9">
      <w:pPr>
        <w:spacing w:line="360" w:lineRule="auto"/>
        <w:ind w:firstLine="420" w:firstLineChars="200"/>
        <w:rPr>
          <w:rFonts w:ascii="宋体" w:hAnsi="宋体" w:eastAsia="宋体"/>
          <w:color w:val="auto"/>
          <w:szCs w:val="21"/>
          <w:highlight w:val="none"/>
        </w:rPr>
      </w:pPr>
    </w:p>
    <w:p w14:paraId="61B4B6E2">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5225C031">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3AA7CD43">
      <w:pPr>
        <w:spacing w:line="360" w:lineRule="auto"/>
        <w:ind w:firstLine="420" w:firstLineChars="200"/>
        <w:rPr>
          <w:rFonts w:ascii="宋体" w:hAnsi="宋体" w:eastAsia="宋体"/>
          <w:color w:val="auto"/>
          <w:szCs w:val="21"/>
          <w:highlight w:val="none"/>
        </w:rPr>
      </w:pPr>
    </w:p>
    <w:p w14:paraId="1E30968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注：1.法定代表人必须在授权委托书上亲笔签字或盖章，委托代理人必须在授权委托书上亲笔签字，</w:t>
      </w:r>
      <w:r>
        <w:rPr>
          <w:rFonts w:hint="eastAsia" w:ascii="宋体" w:hAnsi="宋体" w:eastAsia="宋体"/>
          <w:b/>
          <w:color w:val="auto"/>
          <w:szCs w:val="21"/>
          <w:highlight w:val="none"/>
        </w:rPr>
        <w:t>否则其响应文件按无效响应处理</w:t>
      </w:r>
      <w:r>
        <w:rPr>
          <w:rFonts w:hint="eastAsia" w:ascii="宋体" w:hAnsi="宋体" w:eastAsia="宋体"/>
          <w:color w:val="auto"/>
          <w:szCs w:val="21"/>
          <w:highlight w:val="none"/>
        </w:rPr>
        <w:t>。</w:t>
      </w:r>
    </w:p>
    <w:p w14:paraId="05F0410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DF3040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3.法人、其他组织竞标时“我方”是指“我单位”，自然人竞标时“我方”是指“本人”。</w:t>
      </w:r>
    </w:p>
    <w:p w14:paraId="6B90B586">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201E0735">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授权委托书（联合体竞标格式）</w:t>
      </w:r>
    </w:p>
    <w:p w14:paraId="6E9CE4BC">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（如有委托时）</w:t>
      </w:r>
    </w:p>
    <w:p w14:paraId="7793394A">
      <w:pPr>
        <w:spacing w:line="360" w:lineRule="auto"/>
        <w:ind w:firstLine="420" w:firstLineChars="200"/>
        <w:rPr>
          <w:rFonts w:ascii="宋体" w:hAnsi="宋体" w:eastAsia="宋体"/>
          <w:color w:val="auto"/>
          <w:szCs w:val="21"/>
          <w:highlight w:val="none"/>
        </w:rPr>
      </w:pPr>
    </w:p>
    <w:p w14:paraId="14B038D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本授权委托书声明：根据</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（牵头人名称）与</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（联合体其他成员名称）签订的《联合体竞标协议书》的内容，</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（牵头人名称）的法定代表人</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（姓名）现授权</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（姓名）为联合委托代理人，并代表我方全权办理针对上述项目的所有采购程序和环节的具体事务和签署相关文件。</w:t>
      </w:r>
    </w:p>
    <w:p w14:paraId="3CF646C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我方对委托代理人的签字事项负全部责任。</w:t>
      </w:r>
    </w:p>
    <w:p w14:paraId="062377F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本授权书自签署之日起生效，在撤销授权的书面通知以前，本授权书一直有效。委托代理人在授权书有效期内签署的所有文件不因授权的撤销而失效。</w:t>
      </w:r>
    </w:p>
    <w:p w14:paraId="31358DB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委托代理人无转委托权，特此委托。</w:t>
      </w:r>
    </w:p>
    <w:p w14:paraId="2572E284">
      <w:pPr>
        <w:spacing w:line="360" w:lineRule="auto"/>
        <w:ind w:firstLine="420" w:firstLineChars="200"/>
        <w:rPr>
          <w:rFonts w:ascii="宋体" w:hAnsi="宋体" w:eastAsia="宋体"/>
          <w:color w:val="auto"/>
          <w:szCs w:val="21"/>
          <w:highlight w:val="none"/>
        </w:rPr>
      </w:pPr>
    </w:p>
    <w:p w14:paraId="7992DADA">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牵头人法定代表人（签字或盖章）：</w:t>
      </w:r>
    </w:p>
    <w:p w14:paraId="71FFC63C">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牵头人（电子签章）：</w:t>
      </w:r>
    </w:p>
    <w:p w14:paraId="562695C2">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1550F0D6">
      <w:pPr>
        <w:spacing w:line="360" w:lineRule="auto"/>
        <w:ind w:firstLine="420" w:firstLineChars="200"/>
        <w:rPr>
          <w:rFonts w:ascii="宋体" w:hAnsi="宋体" w:eastAsia="宋体"/>
          <w:color w:val="auto"/>
          <w:szCs w:val="21"/>
          <w:highlight w:val="none"/>
        </w:rPr>
      </w:pPr>
    </w:p>
    <w:p w14:paraId="1303621C">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被授权人（签字）：</w:t>
      </w:r>
    </w:p>
    <w:p w14:paraId="75054283">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1783F769">
      <w:pPr>
        <w:spacing w:line="360" w:lineRule="auto"/>
        <w:ind w:firstLine="420" w:firstLineChars="200"/>
        <w:rPr>
          <w:rFonts w:ascii="宋体" w:hAnsi="宋体" w:eastAsia="宋体"/>
          <w:color w:val="auto"/>
          <w:szCs w:val="21"/>
          <w:highlight w:val="none"/>
        </w:rPr>
      </w:pPr>
    </w:p>
    <w:p w14:paraId="16DE284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注：1.法定代表人必须在授权委托书上亲笔签字或盖章，委托代理人必须在授权委托书上亲笔签字，</w:t>
      </w:r>
      <w:r>
        <w:rPr>
          <w:rFonts w:hint="eastAsia" w:ascii="宋体" w:hAnsi="宋体" w:eastAsia="宋体"/>
          <w:b/>
          <w:color w:val="auto"/>
          <w:szCs w:val="21"/>
          <w:highlight w:val="none"/>
        </w:rPr>
        <w:t>否则其响应文件按无效响应处理</w:t>
      </w:r>
      <w:r>
        <w:rPr>
          <w:rFonts w:hint="eastAsia" w:ascii="宋体" w:hAnsi="宋体" w:eastAsia="宋体"/>
          <w:color w:val="auto"/>
          <w:szCs w:val="21"/>
          <w:highlight w:val="none"/>
        </w:rPr>
        <w:t>。</w:t>
      </w:r>
    </w:p>
    <w:p w14:paraId="23C562B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2.本授权委托书应由联合体牵头人的法定代表人按上述规定签署。</w:t>
      </w:r>
    </w:p>
    <w:p w14:paraId="5F1F163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EC1013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4.法人、其他组织竞标时“我方”是指“我单位”，自然人竞标时“我方”是指“本人”。</w:t>
      </w:r>
    </w:p>
    <w:p w14:paraId="263C1284">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602F12C2">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四、商务条款偏离表</w:t>
      </w:r>
    </w:p>
    <w:p w14:paraId="42BD4634">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商务条款偏离表</w:t>
      </w:r>
    </w:p>
    <w:p w14:paraId="7872AD7C">
      <w:pPr>
        <w:spacing w:line="360" w:lineRule="auto"/>
        <w:ind w:firstLine="420" w:firstLineChars="200"/>
        <w:rPr>
          <w:rFonts w:ascii="宋体" w:hAnsi="宋体" w:eastAsia="宋体"/>
          <w:color w:val="auto"/>
          <w:szCs w:val="21"/>
          <w:highlight w:val="none"/>
        </w:rPr>
      </w:pPr>
    </w:p>
    <w:p w14:paraId="46120A9A">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采购项目编号：</w:t>
      </w:r>
      <w:r>
        <w:rPr>
          <w:rFonts w:hint="eastAsia" w:ascii="宋体" w:hAnsi="宋体" w:eastAsia="宋体"/>
          <w:color w:val="auto"/>
          <w:szCs w:val="21"/>
          <w:highlight w:val="none"/>
          <w:u w:val="single"/>
        </w:rPr>
        <w:t>[项目采购-项目编号]</w:t>
      </w:r>
    </w:p>
    <w:p w14:paraId="34FD704D">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采购项目名称：</w:t>
      </w:r>
      <w:r>
        <w:rPr>
          <w:rFonts w:hint="eastAsia" w:ascii="宋体" w:hAnsi="宋体" w:eastAsia="宋体"/>
          <w:color w:val="auto"/>
          <w:szCs w:val="21"/>
          <w:highlight w:val="none"/>
          <w:u w:val="single"/>
        </w:rPr>
        <w:t>[项目采购-项目名称_]</w:t>
      </w:r>
    </w:p>
    <w:p w14:paraId="4E8D0EE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分标号（此处有分标时填写具体分标号，无分标时填写“无”）：</w:t>
      </w:r>
      <w:r>
        <w:rPr>
          <w:rFonts w:ascii="Times New Roman" w:hAnsi="Times New Roman" w:eastAsia="宋体" w:cs="Times New Roman"/>
          <w:color w:val="auto"/>
          <w:szCs w:val="21"/>
          <w:highlight w:val="none"/>
        </w:rPr>
        <w:t>________________________________</w:t>
      </w:r>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3481"/>
        <w:gridCol w:w="2756"/>
        <w:gridCol w:w="2884"/>
      </w:tblGrid>
      <w:tr w14:paraId="0B34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 w:type="pct"/>
            <w:vAlign w:val="center"/>
          </w:tcPr>
          <w:p w14:paraId="55A7949F">
            <w:pPr>
              <w:jc w:val="center"/>
              <w:rPr>
                <w:rFonts w:ascii="宋体" w:hAnsi="宋体" w:eastAsia="宋体"/>
                <w:color w:val="auto"/>
                <w:szCs w:val="21"/>
                <w:highlight w:val="none"/>
              </w:rPr>
            </w:pPr>
            <w:r>
              <w:rPr>
                <w:rFonts w:hint="eastAsia" w:ascii="宋体" w:hAnsi="宋体" w:eastAsia="宋体"/>
                <w:color w:val="auto"/>
                <w:szCs w:val="21"/>
                <w:highlight w:val="none"/>
              </w:rPr>
              <w:t>项号</w:t>
            </w:r>
          </w:p>
        </w:tc>
        <w:tc>
          <w:tcPr>
            <w:tcW w:w="1768" w:type="pct"/>
            <w:vAlign w:val="center"/>
          </w:tcPr>
          <w:p w14:paraId="2B07E97B">
            <w:pPr>
              <w:jc w:val="center"/>
              <w:rPr>
                <w:rFonts w:ascii="宋体" w:hAnsi="宋体" w:eastAsia="宋体"/>
                <w:color w:val="auto"/>
                <w:szCs w:val="21"/>
                <w:highlight w:val="none"/>
              </w:rPr>
            </w:pPr>
            <w:r>
              <w:rPr>
                <w:rFonts w:hint="eastAsia" w:ascii="宋体" w:hAnsi="宋体" w:eastAsia="宋体"/>
                <w:color w:val="auto"/>
                <w:szCs w:val="21"/>
                <w:highlight w:val="none"/>
              </w:rPr>
              <w:t>竞争性磋商采购文件的商务需求</w:t>
            </w:r>
          </w:p>
        </w:tc>
        <w:tc>
          <w:tcPr>
            <w:tcW w:w="1400" w:type="pct"/>
            <w:vAlign w:val="center"/>
          </w:tcPr>
          <w:p w14:paraId="18BB2B95">
            <w:pPr>
              <w:jc w:val="center"/>
              <w:rPr>
                <w:rFonts w:ascii="宋体" w:hAnsi="宋体" w:eastAsia="宋体"/>
                <w:color w:val="auto"/>
                <w:szCs w:val="21"/>
                <w:highlight w:val="none"/>
              </w:rPr>
            </w:pPr>
            <w:r>
              <w:rPr>
                <w:rFonts w:hint="eastAsia" w:ascii="宋体" w:hAnsi="宋体" w:eastAsia="宋体"/>
                <w:color w:val="auto"/>
                <w:szCs w:val="21"/>
                <w:highlight w:val="none"/>
              </w:rPr>
              <w:t>响应文件承诺的商务条款</w:t>
            </w:r>
          </w:p>
        </w:tc>
        <w:tc>
          <w:tcPr>
            <w:tcW w:w="1465" w:type="pct"/>
            <w:vAlign w:val="center"/>
          </w:tcPr>
          <w:p w14:paraId="10763FAF">
            <w:pPr>
              <w:jc w:val="center"/>
              <w:rPr>
                <w:rFonts w:ascii="宋体" w:hAnsi="宋体" w:eastAsia="宋体"/>
                <w:color w:val="auto"/>
                <w:szCs w:val="21"/>
                <w:highlight w:val="none"/>
              </w:rPr>
            </w:pPr>
            <w:r>
              <w:rPr>
                <w:rFonts w:hint="eastAsia" w:ascii="宋体" w:hAnsi="宋体" w:eastAsia="宋体"/>
                <w:color w:val="auto"/>
                <w:szCs w:val="21"/>
                <w:highlight w:val="none"/>
              </w:rPr>
              <w:t>偏离说明</w:t>
            </w:r>
          </w:p>
        </w:tc>
      </w:tr>
      <w:tr w14:paraId="7D5F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39DFE2F1">
            <w:pPr>
              <w:jc w:val="center"/>
              <w:rPr>
                <w:rFonts w:ascii="宋体" w:hAnsi="宋体" w:eastAsia="宋体"/>
                <w:color w:val="auto"/>
                <w:szCs w:val="21"/>
                <w:highlight w:val="none"/>
              </w:rPr>
            </w:pPr>
            <w:r>
              <w:rPr>
                <w:rFonts w:hint="eastAsia" w:ascii="宋体" w:hAnsi="宋体" w:eastAsia="宋体"/>
                <w:color w:val="auto"/>
                <w:szCs w:val="21"/>
                <w:highlight w:val="none"/>
              </w:rPr>
              <w:t>一</w:t>
            </w:r>
          </w:p>
        </w:tc>
        <w:tc>
          <w:tcPr>
            <w:tcW w:w="1768" w:type="pct"/>
            <w:vAlign w:val="center"/>
          </w:tcPr>
          <w:p w14:paraId="2F3D62E1">
            <w:pPr>
              <w:jc w:val="left"/>
              <w:rPr>
                <w:rFonts w:ascii="宋体" w:hAnsi="宋体" w:eastAsia="宋体"/>
                <w:color w:val="auto"/>
                <w:szCs w:val="21"/>
                <w:highlight w:val="none"/>
              </w:rPr>
            </w:pPr>
            <w:r>
              <w:rPr>
                <w:rFonts w:hint="eastAsia" w:ascii="宋体" w:hAnsi="宋体" w:eastAsia="宋体"/>
                <w:color w:val="auto"/>
                <w:szCs w:val="21"/>
                <w:highlight w:val="none"/>
              </w:rPr>
              <w:t>1……</w:t>
            </w:r>
          </w:p>
          <w:p w14:paraId="7205627E">
            <w:pPr>
              <w:jc w:val="left"/>
              <w:rPr>
                <w:rFonts w:ascii="宋体" w:hAnsi="宋体" w:eastAsia="宋体"/>
                <w:color w:val="auto"/>
                <w:szCs w:val="21"/>
                <w:highlight w:val="none"/>
              </w:rPr>
            </w:pPr>
            <w:r>
              <w:rPr>
                <w:rFonts w:ascii="宋体" w:hAnsi="宋体" w:eastAsia="宋体"/>
                <w:color w:val="auto"/>
                <w:szCs w:val="21"/>
                <w:highlight w:val="none"/>
              </w:rPr>
              <w:t>2……</w:t>
            </w:r>
          </w:p>
          <w:p w14:paraId="506C8228">
            <w:pPr>
              <w:jc w:val="left"/>
              <w:rPr>
                <w:rFonts w:ascii="宋体" w:hAnsi="宋体" w:eastAsia="宋体"/>
                <w:color w:val="auto"/>
                <w:szCs w:val="21"/>
                <w:highlight w:val="none"/>
              </w:rPr>
            </w:pPr>
            <w:r>
              <w:rPr>
                <w:rFonts w:ascii="宋体" w:hAnsi="宋体" w:eastAsia="宋体"/>
                <w:color w:val="auto"/>
                <w:szCs w:val="21"/>
                <w:highlight w:val="none"/>
              </w:rPr>
              <w:t>3……</w:t>
            </w:r>
          </w:p>
          <w:p w14:paraId="24A8D15F">
            <w:pPr>
              <w:jc w:val="left"/>
              <w:rPr>
                <w:rFonts w:ascii="宋体" w:hAnsi="宋体" w:eastAsia="宋体"/>
                <w:color w:val="auto"/>
                <w:szCs w:val="21"/>
                <w:highlight w:val="none"/>
              </w:rPr>
            </w:pPr>
            <w:r>
              <w:rPr>
                <w:rFonts w:hint="eastAsia" w:ascii="宋体" w:hAnsi="宋体" w:eastAsia="宋体"/>
                <w:color w:val="auto"/>
                <w:szCs w:val="21"/>
                <w:highlight w:val="none"/>
              </w:rPr>
              <w:t>……</w:t>
            </w:r>
          </w:p>
        </w:tc>
        <w:tc>
          <w:tcPr>
            <w:tcW w:w="1400" w:type="pct"/>
            <w:vAlign w:val="center"/>
          </w:tcPr>
          <w:p w14:paraId="48857916">
            <w:pPr>
              <w:jc w:val="left"/>
              <w:rPr>
                <w:rFonts w:ascii="宋体" w:hAnsi="宋体" w:eastAsia="宋体"/>
                <w:color w:val="auto"/>
                <w:szCs w:val="21"/>
                <w:highlight w:val="none"/>
              </w:rPr>
            </w:pPr>
            <w:r>
              <w:rPr>
                <w:rFonts w:hint="eastAsia" w:ascii="宋体" w:hAnsi="宋体" w:eastAsia="宋体"/>
                <w:color w:val="auto"/>
                <w:szCs w:val="21"/>
                <w:highlight w:val="none"/>
              </w:rPr>
              <w:t>1……</w:t>
            </w:r>
          </w:p>
          <w:p w14:paraId="721406E7">
            <w:pPr>
              <w:jc w:val="left"/>
              <w:rPr>
                <w:rFonts w:ascii="宋体" w:hAnsi="宋体" w:eastAsia="宋体"/>
                <w:color w:val="auto"/>
                <w:szCs w:val="21"/>
                <w:highlight w:val="none"/>
              </w:rPr>
            </w:pPr>
            <w:r>
              <w:rPr>
                <w:rFonts w:ascii="宋体" w:hAnsi="宋体" w:eastAsia="宋体"/>
                <w:color w:val="auto"/>
                <w:szCs w:val="21"/>
                <w:highlight w:val="none"/>
              </w:rPr>
              <w:t>2……</w:t>
            </w:r>
          </w:p>
          <w:p w14:paraId="317CF0D4">
            <w:pPr>
              <w:jc w:val="left"/>
              <w:rPr>
                <w:rFonts w:ascii="宋体" w:hAnsi="宋体" w:eastAsia="宋体"/>
                <w:color w:val="auto"/>
                <w:szCs w:val="21"/>
                <w:highlight w:val="none"/>
              </w:rPr>
            </w:pPr>
            <w:r>
              <w:rPr>
                <w:rFonts w:ascii="宋体" w:hAnsi="宋体" w:eastAsia="宋体"/>
                <w:color w:val="auto"/>
                <w:szCs w:val="21"/>
                <w:highlight w:val="none"/>
              </w:rPr>
              <w:t>3……</w:t>
            </w:r>
          </w:p>
          <w:p w14:paraId="097CD1F1">
            <w:pPr>
              <w:jc w:val="left"/>
              <w:rPr>
                <w:rFonts w:ascii="宋体" w:hAnsi="宋体" w:eastAsia="宋体"/>
                <w:color w:val="auto"/>
                <w:szCs w:val="21"/>
                <w:highlight w:val="none"/>
              </w:rPr>
            </w:pPr>
            <w:r>
              <w:rPr>
                <w:rFonts w:hint="eastAsia" w:ascii="宋体" w:hAnsi="宋体" w:eastAsia="宋体"/>
                <w:color w:val="auto"/>
                <w:szCs w:val="21"/>
                <w:highlight w:val="none"/>
              </w:rPr>
              <w:t>……</w:t>
            </w:r>
          </w:p>
        </w:tc>
        <w:tc>
          <w:tcPr>
            <w:tcW w:w="1465" w:type="pct"/>
            <w:vAlign w:val="center"/>
          </w:tcPr>
          <w:p w14:paraId="0ADE9D9F">
            <w:pPr>
              <w:jc w:val="center"/>
              <w:rPr>
                <w:rFonts w:ascii="宋体" w:hAnsi="宋体" w:eastAsia="宋体"/>
                <w:color w:val="auto"/>
                <w:szCs w:val="21"/>
                <w:highlight w:val="none"/>
              </w:rPr>
            </w:pPr>
          </w:p>
        </w:tc>
      </w:tr>
      <w:tr w14:paraId="5842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5CA7731B">
            <w:pPr>
              <w:jc w:val="center"/>
              <w:rPr>
                <w:rFonts w:ascii="宋体" w:hAnsi="宋体" w:eastAsia="宋体"/>
                <w:color w:val="auto"/>
                <w:szCs w:val="21"/>
                <w:highlight w:val="none"/>
              </w:rPr>
            </w:pPr>
            <w:r>
              <w:rPr>
                <w:rFonts w:hint="eastAsia" w:ascii="宋体" w:hAnsi="宋体" w:eastAsia="宋体"/>
                <w:color w:val="auto"/>
                <w:szCs w:val="21"/>
                <w:highlight w:val="none"/>
              </w:rPr>
              <w:t>二</w:t>
            </w:r>
          </w:p>
        </w:tc>
        <w:tc>
          <w:tcPr>
            <w:tcW w:w="1768" w:type="pct"/>
            <w:vAlign w:val="center"/>
          </w:tcPr>
          <w:p w14:paraId="5FF2E66F">
            <w:pPr>
              <w:jc w:val="left"/>
              <w:rPr>
                <w:rFonts w:ascii="宋体" w:hAnsi="宋体" w:eastAsia="宋体"/>
                <w:color w:val="auto"/>
                <w:szCs w:val="21"/>
                <w:highlight w:val="none"/>
              </w:rPr>
            </w:pPr>
            <w:r>
              <w:rPr>
                <w:rFonts w:hint="eastAsia" w:ascii="宋体" w:hAnsi="宋体" w:eastAsia="宋体"/>
                <w:color w:val="auto"/>
                <w:szCs w:val="21"/>
                <w:highlight w:val="none"/>
              </w:rPr>
              <w:t>1……</w:t>
            </w:r>
          </w:p>
          <w:p w14:paraId="3646C461">
            <w:pPr>
              <w:jc w:val="left"/>
              <w:rPr>
                <w:rFonts w:ascii="宋体" w:hAnsi="宋体" w:eastAsia="宋体"/>
                <w:color w:val="auto"/>
                <w:szCs w:val="21"/>
                <w:highlight w:val="none"/>
              </w:rPr>
            </w:pPr>
            <w:r>
              <w:rPr>
                <w:rFonts w:ascii="宋体" w:hAnsi="宋体" w:eastAsia="宋体"/>
                <w:color w:val="auto"/>
                <w:szCs w:val="21"/>
                <w:highlight w:val="none"/>
              </w:rPr>
              <w:t>2……</w:t>
            </w:r>
          </w:p>
          <w:p w14:paraId="12C55A7A">
            <w:pPr>
              <w:jc w:val="left"/>
              <w:rPr>
                <w:rFonts w:ascii="宋体" w:hAnsi="宋体" w:eastAsia="宋体"/>
                <w:color w:val="auto"/>
                <w:szCs w:val="21"/>
                <w:highlight w:val="none"/>
              </w:rPr>
            </w:pPr>
            <w:r>
              <w:rPr>
                <w:rFonts w:ascii="宋体" w:hAnsi="宋体" w:eastAsia="宋体"/>
                <w:color w:val="auto"/>
                <w:szCs w:val="21"/>
                <w:highlight w:val="none"/>
              </w:rPr>
              <w:t>3……</w:t>
            </w:r>
          </w:p>
          <w:p w14:paraId="4939D063">
            <w:pPr>
              <w:jc w:val="left"/>
              <w:rPr>
                <w:rFonts w:ascii="宋体" w:hAnsi="宋体" w:eastAsia="宋体"/>
                <w:color w:val="auto"/>
                <w:szCs w:val="21"/>
                <w:highlight w:val="none"/>
              </w:rPr>
            </w:pPr>
            <w:r>
              <w:rPr>
                <w:rFonts w:hint="eastAsia" w:ascii="宋体" w:hAnsi="宋体" w:eastAsia="宋体"/>
                <w:color w:val="auto"/>
                <w:szCs w:val="21"/>
                <w:highlight w:val="none"/>
              </w:rPr>
              <w:t>……</w:t>
            </w:r>
          </w:p>
        </w:tc>
        <w:tc>
          <w:tcPr>
            <w:tcW w:w="1400" w:type="pct"/>
            <w:vAlign w:val="center"/>
          </w:tcPr>
          <w:p w14:paraId="33CA36D2">
            <w:pPr>
              <w:jc w:val="left"/>
              <w:rPr>
                <w:rFonts w:ascii="宋体" w:hAnsi="宋体" w:eastAsia="宋体"/>
                <w:color w:val="auto"/>
                <w:szCs w:val="21"/>
                <w:highlight w:val="none"/>
              </w:rPr>
            </w:pPr>
            <w:r>
              <w:rPr>
                <w:rFonts w:hint="eastAsia" w:ascii="宋体" w:hAnsi="宋体" w:eastAsia="宋体"/>
                <w:color w:val="auto"/>
                <w:szCs w:val="21"/>
                <w:highlight w:val="none"/>
              </w:rPr>
              <w:t>1……</w:t>
            </w:r>
          </w:p>
          <w:p w14:paraId="612D3018">
            <w:pPr>
              <w:jc w:val="left"/>
              <w:rPr>
                <w:rFonts w:ascii="宋体" w:hAnsi="宋体" w:eastAsia="宋体"/>
                <w:color w:val="auto"/>
                <w:szCs w:val="21"/>
                <w:highlight w:val="none"/>
              </w:rPr>
            </w:pPr>
            <w:r>
              <w:rPr>
                <w:rFonts w:ascii="宋体" w:hAnsi="宋体" w:eastAsia="宋体"/>
                <w:color w:val="auto"/>
                <w:szCs w:val="21"/>
                <w:highlight w:val="none"/>
              </w:rPr>
              <w:t>2……</w:t>
            </w:r>
          </w:p>
          <w:p w14:paraId="73D0953B">
            <w:pPr>
              <w:jc w:val="left"/>
              <w:rPr>
                <w:rFonts w:ascii="宋体" w:hAnsi="宋体" w:eastAsia="宋体"/>
                <w:color w:val="auto"/>
                <w:szCs w:val="21"/>
                <w:highlight w:val="none"/>
              </w:rPr>
            </w:pPr>
            <w:r>
              <w:rPr>
                <w:rFonts w:ascii="宋体" w:hAnsi="宋体" w:eastAsia="宋体"/>
                <w:color w:val="auto"/>
                <w:szCs w:val="21"/>
                <w:highlight w:val="none"/>
              </w:rPr>
              <w:t>3……</w:t>
            </w:r>
          </w:p>
          <w:p w14:paraId="66959BD3">
            <w:pPr>
              <w:jc w:val="left"/>
              <w:rPr>
                <w:rFonts w:ascii="宋体" w:hAnsi="宋体" w:eastAsia="宋体"/>
                <w:color w:val="auto"/>
                <w:szCs w:val="21"/>
                <w:highlight w:val="none"/>
              </w:rPr>
            </w:pPr>
            <w:r>
              <w:rPr>
                <w:rFonts w:hint="eastAsia" w:ascii="宋体" w:hAnsi="宋体" w:eastAsia="宋体"/>
                <w:color w:val="auto"/>
                <w:szCs w:val="21"/>
                <w:highlight w:val="none"/>
              </w:rPr>
              <w:t>……</w:t>
            </w:r>
          </w:p>
        </w:tc>
        <w:tc>
          <w:tcPr>
            <w:tcW w:w="1465" w:type="pct"/>
            <w:vAlign w:val="center"/>
          </w:tcPr>
          <w:p w14:paraId="3C5F9C3D">
            <w:pPr>
              <w:jc w:val="center"/>
              <w:rPr>
                <w:rFonts w:ascii="宋体" w:hAnsi="宋体" w:eastAsia="宋体"/>
                <w:color w:val="auto"/>
                <w:szCs w:val="21"/>
                <w:highlight w:val="none"/>
              </w:rPr>
            </w:pPr>
          </w:p>
        </w:tc>
      </w:tr>
      <w:tr w14:paraId="30EF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367" w:type="pct"/>
            <w:vAlign w:val="center"/>
          </w:tcPr>
          <w:p w14:paraId="7D562196">
            <w:pPr>
              <w:jc w:val="center"/>
              <w:rPr>
                <w:rFonts w:ascii="宋体" w:hAnsi="宋体" w:eastAsia="宋体"/>
                <w:color w:val="auto"/>
                <w:szCs w:val="21"/>
                <w:highlight w:val="none"/>
              </w:rPr>
            </w:pPr>
            <w:r>
              <w:rPr>
                <w:rFonts w:hint="eastAsia" w:ascii="宋体" w:hAnsi="宋体" w:eastAsia="宋体"/>
                <w:color w:val="auto"/>
                <w:szCs w:val="21"/>
                <w:highlight w:val="none"/>
              </w:rPr>
              <w:t>…</w:t>
            </w:r>
          </w:p>
        </w:tc>
        <w:tc>
          <w:tcPr>
            <w:tcW w:w="1768" w:type="pct"/>
            <w:vAlign w:val="center"/>
          </w:tcPr>
          <w:p w14:paraId="3E553622">
            <w:pPr>
              <w:jc w:val="left"/>
              <w:rPr>
                <w:rFonts w:ascii="宋体" w:hAnsi="宋体" w:eastAsia="宋体"/>
                <w:color w:val="auto"/>
                <w:szCs w:val="21"/>
                <w:highlight w:val="none"/>
              </w:rPr>
            </w:pPr>
            <w:r>
              <w:rPr>
                <w:rFonts w:hint="eastAsia" w:ascii="宋体" w:hAnsi="宋体" w:eastAsia="宋体"/>
                <w:color w:val="auto"/>
                <w:szCs w:val="21"/>
                <w:highlight w:val="none"/>
              </w:rPr>
              <w:t>1……</w:t>
            </w:r>
          </w:p>
          <w:p w14:paraId="5D8DAE70">
            <w:pPr>
              <w:jc w:val="left"/>
              <w:rPr>
                <w:rFonts w:ascii="宋体" w:hAnsi="宋体" w:eastAsia="宋体"/>
                <w:color w:val="auto"/>
                <w:szCs w:val="21"/>
                <w:highlight w:val="none"/>
              </w:rPr>
            </w:pPr>
            <w:r>
              <w:rPr>
                <w:rFonts w:ascii="宋体" w:hAnsi="宋体" w:eastAsia="宋体"/>
                <w:color w:val="auto"/>
                <w:szCs w:val="21"/>
                <w:highlight w:val="none"/>
              </w:rPr>
              <w:t>2……</w:t>
            </w:r>
          </w:p>
          <w:p w14:paraId="4AB94249">
            <w:pPr>
              <w:jc w:val="left"/>
              <w:rPr>
                <w:rFonts w:ascii="宋体" w:hAnsi="宋体" w:eastAsia="宋体"/>
                <w:color w:val="auto"/>
                <w:szCs w:val="21"/>
                <w:highlight w:val="none"/>
              </w:rPr>
            </w:pPr>
            <w:r>
              <w:rPr>
                <w:rFonts w:ascii="宋体" w:hAnsi="宋体" w:eastAsia="宋体"/>
                <w:color w:val="auto"/>
                <w:szCs w:val="21"/>
                <w:highlight w:val="none"/>
              </w:rPr>
              <w:t>3……</w:t>
            </w:r>
          </w:p>
          <w:p w14:paraId="7860AFFF">
            <w:pPr>
              <w:jc w:val="left"/>
              <w:rPr>
                <w:rFonts w:ascii="宋体" w:hAnsi="宋体" w:eastAsia="宋体"/>
                <w:color w:val="auto"/>
                <w:szCs w:val="21"/>
                <w:highlight w:val="none"/>
              </w:rPr>
            </w:pPr>
            <w:r>
              <w:rPr>
                <w:rFonts w:hint="eastAsia" w:ascii="宋体" w:hAnsi="宋体" w:eastAsia="宋体"/>
                <w:color w:val="auto"/>
                <w:szCs w:val="21"/>
                <w:highlight w:val="none"/>
              </w:rPr>
              <w:t>……</w:t>
            </w:r>
          </w:p>
        </w:tc>
        <w:tc>
          <w:tcPr>
            <w:tcW w:w="1400" w:type="pct"/>
            <w:vAlign w:val="center"/>
          </w:tcPr>
          <w:p w14:paraId="2C5BB24E">
            <w:pPr>
              <w:jc w:val="left"/>
              <w:rPr>
                <w:rFonts w:ascii="宋体" w:hAnsi="宋体" w:eastAsia="宋体"/>
                <w:color w:val="auto"/>
                <w:szCs w:val="21"/>
                <w:highlight w:val="none"/>
              </w:rPr>
            </w:pPr>
            <w:r>
              <w:rPr>
                <w:rFonts w:hint="eastAsia" w:ascii="宋体" w:hAnsi="宋体" w:eastAsia="宋体"/>
                <w:color w:val="auto"/>
                <w:szCs w:val="21"/>
                <w:highlight w:val="none"/>
              </w:rPr>
              <w:t>1……</w:t>
            </w:r>
          </w:p>
          <w:p w14:paraId="203B703E">
            <w:pPr>
              <w:jc w:val="left"/>
              <w:rPr>
                <w:rFonts w:ascii="宋体" w:hAnsi="宋体" w:eastAsia="宋体"/>
                <w:color w:val="auto"/>
                <w:szCs w:val="21"/>
                <w:highlight w:val="none"/>
              </w:rPr>
            </w:pPr>
            <w:r>
              <w:rPr>
                <w:rFonts w:ascii="宋体" w:hAnsi="宋体" w:eastAsia="宋体"/>
                <w:color w:val="auto"/>
                <w:szCs w:val="21"/>
                <w:highlight w:val="none"/>
              </w:rPr>
              <w:t>2……</w:t>
            </w:r>
          </w:p>
          <w:p w14:paraId="3D59C140">
            <w:pPr>
              <w:jc w:val="left"/>
              <w:rPr>
                <w:rFonts w:ascii="宋体" w:hAnsi="宋体" w:eastAsia="宋体"/>
                <w:color w:val="auto"/>
                <w:szCs w:val="21"/>
                <w:highlight w:val="none"/>
              </w:rPr>
            </w:pPr>
            <w:r>
              <w:rPr>
                <w:rFonts w:ascii="宋体" w:hAnsi="宋体" w:eastAsia="宋体"/>
                <w:color w:val="auto"/>
                <w:szCs w:val="21"/>
                <w:highlight w:val="none"/>
              </w:rPr>
              <w:t>3……</w:t>
            </w:r>
          </w:p>
          <w:p w14:paraId="3259E457">
            <w:pPr>
              <w:jc w:val="left"/>
              <w:rPr>
                <w:rFonts w:ascii="宋体" w:hAnsi="宋体" w:eastAsia="宋体"/>
                <w:color w:val="auto"/>
                <w:szCs w:val="21"/>
                <w:highlight w:val="none"/>
              </w:rPr>
            </w:pPr>
            <w:r>
              <w:rPr>
                <w:rFonts w:hint="eastAsia" w:ascii="宋体" w:hAnsi="宋体" w:eastAsia="宋体"/>
                <w:color w:val="auto"/>
                <w:szCs w:val="21"/>
                <w:highlight w:val="none"/>
              </w:rPr>
              <w:t>……</w:t>
            </w:r>
          </w:p>
        </w:tc>
        <w:tc>
          <w:tcPr>
            <w:tcW w:w="1465" w:type="pct"/>
            <w:vAlign w:val="center"/>
          </w:tcPr>
          <w:p w14:paraId="6D1DE38B">
            <w:pPr>
              <w:jc w:val="center"/>
              <w:rPr>
                <w:rFonts w:ascii="宋体" w:hAnsi="宋体" w:eastAsia="宋体"/>
                <w:color w:val="auto"/>
                <w:szCs w:val="21"/>
                <w:highlight w:val="none"/>
              </w:rPr>
            </w:pPr>
          </w:p>
        </w:tc>
      </w:tr>
    </w:tbl>
    <w:p w14:paraId="1714B96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w:t>
      </w:r>
    </w:p>
    <w:p w14:paraId="26720BD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1.说明：应对照磋商文件“第二章采购需求”中的商务条款逐条作出明确响应，并作出偏离说明。</w:t>
      </w:r>
    </w:p>
    <w:p w14:paraId="68B6680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4D58FF3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3.表格内容均需按要求填写，不得留空，否则按竞标无效处理。</w:t>
      </w:r>
    </w:p>
    <w:p w14:paraId="30DACB3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50974BB0">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3B0F9F0A">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07DEAE08">
      <w:pPr>
        <w:spacing w:line="360" w:lineRule="auto"/>
        <w:ind w:firstLine="643" w:firstLineChars="200"/>
        <w:rPr>
          <w:rFonts w:ascii="宋体" w:hAnsi="宋体" w:eastAsia="宋体"/>
          <w:b/>
          <w:color w:val="auto"/>
          <w:sz w:val="32"/>
          <w:szCs w:val="32"/>
          <w:highlight w:val="none"/>
        </w:rPr>
        <w:sectPr>
          <w:pgSz w:w="11906" w:h="16838"/>
          <w:pgMar w:top="1134" w:right="1134" w:bottom="1134" w:left="1134" w:header="851" w:footer="680" w:gutter="0"/>
          <w:cols w:space="425" w:num="1"/>
          <w:docGrid w:type="lines" w:linePitch="312" w:charSpace="0"/>
        </w:sectPr>
      </w:pPr>
    </w:p>
    <w:p w14:paraId="2559A922">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五、竞标人情况介绍</w:t>
      </w:r>
    </w:p>
    <w:p w14:paraId="7B00C051">
      <w:pPr>
        <w:spacing w:line="360" w:lineRule="auto"/>
        <w:ind w:firstLine="420" w:firstLineChars="200"/>
        <w:rPr>
          <w:rFonts w:ascii="宋体" w:hAnsi="宋体" w:eastAsia="宋体"/>
          <w:color w:val="auto"/>
          <w:szCs w:val="21"/>
          <w:highlight w:val="none"/>
        </w:rPr>
      </w:pPr>
    </w:p>
    <w:p w14:paraId="333E1EC9">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60234B62">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5EEED29B">
      <w:pPr>
        <w:spacing w:line="360" w:lineRule="auto"/>
        <w:ind w:firstLine="420" w:firstLineChars="200"/>
        <w:rPr>
          <w:rFonts w:ascii="宋体" w:hAnsi="宋体" w:eastAsia="宋体"/>
          <w:color w:val="auto"/>
          <w:szCs w:val="21"/>
          <w:highlight w:val="none"/>
        </w:rPr>
      </w:pPr>
    </w:p>
    <w:p w14:paraId="260103B0">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六、供应商类似的业绩证明文件</w:t>
      </w:r>
    </w:p>
    <w:p w14:paraId="4BA0150F">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附表：相关项目业绩一览表（供应商同类项目合同复印件、用户验收报告、用户评价意见格式自拟）</w:t>
      </w:r>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305"/>
        <w:gridCol w:w="1162"/>
        <w:gridCol w:w="1451"/>
        <w:gridCol w:w="1595"/>
        <w:gridCol w:w="1451"/>
        <w:gridCol w:w="1725"/>
      </w:tblGrid>
      <w:tr w14:paraId="71D8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Merge w:val="restart"/>
            <w:vAlign w:val="center"/>
          </w:tcPr>
          <w:p w14:paraId="5CC6125E">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采购人名称</w:t>
            </w:r>
          </w:p>
        </w:tc>
        <w:tc>
          <w:tcPr>
            <w:tcW w:w="663" w:type="pct"/>
            <w:vMerge w:val="restart"/>
            <w:vAlign w:val="center"/>
          </w:tcPr>
          <w:p w14:paraId="704C6985">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项目名称</w:t>
            </w:r>
          </w:p>
        </w:tc>
        <w:tc>
          <w:tcPr>
            <w:tcW w:w="590" w:type="pct"/>
            <w:vMerge w:val="restart"/>
            <w:vAlign w:val="center"/>
          </w:tcPr>
          <w:p w14:paraId="27C59670">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合同金额（万元）</w:t>
            </w:r>
          </w:p>
        </w:tc>
        <w:tc>
          <w:tcPr>
            <w:tcW w:w="2284" w:type="pct"/>
            <w:gridSpan w:val="3"/>
            <w:vAlign w:val="center"/>
          </w:tcPr>
          <w:p w14:paraId="0972FE5D">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附件在响应文件中页码</w:t>
            </w:r>
          </w:p>
        </w:tc>
        <w:tc>
          <w:tcPr>
            <w:tcW w:w="876" w:type="pct"/>
            <w:vMerge w:val="restart"/>
            <w:vAlign w:val="center"/>
          </w:tcPr>
          <w:p w14:paraId="511C0F25">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采购人联系人及联系电话</w:t>
            </w:r>
          </w:p>
        </w:tc>
      </w:tr>
      <w:tr w14:paraId="61F9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Merge w:val="continue"/>
            <w:vAlign w:val="center"/>
          </w:tcPr>
          <w:p w14:paraId="7FF524FB">
            <w:pPr>
              <w:spacing w:line="360" w:lineRule="auto"/>
              <w:jc w:val="center"/>
              <w:rPr>
                <w:rFonts w:ascii="宋体" w:hAnsi="宋体" w:eastAsia="宋体"/>
                <w:color w:val="auto"/>
                <w:szCs w:val="21"/>
                <w:highlight w:val="none"/>
              </w:rPr>
            </w:pPr>
          </w:p>
        </w:tc>
        <w:tc>
          <w:tcPr>
            <w:tcW w:w="663" w:type="pct"/>
            <w:vMerge w:val="continue"/>
            <w:vAlign w:val="center"/>
          </w:tcPr>
          <w:p w14:paraId="11231A38">
            <w:pPr>
              <w:spacing w:line="360" w:lineRule="auto"/>
              <w:jc w:val="center"/>
              <w:rPr>
                <w:rFonts w:ascii="宋体" w:hAnsi="宋体" w:eastAsia="宋体"/>
                <w:color w:val="auto"/>
                <w:szCs w:val="21"/>
                <w:highlight w:val="none"/>
              </w:rPr>
            </w:pPr>
          </w:p>
        </w:tc>
        <w:tc>
          <w:tcPr>
            <w:tcW w:w="590" w:type="pct"/>
            <w:vMerge w:val="continue"/>
            <w:vAlign w:val="center"/>
          </w:tcPr>
          <w:p w14:paraId="6D5B1219">
            <w:pPr>
              <w:spacing w:line="360" w:lineRule="auto"/>
              <w:jc w:val="center"/>
              <w:rPr>
                <w:rFonts w:ascii="宋体" w:hAnsi="宋体" w:eastAsia="宋体"/>
                <w:color w:val="auto"/>
                <w:szCs w:val="21"/>
                <w:highlight w:val="none"/>
              </w:rPr>
            </w:pPr>
          </w:p>
        </w:tc>
        <w:tc>
          <w:tcPr>
            <w:tcW w:w="737" w:type="pct"/>
            <w:vAlign w:val="center"/>
          </w:tcPr>
          <w:p w14:paraId="402C4F9D">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合同</w:t>
            </w:r>
          </w:p>
        </w:tc>
        <w:tc>
          <w:tcPr>
            <w:tcW w:w="810" w:type="pct"/>
            <w:vAlign w:val="center"/>
          </w:tcPr>
          <w:p w14:paraId="467ABD43">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验收报告</w:t>
            </w:r>
          </w:p>
        </w:tc>
        <w:tc>
          <w:tcPr>
            <w:tcW w:w="737" w:type="pct"/>
            <w:vAlign w:val="center"/>
          </w:tcPr>
          <w:p w14:paraId="4519AA22">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用户评价</w:t>
            </w:r>
          </w:p>
        </w:tc>
        <w:tc>
          <w:tcPr>
            <w:tcW w:w="876" w:type="pct"/>
            <w:vMerge w:val="continue"/>
            <w:vAlign w:val="center"/>
          </w:tcPr>
          <w:p w14:paraId="4928F9CB">
            <w:pPr>
              <w:spacing w:line="360" w:lineRule="auto"/>
              <w:jc w:val="center"/>
              <w:rPr>
                <w:rFonts w:ascii="宋体" w:hAnsi="宋体" w:eastAsia="宋体"/>
                <w:color w:val="auto"/>
                <w:szCs w:val="21"/>
                <w:highlight w:val="none"/>
              </w:rPr>
            </w:pPr>
          </w:p>
        </w:tc>
      </w:tr>
      <w:tr w14:paraId="3CC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Align w:val="center"/>
          </w:tcPr>
          <w:p w14:paraId="6D1094C6">
            <w:pPr>
              <w:spacing w:line="360" w:lineRule="auto"/>
              <w:jc w:val="center"/>
              <w:rPr>
                <w:rFonts w:ascii="宋体" w:hAnsi="宋体" w:eastAsia="宋体"/>
                <w:color w:val="auto"/>
                <w:szCs w:val="21"/>
                <w:highlight w:val="none"/>
              </w:rPr>
            </w:pPr>
          </w:p>
        </w:tc>
        <w:tc>
          <w:tcPr>
            <w:tcW w:w="663" w:type="pct"/>
            <w:vAlign w:val="center"/>
          </w:tcPr>
          <w:p w14:paraId="0CD8044A">
            <w:pPr>
              <w:spacing w:line="360" w:lineRule="auto"/>
              <w:jc w:val="center"/>
              <w:rPr>
                <w:rFonts w:ascii="宋体" w:hAnsi="宋体" w:eastAsia="宋体"/>
                <w:color w:val="auto"/>
                <w:szCs w:val="21"/>
                <w:highlight w:val="none"/>
              </w:rPr>
            </w:pPr>
          </w:p>
        </w:tc>
        <w:tc>
          <w:tcPr>
            <w:tcW w:w="590" w:type="pct"/>
            <w:vAlign w:val="center"/>
          </w:tcPr>
          <w:p w14:paraId="08EB7326">
            <w:pPr>
              <w:spacing w:line="360" w:lineRule="auto"/>
              <w:jc w:val="center"/>
              <w:rPr>
                <w:rFonts w:ascii="宋体" w:hAnsi="宋体" w:eastAsia="宋体"/>
                <w:color w:val="auto"/>
                <w:szCs w:val="21"/>
                <w:highlight w:val="none"/>
              </w:rPr>
            </w:pPr>
          </w:p>
        </w:tc>
        <w:tc>
          <w:tcPr>
            <w:tcW w:w="737" w:type="pct"/>
            <w:vAlign w:val="center"/>
          </w:tcPr>
          <w:p w14:paraId="6C217D40">
            <w:pPr>
              <w:spacing w:line="360" w:lineRule="auto"/>
              <w:jc w:val="center"/>
              <w:rPr>
                <w:rFonts w:ascii="宋体" w:hAnsi="宋体" w:eastAsia="宋体"/>
                <w:color w:val="auto"/>
                <w:szCs w:val="21"/>
                <w:highlight w:val="none"/>
              </w:rPr>
            </w:pPr>
          </w:p>
        </w:tc>
        <w:tc>
          <w:tcPr>
            <w:tcW w:w="810" w:type="pct"/>
            <w:vAlign w:val="center"/>
          </w:tcPr>
          <w:p w14:paraId="0F3DBCD9">
            <w:pPr>
              <w:spacing w:line="360" w:lineRule="auto"/>
              <w:jc w:val="center"/>
              <w:rPr>
                <w:rFonts w:ascii="宋体" w:hAnsi="宋体" w:eastAsia="宋体"/>
                <w:color w:val="auto"/>
                <w:szCs w:val="21"/>
                <w:highlight w:val="none"/>
              </w:rPr>
            </w:pPr>
          </w:p>
        </w:tc>
        <w:tc>
          <w:tcPr>
            <w:tcW w:w="737" w:type="pct"/>
            <w:vAlign w:val="center"/>
          </w:tcPr>
          <w:p w14:paraId="4B6F1CBD">
            <w:pPr>
              <w:spacing w:line="360" w:lineRule="auto"/>
              <w:jc w:val="center"/>
              <w:rPr>
                <w:rFonts w:ascii="宋体" w:hAnsi="宋体" w:eastAsia="宋体"/>
                <w:color w:val="auto"/>
                <w:szCs w:val="21"/>
                <w:highlight w:val="none"/>
              </w:rPr>
            </w:pPr>
          </w:p>
        </w:tc>
        <w:tc>
          <w:tcPr>
            <w:tcW w:w="876" w:type="pct"/>
            <w:vAlign w:val="center"/>
          </w:tcPr>
          <w:p w14:paraId="5AA67202">
            <w:pPr>
              <w:spacing w:line="360" w:lineRule="auto"/>
              <w:jc w:val="center"/>
              <w:rPr>
                <w:rFonts w:ascii="宋体" w:hAnsi="宋体" w:eastAsia="宋体"/>
                <w:color w:val="auto"/>
                <w:szCs w:val="21"/>
                <w:highlight w:val="none"/>
              </w:rPr>
            </w:pPr>
          </w:p>
        </w:tc>
      </w:tr>
      <w:tr w14:paraId="5107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Align w:val="center"/>
          </w:tcPr>
          <w:p w14:paraId="5FAE959A">
            <w:pPr>
              <w:spacing w:line="360" w:lineRule="auto"/>
              <w:jc w:val="center"/>
              <w:rPr>
                <w:rFonts w:ascii="宋体" w:hAnsi="宋体" w:eastAsia="宋体"/>
                <w:color w:val="auto"/>
                <w:szCs w:val="21"/>
                <w:highlight w:val="none"/>
              </w:rPr>
            </w:pPr>
          </w:p>
        </w:tc>
        <w:tc>
          <w:tcPr>
            <w:tcW w:w="663" w:type="pct"/>
            <w:vAlign w:val="center"/>
          </w:tcPr>
          <w:p w14:paraId="00CEE2F2">
            <w:pPr>
              <w:spacing w:line="360" w:lineRule="auto"/>
              <w:jc w:val="center"/>
              <w:rPr>
                <w:rFonts w:ascii="宋体" w:hAnsi="宋体" w:eastAsia="宋体"/>
                <w:color w:val="auto"/>
                <w:szCs w:val="21"/>
                <w:highlight w:val="none"/>
              </w:rPr>
            </w:pPr>
          </w:p>
        </w:tc>
        <w:tc>
          <w:tcPr>
            <w:tcW w:w="590" w:type="pct"/>
            <w:vAlign w:val="center"/>
          </w:tcPr>
          <w:p w14:paraId="740D72E3">
            <w:pPr>
              <w:spacing w:line="360" w:lineRule="auto"/>
              <w:jc w:val="center"/>
              <w:rPr>
                <w:rFonts w:ascii="宋体" w:hAnsi="宋体" w:eastAsia="宋体"/>
                <w:color w:val="auto"/>
                <w:szCs w:val="21"/>
                <w:highlight w:val="none"/>
              </w:rPr>
            </w:pPr>
          </w:p>
        </w:tc>
        <w:tc>
          <w:tcPr>
            <w:tcW w:w="737" w:type="pct"/>
            <w:vAlign w:val="center"/>
          </w:tcPr>
          <w:p w14:paraId="54129FB6">
            <w:pPr>
              <w:spacing w:line="360" w:lineRule="auto"/>
              <w:jc w:val="center"/>
              <w:rPr>
                <w:rFonts w:ascii="宋体" w:hAnsi="宋体" w:eastAsia="宋体"/>
                <w:color w:val="auto"/>
                <w:szCs w:val="21"/>
                <w:highlight w:val="none"/>
              </w:rPr>
            </w:pPr>
          </w:p>
        </w:tc>
        <w:tc>
          <w:tcPr>
            <w:tcW w:w="810" w:type="pct"/>
            <w:vAlign w:val="center"/>
          </w:tcPr>
          <w:p w14:paraId="1490A8B3">
            <w:pPr>
              <w:spacing w:line="360" w:lineRule="auto"/>
              <w:jc w:val="center"/>
              <w:rPr>
                <w:rFonts w:ascii="宋体" w:hAnsi="宋体" w:eastAsia="宋体"/>
                <w:color w:val="auto"/>
                <w:szCs w:val="21"/>
                <w:highlight w:val="none"/>
              </w:rPr>
            </w:pPr>
          </w:p>
        </w:tc>
        <w:tc>
          <w:tcPr>
            <w:tcW w:w="737" w:type="pct"/>
            <w:vAlign w:val="center"/>
          </w:tcPr>
          <w:p w14:paraId="5324D71D">
            <w:pPr>
              <w:spacing w:line="360" w:lineRule="auto"/>
              <w:jc w:val="center"/>
              <w:rPr>
                <w:rFonts w:ascii="宋体" w:hAnsi="宋体" w:eastAsia="宋体"/>
                <w:color w:val="auto"/>
                <w:szCs w:val="21"/>
                <w:highlight w:val="none"/>
              </w:rPr>
            </w:pPr>
          </w:p>
        </w:tc>
        <w:tc>
          <w:tcPr>
            <w:tcW w:w="876" w:type="pct"/>
            <w:vAlign w:val="center"/>
          </w:tcPr>
          <w:p w14:paraId="18663850">
            <w:pPr>
              <w:spacing w:line="360" w:lineRule="auto"/>
              <w:jc w:val="center"/>
              <w:rPr>
                <w:rFonts w:ascii="宋体" w:hAnsi="宋体" w:eastAsia="宋体"/>
                <w:color w:val="auto"/>
                <w:szCs w:val="21"/>
                <w:highlight w:val="none"/>
              </w:rPr>
            </w:pPr>
          </w:p>
        </w:tc>
      </w:tr>
      <w:tr w14:paraId="5E94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Align w:val="center"/>
          </w:tcPr>
          <w:p w14:paraId="19B7D19A">
            <w:pPr>
              <w:spacing w:line="360" w:lineRule="auto"/>
              <w:jc w:val="center"/>
              <w:rPr>
                <w:rFonts w:ascii="宋体" w:hAnsi="宋体" w:eastAsia="宋体"/>
                <w:color w:val="auto"/>
                <w:szCs w:val="21"/>
                <w:highlight w:val="none"/>
              </w:rPr>
            </w:pPr>
          </w:p>
        </w:tc>
        <w:tc>
          <w:tcPr>
            <w:tcW w:w="663" w:type="pct"/>
            <w:vAlign w:val="center"/>
          </w:tcPr>
          <w:p w14:paraId="359EA8CE">
            <w:pPr>
              <w:spacing w:line="360" w:lineRule="auto"/>
              <w:jc w:val="center"/>
              <w:rPr>
                <w:rFonts w:ascii="宋体" w:hAnsi="宋体" w:eastAsia="宋体"/>
                <w:color w:val="auto"/>
                <w:szCs w:val="21"/>
                <w:highlight w:val="none"/>
              </w:rPr>
            </w:pPr>
          </w:p>
        </w:tc>
        <w:tc>
          <w:tcPr>
            <w:tcW w:w="590" w:type="pct"/>
            <w:vAlign w:val="center"/>
          </w:tcPr>
          <w:p w14:paraId="50DB2EF0">
            <w:pPr>
              <w:spacing w:line="360" w:lineRule="auto"/>
              <w:jc w:val="center"/>
              <w:rPr>
                <w:rFonts w:ascii="宋体" w:hAnsi="宋体" w:eastAsia="宋体"/>
                <w:color w:val="auto"/>
                <w:szCs w:val="21"/>
                <w:highlight w:val="none"/>
              </w:rPr>
            </w:pPr>
          </w:p>
        </w:tc>
        <w:tc>
          <w:tcPr>
            <w:tcW w:w="737" w:type="pct"/>
            <w:vAlign w:val="center"/>
          </w:tcPr>
          <w:p w14:paraId="141CE6A0">
            <w:pPr>
              <w:spacing w:line="360" w:lineRule="auto"/>
              <w:jc w:val="center"/>
              <w:rPr>
                <w:rFonts w:ascii="宋体" w:hAnsi="宋体" w:eastAsia="宋体"/>
                <w:color w:val="auto"/>
                <w:szCs w:val="21"/>
                <w:highlight w:val="none"/>
              </w:rPr>
            </w:pPr>
          </w:p>
        </w:tc>
        <w:tc>
          <w:tcPr>
            <w:tcW w:w="810" w:type="pct"/>
            <w:vAlign w:val="center"/>
          </w:tcPr>
          <w:p w14:paraId="340E5964">
            <w:pPr>
              <w:spacing w:line="360" w:lineRule="auto"/>
              <w:jc w:val="center"/>
              <w:rPr>
                <w:rFonts w:ascii="宋体" w:hAnsi="宋体" w:eastAsia="宋体"/>
                <w:color w:val="auto"/>
                <w:szCs w:val="21"/>
                <w:highlight w:val="none"/>
              </w:rPr>
            </w:pPr>
          </w:p>
        </w:tc>
        <w:tc>
          <w:tcPr>
            <w:tcW w:w="737" w:type="pct"/>
            <w:vAlign w:val="center"/>
          </w:tcPr>
          <w:p w14:paraId="4BAEBACD">
            <w:pPr>
              <w:spacing w:line="360" w:lineRule="auto"/>
              <w:jc w:val="center"/>
              <w:rPr>
                <w:rFonts w:ascii="宋体" w:hAnsi="宋体" w:eastAsia="宋体"/>
                <w:color w:val="auto"/>
                <w:szCs w:val="21"/>
                <w:highlight w:val="none"/>
              </w:rPr>
            </w:pPr>
          </w:p>
        </w:tc>
        <w:tc>
          <w:tcPr>
            <w:tcW w:w="876" w:type="pct"/>
            <w:vAlign w:val="center"/>
          </w:tcPr>
          <w:p w14:paraId="519D0333">
            <w:pPr>
              <w:spacing w:line="360" w:lineRule="auto"/>
              <w:jc w:val="center"/>
              <w:rPr>
                <w:rFonts w:ascii="宋体" w:hAnsi="宋体" w:eastAsia="宋体"/>
                <w:color w:val="auto"/>
                <w:szCs w:val="21"/>
                <w:highlight w:val="none"/>
              </w:rPr>
            </w:pPr>
          </w:p>
        </w:tc>
      </w:tr>
      <w:tr w14:paraId="2790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Align w:val="center"/>
          </w:tcPr>
          <w:p w14:paraId="0BE3E954">
            <w:pPr>
              <w:spacing w:line="360" w:lineRule="auto"/>
              <w:jc w:val="center"/>
              <w:rPr>
                <w:rFonts w:ascii="宋体" w:hAnsi="宋体" w:eastAsia="宋体"/>
                <w:color w:val="auto"/>
                <w:szCs w:val="21"/>
                <w:highlight w:val="none"/>
              </w:rPr>
            </w:pPr>
          </w:p>
        </w:tc>
        <w:tc>
          <w:tcPr>
            <w:tcW w:w="663" w:type="pct"/>
            <w:vAlign w:val="center"/>
          </w:tcPr>
          <w:p w14:paraId="1F586E38">
            <w:pPr>
              <w:spacing w:line="360" w:lineRule="auto"/>
              <w:jc w:val="center"/>
              <w:rPr>
                <w:rFonts w:ascii="宋体" w:hAnsi="宋体" w:eastAsia="宋体"/>
                <w:color w:val="auto"/>
                <w:szCs w:val="21"/>
                <w:highlight w:val="none"/>
              </w:rPr>
            </w:pPr>
          </w:p>
        </w:tc>
        <w:tc>
          <w:tcPr>
            <w:tcW w:w="590" w:type="pct"/>
            <w:vAlign w:val="center"/>
          </w:tcPr>
          <w:p w14:paraId="7263F2FA">
            <w:pPr>
              <w:spacing w:line="360" w:lineRule="auto"/>
              <w:jc w:val="center"/>
              <w:rPr>
                <w:rFonts w:ascii="宋体" w:hAnsi="宋体" w:eastAsia="宋体"/>
                <w:color w:val="auto"/>
                <w:szCs w:val="21"/>
                <w:highlight w:val="none"/>
              </w:rPr>
            </w:pPr>
          </w:p>
        </w:tc>
        <w:tc>
          <w:tcPr>
            <w:tcW w:w="737" w:type="pct"/>
            <w:vAlign w:val="center"/>
          </w:tcPr>
          <w:p w14:paraId="1ADC7B8B">
            <w:pPr>
              <w:spacing w:line="360" w:lineRule="auto"/>
              <w:jc w:val="center"/>
              <w:rPr>
                <w:rFonts w:ascii="宋体" w:hAnsi="宋体" w:eastAsia="宋体"/>
                <w:color w:val="auto"/>
                <w:szCs w:val="21"/>
                <w:highlight w:val="none"/>
              </w:rPr>
            </w:pPr>
          </w:p>
        </w:tc>
        <w:tc>
          <w:tcPr>
            <w:tcW w:w="810" w:type="pct"/>
            <w:vAlign w:val="center"/>
          </w:tcPr>
          <w:p w14:paraId="757E9392">
            <w:pPr>
              <w:spacing w:line="360" w:lineRule="auto"/>
              <w:jc w:val="center"/>
              <w:rPr>
                <w:rFonts w:ascii="宋体" w:hAnsi="宋体" w:eastAsia="宋体"/>
                <w:color w:val="auto"/>
                <w:szCs w:val="21"/>
                <w:highlight w:val="none"/>
              </w:rPr>
            </w:pPr>
          </w:p>
        </w:tc>
        <w:tc>
          <w:tcPr>
            <w:tcW w:w="737" w:type="pct"/>
            <w:vAlign w:val="center"/>
          </w:tcPr>
          <w:p w14:paraId="5624CBD3">
            <w:pPr>
              <w:spacing w:line="360" w:lineRule="auto"/>
              <w:jc w:val="center"/>
              <w:rPr>
                <w:rFonts w:ascii="宋体" w:hAnsi="宋体" w:eastAsia="宋体"/>
                <w:color w:val="auto"/>
                <w:szCs w:val="21"/>
                <w:highlight w:val="none"/>
              </w:rPr>
            </w:pPr>
          </w:p>
        </w:tc>
        <w:tc>
          <w:tcPr>
            <w:tcW w:w="876" w:type="pct"/>
            <w:vAlign w:val="center"/>
          </w:tcPr>
          <w:p w14:paraId="00227FC0">
            <w:pPr>
              <w:spacing w:line="360" w:lineRule="auto"/>
              <w:jc w:val="center"/>
              <w:rPr>
                <w:rFonts w:ascii="宋体" w:hAnsi="宋体" w:eastAsia="宋体"/>
                <w:color w:val="auto"/>
                <w:szCs w:val="21"/>
                <w:highlight w:val="none"/>
              </w:rPr>
            </w:pPr>
          </w:p>
        </w:tc>
      </w:tr>
      <w:tr w14:paraId="3ABC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7" w:type="pct"/>
            <w:vAlign w:val="center"/>
          </w:tcPr>
          <w:p w14:paraId="357F6B5B">
            <w:pPr>
              <w:spacing w:line="360" w:lineRule="auto"/>
              <w:jc w:val="center"/>
              <w:rPr>
                <w:rFonts w:ascii="宋体" w:hAnsi="宋体" w:eastAsia="宋体"/>
                <w:color w:val="auto"/>
                <w:szCs w:val="21"/>
                <w:highlight w:val="none"/>
              </w:rPr>
            </w:pPr>
          </w:p>
        </w:tc>
        <w:tc>
          <w:tcPr>
            <w:tcW w:w="663" w:type="pct"/>
            <w:vAlign w:val="center"/>
          </w:tcPr>
          <w:p w14:paraId="5F6BDA87">
            <w:pPr>
              <w:spacing w:line="360" w:lineRule="auto"/>
              <w:jc w:val="center"/>
              <w:rPr>
                <w:rFonts w:ascii="宋体" w:hAnsi="宋体" w:eastAsia="宋体"/>
                <w:color w:val="auto"/>
                <w:szCs w:val="21"/>
                <w:highlight w:val="none"/>
              </w:rPr>
            </w:pPr>
          </w:p>
        </w:tc>
        <w:tc>
          <w:tcPr>
            <w:tcW w:w="590" w:type="pct"/>
            <w:vAlign w:val="center"/>
          </w:tcPr>
          <w:p w14:paraId="0A82A034">
            <w:pPr>
              <w:spacing w:line="360" w:lineRule="auto"/>
              <w:jc w:val="center"/>
              <w:rPr>
                <w:rFonts w:ascii="宋体" w:hAnsi="宋体" w:eastAsia="宋体"/>
                <w:color w:val="auto"/>
                <w:szCs w:val="21"/>
                <w:highlight w:val="none"/>
              </w:rPr>
            </w:pPr>
          </w:p>
        </w:tc>
        <w:tc>
          <w:tcPr>
            <w:tcW w:w="737" w:type="pct"/>
            <w:vAlign w:val="center"/>
          </w:tcPr>
          <w:p w14:paraId="5ABD5656">
            <w:pPr>
              <w:spacing w:line="360" w:lineRule="auto"/>
              <w:jc w:val="center"/>
              <w:rPr>
                <w:rFonts w:ascii="宋体" w:hAnsi="宋体" w:eastAsia="宋体"/>
                <w:color w:val="auto"/>
                <w:szCs w:val="21"/>
                <w:highlight w:val="none"/>
              </w:rPr>
            </w:pPr>
          </w:p>
        </w:tc>
        <w:tc>
          <w:tcPr>
            <w:tcW w:w="810" w:type="pct"/>
            <w:vAlign w:val="center"/>
          </w:tcPr>
          <w:p w14:paraId="4D4261F0">
            <w:pPr>
              <w:spacing w:line="360" w:lineRule="auto"/>
              <w:jc w:val="center"/>
              <w:rPr>
                <w:rFonts w:ascii="宋体" w:hAnsi="宋体" w:eastAsia="宋体"/>
                <w:color w:val="auto"/>
                <w:szCs w:val="21"/>
                <w:highlight w:val="none"/>
              </w:rPr>
            </w:pPr>
          </w:p>
        </w:tc>
        <w:tc>
          <w:tcPr>
            <w:tcW w:w="737" w:type="pct"/>
            <w:vAlign w:val="center"/>
          </w:tcPr>
          <w:p w14:paraId="64393A73">
            <w:pPr>
              <w:spacing w:line="360" w:lineRule="auto"/>
              <w:jc w:val="center"/>
              <w:rPr>
                <w:rFonts w:ascii="宋体" w:hAnsi="宋体" w:eastAsia="宋体"/>
                <w:color w:val="auto"/>
                <w:szCs w:val="21"/>
                <w:highlight w:val="none"/>
              </w:rPr>
            </w:pPr>
          </w:p>
        </w:tc>
        <w:tc>
          <w:tcPr>
            <w:tcW w:w="876" w:type="pct"/>
            <w:vAlign w:val="center"/>
          </w:tcPr>
          <w:p w14:paraId="3D58896A">
            <w:pPr>
              <w:spacing w:line="360" w:lineRule="auto"/>
              <w:jc w:val="center"/>
              <w:rPr>
                <w:rFonts w:ascii="宋体" w:hAnsi="宋体" w:eastAsia="宋体"/>
                <w:color w:val="auto"/>
                <w:szCs w:val="21"/>
                <w:highlight w:val="none"/>
              </w:rPr>
            </w:pPr>
          </w:p>
        </w:tc>
      </w:tr>
    </w:tbl>
    <w:p w14:paraId="55FA471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注：供应商可按上述的格式自行编制，须随表提交评分办法中要求提供的对应证明材料，并注明所在供应商商务技术文件页码。</w:t>
      </w:r>
    </w:p>
    <w:p w14:paraId="145C4E77">
      <w:pPr>
        <w:spacing w:line="360" w:lineRule="auto"/>
        <w:ind w:firstLine="420" w:firstLineChars="200"/>
        <w:rPr>
          <w:rFonts w:ascii="宋体" w:hAnsi="宋体" w:eastAsia="宋体"/>
          <w:color w:val="auto"/>
          <w:szCs w:val="21"/>
          <w:highlight w:val="none"/>
        </w:rPr>
      </w:pPr>
    </w:p>
    <w:p w14:paraId="52CCFF8A">
      <w:pPr>
        <w:spacing w:line="360" w:lineRule="auto"/>
        <w:ind w:firstLine="420" w:firstLineChars="200"/>
        <w:rPr>
          <w:rFonts w:ascii="宋体" w:hAnsi="宋体" w:eastAsia="宋体"/>
          <w:color w:val="auto"/>
          <w:szCs w:val="21"/>
          <w:highlight w:val="none"/>
        </w:rPr>
      </w:pPr>
    </w:p>
    <w:p w14:paraId="4ED671B4">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388FB693">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65820801">
      <w:pPr>
        <w:spacing w:line="360" w:lineRule="auto"/>
        <w:ind w:firstLine="643" w:firstLineChars="200"/>
        <w:rPr>
          <w:rFonts w:ascii="宋体" w:hAnsi="宋体" w:eastAsia="宋体"/>
          <w:b/>
          <w:color w:val="auto"/>
          <w:sz w:val="32"/>
          <w:szCs w:val="32"/>
          <w:highlight w:val="none"/>
        </w:rPr>
        <w:sectPr>
          <w:pgSz w:w="11906" w:h="16838"/>
          <w:pgMar w:top="1134" w:right="1134" w:bottom="1134" w:left="1134" w:header="851" w:footer="680" w:gutter="0"/>
          <w:cols w:space="425" w:num="1"/>
          <w:docGrid w:type="lines" w:linePitch="312" w:charSpace="0"/>
        </w:sectPr>
      </w:pPr>
    </w:p>
    <w:p w14:paraId="08A27862">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七、技术需求偏离表</w:t>
      </w:r>
    </w:p>
    <w:p w14:paraId="74E79397">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技术需求偏离表</w:t>
      </w:r>
    </w:p>
    <w:p w14:paraId="08B12144">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（注：按采购需求具体条款修改）</w:t>
      </w:r>
    </w:p>
    <w:p w14:paraId="2DE1F48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所竞分标：</w:t>
      </w:r>
      <w:r>
        <w:rPr>
          <w:rFonts w:ascii="Times New Roman" w:hAnsi="Times New Roman" w:eastAsia="宋体" w:cs="Times New Roman"/>
          <w:color w:val="auto"/>
          <w:szCs w:val="21"/>
          <w:highlight w:val="none"/>
        </w:rPr>
        <w:t>____________</w:t>
      </w:r>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159"/>
        <w:gridCol w:w="1158"/>
        <w:gridCol w:w="1886"/>
        <w:gridCol w:w="1231"/>
        <w:gridCol w:w="1231"/>
        <w:gridCol w:w="1231"/>
        <w:gridCol w:w="1223"/>
      </w:tblGrid>
      <w:tr w14:paraId="4124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Merge w:val="restart"/>
            <w:vAlign w:val="center"/>
          </w:tcPr>
          <w:p w14:paraId="34333191">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项号</w:t>
            </w:r>
          </w:p>
        </w:tc>
        <w:tc>
          <w:tcPr>
            <w:tcW w:w="2135" w:type="pct"/>
            <w:gridSpan w:val="3"/>
            <w:vAlign w:val="center"/>
          </w:tcPr>
          <w:p w14:paraId="6EB7074E">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竞争性磋商采购文件需求</w:t>
            </w:r>
          </w:p>
        </w:tc>
        <w:tc>
          <w:tcPr>
            <w:tcW w:w="1875" w:type="pct"/>
            <w:gridSpan w:val="3"/>
            <w:vAlign w:val="center"/>
          </w:tcPr>
          <w:p w14:paraId="26BE8DE8">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响应文件承诺</w:t>
            </w:r>
          </w:p>
        </w:tc>
        <w:tc>
          <w:tcPr>
            <w:tcW w:w="621" w:type="pct"/>
            <w:vMerge w:val="restart"/>
            <w:vAlign w:val="center"/>
          </w:tcPr>
          <w:p w14:paraId="17BAC17C">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偏离说明</w:t>
            </w:r>
          </w:p>
        </w:tc>
      </w:tr>
      <w:tr w14:paraId="39FB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Merge w:val="continue"/>
            <w:vAlign w:val="center"/>
          </w:tcPr>
          <w:p w14:paraId="12E33426">
            <w:pPr>
              <w:spacing w:line="360" w:lineRule="auto"/>
              <w:jc w:val="center"/>
              <w:rPr>
                <w:rFonts w:ascii="宋体" w:hAnsi="宋体" w:eastAsia="宋体"/>
                <w:color w:val="auto"/>
                <w:szCs w:val="21"/>
                <w:highlight w:val="none"/>
              </w:rPr>
            </w:pPr>
          </w:p>
        </w:tc>
        <w:tc>
          <w:tcPr>
            <w:tcW w:w="589" w:type="pct"/>
            <w:vAlign w:val="center"/>
          </w:tcPr>
          <w:p w14:paraId="45EE5D65">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服务名称</w:t>
            </w:r>
          </w:p>
        </w:tc>
        <w:tc>
          <w:tcPr>
            <w:tcW w:w="588" w:type="pct"/>
            <w:vAlign w:val="center"/>
          </w:tcPr>
          <w:p w14:paraId="1C1080DF">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数量</w:t>
            </w:r>
          </w:p>
        </w:tc>
        <w:tc>
          <w:tcPr>
            <w:tcW w:w="958" w:type="pct"/>
            <w:vAlign w:val="center"/>
          </w:tcPr>
          <w:p w14:paraId="0C6BE9D5">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服务参数要求</w:t>
            </w:r>
          </w:p>
        </w:tc>
        <w:tc>
          <w:tcPr>
            <w:tcW w:w="625" w:type="pct"/>
            <w:vAlign w:val="center"/>
          </w:tcPr>
          <w:p w14:paraId="3D329CE6">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服务名称</w:t>
            </w:r>
          </w:p>
        </w:tc>
        <w:tc>
          <w:tcPr>
            <w:tcW w:w="625" w:type="pct"/>
            <w:vAlign w:val="center"/>
          </w:tcPr>
          <w:p w14:paraId="7FB921EB">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数量</w:t>
            </w:r>
          </w:p>
        </w:tc>
        <w:tc>
          <w:tcPr>
            <w:tcW w:w="625" w:type="pct"/>
            <w:vAlign w:val="center"/>
          </w:tcPr>
          <w:p w14:paraId="6AE4A0B9">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服务参数</w:t>
            </w:r>
          </w:p>
        </w:tc>
        <w:tc>
          <w:tcPr>
            <w:tcW w:w="621" w:type="pct"/>
            <w:vMerge w:val="continue"/>
            <w:vAlign w:val="center"/>
          </w:tcPr>
          <w:p w14:paraId="4E72C1C2">
            <w:pPr>
              <w:spacing w:line="360" w:lineRule="auto"/>
              <w:jc w:val="center"/>
              <w:rPr>
                <w:rFonts w:ascii="宋体" w:hAnsi="宋体" w:eastAsia="宋体"/>
                <w:color w:val="auto"/>
                <w:szCs w:val="21"/>
                <w:highlight w:val="none"/>
              </w:rPr>
            </w:pPr>
          </w:p>
        </w:tc>
      </w:tr>
      <w:tr w14:paraId="30DD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0F8FC382">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1</w:t>
            </w:r>
          </w:p>
        </w:tc>
        <w:tc>
          <w:tcPr>
            <w:tcW w:w="589" w:type="pct"/>
            <w:vAlign w:val="center"/>
          </w:tcPr>
          <w:p w14:paraId="13C6917D">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w:t>
            </w:r>
          </w:p>
        </w:tc>
        <w:tc>
          <w:tcPr>
            <w:tcW w:w="588" w:type="pct"/>
            <w:vAlign w:val="center"/>
          </w:tcPr>
          <w:p w14:paraId="4A4799A8">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w:t>
            </w:r>
          </w:p>
        </w:tc>
        <w:tc>
          <w:tcPr>
            <w:tcW w:w="958" w:type="pct"/>
            <w:vAlign w:val="center"/>
          </w:tcPr>
          <w:p w14:paraId="653C29B9">
            <w:pPr>
              <w:spacing w:line="360" w:lineRule="auto"/>
              <w:rPr>
                <w:rFonts w:ascii="宋体" w:hAnsi="宋体" w:eastAsia="宋体"/>
                <w:color w:val="auto"/>
                <w:szCs w:val="21"/>
                <w:highlight w:val="none"/>
              </w:rPr>
            </w:pPr>
            <w:r>
              <w:rPr>
                <w:rFonts w:ascii="宋体" w:hAnsi="宋体" w:eastAsia="宋体"/>
                <w:color w:val="auto"/>
                <w:szCs w:val="21"/>
                <w:highlight w:val="none"/>
              </w:rPr>
              <w:t>1……</w:t>
            </w:r>
          </w:p>
          <w:p w14:paraId="66E194F0">
            <w:pPr>
              <w:spacing w:line="360" w:lineRule="auto"/>
              <w:rPr>
                <w:rFonts w:ascii="宋体" w:hAnsi="宋体" w:eastAsia="宋体"/>
                <w:color w:val="auto"/>
                <w:szCs w:val="21"/>
                <w:highlight w:val="none"/>
              </w:rPr>
            </w:pPr>
            <w:r>
              <w:rPr>
                <w:rFonts w:ascii="宋体" w:hAnsi="宋体" w:eastAsia="宋体"/>
                <w:color w:val="auto"/>
                <w:szCs w:val="21"/>
                <w:highlight w:val="none"/>
              </w:rPr>
              <w:t>2……</w:t>
            </w:r>
          </w:p>
          <w:p w14:paraId="03A1753C">
            <w:pPr>
              <w:spacing w:line="360" w:lineRule="auto"/>
              <w:jc w:val="left"/>
              <w:rPr>
                <w:rFonts w:ascii="宋体" w:hAnsi="宋体" w:eastAsia="宋体"/>
                <w:color w:val="auto"/>
                <w:szCs w:val="21"/>
                <w:highlight w:val="none"/>
              </w:rPr>
            </w:pPr>
            <w:r>
              <w:rPr>
                <w:rFonts w:ascii="宋体" w:hAnsi="宋体" w:eastAsia="宋体"/>
                <w:color w:val="auto"/>
                <w:szCs w:val="21"/>
                <w:highlight w:val="none"/>
              </w:rPr>
              <w:t>3……</w:t>
            </w:r>
          </w:p>
          <w:p w14:paraId="37F7F078">
            <w:pPr>
              <w:spacing w:line="360" w:lineRule="auto"/>
              <w:jc w:val="left"/>
              <w:rPr>
                <w:rFonts w:ascii="宋体" w:hAnsi="宋体" w:eastAsia="宋体"/>
                <w:color w:val="auto"/>
                <w:szCs w:val="21"/>
                <w:highlight w:val="none"/>
              </w:rPr>
            </w:pPr>
            <w:r>
              <w:rPr>
                <w:rFonts w:ascii="宋体" w:hAnsi="宋体" w:eastAsia="宋体"/>
                <w:color w:val="auto"/>
                <w:szCs w:val="21"/>
                <w:highlight w:val="none"/>
              </w:rPr>
              <w:t>……</w:t>
            </w:r>
          </w:p>
        </w:tc>
        <w:tc>
          <w:tcPr>
            <w:tcW w:w="625" w:type="pct"/>
            <w:vAlign w:val="center"/>
          </w:tcPr>
          <w:p w14:paraId="1AEFCD39">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w:t>
            </w:r>
          </w:p>
        </w:tc>
        <w:tc>
          <w:tcPr>
            <w:tcW w:w="625" w:type="pct"/>
            <w:vAlign w:val="center"/>
          </w:tcPr>
          <w:p w14:paraId="360A4C38">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w:t>
            </w:r>
          </w:p>
        </w:tc>
        <w:tc>
          <w:tcPr>
            <w:tcW w:w="625" w:type="pct"/>
            <w:vAlign w:val="center"/>
          </w:tcPr>
          <w:p w14:paraId="2809048B">
            <w:pPr>
              <w:spacing w:line="360" w:lineRule="auto"/>
              <w:rPr>
                <w:rFonts w:ascii="宋体" w:hAnsi="宋体" w:eastAsia="宋体"/>
                <w:color w:val="auto"/>
                <w:szCs w:val="21"/>
                <w:highlight w:val="none"/>
              </w:rPr>
            </w:pPr>
            <w:r>
              <w:rPr>
                <w:rFonts w:ascii="宋体" w:hAnsi="宋体" w:eastAsia="宋体"/>
                <w:color w:val="auto"/>
                <w:szCs w:val="21"/>
                <w:highlight w:val="none"/>
              </w:rPr>
              <w:t>1……</w:t>
            </w:r>
          </w:p>
          <w:p w14:paraId="2F4CAA2C">
            <w:pPr>
              <w:spacing w:line="360" w:lineRule="auto"/>
              <w:rPr>
                <w:rFonts w:ascii="宋体" w:hAnsi="宋体" w:eastAsia="宋体"/>
                <w:color w:val="auto"/>
                <w:szCs w:val="21"/>
                <w:highlight w:val="none"/>
              </w:rPr>
            </w:pPr>
            <w:r>
              <w:rPr>
                <w:rFonts w:ascii="宋体" w:hAnsi="宋体" w:eastAsia="宋体"/>
                <w:color w:val="auto"/>
                <w:szCs w:val="21"/>
                <w:highlight w:val="none"/>
              </w:rPr>
              <w:t>2……</w:t>
            </w:r>
          </w:p>
          <w:p w14:paraId="06AB92AE">
            <w:pPr>
              <w:spacing w:line="360" w:lineRule="auto"/>
              <w:jc w:val="left"/>
              <w:rPr>
                <w:rFonts w:ascii="宋体" w:hAnsi="宋体" w:eastAsia="宋体"/>
                <w:color w:val="auto"/>
                <w:szCs w:val="21"/>
                <w:highlight w:val="none"/>
              </w:rPr>
            </w:pPr>
            <w:r>
              <w:rPr>
                <w:rFonts w:ascii="宋体" w:hAnsi="宋体" w:eastAsia="宋体"/>
                <w:color w:val="auto"/>
                <w:szCs w:val="21"/>
                <w:highlight w:val="none"/>
              </w:rPr>
              <w:t>3……</w:t>
            </w:r>
          </w:p>
          <w:p w14:paraId="5E3358FE">
            <w:pPr>
              <w:spacing w:line="360" w:lineRule="auto"/>
              <w:rPr>
                <w:rFonts w:ascii="宋体" w:hAnsi="宋体" w:eastAsia="宋体"/>
                <w:color w:val="auto"/>
                <w:szCs w:val="21"/>
                <w:highlight w:val="none"/>
              </w:rPr>
            </w:pPr>
            <w:r>
              <w:rPr>
                <w:rFonts w:ascii="宋体" w:hAnsi="宋体" w:eastAsia="宋体"/>
                <w:color w:val="auto"/>
                <w:szCs w:val="21"/>
                <w:highlight w:val="none"/>
              </w:rPr>
              <w:t>……</w:t>
            </w:r>
          </w:p>
        </w:tc>
        <w:tc>
          <w:tcPr>
            <w:tcW w:w="621" w:type="pct"/>
            <w:vAlign w:val="center"/>
          </w:tcPr>
          <w:p w14:paraId="126B3475">
            <w:pPr>
              <w:spacing w:line="360" w:lineRule="auto"/>
              <w:jc w:val="center"/>
              <w:rPr>
                <w:rFonts w:ascii="宋体" w:hAnsi="宋体" w:eastAsia="宋体"/>
                <w:color w:val="auto"/>
                <w:szCs w:val="21"/>
                <w:highlight w:val="none"/>
              </w:rPr>
            </w:pPr>
          </w:p>
        </w:tc>
      </w:tr>
      <w:tr w14:paraId="1817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524E00B1">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2</w:t>
            </w:r>
          </w:p>
        </w:tc>
        <w:tc>
          <w:tcPr>
            <w:tcW w:w="589" w:type="pct"/>
            <w:vAlign w:val="center"/>
          </w:tcPr>
          <w:p w14:paraId="4B40FD81">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w:t>
            </w:r>
          </w:p>
        </w:tc>
        <w:tc>
          <w:tcPr>
            <w:tcW w:w="588" w:type="pct"/>
            <w:vAlign w:val="center"/>
          </w:tcPr>
          <w:p w14:paraId="413ACA06">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w:t>
            </w:r>
          </w:p>
        </w:tc>
        <w:tc>
          <w:tcPr>
            <w:tcW w:w="958" w:type="pct"/>
            <w:vAlign w:val="center"/>
          </w:tcPr>
          <w:p w14:paraId="0895A970">
            <w:pPr>
              <w:spacing w:line="360" w:lineRule="auto"/>
              <w:rPr>
                <w:rFonts w:ascii="宋体" w:hAnsi="宋体" w:eastAsia="宋体"/>
                <w:color w:val="auto"/>
                <w:szCs w:val="21"/>
                <w:highlight w:val="none"/>
              </w:rPr>
            </w:pPr>
            <w:r>
              <w:rPr>
                <w:rFonts w:ascii="宋体" w:hAnsi="宋体" w:eastAsia="宋体"/>
                <w:color w:val="auto"/>
                <w:szCs w:val="21"/>
                <w:highlight w:val="none"/>
              </w:rPr>
              <w:t>1……</w:t>
            </w:r>
          </w:p>
          <w:p w14:paraId="07570043">
            <w:pPr>
              <w:spacing w:line="360" w:lineRule="auto"/>
              <w:rPr>
                <w:rFonts w:ascii="宋体" w:hAnsi="宋体" w:eastAsia="宋体"/>
                <w:color w:val="auto"/>
                <w:szCs w:val="21"/>
                <w:highlight w:val="none"/>
              </w:rPr>
            </w:pPr>
            <w:r>
              <w:rPr>
                <w:rFonts w:ascii="宋体" w:hAnsi="宋体" w:eastAsia="宋体"/>
                <w:color w:val="auto"/>
                <w:szCs w:val="21"/>
                <w:highlight w:val="none"/>
              </w:rPr>
              <w:t>2……</w:t>
            </w:r>
          </w:p>
          <w:p w14:paraId="1E3B0285">
            <w:pPr>
              <w:spacing w:line="360" w:lineRule="auto"/>
              <w:jc w:val="left"/>
              <w:rPr>
                <w:rFonts w:ascii="宋体" w:hAnsi="宋体" w:eastAsia="宋体"/>
                <w:color w:val="auto"/>
                <w:szCs w:val="21"/>
                <w:highlight w:val="none"/>
              </w:rPr>
            </w:pPr>
            <w:r>
              <w:rPr>
                <w:rFonts w:ascii="宋体" w:hAnsi="宋体" w:eastAsia="宋体"/>
                <w:color w:val="auto"/>
                <w:szCs w:val="21"/>
                <w:highlight w:val="none"/>
              </w:rPr>
              <w:t>3……</w:t>
            </w:r>
          </w:p>
          <w:p w14:paraId="62102EB2">
            <w:pPr>
              <w:spacing w:line="360" w:lineRule="auto"/>
              <w:rPr>
                <w:rFonts w:ascii="宋体" w:hAnsi="宋体" w:eastAsia="宋体"/>
                <w:color w:val="auto"/>
                <w:szCs w:val="21"/>
                <w:highlight w:val="none"/>
              </w:rPr>
            </w:pPr>
            <w:r>
              <w:rPr>
                <w:rFonts w:ascii="宋体" w:hAnsi="宋体" w:eastAsia="宋体"/>
                <w:color w:val="auto"/>
                <w:szCs w:val="21"/>
                <w:highlight w:val="none"/>
              </w:rPr>
              <w:t>……</w:t>
            </w:r>
          </w:p>
        </w:tc>
        <w:tc>
          <w:tcPr>
            <w:tcW w:w="625" w:type="pct"/>
            <w:vAlign w:val="center"/>
          </w:tcPr>
          <w:p w14:paraId="79600EE1">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w:t>
            </w:r>
          </w:p>
        </w:tc>
        <w:tc>
          <w:tcPr>
            <w:tcW w:w="625" w:type="pct"/>
            <w:vAlign w:val="center"/>
          </w:tcPr>
          <w:p w14:paraId="29E47EA8">
            <w:pPr>
              <w:spacing w:line="360" w:lineRule="auto"/>
              <w:jc w:val="center"/>
              <w:rPr>
                <w:rFonts w:ascii="宋体" w:hAnsi="宋体" w:eastAsia="宋体"/>
                <w:color w:val="auto"/>
                <w:szCs w:val="21"/>
                <w:highlight w:val="none"/>
              </w:rPr>
            </w:pPr>
            <w:r>
              <w:rPr>
                <w:rFonts w:ascii="宋体" w:hAnsi="宋体" w:eastAsia="宋体"/>
                <w:color w:val="auto"/>
                <w:szCs w:val="21"/>
                <w:highlight w:val="none"/>
              </w:rPr>
              <w:t>…</w:t>
            </w:r>
          </w:p>
        </w:tc>
        <w:tc>
          <w:tcPr>
            <w:tcW w:w="625" w:type="pct"/>
            <w:vAlign w:val="center"/>
          </w:tcPr>
          <w:p w14:paraId="222A30F6">
            <w:pPr>
              <w:spacing w:line="360" w:lineRule="auto"/>
              <w:rPr>
                <w:rFonts w:ascii="宋体" w:hAnsi="宋体" w:eastAsia="宋体"/>
                <w:color w:val="auto"/>
                <w:szCs w:val="21"/>
                <w:highlight w:val="none"/>
              </w:rPr>
            </w:pPr>
            <w:r>
              <w:rPr>
                <w:rFonts w:ascii="宋体" w:hAnsi="宋体" w:eastAsia="宋体"/>
                <w:color w:val="auto"/>
                <w:szCs w:val="21"/>
                <w:highlight w:val="none"/>
              </w:rPr>
              <w:t>1……</w:t>
            </w:r>
          </w:p>
          <w:p w14:paraId="656337C5">
            <w:pPr>
              <w:spacing w:line="360" w:lineRule="auto"/>
              <w:rPr>
                <w:rFonts w:ascii="宋体" w:hAnsi="宋体" w:eastAsia="宋体"/>
                <w:color w:val="auto"/>
                <w:szCs w:val="21"/>
                <w:highlight w:val="none"/>
              </w:rPr>
            </w:pPr>
            <w:r>
              <w:rPr>
                <w:rFonts w:ascii="宋体" w:hAnsi="宋体" w:eastAsia="宋体"/>
                <w:color w:val="auto"/>
                <w:szCs w:val="21"/>
                <w:highlight w:val="none"/>
              </w:rPr>
              <w:t>2……</w:t>
            </w:r>
          </w:p>
          <w:p w14:paraId="42F1E353">
            <w:pPr>
              <w:spacing w:line="360" w:lineRule="auto"/>
              <w:jc w:val="left"/>
              <w:rPr>
                <w:rFonts w:ascii="宋体" w:hAnsi="宋体" w:eastAsia="宋体"/>
                <w:color w:val="auto"/>
                <w:szCs w:val="21"/>
                <w:highlight w:val="none"/>
              </w:rPr>
            </w:pPr>
            <w:r>
              <w:rPr>
                <w:rFonts w:ascii="宋体" w:hAnsi="宋体" w:eastAsia="宋体"/>
                <w:color w:val="auto"/>
                <w:szCs w:val="21"/>
                <w:highlight w:val="none"/>
              </w:rPr>
              <w:t>3……</w:t>
            </w:r>
          </w:p>
          <w:p w14:paraId="4384E59E">
            <w:pPr>
              <w:spacing w:line="360" w:lineRule="auto"/>
              <w:rPr>
                <w:rFonts w:ascii="宋体" w:hAnsi="宋体" w:eastAsia="宋体"/>
                <w:color w:val="auto"/>
                <w:szCs w:val="21"/>
                <w:highlight w:val="none"/>
              </w:rPr>
            </w:pPr>
            <w:r>
              <w:rPr>
                <w:rFonts w:ascii="宋体" w:hAnsi="宋体" w:eastAsia="宋体"/>
                <w:color w:val="auto"/>
                <w:szCs w:val="21"/>
                <w:highlight w:val="none"/>
              </w:rPr>
              <w:t>……</w:t>
            </w:r>
          </w:p>
        </w:tc>
        <w:tc>
          <w:tcPr>
            <w:tcW w:w="621" w:type="pct"/>
            <w:vAlign w:val="center"/>
          </w:tcPr>
          <w:p w14:paraId="537CA58B">
            <w:pPr>
              <w:spacing w:line="360" w:lineRule="auto"/>
              <w:jc w:val="center"/>
              <w:rPr>
                <w:rFonts w:ascii="宋体" w:hAnsi="宋体" w:eastAsia="宋体"/>
                <w:color w:val="auto"/>
                <w:szCs w:val="21"/>
                <w:highlight w:val="none"/>
              </w:rPr>
            </w:pPr>
          </w:p>
        </w:tc>
      </w:tr>
      <w:tr w14:paraId="3710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 w:type="pct"/>
            <w:vAlign w:val="center"/>
          </w:tcPr>
          <w:p w14:paraId="77229DA2">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w:t>
            </w:r>
          </w:p>
        </w:tc>
        <w:tc>
          <w:tcPr>
            <w:tcW w:w="589" w:type="pct"/>
            <w:vAlign w:val="center"/>
          </w:tcPr>
          <w:p w14:paraId="2B098987">
            <w:pPr>
              <w:spacing w:line="360" w:lineRule="auto"/>
              <w:jc w:val="center"/>
              <w:rPr>
                <w:rFonts w:ascii="宋体" w:hAnsi="宋体" w:eastAsia="宋体"/>
                <w:color w:val="auto"/>
                <w:szCs w:val="21"/>
                <w:highlight w:val="none"/>
              </w:rPr>
            </w:pPr>
          </w:p>
        </w:tc>
        <w:tc>
          <w:tcPr>
            <w:tcW w:w="588" w:type="pct"/>
            <w:vAlign w:val="center"/>
          </w:tcPr>
          <w:p w14:paraId="5B858213">
            <w:pPr>
              <w:spacing w:line="360" w:lineRule="auto"/>
              <w:jc w:val="center"/>
              <w:rPr>
                <w:rFonts w:ascii="宋体" w:hAnsi="宋体" w:eastAsia="宋体"/>
                <w:color w:val="auto"/>
                <w:szCs w:val="21"/>
                <w:highlight w:val="none"/>
              </w:rPr>
            </w:pPr>
          </w:p>
        </w:tc>
        <w:tc>
          <w:tcPr>
            <w:tcW w:w="958" w:type="pct"/>
            <w:vAlign w:val="center"/>
          </w:tcPr>
          <w:p w14:paraId="368F67D9">
            <w:pPr>
              <w:spacing w:line="360" w:lineRule="auto"/>
              <w:jc w:val="center"/>
              <w:rPr>
                <w:rFonts w:ascii="宋体" w:hAnsi="宋体" w:eastAsia="宋体"/>
                <w:color w:val="auto"/>
                <w:szCs w:val="21"/>
                <w:highlight w:val="none"/>
              </w:rPr>
            </w:pPr>
          </w:p>
        </w:tc>
        <w:tc>
          <w:tcPr>
            <w:tcW w:w="625" w:type="pct"/>
            <w:vAlign w:val="center"/>
          </w:tcPr>
          <w:p w14:paraId="6A2683DF">
            <w:pPr>
              <w:spacing w:line="360" w:lineRule="auto"/>
              <w:jc w:val="center"/>
              <w:rPr>
                <w:rFonts w:ascii="宋体" w:hAnsi="宋体" w:eastAsia="宋体"/>
                <w:color w:val="auto"/>
                <w:szCs w:val="21"/>
                <w:highlight w:val="none"/>
              </w:rPr>
            </w:pPr>
          </w:p>
        </w:tc>
        <w:tc>
          <w:tcPr>
            <w:tcW w:w="625" w:type="pct"/>
            <w:vAlign w:val="center"/>
          </w:tcPr>
          <w:p w14:paraId="7A7E5EBB">
            <w:pPr>
              <w:spacing w:line="360" w:lineRule="auto"/>
              <w:jc w:val="center"/>
              <w:rPr>
                <w:rFonts w:ascii="宋体" w:hAnsi="宋体" w:eastAsia="宋体"/>
                <w:color w:val="auto"/>
                <w:szCs w:val="21"/>
                <w:highlight w:val="none"/>
              </w:rPr>
            </w:pPr>
          </w:p>
        </w:tc>
        <w:tc>
          <w:tcPr>
            <w:tcW w:w="625" w:type="pct"/>
            <w:vAlign w:val="center"/>
          </w:tcPr>
          <w:p w14:paraId="01BFAD1A">
            <w:pPr>
              <w:spacing w:line="360" w:lineRule="auto"/>
              <w:jc w:val="center"/>
              <w:rPr>
                <w:rFonts w:ascii="宋体" w:hAnsi="宋体" w:eastAsia="宋体"/>
                <w:color w:val="auto"/>
                <w:szCs w:val="21"/>
                <w:highlight w:val="none"/>
              </w:rPr>
            </w:pPr>
          </w:p>
        </w:tc>
        <w:tc>
          <w:tcPr>
            <w:tcW w:w="621" w:type="pct"/>
            <w:vAlign w:val="center"/>
          </w:tcPr>
          <w:p w14:paraId="2D167A23">
            <w:pPr>
              <w:spacing w:line="360" w:lineRule="auto"/>
              <w:jc w:val="center"/>
              <w:rPr>
                <w:rFonts w:ascii="宋体" w:hAnsi="宋体" w:eastAsia="宋体"/>
                <w:color w:val="auto"/>
                <w:szCs w:val="21"/>
                <w:highlight w:val="none"/>
              </w:rPr>
            </w:pPr>
          </w:p>
        </w:tc>
      </w:tr>
    </w:tbl>
    <w:p w14:paraId="4206C09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w:t>
      </w:r>
    </w:p>
    <w:p w14:paraId="60F114D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1.说明：应对照磋商文件“第二章”中“服务需求一览表”的采购清单及技术参数条款逐条作出明确响应，并作出偏离说明。</w:t>
      </w:r>
    </w:p>
    <w:p w14:paraId="3AF95DF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4271B89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3.表格内容均需按要求填写并盖章，不得留空，否则按竞标无效处理。</w:t>
      </w:r>
    </w:p>
    <w:p w14:paraId="605459C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91EAD2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5.如技术偏离表中的竞标响应与佐证材料不一致的，以佐证材料为准。</w:t>
      </w:r>
    </w:p>
    <w:p w14:paraId="3A5595E8">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30196DE8">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36AF5BBB">
      <w:pPr>
        <w:spacing w:line="360" w:lineRule="auto"/>
        <w:ind w:firstLine="420" w:firstLineChars="200"/>
        <w:jc w:val="right"/>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2CD32058">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八、企业概况表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14:paraId="29C7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5C321CD3">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企业注册名称</w:t>
            </w:r>
          </w:p>
        </w:tc>
        <w:tc>
          <w:tcPr>
            <w:tcW w:w="3209" w:type="dxa"/>
            <w:gridSpan w:val="2"/>
            <w:vAlign w:val="center"/>
          </w:tcPr>
          <w:p w14:paraId="4D44D9BD">
            <w:pPr>
              <w:spacing w:line="360" w:lineRule="auto"/>
              <w:jc w:val="center"/>
              <w:rPr>
                <w:rFonts w:ascii="宋体" w:hAnsi="宋体" w:eastAsia="宋体"/>
                <w:color w:val="auto"/>
                <w:szCs w:val="21"/>
                <w:highlight w:val="none"/>
              </w:rPr>
            </w:pPr>
          </w:p>
        </w:tc>
        <w:tc>
          <w:tcPr>
            <w:tcW w:w="1605" w:type="dxa"/>
            <w:vAlign w:val="center"/>
          </w:tcPr>
          <w:p w14:paraId="7E38D9BE">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注册资金</w:t>
            </w:r>
          </w:p>
        </w:tc>
        <w:tc>
          <w:tcPr>
            <w:tcW w:w="3210" w:type="dxa"/>
            <w:gridSpan w:val="2"/>
            <w:vAlign w:val="center"/>
          </w:tcPr>
          <w:p w14:paraId="088AEDFB">
            <w:pPr>
              <w:spacing w:line="360" w:lineRule="auto"/>
              <w:jc w:val="center"/>
              <w:rPr>
                <w:rFonts w:ascii="宋体" w:hAnsi="宋体" w:eastAsia="宋体"/>
                <w:color w:val="auto"/>
                <w:szCs w:val="21"/>
                <w:highlight w:val="none"/>
              </w:rPr>
            </w:pPr>
          </w:p>
        </w:tc>
      </w:tr>
      <w:tr w14:paraId="39AE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5822C54E">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注册地址</w:t>
            </w:r>
          </w:p>
        </w:tc>
        <w:tc>
          <w:tcPr>
            <w:tcW w:w="8024" w:type="dxa"/>
            <w:gridSpan w:val="5"/>
            <w:vAlign w:val="center"/>
          </w:tcPr>
          <w:p w14:paraId="4118EBFA">
            <w:pPr>
              <w:spacing w:line="360" w:lineRule="auto"/>
              <w:jc w:val="center"/>
              <w:rPr>
                <w:rFonts w:ascii="宋体" w:hAnsi="宋体" w:eastAsia="宋体"/>
                <w:color w:val="auto"/>
                <w:szCs w:val="21"/>
                <w:highlight w:val="none"/>
              </w:rPr>
            </w:pPr>
          </w:p>
        </w:tc>
      </w:tr>
      <w:tr w14:paraId="6D03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0F240D4F">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联系人姓名</w:t>
            </w:r>
          </w:p>
        </w:tc>
        <w:tc>
          <w:tcPr>
            <w:tcW w:w="1604" w:type="dxa"/>
            <w:vAlign w:val="center"/>
          </w:tcPr>
          <w:p w14:paraId="3D2B988C">
            <w:pPr>
              <w:spacing w:line="360" w:lineRule="auto"/>
              <w:jc w:val="center"/>
              <w:rPr>
                <w:rFonts w:ascii="宋体" w:hAnsi="宋体" w:eastAsia="宋体"/>
                <w:color w:val="auto"/>
                <w:szCs w:val="21"/>
                <w:highlight w:val="none"/>
              </w:rPr>
            </w:pPr>
          </w:p>
        </w:tc>
        <w:tc>
          <w:tcPr>
            <w:tcW w:w="1605" w:type="dxa"/>
            <w:vAlign w:val="center"/>
          </w:tcPr>
          <w:p w14:paraId="7237D342">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电话</w:t>
            </w:r>
          </w:p>
        </w:tc>
        <w:tc>
          <w:tcPr>
            <w:tcW w:w="1605" w:type="dxa"/>
            <w:vAlign w:val="center"/>
          </w:tcPr>
          <w:p w14:paraId="7BDBAFAE">
            <w:pPr>
              <w:spacing w:line="360" w:lineRule="auto"/>
              <w:jc w:val="center"/>
              <w:rPr>
                <w:rFonts w:ascii="宋体" w:hAnsi="宋体" w:eastAsia="宋体"/>
                <w:color w:val="auto"/>
                <w:szCs w:val="21"/>
                <w:highlight w:val="none"/>
              </w:rPr>
            </w:pPr>
          </w:p>
        </w:tc>
        <w:tc>
          <w:tcPr>
            <w:tcW w:w="1605" w:type="dxa"/>
            <w:vAlign w:val="center"/>
          </w:tcPr>
          <w:p w14:paraId="581D3297">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企业性质</w:t>
            </w:r>
          </w:p>
        </w:tc>
        <w:tc>
          <w:tcPr>
            <w:tcW w:w="1605" w:type="dxa"/>
            <w:vAlign w:val="center"/>
          </w:tcPr>
          <w:p w14:paraId="7662322A">
            <w:pPr>
              <w:spacing w:line="360" w:lineRule="auto"/>
              <w:jc w:val="center"/>
              <w:rPr>
                <w:rFonts w:ascii="宋体" w:hAnsi="宋体" w:eastAsia="宋体"/>
                <w:color w:val="auto"/>
                <w:szCs w:val="21"/>
                <w:highlight w:val="none"/>
              </w:rPr>
            </w:pPr>
          </w:p>
        </w:tc>
      </w:tr>
      <w:tr w14:paraId="249B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31E4AEB1">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法人代表姓名</w:t>
            </w:r>
          </w:p>
        </w:tc>
        <w:tc>
          <w:tcPr>
            <w:tcW w:w="1604" w:type="dxa"/>
            <w:vAlign w:val="center"/>
          </w:tcPr>
          <w:p w14:paraId="363D6AF3">
            <w:pPr>
              <w:spacing w:line="360" w:lineRule="auto"/>
              <w:jc w:val="center"/>
              <w:rPr>
                <w:rFonts w:ascii="宋体" w:hAnsi="宋体" w:eastAsia="宋体"/>
                <w:color w:val="auto"/>
                <w:szCs w:val="21"/>
                <w:highlight w:val="none"/>
              </w:rPr>
            </w:pPr>
          </w:p>
        </w:tc>
        <w:tc>
          <w:tcPr>
            <w:tcW w:w="1605" w:type="dxa"/>
            <w:vAlign w:val="center"/>
          </w:tcPr>
          <w:p w14:paraId="1B6DFD0C">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技术职称</w:t>
            </w:r>
          </w:p>
        </w:tc>
        <w:tc>
          <w:tcPr>
            <w:tcW w:w="1605" w:type="dxa"/>
            <w:vAlign w:val="center"/>
          </w:tcPr>
          <w:p w14:paraId="3B18BFE6">
            <w:pPr>
              <w:spacing w:line="360" w:lineRule="auto"/>
              <w:jc w:val="center"/>
              <w:rPr>
                <w:rFonts w:ascii="宋体" w:hAnsi="宋体" w:eastAsia="宋体"/>
                <w:color w:val="auto"/>
                <w:szCs w:val="21"/>
                <w:highlight w:val="none"/>
              </w:rPr>
            </w:pPr>
          </w:p>
        </w:tc>
        <w:tc>
          <w:tcPr>
            <w:tcW w:w="1605" w:type="dxa"/>
            <w:vAlign w:val="center"/>
          </w:tcPr>
          <w:p w14:paraId="510E6754">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联系电话</w:t>
            </w:r>
          </w:p>
        </w:tc>
        <w:tc>
          <w:tcPr>
            <w:tcW w:w="1605" w:type="dxa"/>
            <w:vAlign w:val="center"/>
          </w:tcPr>
          <w:p w14:paraId="618D19E4">
            <w:pPr>
              <w:spacing w:line="360" w:lineRule="auto"/>
              <w:jc w:val="center"/>
              <w:rPr>
                <w:rFonts w:ascii="宋体" w:hAnsi="宋体" w:eastAsia="宋体"/>
                <w:color w:val="auto"/>
                <w:szCs w:val="21"/>
                <w:highlight w:val="none"/>
              </w:rPr>
            </w:pPr>
          </w:p>
        </w:tc>
      </w:tr>
      <w:tr w14:paraId="5A18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2290244B">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技术负责人姓名</w:t>
            </w:r>
          </w:p>
        </w:tc>
        <w:tc>
          <w:tcPr>
            <w:tcW w:w="1604" w:type="dxa"/>
            <w:vAlign w:val="center"/>
          </w:tcPr>
          <w:p w14:paraId="446CE82B">
            <w:pPr>
              <w:spacing w:line="360" w:lineRule="auto"/>
              <w:jc w:val="center"/>
              <w:rPr>
                <w:rFonts w:ascii="宋体" w:hAnsi="宋体" w:eastAsia="宋体"/>
                <w:color w:val="auto"/>
                <w:szCs w:val="21"/>
                <w:highlight w:val="none"/>
              </w:rPr>
            </w:pPr>
          </w:p>
        </w:tc>
        <w:tc>
          <w:tcPr>
            <w:tcW w:w="1605" w:type="dxa"/>
            <w:vAlign w:val="center"/>
          </w:tcPr>
          <w:p w14:paraId="0A684E5C">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技术职称</w:t>
            </w:r>
          </w:p>
        </w:tc>
        <w:tc>
          <w:tcPr>
            <w:tcW w:w="1605" w:type="dxa"/>
            <w:vAlign w:val="center"/>
          </w:tcPr>
          <w:p w14:paraId="6879E887">
            <w:pPr>
              <w:spacing w:line="360" w:lineRule="auto"/>
              <w:jc w:val="center"/>
              <w:rPr>
                <w:rFonts w:ascii="宋体" w:hAnsi="宋体" w:eastAsia="宋体"/>
                <w:color w:val="auto"/>
                <w:szCs w:val="21"/>
                <w:highlight w:val="none"/>
              </w:rPr>
            </w:pPr>
          </w:p>
        </w:tc>
        <w:tc>
          <w:tcPr>
            <w:tcW w:w="1605" w:type="dxa"/>
            <w:vAlign w:val="center"/>
          </w:tcPr>
          <w:p w14:paraId="7D11946A">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联系电话</w:t>
            </w:r>
          </w:p>
        </w:tc>
        <w:tc>
          <w:tcPr>
            <w:tcW w:w="1605" w:type="dxa"/>
            <w:vAlign w:val="center"/>
          </w:tcPr>
          <w:p w14:paraId="48D1299F">
            <w:pPr>
              <w:spacing w:line="360" w:lineRule="auto"/>
              <w:jc w:val="center"/>
              <w:rPr>
                <w:rFonts w:ascii="宋体" w:hAnsi="宋体" w:eastAsia="宋体"/>
                <w:color w:val="auto"/>
                <w:szCs w:val="21"/>
                <w:highlight w:val="none"/>
              </w:rPr>
            </w:pPr>
          </w:p>
        </w:tc>
      </w:tr>
      <w:tr w14:paraId="686E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17BB5651">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企业资质等级</w:t>
            </w:r>
          </w:p>
        </w:tc>
        <w:tc>
          <w:tcPr>
            <w:tcW w:w="3209" w:type="dxa"/>
            <w:gridSpan w:val="2"/>
            <w:vAlign w:val="center"/>
          </w:tcPr>
          <w:p w14:paraId="007D6B79">
            <w:pPr>
              <w:spacing w:line="360" w:lineRule="auto"/>
              <w:jc w:val="center"/>
              <w:rPr>
                <w:rFonts w:ascii="宋体" w:hAnsi="宋体" w:eastAsia="宋体"/>
                <w:color w:val="auto"/>
                <w:szCs w:val="21"/>
                <w:highlight w:val="none"/>
              </w:rPr>
            </w:pPr>
          </w:p>
        </w:tc>
        <w:tc>
          <w:tcPr>
            <w:tcW w:w="1605" w:type="dxa"/>
            <w:vAlign w:val="center"/>
          </w:tcPr>
          <w:p w14:paraId="3D9F81DB">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证号</w:t>
            </w:r>
          </w:p>
        </w:tc>
        <w:tc>
          <w:tcPr>
            <w:tcW w:w="3210" w:type="dxa"/>
            <w:gridSpan w:val="2"/>
            <w:vAlign w:val="center"/>
          </w:tcPr>
          <w:p w14:paraId="6682652B">
            <w:pPr>
              <w:spacing w:line="360" w:lineRule="auto"/>
              <w:jc w:val="center"/>
              <w:rPr>
                <w:rFonts w:ascii="宋体" w:hAnsi="宋体" w:eastAsia="宋体"/>
                <w:color w:val="auto"/>
                <w:szCs w:val="21"/>
                <w:highlight w:val="none"/>
              </w:rPr>
            </w:pPr>
          </w:p>
        </w:tc>
      </w:tr>
      <w:tr w14:paraId="562E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0ECD3408">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安全生产许可证号</w:t>
            </w:r>
          </w:p>
        </w:tc>
        <w:tc>
          <w:tcPr>
            <w:tcW w:w="8024" w:type="dxa"/>
            <w:gridSpan w:val="5"/>
            <w:vAlign w:val="center"/>
          </w:tcPr>
          <w:p w14:paraId="63BFE551">
            <w:pPr>
              <w:spacing w:line="360" w:lineRule="auto"/>
              <w:jc w:val="center"/>
              <w:rPr>
                <w:rFonts w:ascii="宋体" w:hAnsi="宋体" w:eastAsia="宋体"/>
                <w:color w:val="auto"/>
                <w:szCs w:val="21"/>
                <w:highlight w:val="none"/>
              </w:rPr>
            </w:pPr>
          </w:p>
        </w:tc>
      </w:tr>
      <w:tr w14:paraId="50B4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20DC5ACE">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上级主管部门</w:t>
            </w:r>
          </w:p>
        </w:tc>
        <w:tc>
          <w:tcPr>
            <w:tcW w:w="8024" w:type="dxa"/>
            <w:gridSpan w:val="5"/>
            <w:vAlign w:val="center"/>
          </w:tcPr>
          <w:p w14:paraId="7F97DC61">
            <w:pPr>
              <w:spacing w:line="360" w:lineRule="auto"/>
              <w:jc w:val="center"/>
              <w:rPr>
                <w:rFonts w:ascii="宋体" w:hAnsi="宋体" w:eastAsia="宋体"/>
                <w:color w:val="auto"/>
                <w:szCs w:val="21"/>
                <w:highlight w:val="none"/>
              </w:rPr>
            </w:pPr>
          </w:p>
        </w:tc>
      </w:tr>
      <w:tr w14:paraId="3AFF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64742186">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员工总人数</w:t>
            </w:r>
          </w:p>
        </w:tc>
        <w:tc>
          <w:tcPr>
            <w:tcW w:w="8024" w:type="dxa"/>
            <w:gridSpan w:val="5"/>
            <w:vAlign w:val="center"/>
          </w:tcPr>
          <w:p w14:paraId="22839B6F">
            <w:pPr>
              <w:spacing w:line="360" w:lineRule="auto"/>
              <w:jc w:val="center"/>
              <w:rPr>
                <w:rFonts w:ascii="宋体" w:hAnsi="宋体" w:eastAsia="宋体"/>
                <w:color w:val="auto"/>
                <w:szCs w:val="21"/>
                <w:highlight w:val="none"/>
              </w:rPr>
            </w:pPr>
          </w:p>
        </w:tc>
      </w:tr>
      <w:tr w14:paraId="1B9D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5CB7F12E">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注册建造师人数</w:t>
            </w:r>
          </w:p>
        </w:tc>
        <w:tc>
          <w:tcPr>
            <w:tcW w:w="8024" w:type="dxa"/>
            <w:gridSpan w:val="5"/>
            <w:vAlign w:val="center"/>
          </w:tcPr>
          <w:p w14:paraId="41CA1B76">
            <w:pPr>
              <w:spacing w:line="360" w:lineRule="auto"/>
              <w:jc w:val="center"/>
              <w:rPr>
                <w:rFonts w:ascii="宋体" w:hAnsi="宋体" w:eastAsia="宋体"/>
                <w:color w:val="auto"/>
                <w:szCs w:val="21"/>
                <w:highlight w:val="none"/>
              </w:rPr>
            </w:pPr>
          </w:p>
        </w:tc>
      </w:tr>
      <w:tr w14:paraId="318D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108BFA2B">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高级职称人数</w:t>
            </w:r>
          </w:p>
        </w:tc>
        <w:tc>
          <w:tcPr>
            <w:tcW w:w="8024" w:type="dxa"/>
            <w:gridSpan w:val="5"/>
            <w:vAlign w:val="center"/>
          </w:tcPr>
          <w:p w14:paraId="2F9B677D">
            <w:pPr>
              <w:spacing w:line="360" w:lineRule="auto"/>
              <w:jc w:val="center"/>
              <w:rPr>
                <w:rFonts w:ascii="宋体" w:hAnsi="宋体" w:eastAsia="宋体"/>
                <w:color w:val="auto"/>
                <w:szCs w:val="21"/>
                <w:highlight w:val="none"/>
              </w:rPr>
            </w:pPr>
          </w:p>
        </w:tc>
      </w:tr>
      <w:tr w14:paraId="3054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402B2B23">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中级职称人数</w:t>
            </w:r>
          </w:p>
        </w:tc>
        <w:tc>
          <w:tcPr>
            <w:tcW w:w="8024" w:type="dxa"/>
            <w:gridSpan w:val="5"/>
            <w:vAlign w:val="center"/>
          </w:tcPr>
          <w:p w14:paraId="7BB6ED13">
            <w:pPr>
              <w:spacing w:line="360" w:lineRule="auto"/>
              <w:jc w:val="center"/>
              <w:rPr>
                <w:rFonts w:ascii="宋体" w:hAnsi="宋体" w:eastAsia="宋体"/>
                <w:color w:val="auto"/>
                <w:szCs w:val="21"/>
                <w:highlight w:val="none"/>
              </w:rPr>
            </w:pPr>
          </w:p>
        </w:tc>
      </w:tr>
      <w:tr w14:paraId="06C8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212A0A98">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初级职称人数</w:t>
            </w:r>
          </w:p>
        </w:tc>
        <w:tc>
          <w:tcPr>
            <w:tcW w:w="8024" w:type="dxa"/>
            <w:gridSpan w:val="5"/>
            <w:vAlign w:val="center"/>
          </w:tcPr>
          <w:p w14:paraId="27D74A69">
            <w:pPr>
              <w:spacing w:line="360" w:lineRule="auto"/>
              <w:jc w:val="center"/>
              <w:rPr>
                <w:rFonts w:ascii="宋体" w:hAnsi="宋体" w:eastAsia="宋体"/>
                <w:color w:val="auto"/>
                <w:szCs w:val="21"/>
                <w:highlight w:val="none"/>
              </w:rPr>
            </w:pPr>
          </w:p>
        </w:tc>
      </w:tr>
      <w:tr w14:paraId="4C34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406D4E96">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经营范围</w:t>
            </w:r>
          </w:p>
        </w:tc>
        <w:tc>
          <w:tcPr>
            <w:tcW w:w="8024" w:type="dxa"/>
            <w:gridSpan w:val="5"/>
            <w:vAlign w:val="center"/>
          </w:tcPr>
          <w:p w14:paraId="6DBA202C">
            <w:pPr>
              <w:spacing w:line="360" w:lineRule="auto"/>
              <w:jc w:val="center"/>
              <w:rPr>
                <w:rFonts w:ascii="宋体" w:hAnsi="宋体" w:eastAsia="宋体"/>
                <w:color w:val="auto"/>
                <w:szCs w:val="21"/>
                <w:highlight w:val="none"/>
              </w:rPr>
            </w:pPr>
          </w:p>
        </w:tc>
      </w:tr>
      <w:tr w14:paraId="38CE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dxa"/>
            <w:vAlign w:val="center"/>
          </w:tcPr>
          <w:p w14:paraId="3EE069C7">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企业简介</w:t>
            </w:r>
          </w:p>
        </w:tc>
        <w:tc>
          <w:tcPr>
            <w:tcW w:w="8024" w:type="dxa"/>
            <w:gridSpan w:val="5"/>
            <w:vAlign w:val="center"/>
          </w:tcPr>
          <w:p w14:paraId="1CF7D66A">
            <w:pPr>
              <w:spacing w:line="360" w:lineRule="auto"/>
              <w:jc w:val="center"/>
              <w:rPr>
                <w:rFonts w:ascii="宋体" w:hAnsi="宋体" w:eastAsia="宋体"/>
                <w:color w:val="auto"/>
                <w:szCs w:val="21"/>
                <w:highlight w:val="none"/>
              </w:rPr>
            </w:pPr>
          </w:p>
        </w:tc>
      </w:tr>
    </w:tbl>
    <w:p w14:paraId="0B678D42">
      <w:pPr>
        <w:spacing w:line="360" w:lineRule="auto"/>
        <w:ind w:firstLine="420" w:firstLineChars="200"/>
        <w:rPr>
          <w:rFonts w:ascii="宋体" w:hAnsi="宋体" w:eastAsia="宋体"/>
          <w:color w:val="auto"/>
          <w:szCs w:val="21"/>
          <w:highlight w:val="none"/>
        </w:rPr>
      </w:pPr>
    </w:p>
    <w:p w14:paraId="401EE129">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3B89DFC9">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5AEB5A2A">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074A299F">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九、施工组织设计</w:t>
      </w:r>
    </w:p>
    <w:p w14:paraId="1C715782">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（格式自拟）</w:t>
      </w:r>
    </w:p>
    <w:p w14:paraId="5E11DDAC">
      <w:pPr>
        <w:spacing w:line="360" w:lineRule="auto"/>
        <w:ind w:firstLine="420" w:firstLineChars="200"/>
        <w:rPr>
          <w:rFonts w:ascii="宋体" w:hAnsi="宋体" w:eastAsia="宋体"/>
          <w:color w:val="auto"/>
          <w:szCs w:val="21"/>
          <w:highlight w:val="none"/>
        </w:rPr>
      </w:pPr>
    </w:p>
    <w:p w14:paraId="29878061">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50175E29">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294BFA4F">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38E2D1D6">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十、项目管理机构</w:t>
      </w:r>
    </w:p>
    <w:p w14:paraId="58A86DB5">
      <w:pPr>
        <w:spacing w:line="360" w:lineRule="auto"/>
        <w:jc w:val="center"/>
        <w:rPr>
          <w:rFonts w:ascii="宋体" w:hAnsi="宋体" w:eastAsia="宋体"/>
          <w:color w:val="auto"/>
          <w:szCs w:val="21"/>
          <w:highlight w:val="none"/>
        </w:rPr>
      </w:pPr>
      <w:r>
        <w:rPr>
          <w:rFonts w:hint="eastAsia" w:ascii="宋体" w:hAnsi="宋体" w:eastAsia="宋体" w:cs="Times New Roman"/>
          <w:b/>
          <w:color w:val="auto"/>
          <w:sz w:val="32"/>
          <w:szCs w:val="32"/>
          <w:highlight w:val="none"/>
        </w:rPr>
        <w:t>（格式自拟）</w:t>
      </w:r>
    </w:p>
    <w:p w14:paraId="649D3A33">
      <w:pPr>
        <w:spacing w:line="360" w:lineRule="auto"/>
        <w:ind w:firstLine="420" w:firstLineChars="200"/>
        <w:rPr>
          <w:rFonts w:ascii="宋体" w:hAnsi="宋体" w:eastAsia="宋体"/>
          <w:color w:val="auto"/>
          <w:szCs w:val="21"/>
          <w:highlight w:val="none"/>
        </w:rPr>
      </w:pPr>
    </w:p>
    <w:p w14:paraId="3A33D457">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5B35B3B7">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79BEDB90">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0E5C2EB6">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十一、建设工程项目管理承诺书（格式）</w:t>
      </w:r>
    </w:p>
    <w:p w14:paraId="72F16E6A">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致</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（采购单位名称）：</w:t>
      </w:r>
    </w:p>
    <w:p w14:paraId="14916BD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如我公司在贵单位的</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成交，我方在此向采购人承诺：</w:t>
      </w:r>
    </w:p>
    <w:p w14:paraId="001D670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7A926CC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05C52FE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34AC665F">
      <w:pPr>
        <w:spacing w:line="360" w:lineRule="auto"/>
        <w:ind w:firstLine="420" w:firstLineChars="200"/>
        <w:rPr>
          <w:rFonts w:ascii="宋体" w:hAnsi="宋体" w:eastAsia="宋体"/>
          <w:color w:val="auto"/>
          <w:szCs w:val="21"/>
          <w:highlight w:val="none"/>
        </w:rPr>
      </w:pPr>
    </w:p>
    <w:p w14:paraId="4D68E333">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4A8B341F">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法定代表人或授权代理人：</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（签字或盖章）</w:t>
      </w:r>
    </w:p>
    <w:p w14:paraId="42AE0A1B">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1E0D4597">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6942941F">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（十二）建筑材料和设备节能环保要求承诺书</w:t>
      </w:r>
    </w:p>
    <w:p w14:paraId="4A3EBA0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我方承诺，一旦成交，我方保证严格执行《财政部 国家发展改革委关于印发《节能产品政府采购实施意见》的通知》（财库〔2004〕185号）、《财政部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如我方在该项目的承包中出现未按规定执行的情形，我方愿意按照相关规定接受采购人及有关行政主管部门的处罚，愿意承担一切后果，并不再寻求任何旨在减轻或者免除法律责任的辩解。</w:t>
      </w:r>
    </w:p>
    <w:p w14:paraId="121722A4">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261C0614">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法定代表人或授权代理人：</w:t>
      </w:r>
      <w:r>
        <w:rPr>
          <w:rFonts w:ascii="Times New Roman" w:hAnsi="Times New Roman" w:eastAsia="宋体" w:cs="Times New Roman"/>
          <w:color w:val="auto"/>
          <w:szCs w:val="21"/>
          <w:highlight w:val="none"/>
        </w:rPr>
        <w:t xml:space="preserve">      </w:t>
      </w:r>
      <w:r>
        <w:rPr>
          <w:rFonts w:hint="eastAsia" w:ascii="宋体" w:hAnsi="宋体" w:eastAsia="宋体"/>
          <w:color w:val="auto"/>
          <w:szCs w:val="21"/>
          <w:highlight w:val="none"/>
        </w:rPr>
        <w:t>（签字或盖章）</w:t>
      </w:r>
    </w:p>
    <w:p w14:paraId="79E3CDD9">
      <w:pPr>
        <w:wordWrap w:val="0"/>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 xml:space="preserve">      </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 xml:space="preserve">   </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 xml:space="preserve">   </w:t>
      </w:r>
      <w:r>
        <w:rPr>
          <w:rFonts w:hint="eastAsia" w:ascii="宋体" w:hAnsi="宋体" w:eastAsia="宋体"/>
          <w:color w:val="auto"/>
          <w:szCs w:val="21"/>
          <w:highlight w:val="none"/>
        </w:rPr>
        <w:t>日</w:t>
      </w:r>
    </w:p>
    <w:p w14:paraId="627FE7F9">
      <w:pPr>
        <w:spacing w:line="360" w:lineRule="auto"/>
        <w:ind w:firstLine="643" w:firstLineChars="200"/>
        <w:rPr>
          <w:rFonts w:ascii="宋体" w:hAnsi="宋体" w:eastAsia="宋体"/>
          <w:b/>
          <w:color w:val="auto"/>
          <w:sz w:val="32"/>
          <w:szCs w:val="32"/>
          <w:highlight w:val="none"/>
        </w:rPr>
        <w:sectPr>
          <w:pgSz w:w="11906" w:h="16838"/>
          <w:pgMar w:top="1134" w:right="1134" w:bottom="1134" w:left="1134" w:header="851" w:footer="680" w:gutter="0"/>
          <w:cols w:space="425" w:num="1"/>
          <w:docGrid w:type="lines" w:linePitch="312" w:charSpace="0"/>
        </w:sectPr>
      </w:pPr>
    </w:p>
    <w:p w14:paraId="6D6187A2">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十三、供应商认为需要提供的其他有关资料</w:t>
      </w:r>
    </w:p>
    <w:p w14:paraId="29EFA32B">
      <w:pPr>
        <w:spacing w:line="360" w:lineRule="auto"/>
        <w:ind w:firstLine="420" w:firstLineChars="200"/>
        <w:rPr>
          <w:rFonts w:ascii="宋体" w:hAnsi="宋体" w:eastAsia="宋体"/>
          <w:color w:val="auto"/>
          <w:szCs w:val="21"/>
          <w:highlight w:val="none"/>
        </w:rPr>
      </w:pPr>
    </w:p>
    <w:p w14:paraId="47467699">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22008926">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3A0FA125">
      <w:pPr>
        <w:pStyle w:val="3"/>
        <w:jc w:val="center"/>
        <w:rPr>
          <w:color w:val="auto"/>
          <w:highlight w:val="none"/>
        </w:rPr>
        <w:sectPr>
          <w:pgSz w:w="11906" w:h="16838"/>
          <w:pgMar w:top="1134" w:right="1134" w:bottom="1134" w:left="1134" w:header="851" w:footer="680" w:gutter="0"/>
          <w:cols w:space="425" w:num="1"/>
          <w:docGrid w:type="lines" w:linePitch="312" w:charSpace="0"/>
        </w:sectPr>
      </w:pPr>
    </w:p>
    <w:p w14:paraId="3C52183D">
      <w:pPr>
        <w:pStyle w:val="3"/>
        <w:jc w:val="center"/>
        <w:rPr>
          <w:color w:val="auto"/>
          <w:highlight w:val="none"/>
        </w:rPr>
      </w:pPr>
      <w:bookmarkStart w:id="25" w:name="_Toc217642148"/>
      <w:r>
        <w:rPr>
          <w:rFonts w:hint="eastAsia"/>
          <w:color w:val="auto"/>
          <w:highlight w:val="none"/>
        </w:rPr>
        <w:t>第四</w:t>
      </w:r>
      <w:r>
        <w:rPr>
          <w:rFonts w:hint="eastAsia"/>
          <w:color w:val="auto"/>
          <w:spacing w:val="120"/>
          <w:highlight w:val="none"/>
        </w:rPr>
        <w:t>节</w:t>
      </w:r>
      <w:r>
        <w:rPr>
          <w:rFonts w:hint="eastAsia"/>
          <w:color w:val="auto"/>
          <w:highlight w:val="none"/>
        </w:rPr>
        <w:t>报价文件格式</w:t>
      </w:r>
      <w:bookmarkEnd w:id="25"/>
    </w:p>
    <w:p w14:paraId="15B74F01">
      <w:pPr>
        <w:spacing w:line="360" w:lineRule="auto"/>
        <w:ind w:firstLine="640" w:firstLineChars="200"/>
        <w:jc w:val="right"/>
        <w:rPr>
          <w:rFonts w:ascii="宋体" w:hAnsi="宋体" w:eastAsia="宋体"/>
          <w:color w:val="auto"/>
          <w:sz w:val="32"/>
          <w:szCs w:val="32"/>
          <w:highlight w:val="none"/>
        </w:rPr>
      </w:pPr>
      <w:r>
        <w:rPr>
          <w:rFonts w:hint="eastAsia" w:ascii="宋体" w:hAnsi="宋体" w:eastAsia="宋体"/>
          <w:color w:val="auto"/>
          <w:sz w:val="32"/>
          <w:szCs w:val="32"/>
          <w:highlight w:val="none"/>
        </w:rPr>
        <w:t>全流程电子文件</w:t>
      </w:r>
    </w:p>
    <w:p w14:paraId="41610E20">
      <w:pPr>
        <w:spacing w:line="360" w:lineRule="auto"/>
        <w:ind w:firstLine="420" w:firstLineChars="200"/>
        <w:rPr>
          <w:rFonts w:ascii="宋体" w:hAnsi="宋体" w:eastAsia="宋体"/>
          <w:color w:val="auto"/>
          <w:szCs w:val="21"/>
          <w:highlight w:val="none"/>
        </w:rPr>
      </w:pPr>
    </w:p>
    <w:p w14:paraId="3C03CE6A">
      <w:pPr>
        <w:spacing w:line="360" w:lineRule="auto"/>
        <w:ind w:firstLine="420" w:firstLineChars="200"/>
        <w:rPr>
          <w:rFonts w:ascii="宋体" w:hAnsi="宋体" w:eastAsia="宋体"/>
          <w:color w:val="auto"/>
          <w:szCs w:val="21"/>
          <w:highlight w:val="none"/>
        </w:rPr>
      </w:pPr>
    </w:p>
    <w:p w14:paraId="3C798808">
      <w:pPr>
        <w:spacing w:line="360" w:lineRule="auto"/>
        <w:ind w:firstLine="420" w:firstLineChars="200"/>
        <w:rPr>
          <w:rFonts w:ascii="宋体" w:hAnsi="宋体" w:eastAsia="宋体"/>
          <w:color w:val="auto"/>
          <w:szCs w:val="21"/>
          <w:highlight w:val="none"/>
        </w:rPr>
      </w:pPr>
    </w:p>
    <w:p w14:paraId="5809A9C3">
      <w:pPr>
        <w:spacing w:line="360" w:lineRule="auto"/>
        <w:jc w:val="center"/>
        <w:rPr>
          <w:rFonts w:ascii="宋体" w:hAnsi="宋体" w:eastAsia="宋体"/>
          <w:b/>
          <w:color w:val="auto"/>
          <w:sz w:val="84"/>
          <w:szCs w:val="84"/>
          <w:highlight w:val="none"/>
        </w:rPr>
      </w:pPr>
      <w:r>
        <w:rPr>
          <w:rFonts w:hint="eastAsia" w:ascii="宋体" w:hAnsi="宋体" w:eastAsia="宋体"/>
          <w:b/>
          <w:color w:val="auto"/>
          <w:sz w:val="84"/>
          <w:szCs w:val="84"/>
          <w:highlight w:val="none"/>
        </w:rPr>
        <w:t>报价文件（封面）</w:t>
      </w:r>
    </w:p>
    <w:p w14:paraId="2B66BDAE">
      <w:pPr>
        <w:spacing w:line="360" w:lineRule="auto"/>
        <w:ind w:firstLine="420" w:firstLineChars="200"/>
        <w:rPr>
          <w:rFonts w:ascii="宋体" w:hAnsi="宋体" w:eastAsia="宋体"/>
          <w:color w:val="auto"/>
          <w:szCs w:val="21"/>
          <w:highlight w:val="none"/>
        </w:rPr>
      </w:pPr>
    </w:p>
    <w:p w14:paraId="01BE57D8">
      <w:pPr>
        <w:spacing w:line="360" w:lineRule="auto"/>
        <w:ind w:firstLine="420" w:firstLineChars="200"/>
        <w:rPr>
          <w:rFonts w:ascii="宋体" w:hAnsi="宋体" w:eastAsia="宋体"/>
          <w:color w:val="auto"/>
          <w:szCs w:val="21"/>
          <w:highlight w:val="none"/>
        </w:rPr>
      </w:pPr>
    </w:p>
    <w:p w14:paraId="1860E0C0">
      <w:pPr>
        <w:spacing w:line="360" w:lineRule="auto"/>
        <w:ind w:firstLine="420" w:firstLineChars="200"/>
        <w:rPr>
          <w:rFonts w:ascii="宋体" w:hAnsi="宋体" w:eastAsia="宋体"/>
          <w:color w:val="auto"/>
          <w:szCs w:val="21"/>
          <w:highlight w:val="none"/>
        </w:rPr>
      </w:pPr>
    </w:p>
    <w:p w14:paraId="37E41E60">
      <w:pPr>
        <w:spacing w:line="360" w:lineRule="auto"/>
        <w:ind w:firstLine="420" w:firstLineChars="200"/>
        <w:rPr>
          <w:rFonts w:ascii="宋体" w:hAnsi="宋体" w:eastAsia="宋体"/>
          <w:color w:val="auto"/>
          <w:szCs w:val="21"/>
          <w:highlight w:val="none"/>
        </w:rPr>
      </w:pPr>
    </w:p>
    <w:p w14:paraId="7341AACF">
      <w:pPr>
        <w:spacing w:line="360" w:lineRule="auto"/>
        <w:ind w:firstLine="420" w:firstLineChars="200"/>
        <w:rPr>
          <w:rFonts w:ascii="宋体" w:hAnsi="宋体" w:eastAsia="宋体"/>
          <w:color w:val="auto"/>
          <w:szCs w:val="21"/>
          <w:highlight w:val="none"/>
        </w:rPr>
      </w:pPr>
    </w:p>
    <w:p w14:paraId="23EFEA9F">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项目名称：[项目采购-项目名称]</w:t>
      </w:r>
    </w:p>
    <w:p w14:paraId="725152E6">
      <w:pPr>
        <w:spacing w:line="360" w:lineRule="auto"/>
        <w:ind w:firstLine="420" w:firstLineChars="200"/>
        <w:rPr>
          <w:rFonts w:ascii="宋体" w:hAnsi="宋体" w:eastAsia="宋体"/>
          <w:color w:val="auto"/>
          <w:szCs w:val="21"/>
          <w:highlight w:val="none"/>
        </w:rPr>
      </w:pPr>
    </w:p>
    <w:p w14:paraId="46312E77">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项目编号：[项目采购-项目编号_]</w:t>
      </w:r>
    </w:p>
    <w:p w14:paraId="2C1B1855">
      <w:pPr>
        <w:spacing w:line="360" w:lineRule="auto"/>
        <w:ind w:firstLine="420" w:firstLineChars="200"/>
        <w:rPr>
          <w:rFonts w:ascii="宋体" w:hAnsi="宋体" w:eastAsia="宋体"/>
          <w:color w:val="auto"/>
          <w:szCs w:val="21"/>
          <w:highlight w:val="none"/>
        </w:rPr>
      </w:pPr>
    </w:p>
    <w:p w14:paraId="74FD36C4">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所竞分标（如有则填写，无分标时填写“无”或者留空）：</w:t>
      </w:r>
    </w:p>
    <w:p w14:paraId="4808EB70">
      <w:pPr>
        <w:spacing w:line="360" w:lineRule="auto"/>
        <w:ind w:firstLine="420" w:firstLineChars="200"/>
        <w:rPr>
          <w:rFonts w:ascii="宋体" w:hAnsi="宋体" w:eastAsia="宋体"/>
          <w:color w:val="auto"/>
          <w:szCs w:val="21"/>
          <w:highlight w:val="none"/>
        </w:rPr>
      </w:pPr>
    </w:p>
    <w:p w14:paraId="67712644">
      <w:pPr>
        <w:spacing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供应商名称：</w:t>
      </w:r>
    </w:p>
    <w:p w14:paraId="1E61119C">
      <w:pPr>
        <w:spacing w:line="360" w:lineRule="auto"/>
        <w:ind w:firstLine="420" w:firstLineChars="200"/>
        <w:rPr>
          <w:rFonts w:ascii="宋体" w:hAnsi="宋体" w:eastAsia="宋体"/>
          <w:color w:val="auto"/>
          <w:szCs w:val="21"/>
          <w:highlight w:val="none"/>
        </w:rPr>
      </w:pPr>
    </w:p>
    <w:p w14:paraId="333CAD59">
      <w:pPr>
        <w:spacing w:line="360" w:lineRule="auto"/>
        <w:ind w:firstLine="420" w:firstLineChars="200"/>
        <w:rPr>
          <w:rFonts w:ascii="宋体" w:hAnsi="宋体" w:eastAsia="宋体"/>
          <w:color w:val="auto"/>
          <w:szCs w:val="21"/>
          <w:highlight w:val="none"/>
        </w:rPr>
      </w:pPr>
    </w:p>
    <w:p w14:paraId="1D1B2481">
      <w:pPr>
        <w:spacing w:line="360" w:lineRule="auto"/>
        <w:ind w:firstLine="420" w:firstLineChars="200"/>
        <w:rPr>
          <w:rFonts w:ascii="宋体" w:hAnsi="宋体" w:eastAsia="宋体"/>
          <w:color w:val="auto"/>
          <w:szCs w:val="21"/>
          <w:highlight w:val="none"/>
        </w:rPr>
      </w:pPr>
    </w:p>
    <w:p w14:paraId="2F53A846">
      <w:pPr>
        <w:spacing w:line="360" w:lineRule="auto"/>
        <w:jc w:val="center"/>
        <w:rPr>
          <w:rFonts w:ascii="宋体" w:hAnsi="宋体" w:eastAsia="宋体"/>
          <w:color w:val="auto"/>
          <w:szCs w:val="21"/>
          <w:highlight w:val="none"/>
        </w:rPr>
      </w:pPr>
      <w:r>
        <w:rPr>
          <w:rFonts w:ascii="宋体" w:hAnsi="宋体" w:eastAsia="宋体" w:cs="Times New Roman"/>
          <w:color w:val="auto"/>
          <w:sz w:val="32"/>
          <w:szCs w:val="32"/>
          <w:highlight w:val="none"/>
        </w:rPr>
        <w:t>___</w:t>
      </w:r>
      <w:r>
        <w:rPr>
          <w:rFonts w:hint="eastAsia" w:ascii="宋体" w:hAnsi="宋体" w:eastAsia="宋体" w:cs="Times New Roman"/>
          <w:color w:val="auto"/>
          <w:sz w:val="32"/>
          <w:szCs w:val="32"/>
          <w:highlight w:val="none"/>
        </w:rPr>
        <w:t>年</w:t>
      </w:r>
      <w:r>
        <w:rPr>
          <w:rFonts w:ascii="宋体" w:hAnsi="宋体" w:eastAsia="宋体" w:cs="Times New Roman"/>
          <w:color w:val="auto"/>
          <w:sz w:val="32"/>
          <w:szCs w:val="32"/>
          <w:highlight w:val="none"/>
        </w:rPr>
        <w:t>___</w:t>
      </w:r>
      <w:r>
        <w:rPr>
          <w:rFonts w:hint="eastAsia" w:ascii="宋体" w:hAnsi="宋体" w:eastAsia="宋体" w:cs="Times New Roman"/>
          <w:color w:val="auto"/>
          <w:sz w:val="32"/>
          <w:szCs w:val="32"/>
          <w:highlight w:val="none"/>
        </w:rPr>
        <w:t>月</w:t>
      </w:r>
      <w:r>
        <w:rPr>
          <w:rFonts w:ascii="宋体" w:hAnsi="宋体" w:eastAsia="宋体" w:cs="Times New Roman"/>
          <w:color w:val="auto"/>
          <w:sz w:val="32"/>
          <w:szCs w:val="32"/>
          <w:highlight w:val="none"/>
        </w:rPr>
        <w:t>___</w:t>
      </w:r>
      <w:r>
        <w:rPr>
          <w:rFonts w:hint="eastAsia" w:ascii="宋体" w:hAnsi="宋体" w:eastAsia="宋体" w:cs="Times New Roman"/>
          <w:color w:val="auto"/>
          <w:sz w:val="32"/>
          <w:szCs w:val="32"/>
          <w:highlight w:val="none"/>
        </w:rPr>
        <w:t>日</w:t>
      </w:r>
    </w:p>
    <w:p w14:paraId="4D0DE542">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51047CB5">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报价文件目录</w:t>
      </w:r>
    </w:p>
    <w:p w14:paraId="0FAC3E59">
      <w:pPr>
        <w:spacing w:line="360" w:lineRule="auto"/>
        <w:ind w:firstLine="420" w:firstLineChars="200"/>
        <w:rPr>
          <w:rFonts w:ascii="宋体" w:hAnsi="宋体" w:eastAsia="宋体"/>
          <w:color w:val="auto"/>
          <w:szCs w:val="21"/>
          <w:highlight w:val="none"/>
        </w:rPr>
      </w:pPr>
    </w:p>
    <w:p w14:paraId="75559655">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一、响应函……………………………………………………………………………………………………（页码）</w:t>
      </w:r>
    </w:p>
    <w:p w14:paraId="23DDEF55">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二、响应报价表………………………………………………………………………………………………（页码）</w:t>
      </w:r>
    </w:p>
    <w:p w14:paraId="40D769BC">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三、已标价工程量清单………………………………………………………………………………………（页码）</w:t>
      </w:r>
    </w:p>
    <w:p w14:paraId="0FC2DBDD">
      <w:pPr>
        <w:spacing w:line="360" w:lineRule="auto"/>
        <w:ind w:firstLine="643" w:firstLineChars="200"/>
        <w:rPr>
          <w:rFonts w:ascii="宋体" w:hAnsi="宋体" w:eastAsia="宋体"/>
          <w:b/>
          <w:color w:val="auto"/>
          <w:sz w:val="32"/>
          <w:szCs w:val="32"/>
          <w:highlight w:val="none"/>
        </w:rPr>
        <w:sectPr>
          <w:pgSz w:w="11906" w:h="16838"/>
          <w:pgMar w:top="1134" w:right="1134" w:bottom="1134" w:left="1134" w:header="851" w:footer="680" w:gutter="0"/>
          <w:cols w:space="425" w:num="1"/>
          <w:docGrid w:type="lines" w:linePitch="312" w:charSpace="0"/>
        </w:sectPr>
      </w:pPr>
    </w:p>
    <w:p w14:paraId="5C0CD83F">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一、响应函</w:t>
      </w:r>
    </w:p>
    <w:p w14:paraId="6A4B6DBD">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响应函</w:t>
      </w:r>
    </w:p>
    <w:p w14:paraId="0BE33DCF">
      <w:pPr>
        <w:spacing w:line="360" w:lineRule="auto"/>
        <w:rPr>
          <w:rFonts w:ascii="宋体" w:hAnsi="宋体" w:eastAsia="宋体"/>
          <w:color w:val="auto"/>
          <w:szCs w:val="21"/>
          <w:highlight w:val="none"/>
          <w:u w:val="single"/>
        </w:rPr>
      </w:pPr>
      <w:r>
        <w:rPr>
          <w:rFonts w:hint="eastAsia" w:ascii="宋体" w:hAnsi="宋体" w:eastAsia="宋体"/>
          <w:color w:val="auto"/>
          <w:szCs w:val="21"/>
          <w:highlight w:val="none"/>
        </w:rPr>
        <w:t>致：</w:t>
      </w:r>
      <w:r>
        <w:rPr>
          <w:rFonts w:hint="eastAsia" w:ascii="宋体" w:hAnsi="宋体" w:eastAsia="宋体"/>
          <w:color w:val="auto"/>
          <w:szCs w:val="21"/>
          <w:highlight w:val="none"/>
          <w:u w:val="single"/>
        </w:rPr>
        <w:t>[项目采购-采购组织机构_]</w:t>
      </w:r>
    </w:p>
    <w:p w14:paraId="639477F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我方已仔细阅读了贵方组织的</w:t>
      </w:r>
      <w:r>
        <w:rPr>
          <w:rFonts w:hint="eastAsia" w:ascii="宋体" w:hAnsi="宋体" w:eastAsia="宋体"/>
          <w:color w:val="auto"/>
          <w:szCs w:val="21"/>
          <w:highlight w:val="none"/>
          <w:u w:val="single"/>
        </w:rPr>
        <w:t>[项目采购-项目名称]</w:t>
      </w:r>
      <w:r>
        <w:rPr>
          <w:rFonts w:hint="eastAsia" w:ascii="宋体" w:hAnsi="宋体" w:eastAsia="宋体"/>
          <w:color w:val="auto"/>
          <w:szCs w:val="21"/>
          <w:highlight w:val="none"/>
        </w:rPr>
        <w:t>项目（项目编号：</w:t>
      </w:r>
      <w:r>
        <w:rPr>
          <w:rFonts w:hint="eastAsia" w:ascii="宋体" w:hAnsi="宋体" w:eastAsia="宋体"/>
          <w:color w:val="auto"/>
          <w:szCs w:val="21"/>
          <w:highlight w:val="none"/>
          <w:u w:val="single"/>
        </w:rPr>
        <w:t>[项目采购-项目编号_]</w:t>
      </w:r>
      <w:r>
        <w:rPr>
          <w:rFonts w:hint="eastAsia" w:ascii="宋体" w:hAnsi="宋体" w:eastAsia="宋体"/>
          <w:color w:val="auto"/>
          <w:szCs w:val="21"/>
          <w:highlight w:val="none"/>
        </w:rPr>
        <w:t>）的竞争性磋商采购文件的全部内容，现正式递交下述文件参加贵方组织的本次政府采购活动：</w:t>
      </w:r>
    </w:p>
    <w:p w14:paraId="1DBC6D3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一、首次报价文件电子版</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份（包含按“第三章供应商须知”提交的全部文件）；</w:t>
      </w:r>
    </w:p>
    <w:p w14:paraId="1F0E5DB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二、技术文件电子版</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份（包含按“第三章供应商须知”提交的全部文件）；商务文件电子版</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份（包含按“第三章供应商须知”提交的全部文件）；（商务技术文件已合并装订成册）；</w:t>
      </w:r>
    </w:p>
    <w:p w14:paraId="2E26AD0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三、资格证明文件电子版（包含按“第三章供应商须知”提交的全部文件）；</w:t>
      </w:r>
    </w:p>
    <w:p w14:paraId="13BF87A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据此函，签字人兹宣布：</w:t>
      </w:r>
    </w:p>
    <w:p w14:paraId="6C5BB1B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1、我方愿意以（大写）人民币</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rPr>
        <w:t>（¥</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rPr>
        <w:t>元）的竞争性磋商报价，合同履行期限：工期：</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，提供本项目竞争性磋商采购文件第二章“采购需求一览表”中相应的采购内容。</w:t>
      </w:r>
    </w:p>
    <w:p w14:paraId="671E64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2、我方同意自本项目竞争性磋商采购文件采购公告规定的递交响应文件截止时间起遵循本响应函，并承诺在“第三章供应商须知”规定的响应有效期内不修改、撤销响应文件。</w:t>
      </w:r>
    </w:p>
    <w:p w14:paraId="54587C0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3、我方在此声明，所递交的响应文件及有关资料内容完整、真实和准确。</w:t>
      </w:r>
    </w:p>
    <w:p w14:paraId="6FB9B3A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4、如本项目采购内容涉及须符合国家强制规定的，我方承诺我方本次竞标均符合国家有关强制规定。</w:t>
      </w:r>
    </w:p>
    <w:p w14:paraId="58C1474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416C23A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6、我方已详细审核竞争性磋商采购文件，我方知道必须放弃提出含糊不清或误解问题的权利。</w:t>
      </w:r>
    </w:p>
    <w:p w14:paraId="6BB2B47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7、我方承诺满足竞争性磋商采购文件第六章“合同文本”的条款，承担完成合同的责任和义务。</w:t>
      </w:r>
    </w:p>
    <w:p w14:paraId="5F67567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8、我方同意应贵方要求提供与本竞标有关的任何数据或资料。若贵方需要，我方愿意提供我方作出的一切承诺的证明材料。</w:t>
      </w:r>
    </w:p>
    <w:p w14:paraId="3D6588B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9、我方完全理解贵方不一定接受响应报价最低的竞标人为成交供应商的行为。</w:t>
      </w:r>
    </w:p>
    <w:p w14:paraId="48C0E24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F29B60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（1）提供虚假材料谋取中标、成交的；</w:t>
      </w:r>
    </w:p>
    <w:p w14:paraId="45645EF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（2）采取不正当手段诋毁、排挤其他供应商的；</w:t>
      </w:r>
    </w:p>
    <w:p w14:paraId="74CEBBA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（3）与采购人、其他供应商或者采购代理机构恶意串通的；</w:t>
      </w:r>
    </w:p>
    <w:p w14:paraId="652D6FB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（4）向采购人、采购代理机构行贿或者提供其他不正当利益的；</w:t>
      </w:r>
    </w:p>
    <w:p w14:paraId="68365FD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（5）在采购过程中与采购人进行协商谈判的；</w:t>
      </w:r>
    </w:p>
    <w:p w14:paraId="48BCCCE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（6）拒绝有关部门监督检查或提供虚假情况的。</w:t>
      </w:r>
    </w:p>
    <w:p w14:paraId="4A3E664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11.与本磋商有关的一切正式往来信函请寄：</w:t>
      </w:r>
    </w:p>
    <w:p w14:paraId="340C609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rPr>
        <w:t>__________________________________________________________________________________</w:t>
      </w:r>
    </w:p>
    <w:p w14:paraId="5941838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电话：</w:t>
      </w:r>
      <w:r>
        <w:rPr>
          <w:rFonts w:ascii="Times New Roman" w:hAnsi="Times New Roman" w:eastAsia="宋体" w:cs="Times New Roman"/>
          <w:color w:val="auto"/>
          <w:szCs w:val="21"/>
          <w:highlight w:val="none"/>
        </w:rPr>
        <w:t>__________________________________________________________________________________</w:t>
      </w:r>
    </w:p>
    <w:p w14:paraId="18018F6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传真：</w:t>
      </w:r>
      <w:r>
        <w:rPr>
          <w:rFonts w:ascii="Times New Roman" w:hAnsi="Times New Roman" w:eastAsia="宋体" w:cs="Times New Roman"/>
          <w:color w:val="auto"/>
          <w:szCs w:val="21"/>
          <w:highlight w:val="none"/>
        </w:rPr>
        <w:t>__________________________________________________________________________________</w:t>
      </w:r>
    </w:p>
    <w:p w14:paraId="3D7BBA1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邮政编码：</w:t>
      </w:r>
      <w:r>
        <w:rPr>
          <w:rFonts w:ascii="Times New Roman" w:hAnsi="Times New Roman" w:eastAsia="宋体" w:cs="Times New Roman"/>
          <w:color w:val="auto"/>
          <w:szCs w:val="21"/>
          <w:highlight w:val="none"/>
        </w:rPr>
        <w:t>______________________________________________________________________________</w:t>
      </w:r>
    </w:p>
    <w:p w14:paraId="5788339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开户名称：</w:t>
      </w:r>
      <w:r>
        <w:rPr>
          <w:rFonts w:ascii="Times New Roman" w:hAnsi="Times New Roman" w:eastAsia="宋体" w:cs="Times New Roman"/>
          <w:color w:val="auto"/>
          <w:szCs w:val="21"/>
          <w:highlight w:val="none"/>
        </w:rPr>
        <w:t>______________________________________________________________________________</w:t>
      </w:r>
    </w:p>
    <w:p w14:paraId="2B746CE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开户银行：</w:t>
      </w:r>
      <w:r>
        <w:rPr>
          <w:rFonts w:ascii="Times New Roman" w:hAnsi="Times New Roman" w:eastAsia="宋体" w:cs="Times New Roman"/>
          <w:color w:val="auto"/>
          <w:szCs w:val="21"/>
          <w:highlight w:val="none"/>
        </w:rPr>
        <w:t>______________________________________________________________________________</w:t>
      </w:r>
    </w:p>
    <w:p w14:paraId="2CF153B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银行账号：</w:t>
      </w:r>
      <w:r>
        <w:rPr>
          <w:rFonts w:ascii="Times New Roman" w:hAnsi="Times New Roman" w:eastAsia="宋体" w:cs="Times New Roman"/>
          <w:color w:val="auto"/>
          <w:szCs w:val="21"/>
          <w:highlight w:val="none"/>
        </w:rPr>
        <w:t>______________________________________________________________________________</w:t>
      </w:r>
    </w:p>
    <w:p w14:paraId="03FC14B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特此承诺。</w:t>
      </w:r>
    </w:p>
    <w:p w14:paraId="5D8B149C">
      <w:pPr>
        <w:spacing w:line="360" w:lineRule="auto"/>
        <w:ind w:firstLine="420" w:firstLineChars="200"/>
        <w:rPr>
          <w:rFonts w:ascii="宋体" w:hAnsi="宋体" w:eastAsia="宋体"/>
          <w:color w:val="auto"/>
          <w:szCs w:val="21"/>
          <w:highlight w:val="none"/>
        </w:rPr>
      </w:pPr>
    </w:p>
    <w:p w14:paraId="0C0A40F3">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15C3FF1E">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6500F609">
      <w:pPr>
        <w:spacing w:line="360" w:lineRule="auto"/>
        <w:ind w:firstLine="643" w:firstLineChars="200"/>
        <w:rPr>
          <w:rFonts w:ascii="宋体" w:hAnsi="宋体" w:eastAsia="宋体"/>
          <w:b/>
          <w:color w:val="auto"/>
          <w:sz w:val="32"/>
          <w:szCs w:val="32"/>
          <w:highlight w:val="none"/>
        </w:rPr>
        <w:sectPr>
          <w:pgSz w:w="11906" w:h="16838"/>
          <w:pgMar w:top="1134" w:right="1134" w:bottom="1134" w:left="1134" w:header="851" w:footer="680" w:gutter="0"/>
          <w:cols w:space="425" w:num="1"/>
          <w:docGrid w:type="lines" w:linePitch="312" w:charSpace="0"/>
        </w:sectPr>
      </w:pPr>
    </w:p>
    <w:p w14:paraId="699D280F">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二、响应报价表</w:t>
      </w:r>
    </w:p>
    <w:p w14:paraId="77BD9486">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项目名称：</w:t>
      </w:r>
      <w:r>
        <w:rPr>
          <w:rFonts w:hint="eastAsia" w:ascii="宋体" w:hAnsi="宋体" w:eastAsia="宋体"/>
          <w:color w:val="auto"/>
          <w:szCs w:val="21"/>
          <w:highlight w:val="none"/>
          <w:u w:val="single"/>
        </w:rPr>
        <w:t>[项目采购-项目名称_]</w:t>
      </w:r>
      <w:r>
        <w:rPr>
          <w:rFonts w:hint="eastAsia" w:ascii="宋体" w:hAnsi="宋体" w:eastAsia="宋体"/>
          <w:color w:val="auto"/>
          <w:szCs w:val="21"/>
          <w:highlight w:val="none"/>
        </w:rPr>
        <w:t>项目编号：</w:t>
      </w:r>
      <w:r>
        <w:rPr>
          <w:rFonts w:hint="eastAsia" w:ascii="宋体" w:hAnsi="宋体" w:eastAsia="宋体"/>
          <w:color w:val="auto"/>
          <w:szCs w:val="21"/>
          <w:highlight w:val="none"/>
          <w:u w:val="single"/>
        </w:rPr>
        <w:t>[项目采购-项目编号_]</w:t>
      </w:r>
    </w:p>
    <w:p w14:paraId="152CF47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分标：</w:t>
      </w:r>
      <w:r>
        <w:rPr>
          <w:rFonts w:ascii="Times New Roman" w:hAnsi="Times New Roman" w:eastAsia="宋体" w:cs="Times New Roman"/>
          <w:color w:val="auto"/>
          <w:szCs w:val="21"/>
          <w:highlight w:val="none"/>
        </w:rPr>
        <w:t>_________</w:t>
      </w:r>
    </w:p>
    <w:p w14:paraId="39E99F6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供应商名称：</w:t>
      </w:r>
      <w:r>
        <w:rPr>
          <w:rFonts w:ascii="Times New Roman" w:hAnsi="Times New Roman" w:eastAsia="宋体" w:cs="Times New Roman"/>
          <w:color w:val="auto"/>
          <w:szCs w:val="21"/>
          <w:highlight w:val="none"/>
        </w:rPr>
        <w:t>_________</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4495"/>
        <w:gridCol w:w="1305"/>
        <w:gridCol w:w="1307"/>
        <w:gridCol w:w="1307"/>
        <w:gridCol w:w="717"/>
      </w:tblGrid>
      <w:tr w14:paraId="1539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7" w:type="pct"/>
            <w:vAlign w:val="center"/>
          </w:tcPr>
          <w:p w14:paraId="06593DC4">
            <w:pPr>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2281" w:type="pct"/>
            <w:vAlign w:val="center"/>
          </w:tcPr>
          <w:p w14:paraId="1589E8C4">
            <w:pPr>
              <w:jc w:val="center"/>
              <w:rPr>
                <w:rFonts w:ascii="宋体" w:hAnsi="宋体" w:eastAsia="宋体"/>
                <w:color w:val="auto"/>
                <w:szCs w:val="21"/>
                <w:highlight w:val="none"/>
              </w:rPr>
            </w:pPr>
            <w:r>
              <w:rPr>
                <w:rFonts w:hint="eastAsia" w:ascii="宋体" w:hAnsi="宋体" w:eastAsia="宋体"/>
                <w:color w:val="auto"/>
                <w:szCs w:val="21"/>
                <w:highlight w:val="none"/>
              </w:rPr>
              <w:t>标的的名称</w:t>
            </w:r>
          </w:p>
        </w:tc>
        <w:tc>
          <w:tcPr>
            <w:tcW w:w="662" w:type="pct"/>
            <w:vAlign w:val="center"/>
          </w:tcPr>
          <w:p w14:paraId="160095B0">
            <w:pPr>
              <w:jc w:val="center"/>
              <w:rPr>
                <w:rFonts w:ascii="宋体" w:hAnsi="宋体" w:eastAsia="宋体"/>
                <w:color w:val="auto"/>
                <w:szCs w:val="21"/>
                <w:highlight w:val="none"/>
              </w:rPr>
            </w:pPr>
            <w:r>
              <w:rPr>
                <w:rFonts w:hint="eastAsia" w:ascii="宋体" w:hAnsi="宋体"/>
                <w:color w:val="auto"/>
                <w:szCs w:val="21"/>
                <w:highlight w:val="none"/>
              </w:rPr>
              <w:t>数量及单位</w:t>
            </w:r>
          </w:p>
        </w:tc>
        <w:tc>
          <w:tcPr>
            <w:tcW w:w="663" w:type="pct"/>
            <w:vAlign w:val="center"/>
          </w:tcPr>
          <w:p w14:paraId="252388EA">
            <w:pPr>
              <w:jc w:val="center"/>
              <w:rPr>
                <w:rFonts w:ascii="宋体" w:hAnsi="宋体" w:eastAsia="宋体"/>
                <w:color w:val="auto"/>
                <w:szCs w:val="21"/>
                <w:highlight w:val="none"/>
              </w:rPr>
            </w:pPr>
            <w:r>
              <w:rPr>
                <w:rFonts w:hint="eastAsia" w:ascii="宋体" w:hAnsi="宋体" w:eastAsia="宋体"/>
                <w:color w:val="auto"/>
                <w:szCs w:val="21"/>
                <w:highlight w:val="none"/>
              </w:rPr>
              <w:t>单价（元）</w:t>
            </w:r>
          </w:p>
        </w:tc>
        <w:tc>
          <w:tcPr>
            <w:tcW w:w="663" w:type="pct"/>
            <w:vAlign w:val="center"/>
          </w:tcPr>
          <w:p w14:paraId="746CD411">
            <w:pPr>
              <w:jc w:val="center"/>
              <w:rPr>
                <w:rFonts w:ascii="宋体" w:hAnsi="宋体" w:eastAsia="宋体"/>
                <w:color w:val="auto"/>
                <w:szCs w:val="21"/>
                <w:highlight w:val="none"/>
              </w:rPr>
            </w:pPr>
            <w:r>
              <w:rPr>
                <w:rFonts w:hint="eastAsia" w:ascii="宋体" w:hAnsi="宋体" w:eastAsia="宋体"/>
                <w:color w:val="auto"/>
                <w:szCs w:val="21"/>
                <w:highlight w:val="none"/>
              </w:rPr>
              <w:t>合价（元）</w:t>
            </w:r>
          </w:p>
        </w:tc>
        <w:tc>
          <w:tcPr>
            <w:tcW w:w="364" w:type="pct"/>
            <w:vAlign w:val="center"/>
          </w:tcPr>
          <w:p w14:paraId="66A1CC01">
            <w:pPr>
              <w:jc w:val="center"/>
              <w:rPr>
                <w:rFonts w:ascii="宋体" w:hAnsi="宋体" w:eastAsia="宋体"/>
                <w:color w:val="auto"/>
                <w:szCs w:val="21"/>
                <w:highlight w:val="none"/>
              </w:rPr>
            </w:pPr>
            <w:r>
              <w:rPr>
                <w:rFonts w:hint="eastAsia" w:ascii="宋体" w:hAnsi="宋体" w:eastAsia="宋体"/>
                <w:color w:val="auto"/>
                <w:szCs w:val="21"/>
                <w:highlight w:val="none"/>
              </w:rPr>
              <w:t>备注</w:t>
            </w:r>
          </w:p>
        </w:tc>
      </w:tr>
      <w:tr w14:paraId="227E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7" w:type="pct"/>
            <w:vAlign w:val="center"/>
          </w:tcPr>
          <w:p w14:paraId="4DDCB071">
            <w:pPr>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2281" w:type="pct"/>
            <w:vAlign w:val="center"/>
          </w:tcPr>
          <w:p w14:paraId="3A736AFB">
            <w:pPr>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2026年南湖公园维修改造项目</w:t>
            </w:r>
          </w:p>
        </w:tc>
        <w:tc>
          <w:tcPr>
            <w:tcW w:w="662" w:type="pct"/>
            <w:vAlign w:val="center"/>
          </w:tcPr>
          <w:p w14:paraId="270821C4">
            <w:pPr>
              <w:jc w:val="center"/>
              <w:rPr>
                <w:rFonts w:ascii="宋体" w:hAnsi="宋体"/>
                <w:color w:val="auto"/>
                <w:szCs w:val="21"/>
                <w:highlight w:val="none"/>
              </w:rPr>
            </w:pPr>
            <w:r>
              <w:rPr>
                <w:rFonts w:hint="eastAsia" w:ascii="宋体" w:hAnsi="宋体"/>
                <w:color w:val="auto"/>
                <w:szCs w:val="21"/>
                <w:highlight w:val="none"/>
              </w:rPr>
              <w:t>1项</w:t>
            </w:r>
          </w:p>
        </w:tc>
        <w:tc>
          <w:tcPr>
            <w:tcW w:w="663" w:type="pct"/>
            <w:vAlign w:val="center"/>
          </w:tcPr>
          <w:p w14:paraId="7FF52E81">
            <w:pPr>
              <w:jc w:val="center"/>
              <w:rPr>
                <w:rFonts w:ascii="宋体" w:hAnsi="宋体" w:eastAsia="宋体"/>
                <w:color w:val="auto"/>
                <w:szCs w:val="21"/>
                <w:highlight w:val="none"/>
              </w:rPr>
            </w:pPr>
          </w:p>
        </w:tc>
        <w:tc>
          <w:tcPr>
            <w:tcW w:w="663" w:type="pct"/>
            <w:vAlign w:val="center"/>
          </w:tcPr>
          <w:p w14:paraId="024C816F">
            <w:pPr>
              <w:jc w:val="center"/>
              <w:rPr>
                <w:rFonts w:ascii="宋体" w:hAnsi="宋体" w:eastAsia="宋体"/>
                <w:color w:val="auto"/>
                <w:szCs w:val="21"/>
                <w:highlight w:val="none"/>
              </w:rPr>
            </w:pPr>
          </w:p>
        </w:tc>
        <w:tc>
          <w:tcPr>
            <w:tcW w:w="364" w:type="pct"/>
            <w:vAlign w:val="center"/>
          </w:tcPr>
          <w:p w14:paraId="21429A61">
            <w:pPr>
              <w:jc w:val="center"/>
              <w:rPr>
                <w:rFonts w:ascii="宋体" w:hAnsi="宋体" w:eastAsia="宋体"/>
                <w:color w:val="auto"/>
                <w:szCs w:val="21"/>
                <w:highlight w:val="none"/>
              </w:rPr>
            </w:pPr>
          </w:p>
        </w:tc>
      </w:tr>
    </w:tbl>
    <w:p w14:paraId="6743F26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注：</w:t>
      </w:r>
    </w:p>
    <w:p w14:paraId="2CB4310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1、供应商需按本表格式填写，不得自行更改，也不得留空，如有多分标，按分标分别提供响应报价表。</w:t>
      </w:r>
    </w:p>
    <w:p w14:paraId="26BD126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2、如为联合体响应的，“供应商名称”处必须列明联合体各方名称，并标注联合体牵头人名称，且盖章处须加盖联合体各方公章，</w:t>
      </w:r>
      <w:r>
        <w:rPr>
          <w:rFonts w:hint="eastAsia" w:ascii="宋体" w:hAnsi="宋体" w:eastAsia="宋体"/>
          <w:b/>
          <w:color w:val="auto"/>
          <w:szCs w:val="21"/>
          <w:highlight w:val="none"/>
        </w:rPr>
        <w:t>否则其响应作无效响应处理</w:t>
      </w:r>
      <w:r>
        <w:rPr>
          <w:rFonts w:hint="eastAsia" w:ascii="宋体" w:hAnsi="宋体" w:eastAsia="宋体"/>
          <w:color w:val="auto"/>
          <w:szCs w:val="21"/>
          <w:highlight w:val="none"/>
        </w:rPr>
        <w:t>。</w:t>
      </w:r>
    </w:p>
    <w:p w14:paraId="49403BC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3、以上表格要求细分项目及报价，在“具体服务内容”一栏中填写，</w:t>
      </w:r>
      <w:r>
        <w:rPr>
          <w:rFonts w:hint="eastAsia" w:ascii="宋体" w:hAnsi="宋体" w:eastAsia="宋体"/>
          <w:b/>
          <w:color w:val="auto"/>
          <w:szCs w:val="21"/>
          <w:highlight w:val="none"/>
        </w:rPr>
        <w:t>否则其响应作无效响应处理</w:t>
      </w:r>
      <w:r>
        <w:rPr>
          <w:rFonts w:hint="eastAsia" w:ascii="宋体" w:hAnsi="宋体" w:eastAsia="宋体"/>
          <w:color w:val="auto"/>
          <w:szCs w:val="21"/>
          <w:highlight w:val="none"/>
        </w:rPr>
        <w:t>。</w:t>
      </w:r>
    </w:p>
    <w:p w14:paraId="64A64A9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4、特别提示：采购机构将对项目名称和项目编号，成交供应商名称、地址和成交金额，主要成交标的的名称、施工范围、施工工期、项目经理、执业证书信息等予以公示。</w:t>
      </w:r>
    </w:p>
    <w:p w14:paraId="34598E1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34FE60A0">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70562C9F">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056ADF59">
      <w:pPr>
        <w:spacing w:line="360" w:lineRule="auto"/>
        <w:ind w:firstLine="643" w:firstLineChars="200"/>
        <w:rPr>
          <w:rFonts w:ascii="宋体" w:hAnsi="宋体" w:eastAsia="宋体"/>
          <w:b/>
          <w:color w:val="auto"/>
          <w:sz w:val="32"/>
          <w:szCs w:val="32"/>
          <w:highlight w:val="none"/>
        </w:rPr>
        <w:sectPr>
          <w:pgSz w:w="11906" w:h="16838"/>
          <w:pgMar w:top="1134" w:right="1134" w:bottom="1134" w:left="1134" w:header="851" w:footer="680" w:gutter="0"/>
          <w:cols w:space="425" w:num="1"/>
          <w:docGrid w:type="lines" w:linePitch="312" w:charSpace="0"/>
        </w:sectPr>
      </w:pPr>
    </w:p>
    <w:p w14:paraId="38EFF033">
      <w:pPr>
        <w:spacing w:line="360" w:lineRule="auto"/>
        <w:ind w:firstLine="643" w:firstLineChars="200"/>
        <w:rPr>
          <w:rFonts w:ascii="宋体" w:hAnsi="宋体" w:eastAsia="宋体"/>
          <w:b/>
          <w:color w:val="auto"/>
          <w:sz w:val="32"/>
          <w:szCs w:val="32"/>
          <w:highlight w:val="none"/>
        </w:rPr>
      </w:pPr>
      <w:r>
        <w:rPr>
          <w:rFonts w:hint="eastAsia" w:ascii="宋体" w:hAnsi="宋体" w:eastAsia="宋体"/>
          <w:b/>
          <w:color w:val="auto"/>
          <w:sz w:val="32"/>
          <w:szCs w:val="32"/>
          <w:highlight w:val="none"/>
        </w:rPr>
        <w:t>三、已标价的工程量清单报价文件</w:t>
      </w:r>
    </w:p>
    <w:p w14:paraId="604E64D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按“工程量清单”中的相关表格及竞标报价说明填写</w:t>
      </w:r>
    </w:p>
    <w:p w14:paraId="3C7AFC9E">
      <w:pPr>
        <w:pStyle w:val="3"/>
        <w:jc w:val="center"/>
        <w:rPr>
          <w:color w:val="auto"/>
          <w:highlight w:val="none"/>
        </w:rPr>
        <w:sectPr>
          <w:pgSz w:w="11906" w:h="16838"/>
          <w:pgMar w:top="1134" w:right="1134" w:bottom="1134" w:left="1134" w:header="851" w:footer="680" w:gutter="0"/>
          <w:cols w:space="425" w:num="1"/>
          <w:docGrid w:type="lines" w:linePitch="312" w:charSpace="0"/>
        </w:sectPr>
      </w:pPr>
    </w:p>
    <w:p w14:paraId="3261B927">
      <w:pPr>
        <w:pStyle w:val="3"/>
        <w:jc w:val="center"/>
        <w:rPr>
          <w:color w:val="auto"/>
          <w:highlight w:val="none"/>
        </w:rPr>
      </w:pPr>
      <w:bookmarkStart w:id="26" w:name="_Toc217642149"/>
      <w:r>
        <w:rPr>
          <w:rFonts w:hint="eastAsia"/>
          <w:color w:val="auto"/>
          <w:highlight w:val="none"/>
        </w:rPr>
        <w:t>第五</w:t>
      </w:r>
      <w:r>
        <w:rPr>
          <w:rFonts w:hint="eastAsia"/>
          <w:color w:val="auto"/>
          <w:spacing w:val="120"/>
          <w:highlight w:val="none"/>
        </w:rPr>
        <w:t>节</w:t>
      </w:r>
      <w:r>
        <w:rPr>
          <w:rFonts w:hint="eastAsia"/>
          <w:color w:val="auto"/>
          <w:highlight w:val="none"/>
        </w:rPr>
        <w:t>其他文书、文件格式</w:t>
      </w:r>
      <w:bookmarkEnd w:id="26"/>
    </w:p>
    <w:p w14:paraId="430A8723">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知识产权合规性声明</w:t>
      </w:r>
    </w:p>
    <w:p w14:paraId="794DD0A5">
      <w:pPr>
        <w:spacing w:line="360" w:lineRule="auto"/>
        <w:ind w:firstLine="420" w:firstLineChars="200"/>
        <w:rPr>
          <w:rFonts w:ascii="宋体" w:hAnsi="宋体" w:eastAsia="宋体"/>
          <w:color w:val="auto"/>
          <w:szCs w:val="21"/>
          <w:highlight w:val="none"/>
        </w:rPr>
      </w:pPr>
    </w:p>
    <w:p w14:paraId="5BCBEEF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本企业（单位）自愿参与政府投资政府采购的</w:t>
      </w:r>
      <w:r>
        <w:rPr>
          <w:rFonts w:hint="eastAsia" w:ascii="宋体" w:hAnsi="宋体" w:eastAsia="宋体"/>
          <w:color w:val="auto"/>
          <w:szCs w:val="21"/>
          <w:highlight w:val="none"/>
          <w:u w:val="single"/>
        </w:rPr>
        <w:t>[项目采购-项目名称_]</w:t>
      </w:r>
      <w:r>
        <w:rPr>
          <w:rFonts w:hint="eastAsia" w:ascii="宋体" w:hAnsi="宋体" w:eastAsia="宋体"/>
          <w:color w:val="auto"/>
          <w:szCs w:val="21"/>
          <w:highlight w:val="none"/>
        </w:rPr>
        <w:t>项目，</w:t>
      </w:r>
      <w:r>
        <w:rPr>
          <w:rFonts w:hint="eastAsia" w:ascii="宋体" w:hAnsi="宋体" w:eastAsia="宋体"/>
          <w:b/>
          <w:color w:val="auto"/>
          <w:szCs w:val="21"/>
          <w:highlight w:val="none"/>
        </w:rPr>
        <w:t>在此郑重承诺</w:t>
      </w:r>
      <w:r>
        <w:rPr>
          <w:rFonts w:hint="eastAsia" w:ascii="宋体" w:hAnsi="宋体" w:eastAsia="宋体"/>
          <w:color w:val="auto"/>
          <w:szCs w:val="21"/>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325AA86E">
      <w:pPr>
        <w:spacing w:line="360" w:lineRule="auto"/>
        <w:ind w:firstLine="420" w:firstLineChars="200"/>
        <w:rPr>
          <w:rFonts w:ascii="宋体" w:hAnsi="宋体" w:eastAsia="宋体"/>
          <w:color w:val="auto"/>
          <w:szCs w:val="21"/>
          <w:highlight w:val="none"/>
        </w:rPr>
      </w:pPr>
    </w:p>
    <w:p w14:paraId="4A142EF4">
      <w:pPr>
        <w:spacing w:line="360" w:lineRule="auto"/>
        <w:ind w:right="1575" w:rightChars="750"/>
        <w:jc w:val="right"/>
        <w:rPr>
          <w:rFonts w:ascii="宋体" w:hAnsi="宋体" w:eastAsia="宋体"/>
          <w:color w:val="auto"/>
          <w:szCs w:val="21"/>
          <w:highlight w:val="none"/>
        </w:rPr>
      </w:pPr>
      <w:r>
        <w:rPr>
          <w:rFonts w:hint="eastAsia" w:ascii="宋体" w:hAnsi="宋体" w:eastAsia="宋体"/>
          <w:color w:val="auto"/>
          <w:szCs w:val="21"/>
          <w:highlight w:val="none"/>
        </w:rPr>
        <w:t>供应商名称（电子签章）：</w:t>
      </w:r>
    </w:p>
    <w:p w14:paraId="3F2453B5">
      <w:pPr>
        <w:spacing w:line="360" w:lineRule="auto"/>
        <w:ind w:firstLine="420" w:firstLineChars="200"/>
        <w:jc w:val="right"/>
        <w:rPr>
          <w:rFonts w:ascii="宋体" w:hAnsi="宋体" w:eastAsia="宋体"/>
          <w:color w:val="auto"/>
          <w:szCs w:val="21"/>
          <w:highlight w:val="none"/>
        </w:rPr>
      </w:pPr>
      <w:r>
        <w:rPr>
          <w:rFonts w:hint="eastAsia" w:ascii="宋体" w:hAnsi="宋体" w:eastAsia="宋体"/>
          <w:color w:val="auto"/>
          <w:szCs w:val="21"/>
          <w:highlight w:val="none"/>
        </w:rPr>
        <w:t>日期：</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w:t>
      </w:r>
      <w:r>
        <w:rPr>
          <w:rFonts w:hint="eastAsia" w:ascii="宋体" w:hAnsi="宋体" w:eastAsia="宋体"/>
          <w:color w:val="auto"/>
          <w:szCs w:val="21"/>
          <w:highlight w:val="none"/>
        </w:rPr>
        <w:t>日</w:t>
      </w:r>
    </w:p>
    <w:p w14:paraId="7B6B86AF">
      <w:pPr>
        <w:spacing w:line="360" w:lineRule="auto"/>
        <w:ind w:firstLine="420" w:firstLineChars="200"/>
        <w:jc w:val="right"/>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4FD895A0">
      <w:pPr>
        <w:spacing w:line="360" w:lineRule="auto"/>
        <w:ind w:firstLine="420" w:firstLineChars="200"/>
        <w:rPr>
          <w:rFonts w:ascii="宋体" w:hAnsi="宋体" w:eastAsia="宋体"/>
          <w:color w:val="auto"/>
          <w:szCs w:val="21"/>
          <w:highlight w:val="none"/>
        </w:rPr>
      </w:pPr>
    </w:p>
    <w:p w14:paraId="5D5289CF">
      <w:pPr>
        <w:spacing w:line="360" w:lineRule="auto"/>
        <w:ind w:firstLine="420" w:firstLineChars="200"/>
        <w:rPr>
          <w:rFonts w:ascii="宋体" w:hAnsi="宋体" w:eastAsia="宋体"/>
          <w:color w:val="auto"/>
          <w:szCs w:val="21"/>
          <w:highlight w:val="none"/>
        </w:rPr>
      </w:pPr>
    </w:p>
    <w:p w14:paraId="197AC209">
      <w:pPr>
        <w:spacing w:line="360" w:lineRule="auto"/>
        <w:ind w:firstLine="420" w:firstLineChars="200"/>
        <w:rPr>
          <w:rFonts w:ascii="宋体" w:hAnsi="宋体" w:eastAsia="宋体"/>
          <w:color w:val="auto"/>
          <w:szCs w:val="21"/>
          <w:highlight w:val="none"/>
        </w:rPr>
      </w:pPr>
    </w:p>
    <w:p w14:paraId="7D93556D">
      <w:pPr>
        <w:spacing w:line="360" w:lineRule="auto"/>
        <w:ind w:firstLine="420" w:firstLineChars="200"/>
        <w:rPr>
          <w:rFonts w:ascii="宋体" w:hAnsi="宋体" w:eastAsia="宋体"/>
          <w:color w:val="auto"/>
          <w:szCs w:val="21"/>
          <w:highlight w:val="none"/>
        </w:rPr>
      </w:pPr>
    </w:p>
    <w:p w14:paraId="3790390D">
      <w:pPr>
        <w:spacing w:line="360" w:lineRule="auto"/>
        <w:ind w:firstLine="420" w:firstLineChars="200"/>
        <w:rPr>
          <w:rFonts w:ascii="宋体" w:hAnsi="宋体" w:eastAsia="宋体"/>
          <w:color w:val="auto"/>
          <w:szCs w:val="21"/>
          <w:highlight w:val="none"/>
        </w:rPr>
      </w:pPr>
    </w:p>
    <w:p w14:paraId="1EF1F6ED">
      <w:pPr>
        <w:spacing w:line="360" w:lineRule="auto"/>
        <w:ind w:firstLine="420" w:firstLineChars="200"/>
        <w:rPr>
          <w:rFonts w:ascii="宋体" w:hAnsi="宋体" w:eastAsia="宋体"/>
          <w:color w:val="auto"/>
          <w:szCs w:val="21"/>
          <w:highlight w:val="none"/>
        </w:rPr>
      </w:pPr>
    </w:p>
    <w:p w14:paraId="4E18B5DF">
      <w:pPr>
        <w:spacing w:line="360" w:lineRule="auto"/>
        <w:ind w:firstLine="420" w:firstLineChars="200"/>
        <w:rPr>
          <w:rFonts w:ascii="宋体" w:hAnsi="宋体" w:eastAsia="宋体"/>
          <w:color w:val="auto"/>
          <w:szCs w:val="21"/>
          <w:highlight w:val="none"/>
        </w:rPr>
      </w:pPr>
    </w:p>
    <w:p w14:paraId="1180AEA5">
      <w:pPr>
        <w:spacing w:line="360" w:lineRule="auto"/>
        <w:ind w:firstLine="420" w:firstLineChars="200"/>
        <w:rPr>
          <w:rFonts w:ascii="宋体" w:hAnsi="宋体" w:eastAsia="宋体"/>
          <w:color w:val="auto"/>
          <w:szCs w:val="21"/>
          <w:highlight w:val="none"/>
        </w:rPr>
      </w:pPr>
    </w:p>
    <w:p w14:paraId="70D1D063">
      <w:pPr>
        <w:spacing w:line="360" w:lineRule="auto"/>
        <w:ind w:firstLine="420" w:firstLineChars="200"/>
        <w:rPr>
          <w:rFonts w:ascii="宋体" w:hAnsi="宋体" w:eastAsia="宋体"/>
          <w:color w:val="auto"/>
          <w:szCs w:val="21"/>
          <w:highlight w:val="none"/>
        </w:rPr>
      </w:pPr>
    </w:p>
    <w:p w14:paraId="4FFD8E2E">
      <w:pPr>
        <w:pStyle w:val="2"/>
        <w:jc w:val="center"/>
        <w:rPr>
          <w:color w:val="auto"/>
          <w:highlight w:val="none"/>
        </w:rPr>
      </w:pPr>
      <w:bookmarkStart w:id="27" w:name="_Toc217642150"/>
      <w:bookmarkStart w:id="28" w:name="_Toc16714"/>
      <w:r>
        <w:rPr>
          <w:rFonts w:hint="eastAsia"/>
          <w:color w:val="auto"/>
          <w:highlight w:val="none"/>
        </w:rPr>
        <w:t>第六</w:t>
      </w:r>
      <w:r>
        <w:rPr>
          <w:rFonts w:hint="eastAsia" w:ascii="宋体" w:hAnsi="宋体" w:eastAsia="宋体"/>
          <w:color w:val="auto"/>
          <w:spacing w:val="120"/>
          <w:highlight w:val="none"/>
        </w:rPr>
        <w:t>章</w:t>
      </w:r>
      <w:r>
        <w:rPr>
          <w:rFonts w:hint="eastAsia"/>
          <w:color w:val="auto"/>
          <w:highlight w:val="none"/>
        </w:rPr>
        <w:t>合同文本</w:t>
      </w:r>
      <w:bookmarkEnd w:id="27"/>
      <w:bookmarkEnd w:id="28"/>
    </w:p>
    <w:p w14:paraId="480FCAA8">
      <w:pPr>
        <w:rPr>
          <w:color w:val="auto"/>
          <w:highlight w:val="none"/>
        </w:rPr>
        <w:sectPr>
          <w:pgSz w:w="11906" w:h="16838"/>
          <w:pgMar w:top="1134" w:right="1134" w:bottom="1134" w:left="1134" w:header="851" w:footer="680" w:gutter="0"/>
          <w:cols w:space="425" w:num="1"/>
          <w:docGrid w:type="lines" w:linePitch="312" w:charSpace="0"/>
        </w:sectPr>
      </w:pPr>
    </w:p>
    <w:p w14:paraId="76D85C70">
      <w:pPr>
        <w:spacing w:line="360" w:lineRule="auto"/>
        <w:ind w:firstLine="420" w:firstLineChars="200"/>
        <w:rPr>
          <w:rFonts w:ascii="宋体" w:hAnsi="宋体" w:eastAsia="宋体"/>
          <w:color w:val="auto"/>
          <w:szCs w:val="21"/>
          <w:highlight w:val="none"/>
        </w:rPr>
      </w:pPr>
    </w:p>
    <w:p w14:paraId="43EB9BC5">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“政采云”平台合同编号：</w:t>
      </w:r>
    </w:p>
    <w:p w14:paraId="7DBF6F9C">
      <w:pPr>
        <w:spacing w:line="360" w:lineRule="auto"/>
        <w:jc w:val="center"/>
        <w:rPr>
          <w:rFonts w:ascii="宋体" w:hAnsi="宋体" w:eastAsia="宋体"/>
          <w:b/>
          <w:color w:val="auto"/>
          <w:sz w:val="52"/>
          <w:szCs w:val="52"/>
          <w:highlight w:val="none"/>
        </w:rPr>
      </w:pPr>
    </w:p>
    <w:p w14:paraId="1F236092">
      <w:pPr>
        <w:spacing w:line="360" w:lineRule="auto"/>
        <w:jc w:val="center"/>
        <w:rPr>
          <w:rFonts w:ascii="宋体" w:hAnsi="宋体" w:eastAsia="宋体"/>
          <w:b/>
          <w:color w:val="auto"/>
          <w:sz w:val="52"/>
          <w:szCs w:val="52"/>
          <w:highlight w:val="none"/>
        </w:rPr>
      </w:pPr>
    </w:p>
    <w:p w14:paraId="370AC365">
      <w:pPr>
        <w:spacing w:line="360" w:lineRule="auto"/>
        <w:jc w:val="center"/>
        <w:rPr>
          <w:rFonts w:ascii="宋体" w:hAnsi="宋体" w:eastAsia="宋体"/>
          <w:b/>
          <w:color w:val="auto"/>
          <w:sz w:val="52"/>
          <w:szCs w:val="52"/>
          <w:highlight w:val="none"/>
        </w:rPr>
      </w:pPr>
      <w:r>
        <w:rPr>
          <w:rFonts w:hint="eastAsia" w:ascii="宋体" w:hAnsi="宋体" w:eastAsia="宋体"/>
          <w:b/>
          <w:color w:val="auto"/>
          <w:sz w:val="52"/>
          <w:szCs w:val="52"/>
          <w:highlight w:val="none"/>
        </w:rPr>
        <w:t>南宁市政府采购</w:t>
      </w:r>
    </w:p>
    <w:p w14:paraId="18099BFA">
      <w:pPr>
        <w:spacing w:line="360" w:lineRule="auto"/>
        <w:ind w:firstLine="422" w:firstLineChars="200"/>
        <w:rPr>
          <w:rFonts w:ascii="宋体" w:hAnsi="宋体" w:eastAsia="宋体"/>
          <w:b/>
          <w:color w:val="auto"/>
          <w:szCs w:val="21"/>
          <w:highlight w:val="none"/>
        </w:rPr>
      </w:pPr>
    </w:p>
    <w:p w14:paraId="3ECD1406">
      <w:pPr>
        <w:spacing w:line="360" w:lineRule="auto"/>
        <w:ind w:firstLine="422" w:firstLineChars="200"/>
        <w:rPr>
          <w:rFonts w:ascii="宋体" w:hAnsi="宋体" w:eastAsia="宋体"/>
          <w:b/>
          <w:color w:val="auto"/>
          <w:szCs w:val="21"/>
          <w:highlight w:val="none"/>
        </w:rPr>
      </w:pPr>
    </w:p>
    <w:p w14:paraId="42C273E6">
      <w:pPr>
        <w:spacing w:line="360" w:lineRule="auto"/>
        <w:jc w:val="center"/>
        <w:rPr>
          <w:rFonts w:ascii="宋体" w:hAnsi="宋体" w:eastAsia="宋体"/>
          <w:b/>
          <w:color w:val="auto"/>
          <w:sz w:val="44"/>
          <w:szCs w:val="44"/>
          <w:highlight w:val="none"/>
        </w:rPr>
      </w:pPr>
      <w:r>
        <w:rPr>
          <w:rFonts w:hint="eastAsia" w:ascii="宋体" w:hAnsi="宋体" w:eastAsia="宋体"/>
          <w:b/>
          <w:color w:val="auto"/>
          <w:sz w:val="44"/>
          <w:szCs w:val="44"/>
          <w:highlight w:val="none"/>
          <w:u w:val="single"/>
        </w:rPr>
        <w:t>[项目采购-项目名称_]</w:t>
      </w:r>
      <w:r>
        <w:rPr>
          <w:rFonts w:hint="eastAsia" w:ascii="宋体" w:hAnsi="宋体" w:eastAsia="宋体"/>
          <w:b/>
          <w:color w:val="auto"/>
          <w:sz w:val="44"/>
          <w:szCs w:val="44"/>
          <w:highlight w:val="none"/>
        </w:rPr>
        <w:t>合同</w:t>
      </w:r>
    </w:p>
    <w:p w14:paraId="7D78DBD0">
      <w:pPr>
        <w:spacing w:line="360" w:lineRule="auto"/>
        <w:jc w:val="center"/>
        <w:rPr>
          <w:rFonts w:ascii="宋体" w:hAnsi="宋体" w:eastAsia="宋体"/>
          <w:b/>
          <w:color w:val="auto"/>
          <w:sz w:val="44"/>
          <w:szCs w:val="44"/>
          <w:highlight w:val="none"/>
          <w:u w:val="single"/>
        </w:rPr>
      </w:pPr>
    </w:p>
    <w:p w14:paraId="21A657DF">
      <w:pPr>
        <w:spacing w:line="360" w:lineRule="auto"/>
        <w:jc w:val="center"/>
        <w:rPr>
          <w:rFonts w:ascii="宋体" w:hAnsi="宋体" w:eastAsia="宋体"/>
          <w:b/>
          <w:color w:val="auto"/>
          <w:sz w:val="44"/>
          <w:szCs w:val="44"/>
          <w:highlight w:val="none"/>
          <w:u w:val="single"/>
        </w:rPr>
      </w:pPr>
    </w:p>
    <w:p w14:paraId="4222E1AC">
      <w:pPr>
        <w:spacing w:line="360" w:lineRule="auto"/>
        <w:jc w:val="center"/>
        <w:rPr>
          <w:rFonts w:ascii="宋体" w:hAnsi="宋体" w:eastAsia="宋体"/>
          <w:b/>
          <w:color w:val="auto"/>
          <w:sz w:val="44"/>
          <w:szCs w:val="44"/>
          <w:highlight w:val="none"/>
          <w:u w:val="single"/>
        </w:rPr>
      </w:pPr>
    </w:p>
    <w:p w14:paraId="721E8F5B">
      <w:pPr>
        <w:spacing w:line="360" w:lineRule="auto"/>
        <w:jc w:val="center"/>
        <w:rPr>
          <w:rFonts w:ascii="宋体" w:hAnsi="宋体" w:eastAsia="宋体"/>
          <w:b/>
          <w:color w:val="auto"/>
          <w:sz w:val="44"/>
          <w:szCs w:val="44"/>
          <w:highlight w:val="none"/>
          <w:u w:val="single"/>
        </w:rPr>
      </w:pPr>
    </w:p>
    <w:p w14:paraId="4BE62D18">
      <w:pPr>
        <w:spacing w:line="360" w:lineRule="auto"/>
        <w:ind w:firstLine="723" w:firstLineChars="200"/>
        <w:rPr>
          <w:rFonts w:ascii="宋体" w:hAnsi="宋体" w:eastAsia="宋体"/>
          <w:b/>
          <w:color w:val="auto"/>
          <w:sz w:val="36"/>
          <w:szCs w:val="36"/>
          <w:highlight w:val="none"/>
          <w:u w:val="single"/>
        </w:rPr>
      </w:pPr>
      <w:r>
        <w:rPr>
          <w:rFonts w:hint="eastAsia" w:ascii="宋体" w:hAnsi="宋体" w:eastAsia="宋体"/>
          <w:b/>
          <w:color w:val="auto"/>
          <w:sz w:val="36"/>
          <w:szCs w:val="36"/>
          <w:highlight w:val="none"/>
        </w:rPr>
        <w:t>项目编号：</w:t>
      </w:r>
      <w:r>
        <w:rPr>
          <w:rFonts w:hint="eastAsia" w:ascii="宋体" w:hAnsi="宋体" w:eastAsia="宋体"/>
          <w:b/>
          <w:color w:val="auto"/>
          <w:sz w:val="36"/>
          <w:szCs w:val="36"/>
          <w:highlight w:val="none"/>
          <w:u w:val="single"/>
        </w:rPr>
        <w:t>[项目采购-项目编号_]</w:t>
      </w:r>
    </w:p>
    <w:p w14:paraId="595C43DF">
      <w:pPr>
        <w:spacing w:line="360" w:lineRule="auto"/>
        <w:ind w:firstLine="723" w:firstLineChars="200"/>
        <w:rPr>
          <w:rFonts w:ascii="宋体" w:hAnsi="宋体" w:eastAsia="宋体"/>
          <w:b/>
          <w:color w:val="auto"/>
          <w:sz w:val="36"/>
          <w:szCs w:val="36"/>
          <w:highlight w:val="none"/>
          <w:u w:val="single"/>
        </w:rPr>
      </w:pPr>
      <w:r>
        <w:rPr>
          <w:rFonts w:hint="eastAsia" w:ascii="宋体" w:hAnsi="宋体" w:eastAsia="宋体"/>
          <w:b/>
          <w:color w:val="auto"/>
          <w:sz w:val="36"/>
          <w:szCs w:val="36"/>
          <w:highlight w:val="none"/>
        </w:rPr>
        <w:t>计划编号：</w:t>
      </w:r>
      <w:r>
        <w:rPr>
          <w:rFonts w:hint="eastAsia" w:ascii="宋体" w:hAnsi="宋体" w:eastAsia="宋体"/>
          <w:b/>
          <w:color w:val="auto"/>
          <w:sz w:val="36"/>
          <w:szCs w:val="36"/>
          <w:highlight w:val="none"/>
          <w:u w:val="single"/>
        </w:rPr>
        <w:t>[采购计划文号]</w:t>
      </w:r>
    </w:p>
    <w:p w14:paraId="2E292985">
      <w:pPr>
        <w:spacing w:line="360" w:lineRule="auto"/>
        <w:ind w:firstLine="723" w:firstLineChars="200"/>
        <w:rPr>
          <w:rFonts w:ascii="宋体" w:hAnsi="宋体" w:eastAsia="宋体"/>
          <w:b/>
          <w:color w:val="auto"/>
          <w:sz w:val="36"/>
          <w:szCs w:val="36"/>
          <w:highlight w:val="none"/>
        </w:rPr>
      </w:pPr>
    </w:p>
    <w:p w14:paraId="2404AB9A">
      <w:pPr>
        <w:spacing w:line="360" w:lineRule="auto"/>
        <w:ind w:firstLine="723" w:firstLineChars="200"/>
        <w:rPr>
          <w:rFonts w:ascii="宋体" w:hAnsi="宋体" w:eastAsia="宋体"/>
          <w:b/>
          <w:color w:val="auto"/>
          <w:sz w:val="36"/>
          <w:szCs w:val="36"/>
          <w:highlight w:val="none"/>
          <w:u w:val="single"/>
        </w:rPr>
      </w:pPr>
      <w:r>
        <w:rPr>
          <w:rFonts w:hint="eastAsia" w:ascii="宋体" w:hAnsi="宋体" w:eastAsia="宋体"/>
          <w:b/>
          <w:color w:val="auto"/>
          <w:sz w:val="36"/>
          <w:szCs w:val="36"/>
          <w:highlight w:val="none"/>
        </w:rPr>
        <w:t>采购人：</w:t>
      </w:r>
      <w:r>
        <w:rPr>
          <w:rFonts w:hint="eastAsia" w:ascii="宋体" w:hAnsi="宋体" w:eastAsia="宋体"/>
          <w:b/>
          <w:color w:val="auto"/>
          <w:sz w:val="36"/>
          <w:szCs w:val="36"/>
          <w:highlight w:val="none"/>
          <w:u w:val="single"/>
        </w:rPr>
        <w:t>[项目采购-采购人_]</w:t>
      </w:r>
    </w:p>
    <w:p w14:paraId="72BF8957">
      <w:pPr>
        <w:spacing w:line="360" w:lineRule="auto"/>
        <w:ind w:firstLine="723" w:firstLineChars="200"/>
        <w:rPr>
          <w:rFonts w:ascii="宋体" w:hAnsi="宋体" w:eastAsia="宋体"/>
          <w:b/>
          <w:color w:val="auto"/>
          <w:sz w:val="36"/>
          <w:szCs w:val="36"/>
          <w:highlight w:val="none"/>
        </w:rPr>
      </w:pPr>
      <w:r>
        <w:rPr>
          <w:rFonts w:hint="eastAsia" w:ascii="宋体" w:hAnsi="宋体" w:eastAsia="宋体"/>
          <w:b/>
          <w:color w:val="auto"/>
          <w:sz w:val="36"/>
          <w:szCs w:val="36"/>
          <w:highlight w:val="none"/>
        </w:rPr>
        <w:t>中标供应商：</w:t>
      </w:r>
      <w:r>
        <w:rPr>
          <w:rFonts w:hint="eastAsia" w:ascii="宋体" w:hAnsi="宋体" w:eastAsia="宋体"/>
          <w:color w:val="auto"/>
          <w:szCs w:val="21"/>
          <w:highlight w:val="none"/>
        </w:rPr>
        <w:t>___________________________</w:t>
      </w:r>
    </w:p>
    <w:p w14:paraId="7068D54E">
      <w:pPr>
        <w:spacing w:line="360" w:lineRule="auto"/>
        <w:ind w:firstLine="420" w:firstLineChars="200"/>
        <w:rPr>
          <w:rFonts w:ascii="宋体" w:hAnsi="宋体" w:eastAsia="宋体"/>
          <w:color w:val="auto"/>
          <w:szCs w:val="21"/>
          <w:highlight w:val="none"/>
        </w:rPr>
      </w:pPr>
    </w:p>
    <w:p w14:paraId="10AE01B7">
      <w:pPr>
        <w:spacing w:line="360" w:lineRule="auto"/>
        <w:ind w:firstLine="420" w:firstLineChars="200"/>
        <w:rPr>
          <w:rFonts w:ascii="宋体" w:hAnsi="宋体" w:eastAsia="宋体"/>
          <w:color w:val="auto"/>
          <w:szCs w:val="21"/>
          <w:highlight w:val="none"/>
        </w:rPr>
      </w:pPr>
    </w:p>
    <w:p w14:paraId="1C002D07">
      <w:pPr>
        <w:spacing w:line="360" w:lineRule="auto"/>
        <w:ind w:firstLine="420" w:firstLineChars="200"/>
        <w:rPr>
          <w:rFonts w:ascii="宋体" w:hAnsi="宋体" w:eastAsia="宋体"/>
          <w:color w:val="auto"/>
          <w:szCs w:val="21"/>
          <w:highlight w:val="none"/>
        </w:rPr>
      </w:pPr>
    </w:p>
    <w:p w14:paraId="330235EF">
      <w:pPr>
        <w:spacing w:line="360" w:lineRule="auto"/>
        <w:jc w:val="center"/>
        <w:rPr>
          <w:rFonts w:ascii="宋体" w:hAnsi="宋体" w:eastAsia="宋体"/>
          <w:color w:val="auto"/>
          <w:sz w:val="24"/>
          <w:szCs w:val="24"/>
          <w:highlight w:val="none"/>
        </w:rPr>
        <w:sectPr>
          <w:pgSz w:w="11906" w:h="16838"/>
          <w:pgMar w:top="1134" w:right="1134" w:bottom="1134" w:left="1134" w:header="851" w:footer="680" w:gutter="0"/>
          <w:cols w:space="425" w:num="1"/>
          <w:docGrid w:type="lines" w:linePitch="312" w:charSpace="0"/>
        </w:sectPr>
      </w:pPr>
      <w:r>
        <w:rPr>
          <w:rFonts w:hint="eastAsia" w:ascii="宋体" w:hAnsi="宋体" w:eastAsia="宋体"/>
          <w:color w:val="auto"/>
          <w:sz w:val="24"/>
          <w:szCs w:val="24"/>
          <w:highlight w:val="none"/>
        </w:rPr>
        <w:t>签订日期：</w:t>
      </w:r>
      <w:r>
        <w:rPr>
          <w:rFonts w:hint="eastAsia" w:ascii="宋体" w:hAnsi="宋体" w:eastAsia="宋体"/>
          <w:color w:val="auto"/>
          <w:szCs w:val="21"/>
          <w:highlight w:val="none"/>
        </w:rPr>
        <w:t>___</w:t>
      </w:r>
      <w:r>
        <w:rPr>
          <w:rFonts w:hint="eastAsia" w:ascii="宋体" w:hAnsi="宋体" w:eastAsia="宋体"/>
          <w:color w:val="auto"/>
          <w:sz w:val="24"/>
          <w:szCs w:val="24"/>
          <w:highlight w:val="none"/>
        </w:rPr>
        <w:t>年</w:t>
      </w:r>
      <w:r>
        <w:rPr>
          <w:rFonts w:hint="eastAsia" w:ascii="宋体" w:hAnsi="宋体" w:eastAsia="宋体"/>
          <w:color w:val="auto"/>
          <w:szCs w:val="21"/>
          <w:highlight w:val="none"/>
        </w:rPr>
        <w:t>___</w:t>
      </w:r>
      <w:r>
        <w:rPr>
          <w:rFonts w:hint="eastAsia" w:ascii="宋体" w:hAnsi="宋体" w:eastAsia="宋体"/>
          <w:color w:val="auto"/>
          <w:sz w:val="24"/>
          <w:szCs w:val="24"/>
          <w:highlight w:val="none"/>
        </w:rPr>
        <w:t>月</w:t>
      </w:r>
      <w:r>
        <w:rPr>
          <w:rFonts w:hint="eastAsia" w:ascii="宋体" w:hAnsi="宋体" w:eastAsia="宋体"/>
          <w:color w:val="auto"/>
          <w:szCs w:val="21"/>
          <w:highlight w:val="none"/>
        </w:rPr>
        <w:t>___</w:t>
      </w:r>
      <w:r>
        <w:rPr>
          <w:rFonts w:hint="eastAsia" w:ascii="宋体" w:hAnsi="宋体" w:eastAsia="宋体"/>
          <w:color w:val="auto"/>
          <w:sz w:val="24"/>
          <w:szCs w:val="24"/>
          <w:highlight w:val="none"/>
        </w:rPr>
        <w:t>日</w:t>
      </w:r>
    </w:p>
    <w:p w14:paraId="12B2A5FB">
      <w:pPr>
        <w:pStyle w:val="2"/>
        <w:jc w:val="center"/>
        <w:rPr>
          <w:rFonts w:ascii="黑体" w:hAnsi="黑体"/>
          <w:color w:val="auto"/>
          <w:highlight w:val="none"/>
        </w:rPr>
      </w:pPr>
      <w:bookmarkStart w:id="29" w:name="_Toc217642151"/>
      <w:bookmarkStart w:id="30" w:name="_Toc32053"/>
      <w:bookmarkStart w:id="31" w:name="EBf5d8882b67eb450294403d6d9eac2034"/>
      <w:r>
        <w:rPr>
          <w:rFonts w:hint="eastAsia" w:ascii="黑体" w:hAnsi="黑体"/>
          <w:color w:val="auto"/>
          <w:highlight w:val="none"/>
        </w:rPr>
        <w:t xml:space="preserve">第一部分 </w:t>
      </w:r>
      <w:r>
        <w:rPr>
          <w:rFonts w:ascii="黑体" w:hAnsi="黑体"/>
          <w:color w:val="auto"/>
          <w:highlight w:val="none"/>
        </w:rPr>
        <w:t xml:space="preserve"> </w:t>
      </w:r>
      <w:r>
        <w:rPr>
          <w:rFonts w:hint="eastAsia" w:ascii="黑体" w:hAnsi="黑体"/>
          <w:color w:val="auto"/>
          <w:highlight w:val="none"/>
        </w:rPr>
        <w:t>合同协议书</w:t>
      </w:r>
      <w:bookmarkEnd w:id="29"/>
      <w:bookmarkEnd w:id="30"/>
    </w:p>
    <w:p w14:paraId="3DCB4AF4">
      <w:pPr>
        <w:rPr>
          <w:color w:val="auto"/>
          <w:highlight w:val="none"/>
        </w:rPr>
      </w:pPr>
    </w:p>
    <w:p w14:paraId="6F4C148D">
      <w:pPr>
        <w:pStyle w:val="165"/>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发包人（全称）：</w:t>
      </w:r>
      <w:r>
        <w:rPr>
          <w:rFonts w:hint="eastAsia" w:ascii="宋体" w:hAnsi="宋体"/>
          <w:color w:val="auto"/>
          <w:szCs w:val="21"/>
          <w:highlight w:val="none"/>
          <w:u w:val="single"/>
          <w:lang w:eastAsia="zh-CN"/>
        </w:rPr>
        <w:t>南宁市南湖公园</w:t>
      </w:r>
    </w:p>
    <w:p w14:paraId="7A47731A">
      <w:pPr>
        <w:pStyle w:val="165"/>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承包人（全称）：________________</w:t>
      </w:r>
    </w:p>
    <w:p w14:paraId="70EAA71F">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根据《中华人民共和国民法典》《中华人民共和国建筑法》及有关法律规定，遵循平等、自愿、公平和诚实信用的原则，双方就</w:t>
      </w:r>
      <w:r>
        <w:rPr>
          <w:rFonts w:hint="eastAsia" w:ascii="宋体" w:hAnsi="宋体"/>
          <w:color w:val="auto"/>
          <w:szCs w:val="21"/>
          <w:highlight w:val="none"/>
          <w:u w:val="single"/>
          <w:lang w:eastAsia="zh-CN"/>
        </w:rPr>
        <w:t>2026年南湖公园维修改造项目</w:t>
      </w:r>
      <w:r>
        <w:rPr>
          <w:rFonts w:hint="eastAsia" w:ascii="宋体" w:hAnsi="宋体"/>
          <w:color w:val="auto"/>
          <w:szCs w:val="21"/>
          <w:highlight w:val="none"/>
        </w:rPr>
        <w:t>工程施工及有关事项协商一致，共同达成如下协议：</w:t>
      </w:r>
    </w:p>
    <w:p w14:paraId="3280C435">
      <w:pPr>
        <w:pStyle w:val="1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一、工程概况</w:t>
      </w:r>
    </w:p>
    <w:p w14:paraId="64E3A106">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1.工程名称：</w:t>
      </w:r>
      <w:r>
        <w:rPr>
          <w:rFonts w:hint="eastAsia" w:ascii="宋体" w:hAnsi="宋体"/>
          <w:color w:val="auto"/>
          <w:szCs w:val="21"/>
          <w:highlight w:val="none"/>
          <w:u w:val="single"/>
          <w:lang w:eastAsia="zh-CN"/>
        </w:rPr>
        <w:t>2026年南湖公园维修改造项目</w:t>
      </w:r>
      <w:r>
        <w:rPr>
          <w:rFonts w:hint="eastAsia" w:ascii="宋体" w:hAnsi="宋体"/>
          <w:color w:val="auto"/>
          <w:szCs w:val="21"/>
          <w:highlight w:val="none"/>
        </w:rPr>
        <w:t>。</w:t>
      </w:r>
    </w:p>
    <w:p w14:paraId="009F79BD">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2.工程地点：</w:t>
      </w:r>
      <w:r>
        <w:rPr>
          <w:rFonts w:hint="eastAsia" w:ascii="宋体" w:hAnsi="宋体"/>
          <w:color w:val="auto"/>
          <w:szCs w:val="21"/>
          <w:highlight w:val="none"/>
          <w:u w:val="single"/>
        </w:rPr>
        <w:t>南宁市</w:t>
      </w:r>
      <w:r>
        <w:rPr>
          <w:rFonts w:hint="eastAsia" w:ascii="宋体" w:hAnsi="宋体"/>
          <w:color w:val="auto"/>
          <w:szCs w:val="21"/>
          <w:highlight w:val="none"/>
          <w:u w:val="single"/>
          <w:lang w:eastAsia="zh-CN"/>
        </w:rPr>
        <w:t>南湖公园内</w:t>
      </w:r>
      <w:r>
        <w:rPr>
          <w:rFonts w:hint="eastAsia" w:ascii="宋体" w:hAnsi="宋体"/>
          <w:color w:val="auto"/>
          <w:szCs w:val="21"/>
          <w:highlight w:val="none"/>
        </w:rPr>
        <w:t>。</w:t>
      </w:r>
    </w:p>
    <w:p w14:paraId="33D6A0EE">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3.工程立项批准文号：</w:t>
      </w:r>
      <w:r>
        <w:rPr>
          <w:rFonts w:ascii="宋体" w:hAnsi="宋体"/>
          <w:color w:val="auto"/>
          <w:szCs w:val="21"/>
          <w:highlight w:val="none"/>
          <w:u w:val="single"/>
        </w:rPr>
        <w:t>/</w:t>
      </w:r>
      <w:r>
        <w:rPr>
          <w:rFonts w:hint="eastAsia" w:ascii="宋体" w:hAnsi="宋体"/>
          <w:color w:val="auto"/>
          <w:szCs w:val="21"/>
          <w:highlight w:val="none"/>
        </w:rPr>
        <w:t>。</w:t>
      </w:r>
    </w:p>
    <w:p w14:paraId="4E8FCEB5">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4.资金来源：</w:t>
      </w:r>
      <w:r>
        <w:rPr>
          <w:rFonts w:hint="eastAsia" w:ascii="宋体" w:hAnsi="宋体"/>
          <w:color w:val="auto"/>
          <w:szCs w:val="21"/>
          <w:highlight w:val="none"/>
          <w:u w:val="single"/>
        </w:rPr>
        <w:t>财政资金</w:t>
      </w:r>
      <w:r>
        <w:rPr>
          <w:rFonts w:hint="eastAsia" w:ascii="宋体" w:hAnsi="宋体"/>
          <w:color w:val="auto"/>
          <w:szCs w:val="21"/>
          <w:highlight w:val="none"/>
        </w:rPr>
        <w:t>。</w:t>
      </w:r>
    </w:p>
    <w:p w14:paraId="3775D83F">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5.工程内容：</w:t>
      </w:r>
      <w:r>
        <w:rPr>
          <w:rFonts w:hint="eastAsia" w:ascii="宋体" w:hAnsi="宋体"/>
          <w:color w:val="auto"/>
          <w:szCs w:val="21"/>
          <w:highlight w:val="none"/>
          <w:u w:val="single"/>
        </w:rPr>
        <w:t>本项目为</w:t>
      </w:r>
      <w:r>
        <w:rPr>
          <w:rFonts w:hint="eastAsia" w:ascii="宋体" w:hAnsi="宋体"/>
          <w:color w:val="auto"/>
          <w:szCs w:val="21"/>
          <w:highlight w:val="none"/>
          <w:u w:val="single"/>
          <w:lang w:eastAsia="zh-CN"/>
        </w:rPr>
        <w:t>2026年南湖公园维修改造项目</w:t>
      </w:r>
      <w:r>
        <w:rPr>
          <w:rFonts w:hint="eastAsia" w:ascii="宋体" w:hAnsi="宋体"/>
          <w:color w:val="auto"/>
          <w:szCs w:val="21"/>
          <w:highlight w:val="none"/>
          <w:u w:val="single"/>
        </w:rPr>
        <w:t>，对南湖公园破损环湖路面进行维修和更换名树博览园入口岗亭</w:t>
      </w:r>
      <w:r>
        <w:rPr>
          <w:rFonts w:hint="eastAsia" w:ascii="宋体" w:hAnsi="宋体"/>
          <w:color w:val="auto"/>
          <w:szCs w:val="21"/>
          <w:highlight w:val="none"/>
          <w:u w:val="single"/>
          <w:lang w:eastAsia="zh-CN"/>
        </w:rPr>
        <w:t>等</w:t>
      </w:r>
      <w:r>
        <w:rPr>
          <w:rFonts w:hint="eastAsia" w:ascii="宋体" w:hAnsi="宋体"/>
          <w:color w:val="auto"/>
          <w:szCs w:val="21"/>
          <w:highlight w:val="none"/>
          <w:u w:val="single"/>
        </w:rPr>
        <w:t>。具体施工内容详见图纸及工程量清单所包含的内容。</w:t>
      </w:r>
      <w:r>
        <w:rPr>
          <w:rFonts w:hint="eastAsia" w:ascii="宋体" w:hAnsi="宋体"/>
          <w:color w:val="auto"/>
          <w:szCs w:val="21"/>
          <w:highlight w:val="none"/>
        </w:rPr>
        <w:t>群体工程应附《承包人承揽工程项目一览表》（附件1）。</w:t>
      </w:r>
    </w:p>
    <w:p w14:paraId="07232A0C">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6.工程承包范围：</w:t>
      </w:r>
    </w:p>
    <w:p w14:paraId="2FD627DB">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2026年南湖公园维修改造项目</w:t>
      </w:r>
      <w:r>
        <w:rPr>
          <w:rFonts w:hint="eastAsia" w:ascii="宋体" w:hAnsi="宋体"/>
          <w:color w:val="auto"/>
          <w:szCs w:val="21"/>
          <w:highlight w:val="none"/>
          <w:u w:val="single"/>
        </w:rPr>
        <w:t>，包括本项目的施工设计图纸、工程量清单及招标控制价包含的全部内容</w:t>
      </w:r>
      <w:r>
        <w:rPr>
          <w:rFonts w:hint="eastAsia" w:ascii="宋体" w:hAnsi="宋体"/>
          <w:color w:val="auto"/>
          <w:szCs w:val="21"/>
          <w:highlight w:val="none"/>
        </w:rPr>
        <w:t>。</w:t>
      </w:r>
    </w:p>
    <w:p w14:paraId="42189EF9">
      <w:pPr>
        <w:pStyle w:val="1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二、合同工期</w:t>
      </w:r>
    </w:p>
    <w:p w14:paraId="70647E88">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计划开工日期：_______年_______月_______日。（具体以发包人或监理人签署的开工令为准）</w:t>
      </w:r>
    </w:p>
    <w:p w14:paraId="06D19147">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计划竣工日期：_______年_______月_______日。</w:t>
      </w:r>
    </w:p>
    <w:p w14:paraId="4DF1E7A0">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期总日历天数：_______天。工期总日历天数与根据前述计划开竣工日期计算的工期天数不一致的，以工期总日历天数为准。根据通用条款第13.2.3条规定，竣工日期是指工程经竣工验收合格的，以承包人提交竣工验收申请报告且经发包人签字确认之日为实际竣工日期，并在工程接收证书中载明。</w:t>
      </w:r>
    </w:p>
    <w:p w14:paraId="1CD7972A">
      <w:pPr>
        <w:pStyle w:val="1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三、质量标准</w:t>
      </w:r>
    </w:p>
    <w:p w14:paraId="7C6C2EB9">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工程质量符合</w:t>
      </w:r>
      <w:r>
        <w:rPr>
          <w:rFonts w:hint="eastAsia" w:ascii="宋体" w:hAnsi="宋体"/>
          <w:color w:val="auto"/>
          <w:szCs w:val="21"/>
          <w:highlight w:val="none"/>
          <w:u w:val="single"/>
        </w:rPr>
        <w:t>合格</w:t>
      </w:r>
      <w:r>
        <w:rPr>
          <w:rFonts w:hint="eastAsia" w:ascii="宋体" w:hAnsi="宋体"/>
          <w:color w:val="auto"/>
          <w:szCs w:val="21"/>
          <w:highlight w:val="none"/>
        </w:rPr>
        <w:t>标准。</w:t>
      </w:r>
    </w:p>
    <w:p w14:paraId="6A9AF475">
      <w:pPr>
        <w:pStyle w:val="1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四、签约合同价与合同价格形式</w:t>
      </w:r>
    </w:p>
    <w:p w14:paraId="639F25B7">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1.签约合同价为：</w:t>
      </w:r>
    </w:p>
    <w:p w14:paraId="30323B8A">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人民币（大写）_______（¥_______元）（含税价格）；不含税价格为（¥_______元），增值税（¥_______元）（按_______%税金计算，如有变动以国家相关政策法规为准）；</w:t>
      </w:r>
    </w:p>
    <w:p w14:paraId="3A6EDAF6">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其中：</w:t>
      </w:r>
    </w:p>
    <w:p w14:paraId="3A423C0C">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（1）安全文明施工费：</w:t>
      </w:r>
    </w:p>
    <w:p w14:paraId="206C9469">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人民币（大写）_______（¥_______元）；</w:t>
      </w:r>
    </w:p>
    <w:p w14:paraId="39B93B32">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（2）材料和工程设备暂估价金额：</w:t>
      </w:r>
    </w:p>
    <w:p w14:paraId="39566D8A">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人民币（大写）_______（¥_______元）；</w:t>
      </w:r>
    </w:p>
    <w:p w14:paraId="7F02A3F2">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（3）专业工程暂估价金额：</w:t>
      </w:r>
    </w:p>
    <w:p w14:paraId="5497E1F5">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人民币（大写）_______（¥_______元）；</w:t>
      </w:r>
    </w:p>
    <w:p w14:paraId="240A5E35">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（4）暂列金额：</w:t>
      </w:r>
    </w:p>
    <w:p w14:paraId="6C768CE1">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人民币（大写）_______（¥_______元）。</w:t>
      </w:r>
    </w:p>
    <w:p w14:paraId="716DCA2D">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2.合同价格形式：</w:t>
      </w:r>
      <w:r>
        <w:rPr>
          <w:rFonts w:hint="eastAsia" w:ascii="宋体" w:hAnsi="宋体"/>
          <w:color w:val="auto"/>
          <w:szCs w:val="21"/>
          <w:highlight w:val="none"/>
          <w:u w:val="single"/>
        </w:rPr>
        <w:t>固定综合单价</w:t>
      </w:r>
      <w:r>
        <w:rPr>
          <w:rFonts w:hint="eastAsia" w:ascii="宋体" w:hAnsi="宋体"/>
          <w:color w:val="auto"/>
          <w:szCs w:val="21"/>
          <w:highlight w:val="none"/>
        </w:rPr>
        <w:t>。</w:t>
      </w:r>
    </w:p>
    <w:p w14:paraId="7C380F90">
      <w:pPr>
        <w:pStyle w:val="1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五、项目经理</w:t>
      </w:r>
    </w:p>
    <w:p w14:paraId="6DBA9279">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承包人项目经理：_______。</w:t>
      </w:r>
    </w:p>
    <w:p w14:paraId="745C54F7">
      <w:pPr>
        <w:pStyle w:val="1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六、合同文件构成</w:t>
      </w:r>
    </w:p>
    <w:p w14:paraId="61F71841">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w:t>
      </w:r>
    </w:p>
    <w:p w14:paraId="0173BD97">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（1）成交通知书；</w:t>
      </w:r>
    </w:p>
    <w:p w14:paraId="312422C1">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（2）响应函、响应报价表、最终报价表；</w:t>
      </w:r>
    </w:p>
    <w:p w14:paraId="6516C632">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（3）专用合同条款及其附件；</w:t>
      </w:r>
    </w:p>
    <w:p w14:paraId="03897C4C">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（4）通用合同条款；</w:t>
      </w:r>
    </w:p>
    <w:p w14:paraId="6C2F1F57">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u w:val="single"/>
        </w:rPr>
        <w:t>技术标准和要求</w:t>
      </w:r>
      <w:r>
        <w:rPr>
          <w:rFonts w:hint="eastAsia" w:ascii="宋体" w:hAnsi="宋体"/>
          <w:color w:val="auto"/>
          <w:szCs w:val="21"/>
          <w:highlight w:val="none"/>
        </w:rPr>
        <w:t>；</w:t>
      </w:r>
    </w:p>
    <w:p w14:paraId="56DC47D5">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图纸</w:t>
      </w:r>
      <w:r>
        <w:rPr>
          <w:rFonts w:hint="eastAsia" w:ascii="宋体" w:hAnsi="宋体"/>
          <w:color w:val="auto"/>
          <w:szCs w:val="21"/>
          <w:highlight w:val="none"/>
        </w:rPr>
        <w:t>；</w:t>
      </w:r>
    </w:p>
    <w:p w14:paraId="4266C423">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u w:val="single"/>
        </w:rPr>
        <w:t>已标价工程量清单或预算书</w:t>
      </w:r>
      <w:r>
        <w:rPr>
          <w:rFonts w:hint="eastAsia" w:ascii="宋体" w:hAnsi="宋体"/>
          <w:color w:val="auto"/>
          <w:szCs w:val="21"/>
          <w:highlight w:val="none"/>
        </w:rPr>
        <w:t>；</w:t>
      </w:r>
    </w:p>
    <w:p w14:paraId="1AEE17B1">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（8）其他合同文件：</w:t>
      </w:r>
      <w:r>
        <w:rPr>
          <w:rFonts w:hint="eastAsia" w:ascii="宋体" w:hAnsi="宋体"/>
          <w:color w:val="auto"/>
          <w:szCs w:val="21"/>
          <w:highlight w:val="none"/>
          <w:u w:val="single"/>
        </w:rPr>
        <w:t>（1）本合同协议书；（2）成交通知书；（3）响应文件及其附件；（4）专用合同条款及其附件；（5）本通用合同条款；（6）技术标准和要求；（7）图纸会审记录、施工组织设计及施工方案、设计变更、发包人和监理工程师通知及指令、现场签证、工程技术联系单、发承包人确认的相关文件资料等有关工程洽商、变更等书面协议；（8）工程报告单及预算书；（9）招标文件及其附件。</w:t>
      </w:r>
    </w:p>
    <w:p w14:paraId="27F24392">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464B6BB3">
      <w:pPr>
        <w:pStyle w:val="1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七、承诺</w:t>
      </w:r>
    </w:p>
    <w:p w14:paraId="43963DCF">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1.发包人承诺按照法律规定履行项目审批手续、筹集工程建设资金并按照合同约定的期限和方式支付合同价款。</w:t>
      </w:r>
    </w:p>
    <w:p w14:paraId="67A015FB">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2.承包人承诺按照法律规定及合同约定组织完成工程施工，确保工程质量和安全，不进行转包及违法分包，并在缺陷责任期及保修期内承担相应的工程维修责任。</w:t>
      </w:r>
    </w:p>
    <w:p w14:paraId="6B4EB5E4">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3.发包人和承包人通过政府采购竞争性磋商采购形式签订合同的，双方理解并承诺不再就同一工程另行签订与合同实质性内容相背离的协议。</w:t>
      </w:r>
    </w:p>
    <w:p w14:paraId="73FAEF53">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14:paraId="33EAC732">
      <w:pPr>
        <w:pStyle w:val="1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八、词语含义</w:t>
      </w:r>
    </w:p>
    <w:p w14:paraId="21F361B6">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本协议书中词语含义与第二部分通用合同条款中赋予的含义相同。</w:t>
      </w:r>
    </w:p>
    <w:p w14:paraId="2AD8008F">
      <w:pPr>
        <w:pStyle w:val="1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九、签订时间</w:t>
      </w:r>
    </w:p>
    <w:p w14:paraId="3375A5FB">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本合同于</w:t>
      </w:r>
      <w:r>
        <w:rPr>
          <w:rFonts w:ascii="宋体" w:hAnsi="宋体"/>
          <w:b/>
          <w:color w:val="auto"/>
          <w:szCs w:val="21"/>
          <w:highlight w:val="none"/>
        </w:rPr>
        <w:t>______</w:t>
      </w:r>
      <w:r>
        <w:rPr>
          <w:rFonts w:hint="eastAsia" w:ascii="宋体" w:hAnsi="宋体"/>
          <w:color w:val="auto"/>
          <w:szCs w:val="21"/>
          <w:highlight w:val="none"/>
        </w:rPr>
        <w:t>年</w:t>
      </w:r>
      <w:r>
        <w:rPr>
          <w:rFonts w:ascii="宋体" w:hAnsi="宋体"/>
          <w:b/>
          <w:color w:val="auto"/>
          <w:szCs w:val="21"/>
          <w:highlight w:val="none"/>
        </w:rPr>
        <w:t>______</w:t>
      </w:r>
      <w:r>
        <w:rPr>
          <w:rFonts w:hint="eastAsia" w:ascii="宋体" w:hAnsi="宋体"/>
          <w:color w:val="auto"/>
          <w:szCs w:val="21"/>
          <w:highlight w:val="none"/>
        </w:rPr>
        <w:t>月</w:t>
      </w:r>
      <w:r>
        <w:rPr>
          <w:rFonts w:ascii="宋体" w:hAnsi="宋体"/>
          <w:b/>
          <w:color w:val="auto"/>
          <w:szCs w:val="21"/>
          <w:highlight w:val="none"/>
        </w:rPr>
        <w:t>______</w:t>
      </w:r>
      <w:r>
        <w:rPr>
          <w:rFonts w:hint="eastAsia" w:ascii="宋体" w:hAnsi="宋体"/>
          <w:color w:val="auto"/>
          <w:szCs w:val="21"/>
          <w:highlight w:val="none"/>
        </w:rPr>
        <w:t>日签订。</w:t>
      </w:r>
    </w:p>
    <w:p w14:paraId="5B17EB12">
      <w:pPr>
        <w:pStyle w:val="1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十、签订地点</w:t>
      </w:r>
    </w:p>
    <w:p w14:paraId="78AB6C5F">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本合同在</w:t>
      </w:r>
      <w:r>
        <w:rPr>
          <w:rFonts w:hint="eastAsia" w:ascii="宋体" w:hAnsi="宋体"/>
          <w:color w:val="auto"/>
          <w:szCs w:val="21"/>
          <w:highlight w:val="none"/>
          <w:u w:val="single"/>
        </w:rPr>
        <w:t>广西壮族自治区南宁市区</w:t>
      </w:r>
      <w:r>
        <w:rPr>
          <w:rFonts w:hint="eastAsia" w:ascii="宋体" w:hAnsi="宋体"/>
          <w:color w:val="auto"/>
          <w:szCs w:val="21"/>
          <w:highlight w:val="none"/>
        </w:rPr>
        <w:t>签订。</w:t>
      </w:r>
    </w:p>
    <w:p w14:paraId="132ED087">
      <w:pPr>
        <w:pStyle w:val="1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十一、补充协议</w:t>
      </w:r>
    </w:p>
    <w:p w14:paraId="2D384430">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合同未尽事宜，合同当事人另行签订补充协议，补充协议是合同的组成部分。</w:t>
      </w:r>
    </w:p>
    <w:p w14:paraId="5BAC282C">
      <w:pPr>
        <w:pStyle w:val="1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十二、合同生效</w:t>
      </w:r>
    </w:p>
    <w:p w14:paraId="022197D9">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双方法定代表人或授权委托代理人签章并加盖单位（公司）公章之日起</w:t>
      </w:r>
      <w:r>
        <w:rPr>
          <w:rFonts w:hint="eastAsia" w:ascii="宋体" w:hAnsi="宋体"/>
          <w:color w:val="auto"/>
          <w:szCs w:val="21"/>
          <w:highlight w:val="none"/>
        </w:rPr>
        <w:t>生效。</w:t>
      </w:r>
    </w:p>
    <w:p w14:paraId="2B0495D5">
      <w:pPr>
        <w:pStyle w:val="165"/>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十三、合同份数</w:t>
      </w:r>
    </w:p>
    <w:p w14:paraId="14B4700D">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lang w:eastAsia="zh-CN"/>
        </w:rPr>
        <w:t>五</w:t>
      </w:r>
      <w:r>
        <w:rPr>
          <w:rFonts w:hint="eastAsia" w:ascii="宋体" w:hAnsi="宋体"/>
          <w:color w:val="auto"/>
          <w:szCs w:val="21"/>
          <w:highlight w:val="none"/>
        </w:rPr>
        <w:t>份，均具有同等法律效力，发包人执</w:t>
      </w:r>
      <w:r>
        <w:rPr>
          <w:rFonts w:hint="eastAsia" w:ascii="宋体" w:hAnsi="宋体"/>
          <w:color w:val="auto"/>
          <w:szCs w:val="21"/>
          <w:highlight w:val="none"/>
          <w:u w:val="single"/>
          <w:lang w:eastAsia="zh-CN"/>
        </w:rPr>
        <w:t>三</w:t>
      </w:r>
      <w:r>
        <w:rPr>
          <w:rFonts w:hint="eastAsia" w:ascii="宋体" w:hAnsi="宋体"/>
          <w:color w:val="auto"/>
          <w:szCs w:val="21"/>
          <w:highlight w:val="none"/>
        </w:rPr>
        <w:t>份，承包人执</w:t>
      </w:r>
      <w:r>
        <w:rPr>
          <w:rFonts w:hint="eastAsia" w:ascii="宋体" w:hAnsi="宋体"/>
          <w:color w:val="auto"/>
          <w:szCs w:val="21"/>
          <w:highlight w:val="none"/>
          <w:u w:val="single"/>
          <w:lang w:eastAsia="zh-CN"/>
        </w:rPr>
        <w:t>二</w:t>
      </w:r>
      <w:r>
        <w:rPr>
          <w:rFonts w:hint="eastAsia" w:ascii="宋体" w:hAnsi="宋体"/>
          <w:color w:val="auto"/>
          <w:szCs w:val="21"/>
          <w:highlight w:val="none"/>
        </w:rPr>
        <w:t>份。</w:t>
      </w:r>
    </w:p>
    <w:p w14:paraId="1465CDFA">
      <w:pPr>
        <w:pStyle w:val="165"/>
        <w:spacing w:line="360" w:lineRule="auto"/>
        <w:ind w:firstLine="422" w:firstLineChars="200"/>
        <w:rPr>
          <w:rFonts w:ascii="宋体" w:hAnsi="宋体"/>
          <w:b/>
          <w:color w:val="auto"/>
          <w:szCs w:val="21"/>
          <w:highlight w:val="none"/>
        </w:rPr>
        <w:sectPr>
          <w:pgSz w:w="11906" w:h="16838"/>
          <w:pgMar w:top="1440" w:right="1134" w:bottom="1440" w:left="1418" w:header="851" w:footer="992" w:gutter="0"/>
          <w:cols w:space="425" w:num="1"/>
          <w:docGrid w:type="lines" w:linePitch="312" w:charSpace="0"/>
        </w:sectPr>
      </w:pPr>
    </w:p>
    <w:p w14:paraId="1E69290D">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（签章页，无正文）</w:t>
      </w:r>
    </w:p>
    <w:p w14:paraId="19EEF506">
      <w:pPr>
        <w:pStyle w:val="165"/>
        <w:spacing w:line="360" w:lineRule="auto"/>
        <w:rPr>
          <w:rFonts w:ascii="宋体" w:hAnsi="宋体"/>
          <w:color w:val="auto"/>
          <w:szCs w:val="21"/>
          <w:highlight w:val="none"/>
        </w:rPr>
      </w:pPr>
    </w:p>
    <w:tbl>
      <w:tblPr>
        <w:tblStyle w:val="38"/>
        <w:tblW w:w="0" w:type="auto"/>
        <w:jc w:val="center"/>
        <w:tblLayout w:type="autofit"/>
        <w:tblCellMar>
          <w:top w:w="0" w:type="dxa"/>
          <w:left w:w="108" w:type="dxa"/>
          <w:bottom w:w="0" w:type="dxa"/>
          <w:right w:w="108" w:type="dxa"/>
        </w:tblCellMar>
      </w:tblPr>
      <w:tblGrid>
        <w:gridCol w:w="4672"/>
        <w:gridCol w:w="4672"/>
      </w:tblGrid>
      <w:tr w14:paraId="5493440F">
        <w:tblPrEx>
          <w:tblCellMar>
            <w:top w:w="0" w:type="dxa"/>
            <w:left w:w="108" w:type="dxa"/>
            <w:bottom w:w="0" w:type="dxa"/>
            <w:right w:w="108" w:type="dxa"/>
          </w:tblCellMar>
        </w:tblPrEx>
        <w:trPr>
          <w:trHeight w:val="1021" w:hRule="atLeast"/>
          <w:jc w:val="center"/>
        </w:trPr>
        <w:tc>
          <w:tcPr>
            <w:tcW w:w="4672" w:type="dxa"/>
            <w:vAlign w:val="center"/>
          </w:tcPr>
          <w:p w14:paraId="10CAB20D">
            <w:pPr>
              <w:pStyle w:val="165"/>
              <w:spacing w:line="360" w:lineRule="auto"/>
              <w:jc w:val="left"/>
              <w:rPr>
                <w:rFonts w:ascii="宋体" w:hAnsi="宋体"/>
                <w:color w:val="auto"/>
                <w:szCs w:val="21"/>
                <w:highlight w:val="none"/>
              </w:rPr>
            </w:pPr>
            <w:r>
              <w:rPr>
                <w:rFonts w:hint="eastAsia" w:ascii="宋体" w:hAnsi="宋体"/>
                <w:color w:val="auto"/>
                <w:szCs w:val="21"/>
                <w:highlight w:val="none"/>
              </w:rPr>
              <w:t>发包人：</w:t>
            </w:r>
            <w:r>
              <w:rPr>
                <w:rFonts w:hint="eastAsia" w:ascii="宋体" w:hAnsi="宋体"/>
                <w:color w:val="auto"/>
                <w:szCs w:val="21"/>
                <w:highlight w:val="none"/>
                <w:u w:val="single"/>
                <w:lang w:eastAsia="zh-CN"/>
              </w:rPr>
              <w:t>南宁市南湖公园</w:t>
            </w:r>
            <w:r>
              <w:rPr>
                <w:rFonts w:hint="eastAsia" w:ascii="宋体" w:hAnsi="宋体"/>
                <w:color w:val="auto"/>
                <w:szCs w:val="21"/>
                <w:highlight w:val="none"/>
              </w:rPr>
              <w:t>（公章）</w:t>
            </w:r>
          </w:p>
        </w:tc>
        <w:tc>
          <w:tcPr>
            <w:tcW w:w="4672" w:type="dxa"/>
            <w:vAlign w:val="center"/>
          </w:tcPr>
          <w:p w14:paraId="2A802E39">
            <w:pPr>
              <w:pStyle w:val="165"/>
              <w:spacing w:line="360" w:lineRule="auto"/>
              <w:jc w:val="left"/>
              <w:rPr>
                <w:rFonts w:ascii="宋体" w:hAnsi="宋体"/>
                <w:color w:val="auto"/>
                <w:szCs w:val="21"/>
                <w:highlight w:val="none"/>
              </w:rPr>
            </w:pPr>
            <w:r>
              <w:rPr>
                <w:rFonts w:hint="eastAsia" w:ascii="宋体" w:hAnsi="宋体"/>
                <w:color w:val="auto"/>
                <w:szCs w:val="21"/>
                <w:highlight w:val="none"/>
              </w:rPr>
              <w:t>承包人：________________（公章）</w:t>
            </w:r>
          </w:p>
        </w:tc>
      </w:tr>
      <w:tr w14:paraId="5562757E">
        <w:tblPrEx>
          <w:tblCellMar>
            <w:top w:w="0" w:type="dxa"/>
            <w:left w:w="108" w:type="dxa"/>
            <w:bottom w:w="0" w:type="dxa"/>
            <w:right w:w="108" w:type="dxa"/>
          </w:tblCellMar>
        </w:tblPrEx>
        <w:trPr>
          <w:trHeight w:val="1021" w:hRule="atLeast"/>
          <w:jc w:val="center"/>
        </w:trPr>
        <w:tc>
          <w:tcPr>
            <w:tcW w:w="4672" w:type="dxa"/>
            <w:vAlign w:val="center"/>
          </w:tcPr>
          <w:p w14:paraId="2281C28B">
            <w:pPr>
              <w:pStyle w:val="165"/>
              <w:spacing w:line="360" w:lineRule="auto"/>
              <w:jc w:val="left"/>
              <w:rPr>
                <w:rFonts w:ascii="宋体" w:hAnsi="宋体"/>
                <w:color w:val="auto"/>
                <w:szCs w:val="21"/>
                <w:highlight w:val="none"/>
              </w:rPr>
            </w:pPr>
            <w:r>
              <w:rPr>
                <w:rFonts w:hint="eastAsia" w:ascii="宋体" w:hAnsi="宋体"/>
                <w:color w:val="auto"/>
                <w:szCs w:val="21"/>
                <w:highlight w:val="none"/>
              </w:rPr>
              <w:t>法定代表人或其委托代理人：</w:t>
            </w:r>
          </w:p>
          <w:p w14:paraId="3E0E408C">
            <w:pPr>
              <w:pStyle w:val="165"/>
              <w:spacing w:line="360" w:lineRule="auto"/>
              <w:jc w:val="left"/>
              <w:rPr>
                <w:rFonts w:ascii="宋体" w:hAnsi="宋体"/>
                <w:color w:val="auto"/>
                <w:szCs w:val="21"/>
                <w:highlight w:val="none"/>
              </w:rPr>
            </w:pPr>
            <w:r>
              <w:rPr>
                <w:rFonts w:hint="eastAsia" w:ascii="宋体" w:hAnsi="宋体"/>
                <w:color w:val="auto"/>
                <w:szCs w:val="21"/>
                <w:highlight w:val="none"/>
              </w:rPr>
              <w:t>（签字）</w:t>
            </w:r>
          </w:p>
        </w:tc>
        <w:tc>
          <w:tcPr>
            <w:tcW w:w="4672" w:type="dxa"/>
            <w:vAlign w:val="center"/>
          </w:tcPr>
          <w:p w14:paraId="04CBB9D9">
            <w:pPr>
              <w:pStyle w:val="165"/>
              <w:spacing w:line="360" w:lineRule="auto"/>
              <w:rPr>
                <w:rFonts w:ascii="宋体" w:hAnsi="宋体"/>
                <w:color w:val="auto"/>
                <w:szCs w:val="21"/>
                <w:highlight w:val="none"/>
              </w:rPr>
            </w:pPr>
            <w:r>
              <w:rPr>
                <w:rFonts w:hint="eastAsia" w:ascii="宋体" w:hAnsi="宋体"/>
                <w:color w:val="auto"/>
                <w:szCs w:val="21"/>
                <w:highlight w:val="none"/>
              </w:rPr>
              <w:t>法定代表人或其委托代理人：</w:t>
            </w:r>
          </w:p>
          <w:p w14:paraId="630EE4C1">
            <w:pPr>
              <w:pStyle w:val="165"/>
              <w:spacing w:line="360" w:lineRule="auto"/>
              <w:jc w:val="left"/>
              <w:rPr>
                <w:rFonts w:ascii="宋体" w:hAnsi="宋体"/>
                <w:color w:val="auto"/>
                <w:szCs w:val="21"/>
                <w:highlight w:val="none"/>
              </w:rPr>
            </w:pPr>
            <w:r>
              <w:rPr>
                <w:rFonts w:hint="eastAsia" w:ascii="宋体" w:hAnsi="宋体"/>
                <w:color w:val="auto"/>
                <w:szCs w:val="21"/>
                <w:highlight w:val="none"/>
              </w:rPr>
              <w:t>（签字）</w:t>
            </w:r>
          </w:p>
        </w:tc>
      </w:tr>
      <w:tr w14:paraId="1D555C0D">
        <w:tblPrEx>
          <w:tblCellMar>
            <w:top w:w="0" w:type="dxa"/>
            <w:left w:w="108" w:type="dxa"/>
            <w:bottom w:w="0" w:type="dxa"/>
            <w:right w:w="108" w:type="dxa"/>
          </w:tblCellMar>
        </w:tblPrEx>
        <w:trPr>
          <w:trHeight w:val="1021" w:hRule="atLeast"/>
          <w:jc w:val="center"/>
        </w:trPr>
        <w:tc>
          <w:tcPr>
            <w:tcW w:w="4672" w:type="dxa"/>
            <w:vAlign w:val="center"/>
          </w:tcPr>
          <w:p w14:paraId="5254E2D8">
            <w:pPr>
              <w:pStyle w:val="165"/>
              <w:spacing w:line="360" w:lineRule="auto"/>
              <w:jc w:val="left"/>
              <w:rPr>
                <w:rFonts w:ascii="宋体" w:hAnsi="宋体"/>
                <w:color w:val="auto"/>
                <w:szCs w:val="21"/>
                <w:highlight w:val="none"/>
              </w:rPr>
            </w:pPr>
            <w:r>
              <w:rPr>
                <w:rFonts w:hint="eastAsia" w:ascii="宋体" w:hAnsi="宋体"/>
                <w:color w:val="auto"/>
                <w:szCs w:val="21"/>
                <w:highlight w:val="none"/>
              </w:rPr>
              <w:t>统一社会信用代码：</w:t>
            </w:r>
          </w:p>
        </w:tc>
        <w:tc>
          <w:tcPr>
            <w:tcW w:w="4672" w:type="dxa"/>
            <w:vAlign w:val="center"/>
          </w:tcPr>
          <w:p w14:paraId="45DF3B9B">
            <w:pPr>
              <w:pStyle w:val="165"/>
              <w:spacing w:line="360" w:lineRule="auto"/>
              <w:jc w:val="left"/>
              <w:rPr>
                <w:rFonts w:ascii="宋体" w:hAnsi="宋体"/>
                <w:color w:val="auto"/>
                <w:szCs w:val="21"/>
                <w:highlight w:val="none"/>
              </w:rPr>
            </w:pPr>
            <w:r>
              <w:rPr>
                <w:rFonts w:hint="eastAsia" w:ascii="宋体" w:hAnsi="宋体"/>
                <w:color w:val="auto"/>
                <w:szCs w:val="21"/>
                <w:highlight w:val="none"/>
              </w:rPr>
              <w:t>统一社会信用代码：________________</w:t>
            </w:r>
          </w:p>
        </w:tc>
      </w:tr>
      <w:tr w14:paraId="1DCD3AF9">
        <w:tblPrEx>
          <w:tblCellMar>
            <w:top w:w="0" w:type="dxa"/>
            <w:left w:w="108" w:type="dxa"/>
            <w:bottom w:w="0" w:type="dxa"/>
            <w:right w:w="108" w:type="dxa"/>
          </w:tblCellMar>
        </w:tblPrEx>
        <w:trPr>
          <w:trHeight w:val="1021" w:hRule="atLeast"/>
          <w:jc w:val="center"/>
        </w:trPr>
        <w:tc>
          <w:tcPr>
            <w:tcW w:w="4672" w:type="dxa"/>
            <w:vAlign w:val="center"/>
          </w:tcPr>
          <w:p w14:paraId="05A80184">
            <w:pPr>
              <w:pStyle w:val="165"/>
              <w:spacing w:line="36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u w:val="single"/>
                <w:lang w:eastAsia="zh-CN"/>
              </w:rPr>
              <w:t>南宁市双拥路1号</w:t>
            </w:r>
          </w:p>
        </w:tc>
        <w:tc>
          <w:tcPr>
            <w:tcW w:w="4672" w:type="dxa"/>
            <w:vAlign w:val="center"/>
          </w:tcPr>
          <w:p w14:paraId="02E95897">
            <w:pPr>
              <w:pStyle w:val="165"/>
              <w:spacing w:line="360" w:lineRule="auto"/>
              <w:jc w:val="left"/>
              <w:rPr>
                <w:rFonts w:ascii="宋体" w:hAnsi="宋体"/>
                <w:color w:val="auto"/>
                <w:szCs w:val="21"/>
                <w:highlight w:val="none"/>
              </w:rPr>
            </w:pPr>
            <w:r>
              <w:rPr>
                <w:rFonts w:hint="eastAsia" w:ascii="宋体" w:hAnsi="宋体"/>
                <w:color w:val="auto"/>
                <w:szCs w:val="21"/>
                <w:highlight w:val="none"/>
              </w:rPr>
              <w:t>地址：________________</w:t>
            </w:r>
          </w:p>
        </w:tc>
      </w:tr>
      <w:tr w14:paraId="2B42CE70">
        <w:tblPrEx>
          <w:tblCellMar>
            <w:top w:w="0" w:type="dxa"/>
            <w:left w:w="108" w:type="dxa"/>
            <w:bottom w:w="0" w:type="dxa"/>
            <w:right w:w="108" w:type="dxa"/>
          </w:tblCellMar>
        </w:tblPrEx>
        <w:trPr>
          <w:trHeight w:val="1021" w:hRule="atLeast"/>
          <w:jc w:val="center"/>
        </w:trPr>
        <w:tc>
          <w:tcPr>
            <w:tcW w:w="4672" w:type="dxa"/>
            <w:vAlign w:val="center"/>
          </w:tcPr>
          <w:p w14:paraId="2836C909">
            <w:pPr>
              <w:pStyle w:val="165"/>
              <w:spacing w:line="360" w:lineRule="auto"/>
              <w:jc w:val="lef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5300</w:t>
            </w:r>
            <w:r>
              <w:rPr>
                <w:rFonts w:ascii="宋体" w:hAnsi="宋体"/>
                <w:color w:val="auto"/>
                <w:szCs w:val="21"/>
                <w:highlight w:val="none"/>
                <w:u w:val="single"/>
              </w:rPr>
              <w:t xml:space="preserve">22                        </w:t>
            </w:r>
          </w:p>
        </w:tc>
        <w:tc>
          <w:tcPr>
            <w:tcW w:w="4672" w:type="dxa"/>
            <w:vAlign w:val="center"/>
          </w:tcPr>
          <w:p w14:paraId="2755B6A0">
            <w:pPr>
              <w:pStyle w:val="165"/>
              <w:spacing w:line="360" w:lineRule="auto"/>
              <w:jc w:val="left"/>
              <w:rPr>
                <w:rFonts w:ascii="宋体" w:hAnsi="宋体"/>
                <w:color w:val="auto"/>
                <w:szCs w:val="21"/>
                <w:highlight w:val="none"/>
              </w:rPr>
            </w:pPr>
            <w:r>
              <w:rPr>
                <w:rFonts w:hint="eastAsia" w:ascii="宋体" w:hAnsi="宋体"/>
                <w:color w:val="auto"/>
                <w:szCs w:val="21"/>
                <w:highlight w:val="none"/>
              </w:rPr>
              <w:t>邮政编码：________________</w:t>
            </w:r>
          </w:p>
        </w:tc>
      </w:tr>
      <w:tr w14:paraId="59581586">
        <w:tblPrEx>
          <w:tblCellMar>
            <w:top w:w="0" w:type="dxa"/>
            <w:left w:w="108" w:type="dxa"/>
            <w:bottom w:w="0" w:type="dxa"/>
            <w:right w:w="108" w:type="dxa"/>
          </w:tblCellMar>
        </w:tblPrEx>
        <w:trPr>
          <w:trHeight w:val="1021" w:hRule="atLeast"/>
          <w:jc w:val="center"/>
        </w:trPr>
        <w:tc>
          <w:tcPr>
            <w:tcW w:w="4672" w:type="dxa"/>
            <w:vAlign w:val="center"/>
          </w:tcPr>
          <w:p w14:paraId="5782A8CA">
            <w:pPr>
              <w:pStyle w:val="165"/>
              <w:spacing w:line="360" w:lineRule="auto"/>
              <w:jc w:val="left"/>
              <w:rPr>
                <w:rFonts w:ascii="宋体" w:hAnsi="宋体"/>
                <w:color w:val="auto"/>
                <w:szCs w:val="21"/>
                <w:highlight w:val="none"/>
              </w:rPr>
            </w:pPr>
            <w:r>
              <w:rPr>
                <w:rFonts w:hint="eastAsia" w:ascii="宋体" w:hAnsi="宋体"/>
                <w:color w:val="auto"/>
                <w:szCs w:val="21"/>
                <w:highlight w:val="none"/>
              </w:rPr>
              <w:t>法定代表人：________________</w:t>
            </w:r>
          </w:p>
        </w:tc>
        <w:tc>
          <w:tcPr>
            <w:tcW w:w="4672" w:type="dxa"/>
            <w:vAlign w:val="center"/>
          </w:tcPr>
          <w:p w14:paraId="651E52F1">
            <w:pPr>
              <w:pStyle w:val="165"/>
              <w:spacing w:line="360" w:lineRule="auto"/>
              <w:jc w:val="left"/>
              <w:rPr>
                <w:rFonts w:ascii="宋体" w:hAnsi="宋体"/>
                <w:color w:val="auto"/>
                <w:szCs w:val="21"/>
                <w:highlight w:val="none"/>
              </w:rPr>
            </w:pPr>
            <w:r>
              <w:rPr>
                <w:rFonts w:hint="eastAsia" w:ascii="宋体" w:hAnsi="宋体"/>
                <w:color w:val="auto"/>
                <w:szCs w:val="21"/>
                <w:highlight w:val="none"/>
              </w:rPr>
              <w:t>法定代表人：________________</w:t>
            </w:r>
          </w:p>
        </w:tc>
      </w:tr>
      <w:tr w14:paraId="34FADC97">
        <w:tblPrEx>
          <w:tblCellMar>
            <w:top w:w="0" w:type="dxa"/>
            <w:left w:w="108" w:type="dxa"/>
            <w:bottom w:w="0" w:type="dxa"/>
            <w:right w:w="108" w:type="dxa"/>
          </w:tblCellMar>
        </w:tblPrEx>
        <w:trPr>
          <w:trHeight w:val="1021" w:hRule="atLeast"/>
          <w:jc w:val="center"/>
        </w:trPr>
        <w:tc>
          <w:tcPr>
            <w:tcW w:w="4672" w:type="dxa"/>
            <w:vAlign w:val="center"/>
          </w:tcPr>
          <w:p w14:paraId="6A177B14">
            <w:pPr>
              <w:pStyle w:val="165"/>
              <w:spacing w:line="360" w:lineRule="auto"/>
              <w:jc w:val="left"/>
              <w:rPr>
                <w:rFonts w:ascii="宋体" w:hAnsi="宋体"/>
                <w:color w:val="auto"/>
                <w:szCs w:val="21"/>
                <w:highlight w:val="none"/>
              </w:rPr>
            </w:pPr>
            <w:r>
              <w:rPr>
                <w:rFonts w:hint="eastAsia" w:ascii="宋体" w:hAnsi="宋体"/>
                <w:color w:val="auto"/>
                <w:szCs w:val="21"/>
                <w:highlight w:val="none"/>
              </w:rPr>
              <w:t>委托代理人：________________</w:t>
            </w:r>
          </w:p>
        </w:tc>
        <w:tc>
          <w:tcPr>
            <w:tcW w:w="4672" w:type="dxa"/>
            <w:vAlign w:val="center"/>
          </w:tcPr>
          <w:p w14:paraId="4ACF9607">
            <w:pPr>
              <w:pStyle w:val="165"/>
              <w:spacing w:line="360" w:lineRule="auto"/>
              <w:jc w:val="left"/>
              <w:rPr>
                <w:rFonts w:ascii="宋体" w:hAnsi="宋体"/>
                <w:color w:val="auto"/>
                <w:szCs w:val="21"/>
                <w:highlight w:val="none"/>
              </w:rPr>
            </w:pPr>
            <w:r>
              <w:rPr>
                <w:rFonts w:hint="eastAsia" w:ascii="宋体" w:hAnsi="宋体"/>
                <w:color w:val="auto"/>
                <w:szCs w:val="21"/>
                <w:highlight w:val="none"/>
              </w:rPr>
              <w:t>委托代理人：</w:t>
            </w:r>
            <w:r>
              <w:rPr>
                <w:rFonts w:ascii="宋体" w:hAnsi="宋体"/>
                <w:b/>
                <w:color w:val="auto"/>
                <w:szCs w:val="21"/>
                <w:highlight w:val="none"/>
              </w:rPr>
              <w:t>______________________________</w:t>
            </w:r>
          </w:p>
        </w:tc>
      </w:tr>
      <w:tr w14:paraId="15FE5DD5">
        <w:tblPrEx>
          <w:tblCellMar>
            <w:top w:w="0" w:type="dxa"/>
            <w:left w:w="108" w:type="dxa"/>
            <w:bottom w:w="0" w:type="dxa"/>
            <w:right w:w="108" w:type="dxa"/>
          </w:tblCellMar>
        </w:tblPrEx>
        <w:trPr>
          <w:trHeight w:val="1021" w:hRule="atLeast"/>
          <w:jc w:val="center"/>
        </w:trPr>
        <w:tc>
          <w:tcPr>
            <w:tcW w:w="4672" w:type="dxa"/>
            <w:vAlign w:val="center"/>
          </w:tcPr>
          <w:p w14:paraId="244F721F">
            <w:pPr>
              <w:pStyle w:val="165"/>
              <w:spacing w:line="360" w:lineRule="auto"/>
              <w:jc w:val="left"/>
              <w:rPr>
                <w:rFonts w:ascii="宋体" w:hAnsi="宋体"/>
                <w:color w:val="auto"/>
                <w:szCs w:val="21"/>
                <w:highlight w:val="none"/>
              </w:rPr>
            </w:pPr>
            <w:r>
              <w:rPr>
                <w:rFonts w:hint="eastAsia" w:ascii="宋体" w:hAnsi="宋体"/>
                <w:color w:val="auto"/>
                <w:szCs w:val="21"/>
                <w:highlight w:val="none"/>
              </w:rPr>
              <w:t>电话：________________</w:t>
            </w:r>
          </w:p>
        </w:tc>
        <w:tc>
          <w:tcPr>
            <w:tcW w:w="4672" w:type="dxa"/>
            <w:vAlign w:val="center"/>
          </w:tcPr>
          <w:p w14:paraId="263E671E">
            <w:pPr>
              <w:pStyle w:val="165"/>
              <w:spacing w:line="360" w:lineRule="auto"/>
              <w:jc w:val="left"/>
              <w:rPr>
                <w:rFonts w:ascii="宋体" w:hAnsi="宋体"/>
                <w:color w:val="auto"/>
                <w:szCs w:val="21"/>
                <w:highlight w:val="none"/>
              </w:rPr>
            </w:pPr>
            <w:r>
              <w:rPr>
                <w:rFonts w:hint="eastAsia" w:ascii="宋体" w:hAnsi="宋体"/>
                <w:color w:val="auto"/>
                <w:szCs w:val="21"/>
                <w:highlight w:val="none"/>
              </w:rPr>
              <w:t>电话：________________</w:t>
            </w:r>
          </w:p>
        </w:tc>
      </w:tr>
      <w:tr w14:paraId="51B03736">
        <w:tblPrEx>
          <w:tblCellMar>
            <w:top w:w="0" w:type="dxa"/>
            <w:left w:w="108" w:type="dxa"/>
            <w:bottom w:w="0" w:type="dxa"/>
            <w:right w:w="108" w:type="dxa"/>
          </w:tblCellMar>
        </w:tblPrEx>
        <w:trPr>
          <w:trHeight w:val="1021" w:hRule="atLeast"/>
          <w:jc w:val="center"/>
        </w:trPr>
        <w:tc>
          <w:tcPr>
            <w:tcW w:w="4672" w:type="dxa"/>
            <w:vAlign w:val="center"/>
          </w:tcPr>
          <w:p w14:paraId="55AC3DED">
            <w:pPr>
              <w:pStyle w:val="165"/>
              <w:spacing w:line="360" w:lineRule="auto"/>
              <w:jc w:val="left"/>
              <w:rPr>
                <w:rFonts w:ascii="宋体" w:hAnsi="宋体"/>
                <w:color w:val="auto"/>
                <w:szCs w:val="21"/>
                <w:highlight w:val="none"/>
              </w:rPr>
            </w:pPr>
            <w:r>
              <w:rPr>
                <w:rFonts w:hint="eastAsia" w:ascii="宋体" w:hAnsi="宋体"/>
                <w:color w:val="auto"/>
                <w:szCs w:val="21"/>
                <w:highlight w:val="none"/>
              </w:rPr>
              <w:t>传真：________________</w:t>
            </w:r>
          </w:p>
        </w:tc>
        <w:tc>
          <w:tcPr>
            <w:tcW w:w="4672" w:type="dxa"/>
            <w:vAlign w:val="center"/>
          </w:tcPr>
          <w:p w14:paraId="7A139642">
            <w:pPr>
              <w:pStyle w:val="165"/>
              <w:spacing w:line="360" w:lineRule="auto"/>
              <w:jc w:val="left"/>
              <w:rPr>
                <w:rFonts w:ascii="宋体" w:hAnsi="宋体"/>
                <w:color w:val="auto"/>
                <w:szCs w:val="21"/>
                <w:highlight w:val="none"/>
              </w:rPr>
            </w:pPr>
            <w:r>
              <w:rPr>
                <w:rFonts w:hint="eastAsia" w:ascii="宋体" w:hAnsi="宋体"/>
                <w:color w:val="auto"/>
                <w:szCs w:val="21"/>
                <w:highlight w:val="none"/>
              </w:rPr>
              <w:t>传真：________________</w:t>
            </w:r>
          </w:p>
        </w:tc>
      </w:tr>
      <w:tr w14:paraId="71F497AA">
        <w:tblPrEx>
          <w:tblCellMar>
            <w:top w:w="0" w:type="dxa"/>
            <w:left w:w="108" w:type="dxa"/>
            <w:bottom w:w="0" w:type="dxa"/>
            <w:right w:w="108" w:type="dxa"/>
          </w:tblCellMar>
        </w:tblPrEx>
        <w:trPr>
          <w:trHeight w:val="1021" w:hRule="atLeast"/>
          <w:jc w:val="center"/>
        </w:trPr>
        <w:tc>
          <w:tcPr>
            <w:tcW w:w="4672" w:type="dxa"/>
            <w:vAlign w:val="center"/>
          </w:tcPr>
          <w:p w14:paraId="4BC8B36E">
            <w:pPr>
              <w:pStyle w:val="165"/>
              <w:spacing w:line="360" w:lineRule="auto"/>
              <w:jc w:val="left"/>
              <w:rPr>
                <w:rFonts w:ascii="宋体" w:hAnsi="宋体"/>
                <w:color w:val="auto"/>
                <w:szCs w:val="21"/>
                <w:highlight w:val="none"/>
              </w:rPr>
            </w:pPr>
            <w:r>
              <w:rPr>
                <w:rFonts w:hint="eastAsia" w:ascii="宋体" w:hAnsi="宋体"/>
                <w:color w:val="auto"/>
                <w:szCs w:val="21"/>
                <w:highlight w:val="none"/>
              </w:rPr>
              <w:t>电子信箱：________________</w:t>
            </w:r>
          </w:p>
        </w:tc>
        <w:tc>
          <w:tcPr>
            <w:tcW w:w="4672" w:type="dxa"/>
            <w:vAlign w:val="center"/>
          </w:tcPr>
          <w:p w14:paraId="5607812A">
            <w:pPr>
              <w:pStyle w:val="165"/>
              <w:spacing w:line="360" w:lineRule="auto"/>
              <w:jc w:val="left"/>
              <w:rPr>
                <w:rFonts w:ascii="宋体" w:hAnsi="宋体"/>
                <w:color w:val="auto"/>
                <w:szCs w:val="21"/>
                <w:highlight w:val="none"/>
              </w:rPr>
            </w:pPr>
            <w:r>
              <w:rPr>
                <w:rFonts w:hint="eastAsia" w:ascii="宋体" w:hAnsi="宋体"/>
                <w:color w:val="auto"/>
                <w:szCs w:val="21"/>
                <w:highlight w:val="none"/>
              </w:rPr>
              <w:t>电子信箱：</w:t>
            </w:r>
            <w:r>
              <w:rPr>
                <w:rFonts w:ascii="宋体" w:hAnsi="宋体"/>
                <w:b/>
                <w:color w:val="auto"/>
                <w:szCs w:val="21"/>
                <w:highlight w:val="none"/>
              </w:rPr>
              <w:t>________________________________</w:t>
            </w:r>
          </w:p>
        </w:tc>
      </w:tr>
      <w:tr w14:paraId="2BFBEED6">
        <w:tblPrEx>
          <w:tblCellMar>
            <w:top w:w="0" w:type="dxa"/>
            <w:left w:w="108" w:type="dxa"/>
            <w:bottom w:w="0" w:type="dxa"/>
            <w:right w:w="108" w:type="dxa"/>
          </w:tblCellMar>
        </w:tblPrEx>
        <w:trPr>
          <w:trHeight w:val="1021" w:hRule="atLeast"/>
          <w:jc w:val="center"/>
        </w:trPr>
        <w:tc>
          <w:tcPr>
            <w:tcW w:w="4672" w:type="dxa"/>
            <w:vAlign w:val="center"/>
          </w:tcPr>
          <w:p w14:paraId="3B2411AC">
            <w:pPr>
              <w:pStyle w:val="165"/>
              <w:spacing w:line="360" w:lineRule="auto"/>
              <w:jc w:val="left"/>
              <w:rPr>
                <w:rFonts w:ascii="宋体" w:hAnsi="宋体"/>
                <w:color w:val="auto"/>
                <w:szCs w:val="21"/>
                <w:highlight w:val="none"/>
              </w:rPr>
            </w:pPr>
            <w:r>
              <w:rPr>
                <w:rFonts w:hint="eastAsia" w:ascii="宋体" w:hAnsi="宋体"/>
                <w:color w:val="auto"/>
                <w:szCs w:val="21"/>
                <w:highlight w:val="none"/>
              </w:rPr>
              <w:t>开户银行：________________</w:t>
            </w:r>
          </w:p>
        </w:tc>
        <w:tc>
          <w:tcPr>
            <w:tcW w:w="4672" w:type="dxa"/>
            <w:vAlign w:val="center"/>
          </w:tcPr>
          <w:p w14:paraId="459A04DA">
            <w:pPr>
              <w:pStyle w:val="165"/>
              <w:spacing w:line="360" w:lineRule="auto"/>
              <w:jc w:val="left"/>
              <w:rPr>
                <w:rFonts w:ascii="宋体" w:hAnsi="宋体"/>
                <w:color w:val="auto"/>
                <w:szCs w:val="21"/>
                <w:highlight w:val="none"/>
              </w:rPr>
            </w:pPr>
            <w:r>
              <w:rPr>
                <w:rFonts w:hint="eastAsia" w:ascii="宋体" w:hAnsi="宋体"/>
                <w:color w:val="auto"/>
                <w:szCs w:val="21"/>
                <w:highlight w:val="none"/>
              </w:rPr>
              <w:t>开户银行：________________</w:t>
            </w:r>
          </w:p>
        </w:tc>
      </w:tr>
      <w:tr w14:paraId="70FD57F9">
        <w:tblPrEx>
          <w:tblCellMar>
            <w:top w:w="0" w:type="dxa"/>
            <w:left w:w="108" w:type="dxa"/>
            <w:bottom w:w="0" w:type="dxa"/>
            <w:right w:w="108" w:type="dxa"/>
          </w:tblCellMar>
        </w:tblPrEx>
        <w:trPr>
          <w:trHeight w:val="1021" w:hRule="atLeast"/>
          <w:jc w:val="center"/>
        </w:trPr>
        <w:tc>
          <w:tcPr>
            <w:tcW w:w="4672" w:type="dxa"/>
            <w:vAlign w:val="center"/>
          </w:tcPr>
          <w:p w14:paraId="7280A596">
            <w:pPr>
              <w:pStyle w:val="165"/>
              <w:spacing w:line="360" w:lineRule="auto"/>
              <w:jc w:val="left"/>
              <w:rPr>
                <w:rFonts w:ascii="宋体" w:hAnsi="宋体"/>
                <w:color w:val="auto"/>
                <w:szCs w:val="21"/>
                <w:highlight w:val="none"/>
              </w:rPr>
            </w:pPr>
            <w:r>
              <w:rPr>
                <w:rFonts w:hint="eastAsia" w:ascii="宋体" w:hAnsi="宋体"/>
                <w:color w:val="auto"/>
                <w:szCs w:val="21"/>
                <w:highlight w:val="none"/>
              </w:rPr>
              <w:t>账号：________________</w:t>
            </w:r>
          </w:p>
        </w:tc>
        <w:tc>
          <w:tcPr>
            <w:tcW w:w="4672" w:type="dxa"/>
            <w:vAlign w:val="center"/>
          </w:tcPr>
          <w:p w14:paraId="3C3696ED">
            <w:pPr>
              <w:pStyle w:val="165"/>
              <w:spacing w:line="360" w:lineRule="auto"/>
              <w:jc w:val="left"/>
              <w:rPr>
                <w:rFonts w:ascii="宋体" w:hAnsi="宋体"/>
                <w:color w:val="auto"/>
                <w:szCs w:val="21"/>
                <w:highlight w:val="none"/>
              </w:rPr>
            </w:pPr>
            <w:r>
              <w:rPr>
                <w:rFonts w:hint="eastAsia" w:ascii="宋体" w:hAnsi="宋体"/>
                <w:color w:val="auto"/>
                <w:szCs w:val="21"/>
                <w:highlight w:val="none"/>
              </w:rPr>
              <w:t>账号：________________</w:t>
            </w:r>
          </w:p>
        </w:tc>
      </w:tr>
      <w:bookmarkEnd w:id="31"/>
    </w:tbl>
    <w:p w14:paraId="0BFD8299">
      <w:pPr>
        <w:rPr>
          <w:color w:val="auto"/>
          <w:sz w:val="20"/>
          <w:highlight w:val="none"/>
        </w:rPr>
        <w:sectPr>
          <w:pgSz w:w="11906" w:h="16838"/>
          <w:pgMar w:top="1440" w:right="1134" w:bottom="1440" w:left="1418" w:header="851" w:footer="992" w:gutter="0"/>
          <w:cols w:space="425" w:num="1"/>
          <w:docGrid w:type="lines" w:linePitch="312" w:charSpace="0"/>
        </w:sectPr>
      </w:pPr>
    </w:p>
    <w:p w14:paraId="6A2B3806">
      <w:pPr>
        <w:pStyle w:val="2"/>
        <w:jc w:val="center"/>
        <w:rPr>
          <w:rFonts w:ascii="黑体" w:hAnsi="黑体"/>
          <w:color w:val="auto"/>
          <w:highlight w:val="none"/>
        </w:rPr>
      </w:pPr>
      <w:bookmarkStart w:id="32" w:name="_Toc407135192"/>
      <w:bookmarkStart w:id="33" w:name="_Toc256000128"/>
      <w:bookmarkStart w:id="34" w:name="_Toc83895639"/>
      <w:bookmarkStart w:id="35" w:name="_Toc389065256"/>
      <w:bookmarkStart w:id="36" w:name="_Toc217642152"/>
      <w:bookmarkStart w:id="37" w:name="_Toc4545"/>
      <w:bookmarkStart w:id="38" w:name="_Toc373478338"/>
      <w:bookmarkStart w:id="39" w:name="_Toc351203632"/>
      <w:bookmarkStart w:id="40" w:name="_Toc373227691"/>
      <w:r>
        <w:rPr>
          <w:rFonts w:hint="eastAsia" w:ascii="黑体" w:hAnsi="黑体"/>
          <w:color w:val="auto"/>
          <w:highlight w:val="none"/>
        </w:rPr>
        <w:t>第二部分</w:t>
      </w:r>
      <w:r>
        <w:rPr>
          <w:rFonts w:ascii="黑体" w:hAnsi="黑体"/>
          <w:color w:val="auto"/>
          <w:highlight w:val="none"/>
        </w:rPr>
        <w:t xml:space="preserve">  </w:t>
      </w:r>
      <w:r>
        <w:rPr>
          <w:rFonts w:hint="eastAsia" w:ascii="黑体" w:hAnsi="黑体"/>
          <w:color w:val="auto"/>
          <w:highlight w:val="none"/>
        </w:rPr>
        <w:t>通用合同条款</w:t>
      </w:r>
      <w:bookmarkEnd w:id="32"/>
      <w:bookmarkEnd w:id="33"/>
      <w:bookmarkEnd w:id="34"/>
      <w:bookmarkEnd w:id="35"/>
      <w:bookmarkEnd w:id="36"/>
      <w:bookmarkEnd w:id="37"/>
    </w:p>
    <w:p w14:paraId="7924D8D1">
      <w:pPr>
        <w:spacing w:line="360" w:lineRule="auto"/>
        <w:ind w:firstLine="420" w:firstLineChars="200"/>
        <w:rPr>
          <w:rFonts w:hAnsi="宋体"/>
          <w:color w:val="auto"/>
          <w:kern w:val="0"/>
          <w:highlight w:val="none"/>
        </w:rPr>
      </w:pPr>
    </w:p>
    <w:p w14:paraId="37A7F4C5">
      <w:pPr>
        <w:spacing w:line="360" w:lineRule="auto"/>
        <w:ind w:firstLine="422" w:firstLineChars="200"/>
        <w:rPr>
          <w:rFonts w:hAnsi="宋体" w:cs="宋体"/>
          <w:b/>
          <w:bCs/>
          <w:color w:val="auto"/>
          <w:kern w:val="0"/>
          <w:highlight w:val="none"/>
        </w:rPr>
      </w:pPr>
      <w:r>
        <w:rPr>
          <w:rFonts w:hint="eastAsia" w:hAnsi="宋体" w:cs="宋体"/>
          <w:b/>
          <w:bCs/>
          <w:color w:val="auto"/>
          <w:kern w:val="0"/>
          <w:highlight w:val="none"/>
        </w:rPr>
        <w:t>采用《建设工程施工合同（示范文本）》（</w:t>
      </w:r>
      <w:r>
        <w:rPr>
          <w:rFonts w:hAnsi="宋体"/>
          <w:b/>
          <w:bCs/>
          <w:color w:val="auto"/>
          <w:kern w:val="0"/>
          <w:highlight w:val="none"/>
        </w:rPr>
        <w:t>GF</w:t>
      </w:r>
      <w:r>
        <w:rPr>
          <w:rFonts w:hAnsi="宋体" w:cs="宋体"/>
          <w:b/>
          <w:bCs/>
          <w:color w:val="auto"/>
          <w:kern w:val="0"/>
          <w:highlight w:val="none"/>
        </w:rPr>
        <w:t>—</w:t>
      </w:r>
      <w:r>
        <w:rPr>
          <w:rFonts w:hAnsi="宋体"/>
          <w:b/>
          <w:bCs/>
          <w:color w:val="auto"/>
          <w:kern w:val="0"/>
          <w:highlight w:val="none"/>
        </w:rPr>
        <w:t>201</w:t>
      </w:r>
      <w:r>
        <w:rPr>
          <w:rFonts w:hint="eastAsia" w:hAnsi="宋体"/>
          <w:b/>
          <w:bCs/>
          <w:color w:val="auto"/>
          <w:kern w:val="0"/>
          <w:highlight w:val="none"/>
        </w:rPr>
        <w:t>7</w:t>
      </w:r>
      <w:r>
        <w:rPr>
          <w:rFonts w:hAnsi="宋体" w:cs="宋体"/>
          <w:b/>
          <w:bCs/>
          <w:color w:val="auto"/>
          <w:kern w:val="0"/>
          <w:highlight w:val="none"/>
        </w:rPr>
        <w:t>—</w:t>
      </w:r>
      <w:r>
        <w:rPr>
          <w:rFonts w:hAnsi="宋体"/>
          <w:b/>
          <w:bCs/>
          <w:color w:val="auto"/>
          <w:kern w:val="0"/>
          <w:highlight w:val="none"/>
        </w:rPr>
        <w:t>0201</w:t>
      </w:r>
      <w:r>
        <w:rPr>
          <w:rFonts w:hint="eastAsia" w:hAnsi="宋体" w:cs="宋体"/>
          <w:b/>
          <w:bCs/>
          <w:color w:val="auto"/>
          <w:kern w:val="0"/>
          <w:highlight w:val="none"/>
        </w:rPr>
        <w:t>）。</w:t>
      </w:r>
    </w:p>
    <w:p w14:paraId="41B6EEB1">
      <w:pPr>
        <w:pStyle w:val="3"/>
        <w:rPr>
          <w:rFonts w:ascii="黑体" w:hAnsi="黑体"/>
          <w:color w:val="auto"/>
          <w:highlight w:val="none"/>
        </w:rPr>
      </w:pPr>
      <w:bookmarkStart w:id="41" w:name="_Toc217642153"/>
      <w:r>
        <w:rPr>
          <w:rFonts w:hint="eastAsia" w:ascii="黑体" w:hAnsi="黑体"/>
          <w:color w:val="auto"/>
          <w:highlight w:val="none"/>
        </w:rPr>
        <w:t>1.一般约定</w:t>
      </w:r>
      <w:bookmarkEnd w:id="41"/>
    </w:p>
    <w:p w14:paraId="016BA358">
      <w:pPr>
        <w:pStyle w:val="4"/>
        <w:spacing w:line="240" w:lineRule="auto"/>
        <w:rPr>
          <w:rFonts w:ascii="黑体" w:hAnsi="黑体"/>
          <w:color w:val="auto"/>
          <w:highlight w:val="none"/>
        </w:rPr>
      </w:pPr>
      <w:bookmarkStart w:id="42" w:name="_Toc217642154"/>
      <w:r>
        <w:rPr>
          <w:rFonts w:hint="eastAsia" w:ascii="黑体" w:hAnsi="黑体"/>
          <w:color w:val="auto"/>
          <w:highlight w:val="none"/>
        </w:rPr>
        <w:t>1.1词语定义与解释</w:t>
      </w:r>
      <w:bookmarkEnd w:id="42"/>
    </w:p>
    <w:p w14:paraId="2BCF1E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合同协议书、通用合同条款、专用合同条款中的下列词语具有本款所赋予的含义：</w:t>
      </w:r>
    </w:p>
    <w:p w14:paraId="13E267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1.1.1合同</w:t>
      </w:r>
    </w:p>
    <w:p w14:paraId="702D5E5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1.1.1.1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62B4D80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1.1.1.2合同协议书：是指构成合同的由发包人和承包人共同签署的称为“合同协议书”的书面文件。</w:t>
      </w:r>
    </w:p>
    <w:p w14:paraId="55D56C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1.1.1.3中标通知书：是指构成合同的由发包人通知承包人中标的书面文件。</w:t>
      </w:r>
    </w:p>
    <w:p w14:paraId="14151F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1.1.1.4投标函：是指构成合同的由承包人填写并签署的用于投标的称为“投标函”的文件。</w:t>
      </w:r>
    </w:p>
    <w:p w14:paraId="326A5FC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1.1.1.5投标函附录：是指构成合同的附在投标函后的称为“投标函附录”的文件。</w:t>
      </w:r>
    </w:p>
    <w:p w14:paraId="1CB044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1.1.1.6技术标准和要求：是指构成合同的施工应当遵守的或指导施工的国家、行业或地方的技术标准和要求，以及合同约定的技术标准和要求。</w:t>
      </w:r>
    </w:p>
    <w:p w14:paraId="09371E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1.1.1.7图纸：是指构成合同的图纸，包括由发包人按照合同约定提供或经发包人批准的设计文件、施工图、鸟瞰图及模型等，以及在合同履行过程中形成的图纸文件。图纸应当按照法律规定审查合格。</w:t>
      </w:r>
    </w:p>
    <w:p w14:paraId="4C641EE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1.1.1.8已标价工程量清单：是指构成合同的由承包人按照规定的格式和要求填写并标明价格的工程量清单，包括说明和表格。</w:t>
      </w:r>
    </w:p>
    <w:p w14:paraId="2AFA59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1.1.1.9预算书：是指构成合同的由承包人按照发包人规定的格式和要求编制的工程预算文件。</w:t>
      </w:r>
    </w:p>
    <w:p w14:paraId="46C8970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1.1.1.10其他合同文件：是指经合同当事人约定的与工程施工有关的具有合同约束力的文件或书面协议。合同当事人可以在专用合同条款中进行约定。</w:t>
      </w:r>
    </w:p>
    <w:p w14:paraId="5D76C3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1.1.2合同当事人及其他相关方</w:t>
      </w:r>
    </w:p>
    <w:p w14:paraId="0108DD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1.1.2.1合同当事人：是指发包人和（或）承包人。</w:t>
      </w:r>
    </w:p>
    <w:p w14:paraId="10A3CD3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1.1.2.2发包人：是指与承包人签订合同协议书的当事人及取得该当事人资格的合法继承人。</w:t>
      </w:r>
    </w:p>
    <w:p w14:paraId="19C002A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1.1.2.3承包人：是指与发包人签订合同协议书的，具有相应工程施工承包资质的当事人及取得该当事人资格的合法继承人。</w:t>
      </w:r>
    </w:p>
    <w:p w14:paraId="039809A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1.1.2.4监理人：是指在专用合同条款中指明的，受发包人委托按照法律规定进行工程监督管理的法人或其他组织。</w:t>
      </w:r>
    </w:p>
    <w:p w14:paraId="7BE701C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1.1.2.5设计人：是指在专用合同条款中指明的，受发包人委托负责工程设计并具备相应工程设计资质的法人或其他组织。</w:t>
      </w:r>
    </w:p>
    <w:p w14:paraId="207720E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1.1.2.6分包人：是指按照法律规定和合同约定，分包部分工程或工作，并与承包人签订分包合同的具有相应资质的法人。</w:t>
      </w:r>
    </w:p>
    <w:p w14:paraId="4D6A6D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1.1.2.7发包人代表：是指由发包人任命并派驻施工现场在发包人授权范围内行使发包人权利的人。</w:t>
      </w:r>
    </w:p>
    <w:p w14:paraId="67EFC4D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1.1.2.8项目经理：是指由承包人任命并派驻施工现场，在承包人授权范围内负责合同履行，且按照法律规定具有相应资格的项目负责人。</w:t>
      </w:r>
    </w:p>
    <w:p w14:paraId="0DB865F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1.1.2.9总监理工程师：是指由监理人任命并派驻施工现场进行工程监理的总负责人。</w:t>
      </w:r>
    </w:p>
    <w:p w14:paraId="575B9BC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1.1.3工程和设备</w:t>
      </w:r>
    </w:p>
    <w:p w14:paraId="6DD1D6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1.1.3.1工程：是指与合同协议书中工程承包范围对应的永久工程和（或）临时工程。</w:t>
      </w:r>
    </w:p>
    <w:p w14:paraId="02A5D50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1.1.3.2永久工程：是指按合同约定建造并移交给发包人的工程，包括工程设备。</w:t>
      </w:r>
    </w:p>
    <w:p w14:paraId="423AA67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1.1.3.3临时工程：是指为完成合同约定的永久工程所修建的各类临时性工程，不包括施工设备。</w:t>
      </w:r>
    </w:p>
    <w:p w14:paraId="101A74F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1.1.3.4单位工程：是指在合同协议书中指明的，具备独立施工条件并能形成独立使用功能的永久工程。</w:t>
      </w:r>
    </w:p>
    <w:p w14:paraId="311770E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1.1.3.5工程设备：是指构成永久工程的机电设备、金属结构设备、仪器及其他类似的设备和装置。</w:t>
      </w:r>
    </w:p>
    <w:p w14:paraId="0B4AB63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1.1.3.6施工设备：是指为完成合同约定的各项工作所需的设备、器具和其他物品，但不包括工程设备、临时工程和材料。</w:t>
      </w:r>
    </w:p>
    <w:p w14:paraId="412FF49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1.1.3.7施工现场：是指用于工程施工的场所，以及在专用合同条款中指明作为施工场所组成部分的其他场所，包括永久占地和临时占地。</w:t>
      </w:r>
    </w:p>
    <w:p w14:paraId="480ED9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1.1.3.8临时设施：是指为完成合同约定的各项工作所服务的临时性生产和生活设施。</w:t>
      </w:r>
    </w:p>
    <w:p w14:paraId="4998FB9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1.1.3.9永久占地：是指专用合同条款中指明为实施工程需永久占用的土地。</w:t>
      </w:r>
    </w:p>
    <w:p w14:paraId="1CE3877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1.1.3.10临时占地：是指专用合同条款中指明为实施工程需要临时占用的土地。</w:t>
      </w:r>
    </w:p>
    <w:p w14:paraId="0FBD536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1.1.4日期和期限</w:t>
      </w:r>
    </w:p>
    <w:p w14:paraId="7C1F0BB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1.1.4.1开工日期：包括计划开工日期和实际开工日期。计划开工日期是指合同协议书约定的开工日期；实际开工日期是指监理人按照第7.3.2项〔开工通知〕约定发出的符合法律规定的开工通知中载明的开工日期。</w:t>
      </w:r>
    </w:p>
    <w:p w14:paraId="15FC0B8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1.1.4.2竣工日期：包括计划竣工日期和实际竣工日期。计划竣工日期是指合同协议书约定的竣工日期；实际竣工日期按照第13.2.3项〔竣工日期〕的约定确定。</w:t>
      </w:r>
    </w:p>
    <w:p w14:paraId="3045944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1.1.4.3工期：是指在合同协议书约定的承包人完成工程所需的期限，包括按照合同约定所作的期限变更。</w:t>
      </w:r>
    </w:p>
    <w:p w14:paraId="655CA78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1.1.4.4缺陷责任期：是指承包人按照合同约定承担缺陷修复义务，且发包人预留质量保证金（已缴纳履约保证金的除外）的期限，自工程实际竣工日期起计算。</w:t>
      </w:r>
    </w:p>
    <w:p w14:paraId="2EE640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1.1.4.5保修期：是指承包人按照合同约定对工程承担保修责任的期限，从工程竣工验收合格之日起计算。</w:t>
      </w:r>
    </w:p>
    <w:p w14:paraId="48B59BA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1.1.4.6基准日期：招标发包的工程以投标截止日前28天的日期为基准日期，直接发包的工程以合同签订日前28天的日期为基准日期。</w:t>
      </w:r>
    </w:p>
    <w:p w14:paraId="3C2EA3F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1.1.4.7天：除特别指明外，均指日历天。合同中按天计算时间的，开始当天不计入，从次日开始计算，期限最后一天的截止时间为当天24：00时。</w:t>
      </w:r>
    </w:p>
    <w:p w14:paraId="56F0B9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1.1.5合同价格和费用</w:t>
      </w:r>
    </w:p>
    <w:p w14:paraId="17C1A2F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1.1.5.1签约合同价：是指发包人和承包人在合同协议书中确定的总金额，包括安全文明施工费、暂估价及暂列金额等。</w:t>
      </w:r>
    </w:p>
    <w:p w14:paraId="5F6710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1.1.5.2合同价格：是指发包人用于支付承包人按照合同约定完成承包范围内全部工作的金额，包括合同履行过程中按合同约定发生的价格变化。</w:t>
      </w:r>
    </w:p>
    <w:p w14:paraId="2F8451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1.1.5.3费用：是指为履行合同所发生的或将要发生的所有必需的开支，包括管理费和应分摊的其他费用，但不包括利润。</w:t>
      </w:r>
    </w:p>
    <w:p w14:paraId="0FC5F20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1.1.5.4暂估价：是指发包人在工程量清单或预算书中提供的用于支付必然发生但暂时不能确定价格的材料、工程设备的单价、专业工程以及服务工作的金额。</w:t>
      </w:r>
    </w:p>
    <w:p w14:paraId="7C31AA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1.1.5.5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339C2D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1.1.5.6计日工：是指合同履行过程中，承包人完成发包人提出的零星工作或需要采用计日工计价的变更工作时，按合同中约定的单价计价的一种方式。</w:t>
      </w:r>
    </w:p>
    <w:p w14:paraId="0A7832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1.1.5.7质量保证金：是指按照第15.3款〔质量保证金〕约定承包人用于保证其在缺陷责任期内履行缺陷修补义务的担保。</w:t>
      </w:r>
    </w:p>
    <w:p w14:paraId="280B767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1.1.5.8总价项目：是指在现行国家、行业以及地方的计量规则中无工程量计算规则，在已标价工程量清单或预算书中以总价或以费率形式计算的项目。</w:t>
      </w:r>
    </w:p>
    <w:p w14:paraId="6B37E38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1.1.6其他</w:t>
      </w:r>
    </w:p>
    <w:p w14:paraId="2DE917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1.1.6.1书面形式：是指合同文件、信函、电报、传真等可以有形地表现所载内容的形式。</w:t>
      </w:r>
    </w:p>
    <w:p w14:paraId="2AE25ACA">
      <w:pPr>
        <w:pStyle w:val="4"/>
        <w:spacing w:line="240" w:lineRule="auto"/>
        <w:rPr>
          <w:rFonts w:ascii="黑体" w:hAnsi="黑体"/>
          <w:color w:val="auto"/>
          <w:highlight w:val="none"/>
        </w:rPr>
      </w:pPr>
      <w:bookmarkStart w:id="43" w:name="_Toc217642155"/>
      <w:r>
        <w:rPr>
          <w:rFonts w:hint="eastAsia" w:ascii="黑体" w:hAnsi="黑体"/>
          <w:color w:val="auto"/>
          <w:highlight w:val="none"/>
        </w:rPr>
        <w:t>1.2语言文字</w:t>
      </w:r>
      <w:bookmarkEnd w:id="43"/>
    </w:p>
    <w:p w14:paraId="553FB7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合同以中国的汉语简体文字编写、解释和说明。合同当事人在专用合同条款中约定使用两种以上语言时，汉语为优先解释和说明合同的语言。</w:t>
      </w:r>
    </w:p>
    <w:p w14:paraId="349B6DCE">
      <w:pPr>
        <w:pStyle w:val="4"/>
        <w:spacing w:line="240" w:lineRule="auto"/>
        <w:rPr>
          <w:rFonts w:ascii="黑体" w:hAnsi="黑体"/>
          <w:color w:val="auto"/>
          <w:highlight w:val="none"/>
        </w:rPr>
      </w:pPr>
      <w:bookmarkStart w:id="44" w:name="_Toc217642156"/>
      <w:r>
        <w:rPr>
          <w:rFonts w:hint="eastAsia" w:ascii="黑体" w:hAnsi="黑体"/>
          <w:color w:val="auto"/>
          <w:highlight w:val="none"/>
        </w:rPr>
        <w:t>1.3法律</w:t>
      </w:r>
      <w:bookmarkEnd w:id="44"/>
    </w:p>
    <w:p w14:paraId="70D872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合同所称法律是指中华人民共和国法律、行政法规、部门规章，以及工程所在地的地方性法规、自治条例、单行条例和地方政府规章等。</w:t>
      </w:r>
    </w:p>
    <w:p w14:paraId="7FD9A3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合同当事人可以在专用合同条款中约定合同适用的其他规范性文件。</w:t>
      </w:r>
    </w:p>
    <w:p w14:paraId="211AD038">
      <w:pPr>
        <w:pStyle w:val="4"/>
        <w:spacing w:line="240" w:lineRule="auto"/>
        <w:rPr>
          <w:rFonts w:ascii="黑体" w:hAnsi="黑体"/>
          <w:color w:val="auto"/>
          <w:highlight w:val="none"/>
        </w:rPr>
      </w:pPr>
      <w:bookmarkStart w:id="45" w:name="_Toc217642157"/>
      <w:r>
        <w:rPr>
          <w:rFonts w:hint="eastAsia" w:ascii="黑体" w:hAnsi="黑体"/>
          <w:color w:val="auto"/>
          <w:highlight w:val="none"/>
        </w:rPr>
        <w:t>1.4标准和规范</w:t>
      </w:r>
      <w:bookmarkEnd w:id="45"/>
    </w:p>
    <w:p w14:paraId="1100E4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1.4.1适用于工程的国家标准、行业标准、工程所在地的地方性标准，以及相应的规范、规程等，合同当事人有特别要求的，应在专用合同条款中约定。</w:t>
      </w:r>
    </w:p>
    <w:p w14:paraId="2E51099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1.4.2发包人要求使用国外标准、规范的，发包人负责提供原文版本和中文译本，并在专用合同条款中约定提供标准规范的名称、份数和时间。</w:t>
      </w:r>
    </w:p>
    <w:p w14:paraId="533095F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1.4.3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636BCAF4">
      <w:pPr>
        <w:pStyle w:val="4"/>
        <w:spacing w:line="240" w:lineRule="auto"/>
        <w:rPr>
          <w:rFonts w:ascii="黑体" w:hAnsi="黑体"/>
          <w:color w:val="auto"/>
          <w:highlight w:val="none"/>
        </w:rPr>
      </w:pPr>
      <w:bookmarkStart w:id="46" w:name="_Toc217642158"/>
      <w:r>
        <w:rPr>
          <w:rFonts w:hint="eastAsia" w:ascii="黑体" w:hAnsi="黑体"/>
          <w:color w:val="auto"/>
          <w:highlight w:val="none"/>
        </w:rPr>
        <w:t>1.5合同文件的优先顺序</w:t>
      </w:r>
      <w:bookmarkEnd w:id="46"/>
    </w:p>
    <w:p w14:paraId="33DB03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组成合同的各项文件应互相解释，互为说明。除专用合同条款另有约定外，解释合同文件的优先顺序如下：</w:t>
      </w:r>
    </w:p>
    <w:p w14:paraId="32967A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（1）合同协议书；</w:t>
      </w:r>
    </w:p>
    <w:p w14:paraId="7DE36C4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eastAsia="宋体"/>
          <w:color w:val="auto"/>
          <w:szCs w:val="21"/>
          <w:highlight w:val="none"/>
        </w:rPr>
        <w:t>成交</w:t>
      </w:r>
      <w:r>
        <w:rPr>
          <w:rFonts w:hint="eastAsia" w:ascii="宋体" w:hAnsi="宋体"/>
          <w:color w:val="auto"/>
          <w:szCs w:val="21"/>
          <w:highlight w:val="none"/>
        </w:rPr>
        <w:t>通知书（如果有）；</w:t>
      </w:r>
    </w:p>
    <w:p w14:paraId="792824B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（3）响应函、响应报价表、最终报价表；</w:t>
      </w:r>
    </w:p>
    <w:p w14:paraId="258A3E7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（4）专用合同条款及其附件；</w:t>
      </w:r>
    </w:p>
    <w:p w14:paraId="10EB9A7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（5）通用合同条款；</w:t>
      </w:r>
    </w:p>
    <w:p w14:paraId="471A947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（6）技术标准和要求；</w:t>
      </w:r>
    </w:p>
    <w:p w14:paraId="6B0A526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（7）图纸；</w:t>
      </w:r>
    </w:p>
    <w:p w14:paraId="0EE19E8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（8）已标价工程量清单或预算书；</w:t>
      </w:r>
    </w:p>
    <w:p w14:paraId="5A8BD5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（9）其他合同文件。</w:t>
      </w:r>
    </w:p>
    <w:p w14:paraId="40B65AE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w:t>
      </w:r>
    </w:p>
    <w:p w14:paraId="560C58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在合同订立及履行过程中形成的与合同有关的文件均构成合同文件组成部分，并根据其性质确定优先解释顺序。</w:t>
      </w:r>
    </w:p>
    <w:p w14:paraId="499A44B2">
      <w:pPr>
        <w:pStyle w:val="4"/>
        <w:spacing w:line="240" w:lineRule="auto"/>
        <w:rPr>
          <w:rFonts w:ascii="黑体" w:hAnsi="黑体"/>
          <w:color w:val="auto"/>
          <w:highlight w:val="none"/>
        </w:rPr>
      </w:pPr>
      <w:bookmarkStart w:id="47" w:name="_Toc217642159"/>
      <w:r>
        <w:rPr>
          <w:rFonts w:hint="eastAsia" w:ascii="黑体" w:hAnsi="黑体"/>
          <w:color w:val="auto"/>
          <w:highlight w:val="none"/>
        </w:rPr>
        <w:t>1.6图纸和承包人文件</w:t>
      </w:r>
      <w:bookmarkEnd w:id="47"/>
    </w:p>
    <w:p w14:paraId="5EB5EED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1.6.1图纸的提供和交底</w:t>
      </w:r>
    </w:p>
    <w:p w14:paraId="0FB4CD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1B07AB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因发包人未按合同约定提供图纸导致承包人费用增加和（或）工期延误的，按照第7.5.1项〔因发包人原因导致工期延误〕约定办理。</w:t>
      </w:r>
    </w:p>
    <w:p w14:paraId="3FC338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1.6.2图纸的错误</w:t>
      </w:r>
    </w:p>
    <w:p w14:paraId="405B1E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3B21B2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1.6.3图纸的修改和补充</w:t>
      </w:r>
    </w:p>
    <w:p w14:paraId="7A1B7D6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1F227C5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1.6.4承包人文件</w:t>
      </w:r>
    </w:p>
    <w:p w14:paraId="72F9B46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承包人应按照专用合同条款的约定提供应当由其编制的与工程施工有关的文件，并按照专用合同条款约定的期限、数量和形式提交监理人，并由监理人报送发包人。</w:t>
      </w:r>
    </w:p>
    <w:p w14:paraId="71A5BE4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6389EC6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1.6.5图纸和承包人文件的保管</w:t>
      </w:r>
    </w:p>
    <w:p w14:paraId="2EAB82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除专用合同条款另有约定外，承包人应在施工现场另外保存一套完整的图纸和承包人文件，供发包人、监理人及有关人员进行工程检查时使用。</w:t>
      </w:r>
    </w:p>
    <w:p w14:paraId="5584DB93">
      <w:pPr>
        <w:pStyle w:val="4"/>
        <w:spacing w:line="240" w:lineRule="auto"/>
        <w:rPr>
          <w:rFonts w:ascii="黑体" w:hAnsi="黑体"/>
          <w:color w:val="auto"/>
          <w:highlight w:val="none"/>
        </w:rPr>
      </w:pPr>
      <w:bookmarkStart w:id="48" w:name="_Toc217642160"/>
      <w:r>
        <w:rPr>
          <w:rFonts w:hint="eastAsia" w:ascii="黑体" w:hAnsi="黑体"/>
          <w:color w:val="auto"/>
          <w:highlight w:val="none"/>
        </w:rPr>
        <w:t>1.7联络</w:t>
      </w:r>
      <w:bookmarkEnd w:id="48"/>
    </w:p>
    <w:p w14:paraId="5B3678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1.7.1与合同有关的通知、批准、证明、证书、指示、指令、要求、请求、同意、意见、确定和决定等，均应采用书面形式，并应在合同约定的期限内送达接收人和送达地点。</w:t>
      </w:r>
    </w:p>
    <w:p w14:paraId="4E94360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1.7.2发包人和承包人应在专用合同条款中约定各自的送达接收人和送达地点。任何一方合同当事人指定的接收人或送达地点发生变动的，应提前3天以书面形式通知对方。</w:t>
      </w:r>
    </w:p>
    <w:p w14:paraId="6CC2B9F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1.7.3发包人和承包人应当及时签收另一方送达至送达地点和指定接收人的来往信函。拒不签收的，由此增加的费用和（或）延误的工期由拒绝接收一方承担。</w:t>
      </w:r>
    </w:p>
    <w:p w14:paraId="175646DF">
      <w:pPr>
        <w:pStyle w:val="4"/>
        <w:spacing w:line="240" w:lineRule="auto"/>
        <w:rPr>
          <w:rFonts w:ascii="黑体" w:hAnsi="黑体"/>
          <w:color w:val="auto"/>
          <w:highlight w:val="none"/>
        </w:rPr>
      </w:pPr>
      <w:bookmarkStart w:id="49" w:name="_Toc217642161"/>
      <w:r>
        <w:rPr>
          <w:rFonts w:hint="eastAsia" w:ascii="黑体" w:hAnsi="黑体"/>
          <w:color w:val="auto"/>
          <w:highlight w:val="none"/>
        </w:rPr>
        <w:t>1.8严禁贿赂</w:t>
      </w:r>
      <w:bookmarkEnd w:id="49"/>
    </w:p>
    <w:p w14:paraId="383850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合同当事人不得以贿赂或变相贿赂的方式，谋取非法利益或损害对方权益。因一方合同当事人的贿赂造成对方损失的，应赔偿损失，并承担相应的法律责任。</w:t>
      </w:r>
    </w:p>
    <w:p w14:paraId="096890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1F70467B">
      <w:pPr>
        <w:pStyle w:val="4"/>
        <w:spacing w:line="240" w:lineRule="auto"/>
        <w:rPr>
          <w:rFonts w:ascii="黑体" w:hAnsi="黑体"/>
          <w:color w:val="auto"/>
          <w:highlight w:val="none"/>
        </w:rPr>
      </w:pPr>
      <w:bookmarkStart w:id="50" w:name="_Toc217642162"/>
      <w:r>
        <w:rPr>
          <w:rFonts w:hint="eastAsia" w:ascii="黑体" w:hAnsi="黑体"/>
          <w:color w:val="auto"/>
          <w:highlight w:val="none"/>
        </w:rPr>
        <w:t>1.9化石、文物</w:t>
      </w:r>
      <w:bookmarkEnd w:id="50"/>
    </w:p>
    <w:p w14:paraId="6488E89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21CA71A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发包人、监理人和承包人应按有关政府行政管理部门要求采取妥善的保护措施，由此增加的费用和（或）延误的工期由发包人承担。</w:t>
      </w:r>
    </w:p>
    <w:p w14:paraId="520E41F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承包人发现文物后不及时报告或隐瞒不报，致使文物丢失或损坏的，应赔偿损失，并承担相应的法律责任。</w:t>
      </w:r>
    </w:p>
    <w:p w14:paraId="2C76B6EC">
      <w:pPr>
        <w:pStyle w:val="4"/>
        <w:spacing w:line="240" w:lineRule="auto"/>
        <w:rPr>
          <w:rFonts w:ascii="黑体" w:hAnsi="黑体"/>
          <w:color w:val="auto"/>
          <w:highlight w:val="none"/>
        </w:rPr>
      </w:pPr>
      <w:bookmarkStart w:id="51" w:name="_Toc217642163"/>
      <w:r>
        <w:rPr>
          <w:rFonts w:hint="eastAsia" w:ascii="黑体" w:hAnsi="黑体"/>
          <w:color w:val="auto"/>
          <w:highlight w:val="none"/>
        </w:rPr>
        <w:t>1.10交通运输</w:t>
      </w:r>
      <w:bookmarkEnd w:id="51"/>
    </w:p>
    <w:p w14:paraId="49152B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1.10.1出入现场的权利</w:t>
      </w:r>
    </w:p>
    <w:p w14:paraId="202D8A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77F48D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3DE4C7D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1.10.2场外交通</w:t>
      </w:r>
    </w:p>
    <w:p w14:paraId="19DFAC1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183489D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1.10.3场内交通</w:t>
      </w:r>
    </w:p>
    <w:p w14:paraId="61C2D8A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759860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40E7D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场外交通和场内交通的边界由合同当事人在专用合同条款中约定。</w:t>
      </w:r>
    </w:p>
    <w:p w14:paraId="27D299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1.10.4超大件和超重件的运输</w:t>
      </w:r>
    </w:p>
    <w:p w14:paraId="1F896CE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5B987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1.10.5道路和桥梁的损坏责任</w:t>
      </w:r>
    </w:p>
    <w:p w14:paraId="5F668F6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因承包人运输造成施工场地内外公共道路和桥梁损坏的，由承包人承担修复损坏的全部费用和可能引起的赔偿。</w:t>
      </w:r>
    </w:p>
    <w:p w14:paraId="7778050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1.10.6水路和航空运输</w:t>
      </w:r>
    </w:p>
    <w:p w14:paraId="738809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4F612D99">
      <w:pPr>
        <w:pStyle w:val="4"/>
        <w:spacing w:line="240" w:lineRule="auto"/>
        <w:rPr>
          <w:rFonts w:ascii="黑体" w:hAnsi="黑体"/>
          <w:color w:val="auto"/>
          <w:highlight w:val="none"/>
        </w:rPr>
      </w:pPr>
      <w:bookmarkStart w:id="52" w:name="_Toc217642164"/>
      <w:r>
        <w:rPr>
          <w:rFonts w:hint="eastAsia" w:ascii="黑体" w:hAnsi="黑体"/>
          <w:color w:val="auto"/>
          <w:highlight w:val="none"/>
        </w:rPr>
        <w:t>1.11知识产权</w:t>
      </w:r>
      <w:bookmarkEnd w:id="52"/>
    </w:p>
    <w:p w14:paraId="2A0A65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1.11.1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9DE0A5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1.11.2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B8A94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214C63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1.11.4除专用合同条款另有约定外，承包人在合同签订前和签订时已确定采用的专利、专有技术、技术秘密的使用费已包含在签约合同价中。</w:t>
      </w:r>
    </w:p>
    <w:p w14:paraId="3603E076">
      <w:pPr>
        <w:pStyle w:val="4"/>
        <w:spacing w:line="240" w:lineRule="auto"/>
        <w:rPr>
          <w:rFonts w:ascii="黑体" w:hAnsi="黑体"/>
          <w:color w:val="auto"/>
          <w:highlight w:val="none"/>
        </w:rPr>
      </w:pPr>
      <w:bookmarkStart w:id="53" w:name="_Toc217642165"/>
      <w:r>
        <w:rPr>
          <w:rFonts w:hint="eastAsia" w:ascii="黑体" w:hAnsi="黑体"/>
          <w:color w:val="auto"/>
          <w:highlight w:val="none"/>
        </w:rPr>
        <w:t>1.12保密</w:t>
      </w:r>
      <w:bookmarkEnd w:id="53"/>
    </w:p>
    <w:p w14:paraId="676B551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除法律规定或合同另有约定外，未经发包人同意，承包人不得将发包人提供的图纸、文件以及声明需要保密的资料信息等商业秘密泄露给第三方。</w:t>
      </w:r>
    </w:p>
    <w:p w14:paraId="7464C6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除法律规定或合同另有约定外，未经承包人同意，发包人不得将承包人提供的技术秘密及声明需要保密的资料信息等商业秘密泄露给第三方。</w:t>
      </w:r>
    </w:p>
    <w:p w14:paraId="78E04C39">
      <w:pPr>
        <w:pStyle w:val="4"/>
        <w:spacing w:line="240" w:lineRule="auto"/>
        <w:rPr>
          <w:rFonts w:ascii="黑体" w:hAnsi="黑体"/>
          <w:color w:val="auto"/>
          <w:highlight w:val="none"/>
        </w:rPr>
      </w:pPr>
      <w:bookmarkStart w:id="54" w:name="_Toc217642166"/>
      <w:r>
        <w:rPr>
          <w:rFonts w:hint="eastAsia" w:ascii="黑体" w:hAnsi="黑体"/>
          <w:color w:val="auto"/>
          <w:highlight w:val="none"/>
        </w:rPr>
        <w:t>1.13工程量清单错误的修正</w:t>
      </w:r>
      <w:bookmarkEnd w:id="54"/>
    </w:p>
    <w:p w14:paraId="35B22D8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除专用合同条款另有约定外，发包人提供的工程量清单，应被认为是准确的和完整的。出现下列情形之一时，发包人应予以修正，并相应调整合同价格：</w:t>
      </w:r>
    </w:p>
    <w:p w14:paraId="575528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（1）工程量清单存在缺项、漏项的；</w:t>
      </w:r>
    </w:p>
    <w:p w14:paraId="52D19C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（2）工程量清单偏差超出专用合同条款约定的工程量偏差范围的；</w:t>
      </w:r>
    </w:p>
    <w:p w14:paraId="7671514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（3）未按照国家现行计量规范强制性规定计量的。</w:t>
      </w:r>
    </w:p>
    <w:p w14:paraId="70763367">
      <w:pPr>
        <w:pStyle w:val="3"/>
        <w:rPr>
          <w:rFonts w:ascii="黑体" w:hAnsi="黑体"/>
          <w:color w:val="auto"/>
          <w:highlight w:val="none"/>
        </w:rPr>
      </w:pPr>
      <w:bookmarkStart w:id="55" w:name="_Toc217642167"/>
      <w:r>
        <w:rPr>
          <w:rFonts w:hint="eastAsia" w:ascii="黑体" w:hAnsi="黑体"/>
          <w:color w:val="auto"/>
          <w:highlight w:val="none"/>
        </w:rPr>
        <w:t>2.发包人</w:t>
      </w:r>
      <w:bookmarkEnd w:id="55"/>
    </w:p>
    <w:p w14:paraId="31262A21">
      <w:pPr>
        <w:pStyle w:val="4"/>
        <w:spacing w:line="240" w:lineRule="auto"/>
        <w:rPr>
          <w:rFonts w:ascii="黑体" w:hAnsi="黑体"/>
          <w:color w:val="auto"/>
          <w:highlight w:val="none"/>
        </w:rPr>
      </w:pPr>
      <w:bookmarkStart w:id="56" w:name="_Toc217642168"/>
      <w:r>
        <w:rPr>
          <w:rFonts w:hint="eastAsia" w:ascii="黑体" w:hAnsi="黑体"/>
          <w:color w:val="auto"/>
          <w:highlight w:val="none"/>
        </w:rPr>
        <w:t>2.1许可或批准</w:t>
      </w:r>
      <w:bookmarkEnd w:id="56"/>
    </w:p>
    <w:p w14:paraId="43EB04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1C0A71F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因发包人原因未能及时办理完毕前述许可、批准或备案，由发包人承担由此增加的费用和（或）延误的工期，并支付承包人合理的利润。</w:t>
      </w:r>
    </w:p>
    <w:p w14:paraId="293CF941">
      <w:pPr>
        <w:pStyle w:val="4"/>
        <w:spacing w:line="240" w:lineRule="auto"/>
        <w:rPr>
          <w:rFonts w:ascii="黑体" w:hAnsi="黑体"/>
          <w:color w:val="auto"/>
          <w:highlight w:val="none"/>
        </w:rPr>
      </w:pPr>
      <w:bookmarkStart w:id="57" w:name="_Toc217642169"/>
      <w:r>
        <w:rPr>
          <w:rFonts w:hint="eastAsia" w:ascii="黑体" w:hAnsi="黑体"/>
          <w:color w:val="auto"/>
          <w:highlight w:val="none"/>
        </w:rPr>
        <w:t>2.2发包人代表</w:t>
      </w:r>
      <w:bookmarkEnd w:id="57"/>
    </w:p>
    <w:p w14:paraId="375242D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67BC8F4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发包人代表不能按照合同约定履行其职责及义务，并导致合同无法继续正常履行的，承包人可以要求发包人撤换发包人代表。</w:t>
      </w:r>
    </w:p>
    <w:p w14:paraId="33D4A7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不属于法定必须监理的工程，监理人的职权可以由发包人代表或发包人指定的其他人员行使。</w:t>
      </w:r>
    </w:p>
    <w:p w14:paraId="250938E9">
      <w:pPr>
        <w:pStyle w:val="4"/>
        <w:spacing w:line="240" w:lineRule="auto"/>
        <w:rPr>
          <w:rFonts w:ascii="黑体" w:hAnsi="黑体"/>
          <w:color w:val="auto"/>
          <w:highlight w:val="none"/>
        </w:rPr>
      </w:pPr>
      <w:bookmarkStart w:id="58" w:name="_Toc217642170"/>
      <w:r>
        <w:rPr>
          <w:rFonts w:hint="eastAsia" w:ascii="黑体" w:hAnsi="黑体"/>
          <w:color w:val="auto"/>
          <w:highlight w:val="none"/>
        </w:rPr>
        <w:t>2.3发包人人员</w:t>
      </w:r>
      <w:bookmarkEnd w:id="58"/>
    </w:p>
    <w:p w14:paraId="13882D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4030DE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发包人人员包括发包人代表及其他由发包人派驻施工现场的人员。</w:t>
      </w:r>
    </w:p>
    <w:p w14:paraId="7D32CE78">
      <w:pPr>
        <w:pStyle w:val="4"/>
        <w:spacing w:line="240" w:lineRule="auto"/>
        <w:rPr>
          <w:rFonts w:ascii="黑体" w:hAnsi="黑体"/>
          <w:color w:val="auto"/>
          <w:highlight w:val="none"/>
        </w:rPr>
      </w:pPr>
      <w:bookmarkStart w:id="59" w:name="_Toc217642171"/>
      <w:r>
        <w:rPr>
          <w:rFonts w:hint="eastAsia" w:ascii="黑体" w:hAnsi="黑体"/>
          <w:color w:val="auto"/>
          <w:highlight w:val="none"/>
        </w:rPr>
        <w:t>2.4施工现场、施工条件和基础资料的提供</w:t>
      </w:r>
      <w:bookmarkEnd w:id="59"/>
    </w:p>
    <w:p w14:paraId="1C9BDC9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2.4.1提供施工现场</w:t>
      </w:r>
    </w:p>
    <w:p w14:paraId="0348B6A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除专用合同条款另有约定外，发包人应最迟于开工日期7天前向承包人移交施工现场。</w:t>
      </w:r>
    </w:p>
    <w:p w14:paraId="5FA86C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2.4.2提供施工条件</w:t>
      </w:r>
    </w:p>
    <w:p w14:paraId="29B64D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除专用合同条款另有约定外，发包人应负责提供施工所需要的条件，包括：</w:t>
      </w:r>
    </w:p>
    <w:p w14:paraId="263ED83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（1）将施工用水、电力、通讯线路等施工所必需的条件接至施工现场内；</w:t>
      </w:r>
    </w:p>
    <w:p w14:paraId="518BBD5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（2）保证向承包人提供正常施工所需要的进入施工现场的交通条件；</w:t>
      </w:r>
    </w:p>
    <w:p w14:paraId="147A3FC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（3）协调处理施工现场周围地下管线和邻近建筑物、构筑物、古树名木的保护工作，并承担相关费用；</w:t>
      </w:r>
    </w:p>
    <w:p w14:paraId="39CC38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（4）按照专用合同条款约定应提供的其他设施和条件。</w:t>
      </w:r>
    </w:p>
    <w:p w14:paraId="05C856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2.4.3提供基础资料</w:t>
      </w:r>
    </w:p>
    <w:p w14:paraId="4611448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6D9411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按照法律规定确需在开工后方能提供的基础资料，发包人应尽其努力及时地在相应工程施工前的合理期限内提供，合理期限应以不影响承包人的正常施工为限。</w:t>
      </w:r>
    </w:p>
    <w:p w14:paraId="79FA2CE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2.4.4逾期提供的责任</w:t>
      </w:r>
    </w:p>
    <w:p w14:paraId="1E702C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因发包人原因未能按合同约定及时向承包人提供施工现场、施工条件、基础资料的，由发包人承担由此增加的费用和（或）延误的工期。</w:t>
      </w:r>
    </w:p>
    <w:p w14:paraId="7B633B4F">
      <w:pPr>
        <w:pStyle w:val="4"/>
        <w:spacing w:line="240" w:lineRule="auto"/>
        <w:rPr>
          <w:rFonts w:ascii="黑体" w:hAnsi="黑体"/>
          <w:color w:val="auto"/>
          <w:highlight w:val="none"/>
        </w:rPr>
      </w:pPr>
      <w:bookmarkStart w:id="60" w:name="_Toc217642172"/>
      <w:r>
        <w:rPr>
          <w:rFonts w:hint="eastAsia" w:ascii="黑体" w:hAnsi="黑体"/>
          <w:color w:val="auto"/>
          <w:highlight w:val="none"/>
        </w:rPr>
        <w:t>2.5资金来源证明及支付担保</w:t>
      </w:r>
      <w:bookmarkEnd w:id="60"/>
    </w:p>
    <w:p w14:paraId="7FEB028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除专用合同条款另有约定外，发包人应在收到承包人要求提供资金来源证明的书面通知后28天内，向承包人提供能够按照合同约定支付合同价款的相应资金来源证明。</w:t>
      </w:r>
    </w:p>
    <w:p w14:paraId="210A827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5C123694">
      <w:pPr>
        <w:pStyle w:val="4"/>
        <w:spacing w:line="240" w:lineRule="auto"/>
        <w:rPr>
          <w:rFonts w:ascii="黑体" w:hAnsi="黑体"/>
          <w:color w:val="auto"/>
          <w:highlight w:val="none"/>
        </w:rPr>
      </w:pPr>
      <w:bookmarkStart w:id="61" w:name="_Toc217642173"/>
      <w:r>
        <w:rPr>
          <w:rFonts w:hint="eastAsia" w:ascii="黑体" w:hAnsi="黑体"/>
          <w:color w:val="auto"/>
          <w:highlight w:val="none"/>
        </w:rPr>
        <w:t>2.6支付合同价款</w:t>
      </w:r>
      <w:bookmarkEnd w:id="61"/>
    </w:p>
    <w:p w14:paraId="41BA6F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发包人应按合同约定向承包人及时支付合同价款。</w:t>
      </w:r>
    </w:p>
    <w:p w14:paraId="17305859">
      <w:pPr>
        <w:pStyle w:val="4"/>
        <w:spacing w:line="240" w:lineRule="auto"/>
        <w:rPr>
          <w:rFonts w:ascii="黑体" w:hAnsi="黑体"/>
          <w:color w:val="auto"/>
          <w:highlight w:val="none"/>
        </w:rPr>
      </w:pPr>
      <w:bookmarkStart w:id="62" w:name="_Toc217642174"/>
      <w:r>
        <w:rPr>
          <w:rFonts w:hint="eastAsia" w:ascii="黑体" w:hAnsi="黑体"/>
          <w:color w:val="auto"/>
          <w:highlight w:val="none"/>
        </w:rPr>
        <w:t>2.7组织竣工验收</w:t>
      </w:r>
      <w:bookmarkEnd w:id="62"/>
    </w:p>
    <w:p w14:paraId="559602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发包人应按合同约定及时组织竣工验收。</w:t>
      </w:r>
    </w:p>
    <w:p w14:paraId="64E99671">
      <w:pPr>
        <w:pStyle w:val="4"/>
        <w:spacing w:line="240" w:lineRule="auto"/>
        <w:rPr>
          <w:rFonts w:ascii="黑体" w:hAnsi="黑体"/>
          <w:color w:val="auto"/>
          <w:highlight w:val="none"/>
        </w:rPr>
      </w:pPr>
      <w:bookmarkStart w:id="63" w:name="_Toc217642175"/>
      <w:r>
        <w:rPr>
          <w:rFonts w:hint="eastAsia" w:ascii="黑体" w:hAnsi="黑体"/>
          <w:color w:val="auto"/>
          <w:highlight w:val="none"/>
        </w:rPr>
        <w:t>2.8现场统一管理协议</w:t>
      </w:r>
      <w:bookmarkEnd w:id="63"/>
    </w:p>
    <w:p w14:paraId="0B73E0A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发包人应与承包人、由发包人直接发包的专业工程的承包人签订施工现场统一管理协议，明确各方的权利义务。施工现场统一管理协议作为专用合同条款的附件。</w:t>
      </w:r>
    </w:p>
    <w:p w14:paraId="4EC45A28">
      <w:pPr>
        <w:pStyle w:val="3"/>
        <w:rPr>
          <w:rFonts w:ascii="黑体" w:hAnsi="黑体"/>
          <w:color w:val="auto"/>
          <w:highlight w:val="none"/>
        </w:rPr>
      </w:pPr>
      <w:bookmarkStart w:id="64" w:name="_Toc217642176"/>
      <w:r>
        <w:rPr>
          <w:rFonts w:hint="eastAsia" w:ascii="黑体" w:hAnsi="黑体"/>
          <w:color w:val="auto"/>
          <w:highlight w:val="none"/>
        </w:rPr>
        <w:t>3.承包人</w:t>
      </w:r>
      <w:bookmarkEnd w:id="64"/>
    </w:p>
    <w:p w14:paraId="6718B87A">
      <w:pPr>
        <w:pStyle w:val="4"/>
        <w:spacing w:line="240" w:lineRule="auto"/>
        <w:rPr>
          <w:rFonts w:ascii="黑体" w:hAnsi="黑体"/>
          <w:color w:val="auto"/>
          <w:highlight w:val="none"/>
        </w:rPr>
      </w:pPr>
      <w:bookmarkStart w:id="65" w:name="_Toc217642177"/>
      <w:r>
        <w:rPr>
          <w:rFonts w:hint="eastAsia" w:ascii="黑体" w:hAnsi="黑体"/>
          <w:color w:val="auto"/>
          <w:highlight w:val="none"/>
        </w:rPr>
        <w:t>3.1承包人的一般义务</w:t>
      </w:r>
      <w:bookmarkEnd w:id="65"/>
    </w:p>
    <w:p w14:paraId="0281426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承包人在履行合同过程中应遵守法律和工程建设标准规范，并履行以下义务：</w:t>
      </w:r>
    </w:p>
    <w:p w14:paraId="4E15242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（1）办理法律规定应由承包人办理的许可和批准，并将办理结果书面报送发包人留存；</w:t>
      </w:r>
    </w:p>
    <w:p w14:paraId="5470F9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（2）按法律规定和合同约定完成工程，并在保修期内承担保修义务；</w:t>
      </w:r>
    </w:p>
    <w:p w14:paraId="29702E9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（3）按法律规定和合同约定采取施工安全和环境保护措施，办理工伤保险，确保工程及人员、材料、设备和设施的安全；</w:t>
      </w:r>
    </w:p>
    <w:p w14:paraId="51ED64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（4）按合同约定的工作内容和施工进度要求，编制施工组织设计和施工措施计划，并对所有施工作业和施工方法的完备性和安全可靠性负责；</w:t>
      </w:r>
    </w:p>
    <w:p w14:paraId="3624EA2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896469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（6）按照第6.3款〔环境保护〕约定负责施工场地及其周边环境与生态的保护工作；</w:t>
      </w:r>
    </w:p>
    <w:p w14:paraId="61612A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（7）按照第6.1款〔安全文明施工〕约定采取施工安全措施，确保工程及其人员、材料、设备和设施的安全，防止因工程施工造成的人身伤害和财产损失；</w:t>
      </w:r>
    </w:p>
    <w:p w14:paraId="3577709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（8）将发包人按合同约定支付的各项价款专用于合同工程，且应及时支付其雇用人员工资，并及时向分包人支付合同价款；</w:t>
      </w:r>
    </w:p>
    <w:p w14:paraId="73D1F7F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（9）按照法律规定和合同约定编制竣工资料，完成竣工资料立卷及归档，并按专用合同条款约定的竣工资料的套数、内容、时间等要求移交发包人；</w:t>
      </w:r>
    </w:p>
    <w:p w14:paraId="7CAF48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（10）应履行的其他义务。</w:t>
      </w:r>
    </w:p>
    <w:p w14:paraId="1AB125AA">
      <w:pPr>
        <w:pStyle w:val="4"/>
        <w:spacing w:line="240" w:lineRule="auto"/>
        <w:rPr>
          <w:rFonts w:ascii="黑体" w:hAnsi="黑体"/>
          <w:color w:val="auto"/>
          <w:highlight w:val="none"/>
        </w:rPr>
      </w:pPr>
      <w:bookmarkStart w:id="66" w:name="_Toc217642178"/>
      <w:r>
        <w:rPr>
          <w:rFonts w:hint="eastAsia" w:ascii="黑体" w:hAnsi="黑体"/>
          <w:color w:val="auto"/>
          <w:highlight w:val="none"/>
        </w:rPr>
        <w:t>3.2项目经理</w:t>
      </w:r>
      <w:bookmarkEnd w:id="66"/>
    </w:p>
    <w:p w14:paraId="24565F5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5AAB51B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31F4C02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承包人违反上述约定的，应按照专用合同条款的约定，承担违约责任。</w:t>
      </w:r>
    </w:p>
    <w:p w14:paraId="6D3A082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015ABB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75672A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45D6A6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3.2.5项目经理因特殊情况授权其下属人员履行其某项工作职责的，该下属人员应具备履行相应职责的能力，并应提前7天将上述人员的姓名和授权范围书面通知监理人，并征得发包人书面同意。</w:t>
      </w:r>
    </w:p>
    <w:p w14:paraId="5BB58232">
      <w:pPr>
        <w:pStyle w:val="4"/>
        <w:spacing w:line="240" w:lineRule="auto"/>
        <w:rPr>
          <w:rFonts w:ascii="黑体" w:hAnsi="黑体"/>
          <w:color w:val="auto"/>
          <w:highlight w:val="none"/>
        </w:rPr>
      </w:pPr>
      <w:bookmarkStart w:id="67" w:name="_Toc217642179"/>
      <w:r>
        <w:rPr>
          <w:rFonts w:hint="eastAsia" w:ascii="黑体" w:hAnsi="黑体"/>
          <w:color w:val="auto"/>
          <w:highlight w:val="none"/>
        </w:rPr>
        <w:t>3.3承包人人员</w:t>
      </w:r>
      <w:bookmarkEnd w:id="67"/>
    </w:p>
    <w:p w14:paraId="038C34C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3.3.1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4C64F8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63E458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特殊工种作业人员均应持有相应的资格证明，监理人可以随时检查。</w:t>
      </w:r>
    </w:p>
    <w:p w14:paraId="794F6AC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5F9F29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B1028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3.3.5承包人擅自更换主要施工管理人员，或前述人员未经监理人或发包人同意擅自离开施工现场的，应按照专用合同条款约定承担违约责任。</w:t>
      </w:r>
    </w:p>
    <w:p w14:paraId="2893529B">
      <w:pPr>
        <w:pStyle w:val="4"/>
        <w:spacing w:line="240" w:lineRule="auto"/>
        <w:rPr>
          <w:rFonts w:ascii="黑体" w:hAnsi="黑体"/>
          <w:color w:val="auto"/>
          <w:highlight w:val="none"/>
        </w:rPr>
      </w:pPr>
      <w:bookmarkStart w:id="68" w:name="_Toc217642180"/>
      <w:r>
        <w:rPr>
          <w:rFonts w:hint="eastAsia" w:ascii="黑体" w:hAnsi="黑体"/>
          <w:color w:val="auto"/>
          <w:highlight w:val="none"/>
        </w:rPr>
        <w:t>3.4承包人现场查勘</w:t>
      </w:r>
      <w:bookmarkEnd w:id="68"/>
    </w:p>
    <w:p w14:paraId="5C1113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承包人应对基于发包人按照第2.4.3项〔提供基础资料〕提交的基础资料所做出的解释和推断负责，但因基础资料存在错误、遗漏导致承包人解释或推断失实的，由发包人承担责任。</w:t>
      </w:r>
    </w:p>
    <w:p w14:paraId="61DA6D4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81E5D57">
      <w:pPr>
        <w:pStyle w:val="4"/>
        <w:spacing w:line="240" w:lineRule="auto"/>
        <w:rPr>
          <w:rFonts w:ascii="黑体" w:hAnsi="黑体"/>
          <w:color w:val="auto"/>
          <w:highlight w:val="none"/>
        </w:rPr>
      </w:pPr>
      <w:bookmarkStart w:id="69" w:name="_Toc217642181"/>
      <w:r>
        <w:rPr>
          <w:rFonts w:hint="eastAsia" w:ascii="黑体" w:hAnsi="黑体"/>
          <w:color w:val="auto"/>
          <w:highlight w:val="none"/>
        </w:rPr>
        <w:t>3.5分包</w:t>
      </w:r>
      <w:bookmarkEnd w:id="69"/>
    </w:p>
    <w:p w14:paraId="373133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3.5.1分包的一般约定</w:t>
      </w:r>
    </w:p>
    <w:p w14:paraId="39DBCE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694A1A4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承包人不得以劳务分包的名义转包或违法分包工程。</w:t>
      </w:r>
    </w:p>
    <w:p w14:paraId="6D06AB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3.5.2分包的确定</w:t>
      </w:r>
    </w:p>
    <w:p w14:paraId="3ACB39B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22B6727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3.5.3分包管理</w:t>
      </w:r>
    </w:p>
    <w:p w14:paraId="11BF6BB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承包人应向监理人提交分包人的主要施工管理人员表，并对分包人的施工人员进行实名制管理，包括但不限于进出场管理、登记造册以及各种证照的办理。</w:t>
      </w:r>
    </w:p>
    <w:p w14:paraId="2EE8B4A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3.5.4分包合同价款</w:t>
      </w:r>
    </w:p>
    <w:p w14:paraId="5FF8C5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（1）除本项第（2）目约定的情况或专用合同条款另有约定外，分包合同价款由承包人与分包人结算，未经承包人同意，发包人不得向分包人支付分包工程价款；</w:t>
      </w:r>
    </w:p>
    <w:p w14:paraId="7500F9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（2）生效法律文书要求发包人向分包人支付分包合同价款的，发包人有权从应付承包人工程款中扣除该部分款项。</w:t>
      </w:r>
    </w:p>
    <w:p w14:paraId="4A2CA04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3.5.5分包合同权益的转让</w:t>
      </w:r>
    </w:p>
    <w:p w14:paraId="3485911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082ADAD0">
      <w:pPr>
        <w:pStyle w:val="4"/>
        <w:spacing w:line="240" w:lineRule="auto"/>
        <w:rPr>
          <w:rFonts w:ascii="黑体" w:hAnsi="黑体"/>
          <w:color w:val="auto"/>
          <w:highlight w:val="none"/>
        </w:rPr>
      </w:pPr>
      <w:bookmarkStart w:id="70" w:name="_Toc217642182"/>
      <w:r>
        <w:rPr>
          <w:rFonts w:hint="eastAsia" w:ascii="黑体" w:hAnsi="黑体"/>
          <w:color w:val="auto"/>
          <w:highlight w:val="none"/>
        </w:rPr>
        <w:t>3.6工程照管与成品、半成品保护</w:t>
      </w:r>
      <w:bookmarkEnd w:id="70"/>
    </w:p>
    <w:p w14:paraId="4D70E25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（1）除专用合同条款另有约定外，自发包人向承包人移交施工现场之日起，承包人应负责照管工程及工程相关的材料、工程设备，直到颁发工程接收证书之日止。</w:t>
      </w:r>
    </w:p>
    <w:p w14:paraId="0FA9848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（2）在承包人负责照管期间，因承包人原因造成工程、材料、工程设备损坏的，由承包人负责修复或更换，并承担由此增加的费用和（或）延误的工期。</w:t>
      </w:r>
    </w:p>
    <w:p w14:paraId="3D0A155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706EB806">
      <w:pPr>
        <w:pStyle w:val="4"/>
        <w:spacing w:line="240" w:lineRule="auto"/>
        <w:rPr>
          <w:rFonts w:ascii="黑体" w:hAnsi="黑体"/>
          <w:color w:val="auto"/>
          <w:highlight w:val="none"/>
        </w:rPr>
      </w:pPr>
      <w:bookmarkStart w:id="71" w:name="_Toc217642183"/>
      <w:r>
        <w:rPr>
          <w:rFonts w:hint="eastAsia" w:ascii="黑体" w:hAnsi="黑体"/>
          <w:color w:val="auto"/>
          <w:highlight w:val="none"/>
        </w:rPr>
        <w:t>3.7履约担保</w:t>
      </w:r>
      <w:bookmarkEnd w:id="71"/>
    </w:p>
    <w:p w14:paraId="08C076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6624610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因承包人原因导致工期延长的，继续提供履约担保所增加的费用由承包人承担；非因承包人原因导致工期延长的，继续提供履约担保所增加的费用由发包人承担。</w:t>
      </w:r>
    </w:p>
    <w:p w14:paraId="35B38492">
      <w:pPr>
        <w:pStyle w:val="4"/>
        <w:spacing w:line="240" w:lineRule="auto"/>
        <w:rPr>
          <w:rFonts w:ascii="黑体" w:hAnsi="黑体"/>
          <w:color w:val="auto"/>
          <w:highlight w:val="none"/>
        </w:rPr>
      </w:pPr>
      <w:bookmarkStart w:id="72" w:name="_Toc217642184"/>
      <w:r>
        <w:rPr>
          <w:rFonts w:hint="eastAsia" w:ascii="黑体" w:hAnsi="黑体"/>
          <w:color w:val="auto"/>
          <w:highlight w:val="none"/>
        </w:rPr>
        <w:t>3.8联合体</w:t>
      </w:r>
      <w:bookmarkEnd w:id="72"/>
    </w:p>
    <w:p w14:paraId="054FEF8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3.8.1联合体各方应共同与发包人签订合同协议书。联合体各方应为履行合同向发包人承担连带责任。</w:t>
      </w:r>
    </w:p>
    <w:p w14:paraId="41B07E5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3.8.2联合体协议经发包人确认后作为合同附件。在履行合同过程中，未经发包人同意，不得修改联合体协议。</w:t>
      </w:r>
    </w:p>
    <w:p w14:paraId="5247B9D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3.8.3联合体牵头人负责与发包人和监理人联系，并接受指示，负责组织联合体各成员全面履行合同。</w:t>
      </w:r>
    </w:p>
    <w:p w14:paraId="0A034F84">
      <w:pPr>
        <w:pStyle w:val="3"/>
        <w:rPr>
          <w:rFonts w:ascii="黑体" w:hAnsi="黑体"/>
          <w:color w:val="auto"/>
          <w:highlight w:val="none"/>
        </w:rPr>
      </w:pPr>
      <w:bookmarkStart w:id="73" w:name="_Toc217642185"/>
      <w:r>
        <w:rPr>
          <w:rFonts w:hint="eastAsia" w:ascii="黑体" w:hAnsi="黑体"/>
          <w:color w:val="auto"/>
          <w:highlight w:val="none"/>
        </w:rPr>
        <w:t>4.监理人</w:t>
      </w:r>
      <w:bookmarkEnd w:id="73"/>
    </w:p>
    <w:p w14:paraId="38EAE712">
      <w:pPr>
        <w:pStyle w:val="4"/>
        <w:spacing w:line="240" w:lineRule="auto"/>
        <w:rPr>
          <w:rFonts w:ascii="黑体" w:hAnsi="黑体"/>
          <w:color w:val="auto"/>
          <w:highlight w:val="none"/>
        </w:rPr>
      </w:pPr>
      <w:bookmarkStart w:id="74" w:name="_Toc217642186"/>
      <w:r>
        <w:rPr>
          <w:rFonts w:hint="eastAsia" w:ascii="黑体" w:hAnsi="黑体"/>
          <w:color w:val="auto"/>
          <w:highlight w:val="none"/>
        </w:rPr>
        <w:t>4.1监理人的一般规定</w:t>
      </w:r>
      <w:bookmarkEnd w:id="74"/>
    </w:p>
    <w:p w14:paraId="311C1CF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D02CC2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除专用合同条款另有约定外，监理人在施工现场的办公场所、生活场所由承包人提供，所发生的费用由发包人承担。</w:t>
      </w:r>
    </w:p>
    <w:p w14:paraId="6BF12A57">
      <w:pPr>
        <w:pStyle w:val="4"/>
        <w:spacing w:line="240" w:lineRule="auto"/>
        <w:rPr>
          <w:rFonts w:ascii="黑体" w:hAnsi="黑体"/>
          <w:color w:val="auto"/>
          <w:highlight w:val="none"/>
        </w:rPr>
      </w:pPr>
      <w:bookmarkStart w:id="75" w:name="_Toc217642187"/>
      <w:r>
        <w:rPr>
          <w:rFonts w:hint="eastAsia" w:ascii="黑体" w:hAnsi="黑体"/>
          <w:color w:val="auto"/>
          <w:highlight w:val="none"/>
        </w:rPr>
        <w:t>4.2监理人员</w:t>
      </w:r>
      <w:bookmarkEnd w:id="75"/>
    </w:p>
    <w:p w14:paraId="291379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11E4D88D">
      <w:pPr>
        <w:pStyle w:val="4"/>
        <w:spacing w:line="240" w:lineRule="auto"/>
        <w:rPr>
          <w:rFonts w:ascii="黑体" w:hAnsi="黑体"/>
          <w:color w:val="auto"/>
          <w:highlight w:val="none"/>
        </w:rPr>
      </w:pPr>
      <w:bookmarkStart w:id="76" w:name="_Toc217642188"/>
      <w:r>
        <w:rPr>
          <w:rFonts w:hint="eastAsia" w:ascii="黑体" w:hAnsi="黑体"/>
          <w:color w:val="auto"/>
          <w:highlight w:val="none"/>
        </w:rPr>
        <w:t>4.3监理人的指示</w:t>
      </w:r>
      <w:bookmarkEnd w:id="76"/>
    </w:p>
    <w:p w14:paraId="14C58A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5D8DEB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12622C3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承包人对监理人发出的指示有疑问的，应向监理人提出书面异议，监理人应在48小时内对该指示予以确认、更改或撤销，监理人逾期未回复的，承包人有权拒绝执行上述指示。</w:t>
      </w:r>
    </w:p>
    <w:p w14:paraId="516882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345D6A8B">
      <w:pPr>
        <w:pStyle w:val="4"/>
        <w:spacing w:line="240" w:lineRule="auto"/>
        <w:rPr>
          <w:rFonts w:ascii="黑体" w:hAnsi="黑体"/>
          <w:color w:val="auto"/>
          <w:highlight w:val="none"/>
        </w:rPr>
      </w:pPr>
      <w:bookmarkStart w:id="77" w:name="_Toc217642189"/>
      <w:r>
        <w:rPr>
          <w:rFonts w:hint="eastAsia" w:ascii="黑体" w:hAnsi="黑体"/>
          <w:color w:val="auto"/>
          <w:highlight w:val="none"/>
        </w:rPr>
        <w:t>4.4商定或确定</w:t>
      </w:r>
      <w:bookmarkEnd w:id="77"/>
    </w:p>
    <w:p w14:paraId="34943AC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合同当事人进行商定或确定时，总监理工程师应当会同合同当事人尽量通过协商达成一致，不能达成一致的，由总监理工程师按照合同约定审慎做出公正的确定。</w:t>
      </w:r>
    </w:p>
    <w:p w14:paraId="5E76CAC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10F3FF7B">
      <w:pPr>
        <w:pStyle w:val="3"/>
        <w:rPr>
          <w:rFonts w:ascii="黑体" w:hAnsi="黑体"/>
          <w:color w:val="auto"/>
          <w:highlight w:val="none"/>
        </w:rPr>
      </w:pPr>
      <w:bookmarkStart w:id="78" w:name="_Toc217642190"/>
      <w:r>
        <w:rPr>
          <w:rFonts w:hint="eastAsia" w:ascii="黑体" w:hAnsi="黑体"/>
          <w:color w:val="auto"/>
          <w:highlight w:val="none"/>
        </w:rPr>
        <w:t>5.工程质量</w:t>
      </w:r>
      <w:bookmarkEnd w:id="78"/>
    </w:p>
    <w:p w14:paraId="7F774163">
      <w:pPr>
        <w:pStyle w:val="4"/>
        <w:spacing w:line="240" w:lineRule="auto"/>
        <w:rPr>
          <w:rFonts w:ascii="黑体" w:hAnsi="黑体"/>
          <w:color w:val="auto"/>
          <w:highlight w:val="none"/>
        </w:rPr>
      </w:pPr>
      <w:bookmarkStart w:id="79" w:name="_Toc217642191"/>
      <w:r>
        <w:rPr>
          <w:rFonts w:hint="eastAsia" w:ascii="黑体" w:hAnsi="黑体"/>
          <w:color w:val="auto"/>
          <w:highlight w:val="none"/>
        </w:rPr>
        <w:t>5.1质量要求</w:t>
      </w:r>
      <w:bookmarkEnd w:id="79"/>
    </w:p>
    <w:p w14:paraId="129A15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5.1.1工程质量标准必须符合现行国家有关工程施工质量验收规范和标准的要求。有关工程质量的特殊标准或要求由合同当事人在专用合同条款中约定。</w:t>
      </w:r>
    </w:p>
    <w:p w14:paraId="421FCF9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5.1.2因发包人原因造成工程质量未达到合同约定标准的，由发包人承担由此增加的费用和（或）延误的工期，并支付承包人合理的利润。</w:t>
      </w:r>
    </w:p>
    <w:p w14:paraId="629633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5.1.3因承包人原因造成工程质量未达到合同约定标准的，发包人有权要求承包人返工直至工程质量达到合同约定的标准为止，并由承包人承担由此增加的费用和（或）延误的工期。</w:t>
      </w:r>
    </w:p>
    <w:p w14:paraId="795C80BF">
      <w:pPr>
        <w:pStyle w:val="4"/>
        <w:spacing w:line="240" w:lineRule="auto"/>
        <w:rPr>
          <w:rFonts w:ascii="黑体" w:hAnsi="黑体"/>
          <w:color w:val="auto"/>
          <w:highlight w:val="none"/>
        </w:rPr>
      </w:pPr>
      <w:bookmarkStart w:id="80" w:name="_Toc217642192"/>
      <w:r>
        <w:rPr>
          <w:rFonts w:hint="eastAsia" w:ascii="黑体" w:hAnsi="黑体"/>
          <w:color w:val="auto"/>
          <w:highlight w:val="none"/>
        </w:rPr>
        <w:t>5.2质量保证措施</w:t>
      </w:r>
      <w:bookmarkEnd w:id="80"/>
    </w:p>
    <w:p w14:paraId="644857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5.2.1发包人的质量管理</w:t>
      </w:r>
    </w:p>
    <w:p w14:paraId="7115B6E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发包人应按照法律规定及合同约定完成与工程质量有关的各项工作。</w:t>
      </w:r>
    </w:p>
    <w:p w14:paraId="1C4928C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5.2.2承包人的质量管理</w:t>
      </w:r>
    </w:p>
    <w:p w14:paraId="055F6C8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75668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承包人应对施工人员进行质量教育和技术培训，定期考核施工人员的劳动技能，严格执行施工规范和操作规程。</w:t>
      </w:r>
    </w:p>
    <w:p w14:paraId="158C677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189BBD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5.2.3监理人的质量检查和检验</w:t>
      </w:r>
    </w:p>
    <w:p w14:paraId="38531CC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0CE7CCE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21BA267B">
      <w:pPr>
        <w:pStyle w:val="4"/>
        <w:spacing w:line="240" w:lineRule="auto"/>
        <w:rPr>
          <w:rFonts w:ascii="黑体" w:hAnsi="黑体"/>
          <w:color w:val="auto"/>
          <w:highlight w:val="none"/>
        </w:rPr>
      </w:pPr>
      <w:bookmarkStart w:id="81" w:name="_Toc217642193"/>
      <w:r>
        <w:rPr>
          <w:rFonts w:hint="eastAsia" w:ascii="黑体" w:hAnsi="黑体"/>
          <w:color w:val="auto"/>
          <w:highlight w:val="none"/>
        </w:rPr>
        <w:t>5.3隐蔽工程检查</w:t>
      </w:r>
      <w:bookmarkEnd w:id="81"/>
    </w:p>
    <w:p w14:paraId="6DF8CD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5.3.1承包人自检</w:t>
      </w:r>
    </w:p>
    <w:p w14:paraId="22BD6D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承包人应当对工程隐蔽部位进行自检，并经自检确认是否具备覆盖条件。</w:t>
      </w:r>
    </w:p>
    <w:p w14:paraId="249674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5.3.2检查程序</w:t>
      </w:r>
    </w:p>
    <w:p w14:paraId="209CDC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64F984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5347279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5B64D8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5.3.3重新检查</w:t>
      </w:r>
    </w:p>
    <w:p w14:paraId="780435D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586AE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5.3.4承包人私自覆盖</w:t>
      </w:r>
    </w:p>
    <w:p w14:paraId="4BCC267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7631861D">
      <w:pPr>
        <w:pStyle w:val="4"/>
        <w:spacing w:line="240" w:lineRule="auto"/>
        <w:rPr>
          <w:rFonts w:ascii="黑体" w:hAnsi="黑体"/>
          <w:color w:val="auto"/>
          <w:highlight w:val="none"/>
        </w:rPr>
      </w:pPr>
      <w:bookmarkStart w:id="82" w:name="_Toc217642194"/>
      <w:r>
        <w:rPr>
          <w:rFonts w:hint="eastAsia" w:ascii="黑体" w:hAnsi="黑体"/>
          <w:color w:val="auto"/>
          <w:highlight w:val="none"/>
        </w:rPr>
        <w:t>5.4不合格工程的处理</w:t>
      </w:r>
      <w:bookmarkEnd w:id="82"/>
    </w:p>
    <w:p w14:paraId="0D6F21F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5.4.1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14:paraId="6FE9AF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5.4.2因发包人原因造成工程不合格的，由此增加的费用和（或）延误的工期由发包人承担，并支付承包人合理的利润。</w:t>
      </w:r>
    </w:p>
    <w:p w14:paraId="56030652">
      <w:pPr>
        <w:pStyle w:val="4"/>
        <w:spacing w:line="240" w:lineRule="auto"/>
        <w:rPr>
          <w:rFonts w:ascii="黑体" w:hAnsi="黑体"/>
          <w:color w:val="auto"/>
          <w:highlight w:val="none"/>
        </w:rPr>
      </w:pPr>
      <w:bookmarkStart w:id="83" w:name="_Toc217642195"/>
      <w:r>
        <w:rPr>
          <w:rFonts w:hint="eastAsia" w:ascii="黑体" w:hAnsi="黑体"/>
          <w:color w:val="auto"/>
          <w:highlight w:val="none"/>
        </w:rPr>
        <w:t>5.5质量争议检测</w:t>
      </w:r>
      <w:bookmarkEnd w:id="83"/>
    </w:p>
    <w:p w14:paraId="32FD9C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合同当事人对工程质量有争议的，由双方协商确定的工程质量检测机构鉴定，由此产生的费用及因此造成的损失，由责任方承担。</w:t>
      </w:r>
    </w:p>
    <w:p w14:paraId="327ACB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合同当事人均有责任的，由双方根据其责任分别承担。合同当事人无法达成一致的，按照第4.4款〔商定或确定〕执行。</w:t>
      </w:r>
    </w:p>
    <w:p w14:paraId="7E5E7E41">
      <w:pPr>
        <w:pStyle w:val="3"/>
        <w:rPr>
          <w:rFonts w:ascii="黑体" w:hAnsi="黑体"/>
          <w:color w:val="auto"/>
          <w:highlight w:val="none"/>
        </w:rPr>
      </w:pPr>
      <w:bookmarkStart w:id="84" w:name="_Toc217642196"/>
      <w:r>
        <w:rPr>
          <w:rFonts w:hint="eastAsia" w:ascii="黑体" w:hAnsi="黑体"/>
          <w:color w:val="auto"/>
          <w:highlight w:val="none"/>
        </w:rPr>
        <w:t>6.安全文明施工与环境保护</w:t>
      </w:r>
      <w:bookmarkEnd w:id="84"/>
    </w:p>
    <w:p w14:paraId="28C7AEDF">
      <w:pPr>
        <w:pStyle w:val="4"/>
        <w:spacing w:line="240" w:lineRule="auto"/>
        <w:rPr>
          <w:rFonts w:ascii="黑体" w:hAnsi="黑体"/>
          <w:color w:val="auto"/>
          <w:highlight w:val="none"/>
        </w:rPr>
      </w:pPr>
      <w:bookmarkStart w:id="85" w:name="_Toc217642197"/>
      <w:r>
        <w:rPr>
          <w:rFonts w:hint="eastAsia" w:ascii="黑体" w:hAnsi="黑体"/>
          <w:color w:val="auto"/>
          <w:highlight w:val="none"/>
        </w:rPr>
        <w:t>6.1安全文明施工</w:t>
      </w:r>
      <w:bookmarkEnd w:id="85"/>
    </w:p>
    <w:p w14:paraId="63F475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6.1.1安全生产要求</w:t>
      </w:r>
    </w:p>
    <w:p w14:paraId="364E07E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52ECEF9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369CA61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因安全生产需要暂停施工的，按照第7.8款〔暂停施工〕的约定执行。</w:t>
      </w:r>
    </w:p>
    <w:p w14:paraId="43EE8A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6.1.2安全生产保证措施</w:t>
      </w:r>
    </w:p>
    <w:p w14:paraId="1891659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221A340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6.1.3特别安全生产事项</w:t>
      </w:r>
    </w:p>
    <w:p w14:paraId="5F1A67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1960C22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承包人在动力设备、输电线路、地下管道、密封防震车间、易燃易爆地段以及临街交通要道附近施工时，施工开始前应向发包人和监理人提出安全防护措施，经发包人认可后实施。</w:t>
      </w:r>
    </w:p>
    <w:p w14:paraId="6EEE36E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1D7D241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需单独编制危险性较大分部分项专项工程施工方案的，及要求进行专家论证的超过一定规模的危险性较大的分部分项工程，承包人应及时编制和组织论证。</w:t>
      </w:r>
    </w:p>
    <w:p w14:paraId="50D480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6.1.4治安保卫</w:t>
      </w:r>
    </w:p>
    <w:p w14:paraId="38F9264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除专用合同条款另有约定外，发包人应与当地公安部门协商，在现场建立治安管理机构或联防组织，统一管理施工场地的治安保卫事项，履行合同工程的治安保卫职责。</w:t>
      </w:r>
    </w:p>
    <w:p w14:paraId="758C9B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发包人和承包人除应协助现场治安管理机构或联防组织维护施工场地的社会治安外，还应做好包括生活区在内的各自管辖区的治安保卫工作。</w:t>
      </w:r>
    </w:p>
    <w:p w14:paraId="5735227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561ED4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6.1.5文明施工</w:t>
      </w:r>
    </w:p>
    <w:p w14:paraId="423041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0F1C812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9D6B1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6.1.6安全文明施工费</w:t>
      </w:r>
    </w:p>
    <w:p w14:paraId="0640D54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安全文明施工费由发包人承担，发包人不得以任何形式扣减该部分费用。因基准日期后合同所适用的法律或政府有关规定发生变化，增加的安全文明施工费由发包人承担。</w:t>
      </w:r>
    </w:p>
    <w:p w14:paraId="6BD690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CF1F3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58A35D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601953A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6.1.7紧急情况处理</w:t>
      </w:r>
    </w:p>
    <w:p w14:paraId="071E55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9ECE8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6.1.8事故处理</w:t>
      </w:r>
    </w:p>
    <w:p w14:paraId="43FAE7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28F496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6.1.9安全生产责任</w:t>
      </w:r>
    </w:p>
    <w:p w14:paraId="799AB9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6.1.9.1发包人的安全责任</w:t>
      </w:r>
    </w:p>
    <w:p w14:paraId="0C63B2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发包人应负责赔偿以下各种情况造成的损失：</w:t>
      </w:r>
    </w:p>
    <w:p w14:paraId="67C7FD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（1）工程或工程的任何部分对土地的占用所造成的第三者财产损失；</w:t>
      </w:r>
    </w:p>
    <w:p w14:paraId="4A5A24D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（2）由于发包人原因在施工场地及其毗邻地带造成的第三者人身伤亡和财产损失；</w:t>
      </w:r>
    </w:p>
    <w:p w14:paraId="5CC0025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（3）由于发包人原因对承包人、监理人造成的人员人身伤亡和财产损失；</w:t>
      </w:r>
    </w:p>
    <w:p w14:paraId="21DD73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（4）由于发包人原因造成的发包人自身人员的人身伤害以及财产损失。</w:t>
      </w:r>
    </w:p>
    <w:p w14:paraId="4C7EB4D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6.1.9.2承包人的安全责任</w:t>
      </w:r>
    </w:p>
    <w:p w14:paraId="14A22D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由于承包人原因在施工场地内及其毗邻地带造成的发包人、监理人以及第三者人员伤亡和财产损失，由承包人负责赔偿。</w:t>
      </w:r>
    </w:p>
    <w:p w14:paraId="4A3C00B1">
      <w:pPr>
        <w:pStyle w:val="4"/>
        <w:spacing w:line="240" w:lineRule="auto"/>
        <w:rPr>
          <w:rFonts w:ascii="黑体" w:hAnsi="黑体"/>
          <w:color w:val="auto"/>
          <w:highlight w:val="none"/>
        </w:rPr>
      </w:pPr>
      <w:bookmarkStart w:id="86" w:name="_Toc217642198"/>
      <w:r>
        <w:rPr>
          <w:rFonts w:hint="eastAsia" w:ascii="黑体" w:hAnsi="黑体"/>
          <w:color w:val="auto"/>
          <w:highlight w:val="none"/>
        </w:rPr>
        <w:t>6.2职业健康</w:t>
      </w:r>
      <w:bookmarkEnd w:id="86"/>
    </w:p>
    <w:p w14:paraId="5881E71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6.2.1劳动保护</w:t>
      </w:r>
    </w:p>
    <w:p w14:paraId="2059B4E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4969DD6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7756012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1F87AC3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6.2.2生活条件</w:t>
      </w:r>
    </w:p>
    <w:p w14:paraId="4DE5FD5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w:t>
      </w:r>
    </w:p>
    <w:p w14:paraId="27D9BC95">
      <w:pPr>
        <w:pStyle w:val="4"/>
        <w:spacing w:line="240" w:lineRule="auto"/>
        <w:rPr>
          <w:rFonts w:ascii="黑体" w:hAnsi="黑体"/>
          <w:color w:val="auto"/>
          <w:highlight w:val="none"/>
        </w:rPr>
      </w:pPr>
      <w:bookmarkStart w:id="87" w:name="_Toc217642199"/>
      <w:r>
        <w:rPr>
          <w:rFonts w:hint="eastAsia" w:ascii="黑体" w:hAnsi="黑体"/>
          <w:color w:val="auto"/>
          <w:highlight w:val="none"/>
        </w:rPr>
        <w:t>6.3环境保护</w:t>
      </w:r>
      <w:bookmarkEnd w:id="87"/>
    </w:p>
    <w:p w14:paraId="2D9FA0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BEEED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承包人应当承担因其原因引起的环境污染侵权损害赔偿责任，因上述环境污染引起纠纷而导致暂停施工的，由此增加的费用和（或）延误的工期由承包人承担。</w:t>
      </w:r>
    </w:p>
    <w:p w14:paraId="13AA7D3A">
      <w:pPr>
        <w:pStyle w:val="3"/>
        <w:rPr>
          <w:rFonts w:ascii="黑体" w:hAnsi="黑体"/>
          <w:color w:val="auto"/>
          <w:highlight w:val="none"/>
        </w:rPr>
      </w:pPr>
      <w:bookmarkStart w:id="88" w:name="_Toc217642200"/>
      <w:r>
        <w:rPr>
          <w:rFonts w:hint="eastAsia" w:ascii="黑体" w:hAnsi="黑体"/>
          <w:color w:val="auto"/>
          <w:highlight w:val="none"/>
        </w:rPr>
        <w:t>7.工期和进度</w:t>
      </w:r>
      <w:bookmarkEnd w:id="88"/>
    </w:p>
    <w:p w14:paraId="66D54442">
      <w:pPr>
        <w:pStyle w:val="4"/>
        <w:spacing w:line="240" w:lineRule="auto"/>
        <w:rPr>
          <w:rFonts w:ascii="黑体" w:hAnsi="黑体"/>
          <w:color w:val="auto"/>
          <w:highlight w:val="none"/>
        </w:rPr>
      </w:pPr>
      <w:bookmarkStart w:id="89" w:name="_Toc217642201"/>
      <w:r>
        <w:rPr>
          <w:rFonts w:hint="eastAsia" w:ascii="黑体" w:hAnsi="黑体"/>
          <w:color w:val="auto"/>
          <w:highlight w:val="none"/>
        </w:rPr>
        <w:t>7.1施工组织设计</w:t>
      </w:r>
      <w:bookmarkEnd w:id="89"/>
    </w:p>
    <w:p w14:paraId="179FED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7.1.1施工组织设计的内容</w:t>
      </w:r>
    </w:p>
    <w:p w14:paraId="792019C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施工组织设计应包含以下内容：</w:t>
      </w:r>
    </w:p>
    <w:p w14:paraId="71AC6DC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（1）施工方案；</w:t>
      </w:r>
    </w:p>
    <w:p w14:paraId="3303BC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（2）施工现场平面布置图；</w:t>
      </w:r>
    </w:p>
    <w:p w14:paraId="62240A3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（3）施工进度计划和保证措施；</w:t>
      </w:r>
    </w:p>
    <w:p w14:paraId="7EA661A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（4）劳动力及材料供应计划；</w:t>
      </w:r>
    </w:p>
    <w:p w14:paraId="4160BD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（5）施工机械设备的选用；</w:t>
      </w:r>
    </w:p>
    <w:p w14:paraId="4869123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（6）质量保证体系及措施；</w:t>
      </w:r>
    </w:p>
    <w:p w14:paraId="1A6A97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（7）安全生产、文明施工措施；</w:t>
      </w:r>
    </w:p>
    <w:p w14:paraId="7A155A4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（8）环境保护、成本控制措施；</w:t>
      </w:r>
    </w:p>
    <w:p w14:paraId="05AC81B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（9）合同当事人约定的其他内容。</w:t>
      </w:r>
    </w:p>
    <w:p w14:paraId="4BE7C3B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7.1.2施工组织设计的提交和修改</w:t>
      </w:r>
    </w:p>
    <w:p w14:paraId="571790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361B9BB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施工进度计划的编制和修改按照第7.2款〔施工进度计划〕执行。</w:t>
      </w:r>
    </w:p>
    <w:p w14:paraId="36617DDE">
      <w:pPr>
        <w:pStyle w:val="4"/>
        <w:spacing w:line="240" w:lineRule="auto"/>
        <w:rPr>
          <w:rFonts w:ascii="黑体" w:hAnsi="黑体"/>
          <w:color w:val="auto"/>
          <w:highlight w:val="none"/>
        </w:rPr>
      </w:pPr>
      <w:bookmarkStart w:id="90" w:name="_Toc217642202"/>
      <w:r>
        <w:rPr>
          <w:rFonts w:hint="eastAsia" w:ascii="黑体" w:hAnsi="黑体"/>
          <w:color w:val="auto"/>
          <w:highlight w:val="none"/>
        </w:rPr>
        <w:t>7.2施工进度计划</w:t>
      </w:r>
      <w:bookmarkEnd w:id="90"/>
    </w:p>
    <w:p w14:paraId="4A95D0A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7.2.1施工进度计划的编制</w:t>
      </w:r>
    </w:p>
    <w:p w14:paraId="28139E5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3E2C15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7.2.2施工进度计划的修订</w:t>
      </w:r>
    </w:p>
    <w:p w14:paraId="63E69C5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74D16FCE">
      <w:pPr>
        <w:pStyle w:val="4"/>
        <w:spacing w:line="240" w:lineRule="auto"/>
        <w:rPr>
          <w:rFonts w:ascii="黑体" w:hAnsi="黑体"/>
          <w:color w:val="auto"/>
          <w:highlight w:val="none"/>
        </w:rPr>
      </w:pPr>
      <w:bookmarkStart w:id="91" w:name="_Toc217642203"/>
      <w:r>
        <w:rPr>
          <w:rFonts w:hint="eastAsia" w:ascii="黑体" w:hAnsi="黑体"/>
          <w:color w:val="auto"/>
          <w:highlight w:val="none"/>
        </w:rPr>
        <w:t>7.3开工</w:t>
      </w:r>
      <w:bookmarkEnd w:id="91"/>
    </w:p>
    <w:p w14:paraId="0CB9FB3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7.3.1开工准备</w:t>
      </w:r>
    </w:p>
    <w:p w14:paraId="44FCDC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F4520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除专用合同条款另有约定外，合同当事人应按约定完成开工准备工作。</w:t>
      </w:r>
    </w:p>
    <w:p w14:paraId="4D7DFF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7.3.2开工通知</w:t>
      </w:r>
    </w:p>
    <w:p w14:paraId="1AB2CF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4B0F74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46DD565F">
      <w:pPr>
        <w:pStyle w:val="4"/>
        <w:spacing w:line="240" w:lineRule="auto"/>
        <w:rPr>
          <w:rFonts w:ascii="黑体" w:hAnsi="黑体"/>
          <w:color w:val="auto"/>
          <w:highlight w:val="none"/>
        </w:rPr>
      </w:pPr>
      <w:bookmarkStart w:id="92" w:name="_Toc217642204"/>
      <w:r>
        <w:rPr>
          <w:rFonts w:hint="eastAsia" w:ascii="黑体" w:hAnsi="黑体"/>
          <w:color w:val="auto"/>
          <w:highlight w:val="none"/>
        </w:rPr>
        <w:t>7.4测量放线</w:t>
      </w:r>
      <w:bookmarkEnd w:id="92"/>
    </w:p>
    <w:p w14:paraId="53BF06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7.4.1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56C46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1E3937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7.4.2承包人负责施工过程中的全部施工测量放线工作，并配置具有相应资质的人员、合格的仪器、设备和其他物品。承包人应矫正工程的位置、标高、尺寸或准线中出现的任何差错，并对工程各部分的定位负责。</w:t>
      </w:r>
    </w:p>
    <w:p w14:paraId="49E749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施工过程中对施工现场内水准点等测量标志物的保护工作由承包人负责。</w:t>
      </w:r>
    </w:p>
    <w:p w14:paraId="7EEB1F07">
      <w:pPr>
        <w:pStyle w:val="4"/>
        <w:spacing w:line="240" w:lineRule="auto"/>
        <w:rPr>
          <w:rFonts w:ascii="黑体" w:hAnsi="黑体"/>
          <w:color w:val="auto"/>
          <w:highlight w:val="none"/>
        </w:rPr>
      </w:pPr>
      <w:bookmarkStart w:id="93" w:name="_Toc217642205"/>
      <w:r>
        <w:rPr>
          <w:rFonts w:hint="eastAsia" w:ascii="黑体" w:hAnsi="黑体"/>
          <w:color w:val="auto"/>
          <w:highlight w:val="none"/>
        </w:rPr>
        <w:t>7.5工期延误</w:t>
      </w:r>
      <w:bookmarkEnd w:id="93"/>
    </w:p>
    <w:p w14:paraId="3046B85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7.5.1因发包人原因导致工期延误</w:t>
      </w:r>
    </w:p>
    <w:p w14:paraId="4761888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在合同履行过程中，因下列情况导致工期延误和（或）费用增加的，由发包人承担由此延误的工期和（或）增加的费用，且发包人应支付承包人合理的利润：</w:t>
      </w:r>
    </w:p>
    <w:p w14:paraId="76CDED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（1）发包人未能按合同约定提供图纸或所提供图纸不符合合同约定的；</w:t>
      </w:r>
    </w:p>
    <w:p w14:paraId="45569B8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（2）发包人未能按合同约定提供施工现场、施工条件、基础资料、许可、批准等开工条件的；</w:t>
      </w:r>
    </w:p>
    <w:p w14:paraId="1837FA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（3）发包人提供的测量基准点、基准线和水准点及其书面资料存在错误或疏漏的；</w:t>
      </w:r>
    </w:p>
    <w:p w14:paraId="4BA6E6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（4）发包人未能在计划开工日期之日起7天内同意下达开工通知的；</w:t>
      </w:r>
    </w:p>
    <w:p w14:paraId="36C973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（5）发包人未能按合同约定日期支付工程预付款、进度款或竣工结算款的；</w:t>
      </w:r>
    </w:p>
    <w:p w14:paraId="3F865B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（6）监理人未按合同约定发出指示、批准等文件的；</w:t>
      </w:r>
    </w:p>
    <w:p w14:paraId="14EF5A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（7）专用合同条款中约定的其他情形。</w:t>
      </w:r>
    </w:p>
    <w:p w14:paraId="5210645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4A9A3EA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7.5.2因承包人原因导致工期延误</w:t>
      </w:r>
    </w:p>
    <w:p w14:paraId="1616D2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因承包人原因造成工期延误的，可以在专用合同条款中约定逾期竣工违约金的计算方法和逾期竣工违约金的上限。承包人支付逾期竣工违约金后，不免除承包人继续完成工程及修补缺陷的义务。</w:t>
      </w:r>
    </w:p>
    <w:p w14:paraId="5584394E">
      <w:pPr>
        <w:pStyle w:val="4"/>
        <w:spacing w:line="240" w:lineRule="auto"/>
        <w:rPr>
          <w:rFonts w:ascii="黑体" w:hAnsi="黑体"/>
          <w:color w:val="auto"/>
          <w:highlight w:val="none"/>
        </w:rPr>
      </w:pPr>
      <w:bookmarkStart w:id="94" w:name="_Toc217642206"/>
      <w:r>
        <w:rPr>
          <w:rFonts w:hint="eastAsia" w:ascii="黑体" w:hAnsi="黑体"/>
          <w:color w:val="auto"/>
          <w:highlight w:val="none"/>
        </w:rPr>
        <w:t>7.6不利物质条件</w:t>
      </w:r>
      <w:bookmarkEnd w:id="94"/>
    </w:p>
    <w:p w14:paraId="2EB140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50C6D42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5AAF008B">
      <w:pPr>
        <w:pStyle w:val="4"/>
        <w:spacing w:line="240" w:lineRule="auto"/>
        <w:rPr>
          <w:rFonts w:ascii="黑体" w:hAnsi="黑体"/>
          <w:color w:val="auto"/>
          <w:highlight w:val="none"/>
        </w:rPr>
      </w:pPr>
      <w:bookmarkStart w:id="95" w:name="_Toc217642207"/>
      <w:r>
        <w:rPr>
          <w:rFonts w:hint="eastAsia" w:ascii="黑体" w:hAnsi="黑体"/>
          <w:color w:val="auto"/>
          <w:highlight w:val="none"/>
        </w:rPr>
        <w:t>7.7异常恶劣的气候条件</w:t>
      </w:r>
      <w:bookmarkEnd w:id="95"/>
    </w:p>
    <w:p w14:paraId="048C957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2E419A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3F9E7966">
      <w:pPr>
        <w:pStyle w:val="4"/>
        <w:spacing w:line="240" w:lineRule="auto"/>
        <w:rPr>
          <w:rFonts w:ascii="黑体" w:hAnsi="黑体"/>
          <w:color w:val="auto"/>
          <w:highlight w:val="none"/>
        </w:rPr>
      </w:pPr>
      <w:bookmarkStart w:id="96" w:name="_Toc217642208"/>
      <w:r>
        <w:rPr>
          <w:rFonts w:hint="eastAsia" w:ascii="黑体" w:hAnsi="黑体"/>
          <w:color w:val="auto"/>
          <w:highlight w:val="none"/>
        </w:rPr>
        <w:t>7.8暂停施工</w:t>
      </w:r>
      <w:bookmarkEnd w:id="96"/>
    </w:p>
    <w:p w14:paraId="4298B93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7.8.1发包人原因引起的暂停施工</w:t>
      </w:r>
    </w:p>
    <w:p w14:paraId="7C6B9D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因发包人原因引起暂停施工的，监理人经发包人同意后，应及时下达暂停施工指示。情况紧急且监理人未及时下达暂停施工指示的，按照第7.8.4项〔紧急情况下的暂停施工〕执行。</w:t>
      </w:r>
    </w:p>
    <w:p w14:paraId="4EB951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因发包人原因引起的暂停施工，发包人应承担由此增加的费用和（或）延误的工期，并支付承包人合理的利润。</w:t>
      </w:r>
    </w:p>
    <w:p w14:paraId="4EB8CD9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7.8.2承包人原因引起的暂停施工</w:t>
      </w:r>
    </w:p>
    <w:p w14:paraId="6B421F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461354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7.8.3指示暂停施工</w:t>
      </w:r>
    </w:p>
    <w:p w14:paraId="26206C3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监理人认为有必要时，并经发包人批准后，可向承包人作出暂停施工的指示，承包人应按监理人指示暂停施工。</w:t>
      </w:r>
    </w:p>
    <w:p w14:paraId="5E69137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7.8.4紧急情况下的暂停施工</w:t>
      </w:r>
    </w:p>
    <w:p w14:paraId="63C33D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689E1A3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7.8.5暂停施工后的复工</w:t>
      </w:r>
    </w:p>
    <w:p w14:paraId="0BD18E9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664EF8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承包人无故拖延和拒绝复工的，承包人承担由此增加的费用和（或）延误的工期；因发包人原因无法按时复工的，按照第7.5.1项〔因发包人原因导致工期延误〕约定办理。</w:t>
      </w:r>
    </w:p>
    <w:p w14:paraId="2DCD001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7.8.6暂停施工持续56天以上</w:t>
      </w:r>
    </w:p>
    <w:p w14:paraId="2DC9A5C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713AC55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E8EF0E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7.8.7暂停施工期间的工程照管</w:t>
      </w:r>
    </w:p>
    <w:p w14:paraId="2B5CFFD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暂停施工期间，承包人应负责妥善照管工程并提供安全保障，由此增加的费用由责任方承担。</w:t>
      </w:r>
    </w:p>
    <w:p w14:paraId="06C5683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7.8.8暂停施工的措施</w:t>
      </w:r>
    </w:p>
    <w:p w14:paraId="09306A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暂停施工期间，发包人和承包人均应采取必要的措施确保工程质量及安全，防止因暂停施工扩大损失。</w:t>
      </w:r>
    </w:p>
    <w:p w14:paraId="406685F9">
      <w:pPr>
        <w:pStyle w:val="4"/>
        <w:spacing w:line="240" w:lineRule="auto"/>
        <w:rPr>
          <w:rFonts w:ascii="黑体" w:hAnsi="黑体"/>
          <w:color w:val="auto"/>
          <w:highlight w:val="none"/>
        </w:rPr>
      </w:pPr>
      <w:bookmarkStart w:id="97" w:name="_Toc217642209"/>
      <w:r>
        <w:rPr>
          <w:rFonts w:hint="eastAsia" w:ascii="黑体" w:hAnsi="黑体"/>
          <w:color w:val="auto"/>
          <w:highlight w:val="none"/>
        </w:rPr>
        <w:t>7.9提前竣工</w:t>
      </w:r>
      <w:bookmarkEnd w:id="97"/>
    </w:p>
    <w:p w14:paraId="0AAB5F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70BF303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7.9.2发包人要求承包人提前竣工，或承包人提出提前竣工的建议能够给发包人带来效益的，合同当事人可以在专用合同条款中约定提前竣工的奖励。</w:t>
      </w:r>
    </w:p>
    <w:p w14:paraId="337141A9">
      <w:pPr>
        <w:pStyle w:val="3"/>
        <w:rPr>
          <w:rFonts w:ascii="黑体" w:hAnsi="黑体"/>
          <w:color w:val="auto"/>
          <w:highlight w:val="none"/>
        </w:rPr>
      </w:pPr>
      <w:bookmarkStart w:id="98" w:name="_Toc217642210"/>
      <w:r>
        <w:rPr>
          <w:rFonts w:hint="eastAsia" w:ascii="黑体" w:hAnsi="黑体"/>
          <w:color w:val="auto"/>
          <w:highlight w:val="none"/>
        </w:rPr>
        <w:t>8.材料与设备</w:t>
      </w:r>
      <w:bookmarkEnd w:id="98"/>
    </w:p>
    <w:p w14:paraId="7CE27315">
      <w:pPr>
        <w:pStyle w:val="4"/>
        <w:spacing w:line="240" w:lineRule="auto"/>
        <w:rPr>
          <w:rFonts w:ascii="黑体" w:hAnsi="黑体"/>
          <w:color w:val="auto"/>
          <w:highlight w:val="none"/>
        </w:rPr>
      </w:pPr>
      <w:bookmarkStart w:id="99" w:name="_Toc217642211"/>
      <w:r>
        <w:rPr>
          <w:rFonts w:hint="eastAsia" w:ascii="黑体" w:hAnsi="黑体"/>
          <w:color w:val="auto"/>
          <w:highlight w:val="none"/>
        </w:rPr>
        <w:t>8.1发包人供应材料与工程设备</w:t>
      </w:r>
      <w:bookmarkEnd w:id="99"/>
    </w:p>
    <w:p w14:paraId="4B065C8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发包人自行供应材料、工程设备的，应在签订合同时在专用合同条款的附件《发包人供应材料设备一览表》中明确材料、工程设备的品种、规格、型号、数量、单价、质量等级和送达地点。</w:t>
      </w:r>
    </w:p>
    <w:p w14:paraId="0247D18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0DC33277">
      <w:pPr>
        <w:pStyle w:val="4"/>
        <w:spacing w:line="240" w:lineRule="auto"/>
        <w:rPr>
          <w:rFonts w:ascii="黑体" w:hAnsi="黑体"/>
          <w:color w:val="auto"/>
          <w:highlight w:val="none"/>
        </w:rPr>
      </w:pPr>
      <w:bookmarkStart w:id="100" w:name="_Toc217642212"/>
      <w:r>
        <w:rPr>
          <w:rFonts w:hint="eastAsia" w:ascii="黑体" w:hAnsi="黑体"/>
          <w:color w:val="auto"/>
          <w:highlight w:val="none"/>
        </w:rPr>
        <w:t>8.2承包人采购材料与工程设备</w:t>
      </w:r>
      <w:bookmarkEnd w:id="100"/>
    </w:p>
    <w:p w14:paraId="0C49CA2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7B8D4E2">
      <w:pPr>
        <w:pStyle w:val="4"/>
        <w:spacing w:line="240" w:lineRule="auto"/>
        <w:rPr>
          <w:rFonts w:ascii="黑体" w:hAnsi="黑体"/>
          <w:color w:val="auto"/>
          <w:highlight w:val="none"/>
        </w:rPr>
      </w:pPr>
      <w:bookmarkStart w:id="101" w:name="_Toc217642213"/>
      <w:r>
        <w:rPr>
          <w:rFonts w:hint="eastAsia" w:ascii="黑体" w:hAnsi="黑体"/>
          <w:color w:val="auto"/>
          <w:highlight w:val="none"/>
        </w:rPr>
        <w:t>8.3材料与工程设备的接收与拒收</w:t>
      </w:r>
      <w:bookmarkEnd w:id="101"/>
    </w:p>
    <w:p w14:paraId="63D8A5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8.3.1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CA9660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发包人提供的材料和工程设备的规格、数量或质量不符合合同约定的，或因发包人原因导致交货日期延误或交货地点变更等情况的，按照第16.1款〔发包人违约〕约定办理。</w:t>
      </w:r>
    </w:p>
    <w:p w14:paraId="1EB0607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8.3.2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51C3D1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0F912D66">
      <w:pPr>
        <w:pStyle w:val="4"/>
        <w:spacing w:line="240" w:lineRule="auto"/>
        <w:rPr>
          <w:rFonts w:ascii="黑体" w:hAnsi="黑体"/>
          <w:color w:val="auto"/>
          <w:highlight w:val="none"/>
        </w:rPr>
      </w:pPr>
      <w:bookmarkStart w:id="102" w:name="_Toc217642214"/>
      <w:r>
        <w:rPr>
          <w:rFonts w:hint="eastAsia" w:ascii="黑体" w:hAnsi="黑体"/>
          <w:color w:val="auto"/>
          <w:highlight w:val="none"/>
        </w:rPr>
        <w:t>8.4材料与工程设备的保管与使用</w:t>
      </w:r>
      <w:bookmarkEnd w:id="102"/>
    </w:p>
    <w:p w14:paraId="33408A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8.4.1发包人供应材料与工程设备的保管与使用</w:t>
      </w:r>
    </w:p>
    <w:p w14:paraId="3AD2759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BDC26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发包人供应的材料和工程设备使用前，由承包人负责检验，检验费用由发包人承担，不合格的不得使用。</w:t>
      </w:r>
    </w:p>
    <w:p w14:paraId="3BC225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8.4.2承包人采购材料与工程设备的保管与使用</w:t>
      </w:r>
    </w:p>
    <w:p w14:paraId="3DC2B7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2D8CE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78872DC7">
      <w:pPr>
        <w:pStyle w:val="4"/>
        <w:spacing w:line="240" w:lineRule="auto"/>
        <w:rPr>
          <w:rFonts w:ascii="黑体" w:hAnsi="黑体"/>
          <w:color w:val="auto"/>
          <w:highlight w:val="none"/>
        </w:rPr>
      </w:pPr>
      <w:bookmarkStart w:id="103" w:name="_Toc217642215"/>
      <w:r>
        <w:rPr>
          <w:rFonts w:hint="eastAsia" w:ascii="黑体" w:hAnsi="黑体"/>
          <w:color w:val="auto"/>
          <w:highlight w:val="none"/>
        </w:rPr>
        <w:t>8.5禁止使用不合格的材料和工程设备</w:t>
      </w:r>
      <w:bookmarkEnd w:id="103"/>
    </w:p>
    <w:p w14:paraId="6BBC201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8.5.1监理人有权拒绝承包人提供的不合格材料或工程设备，并要求承包人立即进行更换。监理人应在更换后再次进行检查和检验，由此增加的费用和（或）延误的工期由承包人承担。</w:t>
      </w:r>
    </w:p>
    <w:p w14:paraId="390CC69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8.5.2监理人发现承包人使用了不合格的材料和工程设备，承包人应按照监理人的指示立即改正，并禁止在工程中继续使用不合格的材料和工程设备。</w:t>
      </w:r>
    </w:p>
    <w:p w14:paraId="40317B9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8.5.3发包人提供的材料或工程设备不符合合同要求的，承包人有权拒绝，并可要求发包人更换，由此增加的费用和（或）延误的工期由发包人承担，并支付承包人合理的利润。</w:t>
      </w:r>
    </w:p>
    <w:p w14:paraId="57007E44">
      <w:pPr>
        <w:pStyle w:val="4"/>
        <w:spacing w:line="240" w:lineRule="auto"/>
        <w:rPr>
          <w:rFonts w:ascii="黑体" w:hAnsi="黑体"/>
          <w:color w:val="auto"/>
          <w:highlight w:val="none"/>
        </w:rPr>
      </w:pPr>
      <w:bookmarkStart w:id="104" w:name="_Toc217642216"/>
      <w:r>
        <w:rPr>
          <w:rFonts w:hint="eastAsia" w:ascii="黑体" w:hAnsi="黑体"/>
          <w:color w:val="auto"/>
          <w:highlight w:val="none"/>
        </w:rPr>
        <w:t>8.6样品</w:t>
      </w:r>
      <w:bookmarkEnd w:id="104"/>
    </w:p>
    <w:p w14:paraId="561318E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8.6.1样品的报送与封存</w:t>
      </w:r>
    </w:p>
    <w:p w14:paraId="084056B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需要承包人报送样品的材料或工程设备，样品的种类、名称、规格、数量等要求均应在专用合同条款中约定。样品的报送程序如下：</w:t>
      </w:r>
    </w:p>
    <w:p w14:paraId="6154C5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13B3D0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088BBE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（3）经发包人和监理人审批确认的样品应按约定的方法封样，封存的样品作为检验工程相关部分的标准之一。承包人在施工过程中不得使用与样品不符的材料或工程设备。</w:t>
      </w:r>
    </w:p>
    <w:p w14:paraId="0F4B18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246452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8.6.2样品的保管</w:t>
      </w:r>
    </w:p>
    <w:p w14:paraId="391AD00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经批准的样品应由监理人负责封存于现场，承包人应在现场为保存样品提供适当和固定的场所并保持适当和良好的存储环境条件。</w:t>
      </w:r>
    </w:p>
    <w:p w14:paraId="66802D94">
      <w:pPr>
        <w:pStyle w:val="4"/>
        <w:spacing w:line="240" w:lineRule="auto"/>
        <w:rPr>
          <w:rFonts w:ascii="黑体" w:hAnsi="黑体"/>
          <w:color w:val="auto"/>
          <w:highlight w:val="none"/>
        </w:rPr>
      </w:pPr>
      <w:bookmarkStart w:id="105" w:name="_Toc217642217"/>
      <w:r>
        <w:rPr>
          <w:rFonts w:hint="eastAsia" w:ascii="黑体" w:hAnsi="黑体"/>
          <w:color w:val="auto"/>
          <w:highlight w:val="none"/>
        </w:rPr>
        <w:t>8.7材料与工程设备的替代</w:t>
      </w:r>
      <w:bookmarkEnd w:id="105"/>
    </w:p>
    <w:p w14:paraId="60C7A5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8.7.1出现下列情况需要使用替代材料和工程设备的，承包人应按照第8.7.2项约定的程序执行：</w:t>
      </w:r>
    </w:p>
    <w:p w14:paraId="084B011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（1）基准日期后生效的法律规定禁止使用的；</w:t>
      </w:r>
    </w:p>
    <w:p w14:paraId="3B84A4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（2）发包人要求使用替代品的；</w:t>
      </w:r>
    </w:p>
    <w:p w14:paraId="128E2CE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（3）因其他原因必须使用替代品的。</w:t>
      </w:r>
    </w:p>
    <w:p w14:paraId="67F6373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8.7.2承包人应在使用替代材料和工程设备28天前书面通知监理人，并附下列文件：</w:t>
      </w:r>
    </w:p>
    <w:p w14:paraId="199A213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（1）被替代的材料和工程设备的名称、数量、规格、型号、品牌、性能、价格及其他相关资料；</w:t>
      </w:r>
    </w:p>
    <w:p w14:paraId="4FA007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（2）替代品的名称、数量、规格、型号、品牌、性能、价格及其他相关资料；</w:t>
      </w:r>
    </w:p>
    <w:p w14:paraId="5B56CA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（3）替代品与被替代产品之间的差异以及使用替代品可能对工程产生的影响；</w:t>
      </w:r>
    </w:p>
    <w:p w14:paraId="34B937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（4）替代品与被替代产品的价格差异；</w:t>
      </w:r>
    </w:p>
    <w:p w14:paraId="6538815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（5）使用替代品的理由和原因说明；</w:t>
      </w:r>
    </w:p>
    <w:p w14:paraId="3E6CBBA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（6）监理人要求的其他文件。</w:t>
      </w:r>
    </w:p>
    <w:p w14:paraId="69372F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监理人应在收到通知后14天内向承包人发出经发包人签认的书面指示；监理人逾期发出书面指示的，视为发包人和监理人同意使用替代品。</w:t>
      </w:r>
    </w:p>
    <w:p w14:paraId="3E1A05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8.7.3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7B18D122">
      <w:pPr>
        <w:pStyle w:val="4"/>
        <w:spacing w:line="240" w:lineRule="auto"/>
        <w:rPr>
          <w:rFonts w:ascii="黑体" w:hAnsi="黑体"/>
          <w:color w:val="auto"/>
          <w:highlight w:val="none"/>
        </w:rPr>
      </w:pPr>
      <w:bookmarkStart w:id="106" w:name="_Toc217642218"/>
      <w:r>
        <w:rPr>
          <w:rFonts w:hint="eastAsia" w:ascii="黑体" w:hAnsi="黑体"/>
          <w:color w:val="auto"/>
          <w:highlight w:val="none"/>
        </w:rPr>
        <w:t>8.8施工设备和临时设施</w:t>
      </w:r>
      <w:bookmarkEnd w:id="106"/>
    </w:p>
    <w:p w14:paraId="394609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8.8.1承包人提供的施工设备和临时设施</w:t>
      </w:r>
    </w:p>
    <w:p w14:paraId="3CFED4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19BB87F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除专用合同条款另有约定外，承包人应自行承担修建临时设施的费用，需要临时占地的，应由发包人办理申请手续并承担相应费用。</w:t>
      </w:r>
    </w:p>
    <w:p w14:paraId="0AC56D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8.8.2发包人提供的施工设备和临时设施</w:t>
      </w:r>
    </w:p>
    <w:p w14:paraId="536330F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发包人提供的施工设备或临时设施在专用合同条款中约定。</w:t>
      </w:r>
    </w:p>
    <w:p w14:paraId="04B2184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8.8.3要求承包人增加或更换施工设备</w:t>
      </w:r>
    </w:p>
    <w:p w14:paraId="079AB0E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1B96CCC6">
      <w:pPr>
        <w:pStyle w:val="4"/>
        <w:spacing w:line="240" w:lineRule="auto"/>
        <w:rPr>
          <w:rFonts w:ascii="黑体" w:hAnsi="黑体"/>
          <w:color w:val="auto"/>
          <w:highlight w:val="none"/>
        </w:rPr>
      </w:pPr>
      <w:bookmarkStart w:id="107" w:name="_Toc217642219"/>
      <w:r>
        <w:rPr>
          <w:rFonts w:hint="eastAsia" w:ascii="黑体" w:hAnsi="黑体"/>
          <w:color w:val="auto"/>
          <w:highlight w:val="none"/>
        </w:rPr>
        <w:t>8.9材料与设备专用要求</w:t>
      </w:r>
      <w:bookmarkEnd w:id="107"/>
    </w:p>
    <w:p w14:paraId="1AA596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454B7393">
      <w:pPr>
        <w:pStyle w:val="3"/>
        <w:rPr>
          <w:rFonts w:ascii="黑体" w:hAnsi="黑体"/>
          <w:color w:val="auto"/>
          <w:highlight w:val="none"/>
        </w:rPr>
      </w:pPr>
      <w:bookmarkStart w:id="108" w:name="_Toc217642220"/>
      <w:r>
        <w:rPr>
          <w:rFonts w:hint="eastAsia" w:ascii="黑体" w:hAnsi="黑体"/>
          <w:color w:val="auto"/>
          <w:highlight w:val="none"/>
        </w:rPr>
        <w:t>9.试验与检验</w:t>
      </w:r>
      <w:bookmarkEnd w:id="108"/>
    </w:p>
    <w:p w14:paraId="19137942">
      <w:pPr>
        <w:pStyle w:val="4"/>
        <w:spacing w:line="240" w:lineRule="auto"/>
        <w:rPr>
          <w:rFonts w:ascii="黑体" w:hAnsi="黑体"/>
          <w:color w:val="auto"/>
          <w:highlight w:val="none"/>
        </w:rPr>
      </w:pPr>
      <w:bookmarkStart w:id="109" w:name="_Toc217642221"/>
      <w:r>
        <w:rPr>
          <w:rFonts w:hint="eastAsia" w:ascii="黑体" w:hAnsi="黑体"/>
          <w:color w:val="auto"/>
          <w:highlight w:val="none"/>
        </w:rPr>
        <w:t>9.1试验设备与试验人员</w:t>
      </w:r>
      <w:bookmarkEnd w:id="109"/>
    </w:p>
    <w:p w14:paraId="367396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A43D96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9.1.2承包人应按专用合同条款的约定提供试验设备、取样装置、试验场所和试验条件，并向监理人提交相应进场计划表。</w:t>
      </w:r>
    </w:p>
    <w:p w14:paraId="0FC4278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承包人配置的试验设备要符合相应试验规程的要求并经过具有资质的检测单位检测，且在正式使用该试验设备前，需要经过监理人与承包人共同校定。</w:t>
      </w:r>
    </w:p>
    <w:p w14:paraId="723EDAD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9.1.3承包人应向监理人提交试验人员的名单及其岗位、资格等证明资料，试验人员必须能够熟练进行相应的检测试验，承包人对试验人员的试验程序和试验结果的正确性负责。</w:t>
      </w:r>
    </w:p>
    <w:p w14:paraId="05A41C24">
      <w:pPr>
        <w:pStyle w:val="4"/>
        <w:spacing w:line="240" w:lineRule="auto"/>
        <w:rPr>
          <w:rFonts w:ascii="黑体" w:hAnsi="黑体"/>
          <w:color w:val="auto"/>
          <w:highlight w:val="none"/>
        </w:rPr>
      </w:pPr>
      <w:bookmarkStart w:id="110" w:name="_Toc217642222"/>
      <w:r>
        <w:rPr>
          <w:rFonts w:hint="eastAsia" w:ascii="黑体" w:hAnsi="黑体"/>
          <w:color w:val="auto"/>
          <w:highlight w:val="none"/>
        </w:rPr>
        <w:t>9.2取样</w:t>
      </w:r>
      <w:bookmarkEnd w:id="110"/>
    </w:p>
    <w:p w14:paraId="6DB4EB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试验属于自检性质的，承包人可以单独取样。试验属于监理人抽检性质的，可由监理人取样，也可由承包人的试验人员在监理人的监督下取样。</w:t>
      </w:r>
    </w:p>
    <w:p w14:paraId="395A2474">
      <w:pPr>
        <w:pStyle w:val="4"/>
        <w:spacing w:line="240" w:lineRule="auto"/>
        <w:rPr>
          <w:rFonts w:ascii="黑体" w:hAnsi="黑体"/>
          <w:color w:val="auto"/>
          <w:highlight w:val="none"/>
        </w:rPr>
      </w:pPr>
      <w:bookmarkStart w:id="111" w:name="_Toc217642223"/>
      <w:r>
        <w:rPr>
          <w:rFonts w:hint="eastAsia" w:ascii="黑体" w:hAnsi="黑体"/>
          <w:color w:val="auto"/>
          <w:highlight w:val="none"/>
        </w:rPr>
        <w:t>9.3材料、工程设备和工程的试验和检验</w:t>
      </w:r>
      <w:bookmarkEnd w:id="111"/>
    </w:p>
    <w:p w14:paraId="028B09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6EFBCB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40BA388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34C6D900">
      <w:pPr>
        <w:pStyle w:val="4"/>
        <w:spacing w:line="240" w:lineRule="auto"/>
        <w:rPr>
          <w:rFonts w:ascii="黑体" w:hAnsi="黑体"/>
          <w:color w:val="auto"/>
          <w:highlight w:val="none"/>
        </w:rPr>
      </w:pPr>
      <w:bookmarkStart w:id="112" w:name="_Toc217642224"/>
      <w:r>
        <w:rPr>
          <w:rFonts w:hint="eastAsia" w:ascii="黑体" w:hAnsi="黑体"/>
          <w:color w:val="auto"/>
          <w:highlight w:val="none"/>
        </w:rPr>
        <w:t>9.4现场工艺试验</w:t>
      </w:r>
      <w:bookmarkEnd w:id="112"/>
    </w:p>
    <w:p w14:paraId="659A36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1786DD01">
      <w:pPr>
        <w:pStyle w:val="3"/>
        <w:rPr>
          <w:rFonts w:ascii="黑体" w:hAnsi="黑体"/>
          <w:color w:val="auto"/>
          <w:highlight w:val="none"/>
        </w:rPr>
      </w:pPr>
      <w:bookmarkStart w:id="113" w:name="_Toc217642225"/>
      <w:r>
        <w:rPr>
          <w:rFonts w:hint="eastAsia" w:ascii="黑体" w:hAnsi="黑体"/>
          <w:color w:val="auto"/>
          <w:highlight w:val="none"/>
        </w:rPr>
        <w:t>10.变更</w:t>
      </w:r>
      <w:bookmarkEnd w:id="113"/>
    </w:p>
    <w:p w14:paraId="3E464856">
      <w:pPr>
        <w:pStyle w:val="4"/>
        <w:spacing w:line="240" w:lineRule="auto"/>
        <w:rPr>
          <w:rFonts w:ascii="黑体" w:hAnsi="黑体"/>
          <w:color w:val="auto"/>
          <w:highlight w:val="none"/>
        </w:rPr>
      </w:pPr>
      <w:bookmarkStart w:id="114" w:name="_Toc217642226"/>
      <w:r>
        <w:rPr>
          <w:rFonts w:hint="eastAsia" w:ascii="黑体" w:hAnsi="黑体"/>
          <w:color w:val="auto"/>
          <w:highlight w:val="none"/>
        </w:rPr>
        <w:t>10.1变更的范围</w:t>
      </w:r>
      <w:bookmarkEnd w:id="114"/>
    </w:p>
    <w:p w14:paraId="6BCED04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除专用合同条款另有约定外，合同履行过程中发生以下情形的，应按照本条约定进行变更：</w:t>
      </w:r>
    </w:p>
    <w:p w14:paraId="76955A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（1）增加或减少合同中任何工作，或追加额外的工作；</w:t>
      </w:r>
    </w:p>
    <w:p w14:paraId="54FF3EB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（2）取消合同中任何工作，但转由他人实施的工作除外；</w:t>
      </w:r>
    </w:p>
    <w:p w14:paraId="13A935D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（3）改变合同中任何工作的质量标准或其他特性；</w:t>
      </w:r>
    </w:p>
    <w:p w14:paraId="189F1C8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（4）改变工程的基线、标高、位置和尺寸；</w:t>
      </w:r>
    </w:p>
    <w:p w14:paraId="4B68281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（5）改变工程的时间安排或实施顺序。</w:t>
      </w:r>
    </w:p>
    <w:p w14:paraId="552A7B3C">
      <w:pPr>
        <w:pStyle w:val="4"/>
        <w:spacing w:line="240" w:lineRule="auto"/>
        <w:rPr>
          <w:rFonts w:ascii="黑体" w:hAnsi="黑体"/>
          <w:color w:val="auto"/>
          <w:highlight w:val="none"/>
        </w:rPr>
      </w:pPr>
      <w:bookmarkStart w:id="115" w:name="_Toc217642227"/>
      <w:r>
        <w:rPr>
          <w:rFonts w:hint="eastAsia" w:ascii="黑体" w:hAnsi="黑体"/>
          <w:color w:val="auto"/>
          <w:highlight w:val="none"/>
        </w:rPr>
        <w:t>10.2变更权</w:t>
      </w:r>
      <w:bookmarkEnd w:id="115"/>
    </w:p>
    <w:p w14:paraId="7D5EE9C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E8C2FA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涉及设计变更的，应由设计人提供变更后的图纸和说明。如变更超过原设计标准或批准的建设规模时，发包人应及时办理规划、设计变更等审批手续。</w:t>
      </w:r>
    </w:p>
    <w:p w14:paraId="134B4A55">
      <w:pPr>
        <w:pStyle w:val="4"/>
        <w:spacing w:line="240" w:lineRule="auto"/>
        <w:rPr>
          <w:rFonts w:ascii="黑体" w:hAnsi="黑体"/>
          <w:color w:val="auto"/>
          <w:highlight w:val="none"/>
        </w:rPr>
      </w:pPr>
      <w:bookmarkStart w:id="116" w:name="_Toc217642228"/>
      <w:r>
        <w:rPr>
          <w:rFonts w:hint="eastAsia" w:ascii="黑体" w:hAnsi="黑体"/>
          <w:color w:val="auto"/>
          <w:highlight w:val="none"/>
        </w:rPr>
        <w:t>10.3变更程序</w:t>
      </w:r>
      <w:bookmarkEnd w:id="116"/>
    </w:p>
    <w:p w14:paraId="01FBCC5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10.3.1发包人提出变更</w:t>
      </w:r>
    </w:p>
    <w:p w14:paraId="2918BA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发包人提出变更的，应通过监理人向承包人发出变更指示，变更指示应说明计划变更的工程范围和变更的内容。</w:t>
      </w:r>
    </w:p>
    <w:p w14:paraId="713771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10.3.2监理人提出变更建议</w:t>
      </w:r>
    </w:p>
    <w:p w14:paraId="7FC5D34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28506F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10.3.3变更执行</w:t>
      </w:r>
    </w:p>
    <w:p w14:paraId="510B31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71BA54FA">
      <w:pPr>
        <w:pStyle w:val="4"/>
        <w:spacing w:line="240" w:lineRule="auto"/>
        <w:rPr>
          <w:rFonts w:ascii="黑体" w:hAnsi="黑体"/>
          <w:color w:val="auto"/>
          <w:highlight w:val="none"/>
        </w:rPr>
      </w:pPr>
      <w:bookmarkStart w:id="117" w:name="_Toc217642229"/>
      <w:r>
        <w:rPr>
          <w:rFonts w:hint="eastAsia" w:ascii="黑体" w:hAnsi="黑体"/>
          <w:color w:val="auto"/>
          <w:highlight w:val="none"/>
        </w:rPr>
        <w:t>10.4变更估价</w:t>
      </w:r>
      <w:bookmarkEnd w:id="117"/>
    </w:p>
    <w:p w14:paraId="6480951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10.4.1变更估价原则</w:t>
      </w:r>
    </w:p>
    <w:p w14:paraId="7DC3BD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除专用合同条款另有约定外，变更估价按照本款约定处理：</w:t>
      </w:r>
    </w:p>
    <w:p w14:paraId="0348675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（1）已标价工程量清单或预算书有相同项目的，按照相同项目单价认定；</w:t>
      </w:r>
    </w:p>
    <w:p w14:paraId="48941F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（2）已标价工程量清单或预算书中无相同项目，但有类似项目的，参照类似项目的单价认定；</w:t>
      </w:r>
    </w:p>
    <w:p w14:paraId="7DA89D9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294600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10.4.2变更估价程序</w:t>
      </w:r>
    </w:p>
    <w:p w14:paraId="7D2015E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74C1A46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因变更引起的价格调整应计入最近一期的进度款中支付。</w:t>
      </w:r>
    </w:p>
    <w:p w14:paraId="2530D515">
      <w:pPr>
        <w:pStyle w:val="4"/>
        <w:spacing w:line="240" w:lineRule="auto"/>
        <w:rPr>
          <w:rFonts w:ascii="黑体" w:hAnsi="黑体"/>
          <w:color w:val="auto"/>
          <w:highlight w:val="none"/>
        </w:rPr>
      </w:pPr>
      <w:bookmarkStart w:id="118" w:name="_Toc217642230"/>
      <w:r>
        <w:rPr>
          <w:rFonts w:hint="eastAsia" w:ascii="黑体" w:hAnsi="黑体"/>
          <w:color w:val="auto"/>
          <w:highlight w:val="none"/>
        </w:rPr>
        <w:t>10.5承包人的合理化建议</w:t>
      </w:r>
      <w:bookmarkEnd w:id="118"/>
    </w:p>
    <w:p w14:paraId="6847A4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承包人提出合理化建议的，应向监理人提交合理化建议说明，说明建议的内容和理由，以及实施该建议对合同价格和工期的影响。</w:t>
      </w:r>
    </w:p>
    <w:p w14:paraId="34F9571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236BCA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合理化建议降低了合同价格或者提高了工程经济效益的，发包人可对承包人给予奖励，奖励的方法和金额在专用合同条款中约定。</w:t>
      </w:r>
    </w:p>
    <w:p w14:paraId="42D53B6E">
      <w:pPr>
        <w:pStyle w:val="4"/>
        <w:spacing w:line="240" w:lineRule="auto"/>
        <w:rPr>
          <w:rFonts w:ascii="黑体" w:hAnsi="黑体"/>
          <w:color w:val="auto"/>
          <w:highlight w:val="none"/>
        </w:rPr>
      </w:pPr>
      <w:bookmarkStart w:id="119" w:name="_Toc217642231"/>
      <w:r>
        <w:rPr>
          <w:rFonts w:hint="eastAsia" w:ascii="黑体" w:hAnsi="黑体"/>
          <w:color w:val="auto"/>
          <w:highlight w:val="none"/>
        </w:rPr>
        <w:t>10.6变更引起的工期调整</w:t>
      </w:r>
      <w:bookmarkEnd w:id="119"/>
    </w:p>
    <w:p w14:paraId="54A733E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因变更引起工期变化的，合同当事人均可要求调整合同工期，由合同当事人按照第4.4款〔商定或确定〕并参考工程所在地的工期定额标准确定增减工期天数。</w:t>
      </w:r>
    </w:p>
    <w:p w14:paraId="321B8A50">
      <w:pPr>
        <w:pStyle w:val="4"/>
        <w:spacing w:line="240" w:lineRule="auto"/>
        <w:rPr>
          <w:rFonts w:ascii="黑体" w:hAnsi="黑体"/>
          <w:color w:val="auto"/>
          <w:highlight w:val="none"/>
        </w:rPr>
      </w:pPr>
      <w:bookmarkStart w:id="120" w:name="_Toc217642232"/>
      <w:r>
        <w:rPr>
          <w:rFonts w:hint="eastAsia" w:ascii="黑体" w:hAnsi="黑体"/>
          <w:color w:val="auto"/>
          <w:highlight w:val="none"/>
        </w:rPr>
        <w:t>10.7暂估价</w:t>
      </w:r>
      <w:bookmarkEnd w:id="120"/>
    </w:p>
    <w:p w14:paraId="3422C2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暂估价专业分包工程、服务、材料和工程设备的明细由合同当事人在专用合同条款中约定。</w:t>
      </w:r>
    </w:p>
    <w:p w14:paraId="4719A9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10.7.1依法必须招标的暂估价项目</w:t>
      </w:r>
    </w:p>
    <w:p w14:paraId="56B815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对于依法必须招标的暂估价项目，采取以下第1种方式确定。合同当事人也可以在专用合同条款中选择其他招标方式。</w:t>
      </w:r>
    </w:p>
    <w:p w14:paraId="32A571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第1种方式：对于依法必须招标的暂估价项目，由承包人招标，对该暂估价项目的确认和批准按照以下约定执行：</w:t>
      </w:r>
    </w:p>
    <w:p w14:paraId="2D1EF6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AE51D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642EAD4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75B9467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1563BC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10.7.2不属于依法必须招标的暂估价项目</w:t>
      </w:r>
    </w:p>
    <w:p w14:paraId="584366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除专用合同条款另有约定外，对于不属于依法必须招标的暂估价项目，采取以下第1种方式确定：</w:t>
      </w:r>
    </w:p>
    <w:p w14:paraId="39871A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第1种方式：对于不属于依法必须招标的暂估价项目，按本项约定确认和批准：</w:t>
      </w:r>
    </w:p>
    <w:p w14:paraId="3C9EBEC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2BD835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（2）发包人认为承包人确定的供应商、分包人无法满足工程质量或合同要求的，发包人可以要求承包人重新确定暂估价项目的供应商、分包人；</w:t>
      </w:r>
    </w:p>
    <w:p w14:paraId="5A247D1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（3）承包人应当在签订暂估价合同后7天内，将暂估价合同副本报送发包人留存。</w:t>
      </w:r>
    </w:p>
    <w:p w14:paraId="6FE031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第2种方式：承包人按照第10.7.1项〔依法必须招标的暂估价项目〕约定的第1种方式确定暂估价项目。</w:t>
      </w:r>
    </w:p>
    <w:p w14:paraId="68CA741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第3种方式：承包人直接实施的暂估价项目</w:t>
      </w:r>
    </w:p>
    <w:p w14:paraId="7F9F058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承包人具备实施暂估价项目的资格和条件的，经发包人和承包人协商一致后，可由承包人自行实施暂估价项目，合同当事人可以在专用合同条款约定具体事项。</w:t>
      </w:r>
    </w:p>
    <w:p w14:paraId="21DB81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86C32E0">
      <w:pPr>
        <w:pStyle w:val="4"/>
        <w:spacing w:line="240" w:lineRule="auto"/>
        <w:rPr>
          <w:rFonts w:ascii="黑体" w:hAnsi="黑体"/>
          <w:color w:val="auto"/>
          <w:highlight w:val="none"/>
        </w:rPr>
      </w:pPr>
      <w:bookmarkStart w:id="121" w:name="_Toc217642233"/>
      <w:r>
        <w:rPr>
          <w:rFonts w:hint="eastAsia" w:ascii="黑体" w:hAnsi="黑体"/>
          <w:color w:val="auto"/>
          <w:highlight w:val="none"/>
        </w:rPr>
        <w:t>10.8暂列金额</w:t>
      </w:r>
      <w:bookmarkEnd w:id="121"/>
    </w:p>
    <w:p w14:paraId="429BD9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暂列金额应按照发包人的要求使用，发包人的要求应通过监理人发出。合同当事人可以在专用合同条款中协商确定有关事项。</w:t>
      </w:r>
    </w:p>
    <w:p w14:paraId="51F24993">
      <w:pPr>
        <w:pStyle w:val="4"/>
        <w:spacing w:line="240" w:lineRule="auto"/>
        <w:rPr>
          <w:rFonts w:ascii="黑体" w:hAnsi="黑体"/>
          <w:color w:val="auto"/>
          <w:highlight w:val="none"/>
        </w:rPr>
      </w:pPr>
      <w:bookmarkStart w:id="122" w:name="_Toc217642234"/>
      <w:r>
        <w:rPr>
          <w:rFonts w:hint="eastAsia" w:ascii="黑体" w:hAnsi="黑体"/>
          <w:color w:val="auto"/>
          <w:highlight w:val="none"/>
        </w:rPr>
        <w:t>10.9计日工</w:t>
      </w:r>
      <w:bookmarkEnd w:id="122"/>
    </w:p>
    <w:p w14:paraId="109EAE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16A188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采用计日工计价的任何一项工作，承包人应在该项工作实施过程中，每天提交以下报表和有关凭证报送监理人审查：</w:t>
      </w:r>
    </w:p>
    <w:p w14:paraId="5D0A8E9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（1）工作名称、内容和数量；</w:t>
      </w:r>
    </w:p>
    <w:p w14:paraId="3C25C1B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（2）投入该工作的所有人员的姓名、专业、工种、级别和耗用工时；</w:t>
      </w:r>
    </w:p>
    <w:p w14:paraId="1F05F6E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（3）投入该工作的材料类别和数量；</w:t>
      </w:r>
    </w:p>
    <w:p w14:paraId="0EC2F5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（4）投入该工作的施工设备型号、台数和耗用台时；</w:t>
      </w:r>
    </w:p>
    <w:p w14:paraId="36C3E4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（5）其他有关资料和凭证。</w:t>
      </w:r>
    </w:p>
    <w:p w14:paraId="742A11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计日工由承包人汇总后，列入最近一期进度付款申请单，由监理人审查并经发包人批准后列入进度付款。</w:t>
      </w:r>
    </w:p>
    <w:p w14:paraId="441109DF">
      <w:pPr>
        <w:pStyle w:val="3"/>
        <w:rPr>
          <w:rFonts w:ascii="黑体" w:hAnsi="黑体"/>
          <w:color w:val="auto"/>
          <w:highlight w:val="none"/>
        </w:rPr>
      </w:pPr>
      <w:bookmarkStart w:id="123" w:name="_Toc217642235"/>
      <w:r>
        <w:rPr>
          <w:rFonts w:hint="eastAsia" w:ascii="黑体" w:hAnsi="黑体"/>
          <w:color w:val="auto"/>
          <w:highlight w:val="none"/>
        </w:rPr>
        <w:t>11.价格调整</w:t>
      </w:r>
      <w:bookmarkEnd w:id="123"/>
    </w:p>
    <w:p w14:paraId="5098C157">
      <w:pPr>
        <w:pStyle w:val="4"/>
        <w:spacing w:line="240" w:lineRule="auto"/>
        <w:rPr>
          <w:rFonts w:ascii="黑体" w:hAnsi="黑体"/>
          <w:color w:val="auto"/>
          <w:highlight w:val="none"/>
        </w:rPr>
      </w:pPr>
      <w:bookmarkStart w:id="124" w:name="_Toc217642236"/>
      <w:r>
        <w:rPr>
          <w:rFonts w:hint="eastAsia" w:ascii="黑体" w:hAnsi="黑体"/>
          <w:color w:val="auto"/>
          <w:highlight w:val="none"/>
        </w:rPr>
        <w:t>11.1市场价格波动引起的调整</w:t>
      </w:r>
      <w:bookmarkEnd w:id="124"/>
    </w:p>
    <w:p w14:paraId="01DED18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除专用合同条款另有约定外，市场价格波动超过合同当事人约定的范围，合同价格应当调整。合同当事人可以在专用合同条款中约定选择以下一种方式对合同价格进行调整：</w:t>
      </w:r>
    </w:p>
    <w:p w14:paraId="663F774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第1种方式：采用价格指数进行价格调整。</w:t>
      </w:r>
    </w:p>
    <w:p w14:paraId="5D0F3C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（1）价格调整公式</w:t>
      </w:r>
    </w:p>
    <w:p w14:paraId="25ACC79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因人工、材料和设备等价格波动影响合同价格时，根据专用合同条款中约定的数据，按以下公式计算差额并调整合同价格：</w:t>
      </w:r>
    </w:p>
    <w:p w14:paraId="251262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公式中：ΔP——需调整的价格差额；</w:t>
      </w:r>
    </w:p>
    <w:p w14:paraId="11429DA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706139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A——定值权重（即不调部分的权重）；</w:t>
      </w:r>
    </w:p>
    <w:p w14:paraId="48B98A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——各可调因子的变值权重（即可调部分的权重），为各可调因子在签约合同价中所占的比例；</w:t>
      </w:r>
    </w:p>
    <w:p w14:paraId="095B030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——各可调因子的现行价格指数，指约定的付款证书相关周期最后一天的前42天的各可调因子的价格指数；</w:t>
      </w:r>
    </w:p>
    <w:p w14:paraId="1BD8E93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——各可调因子的基本价格指数，指基准日期的各可调因子的价格指数。</w:t>
      </w:r>
    </w:p>
    <w:p w14:paraId="4F3099F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76BEFF8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（2）暂时确定调整差额</w:t>
      </w:r>
    </w:p>
    <w:p w14:paraId="23DCF80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在计算调整差额时无现行价格指数的，合同当事人同意暂用前次价格指数计算。实际价格指数有调整的，合同当事人进行相应调整。</w:t>
      </w:r>
    </w:p>
    <w:p w14:paraId="0CE2089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（3）权重的调整</w:t>
      </w:r>
    </w:p>
    <w:p w14:paraId="7BD5328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因变更导致合同约定的权重不合理时，按照第4.4款〔商定或确定〕执行。</w:t>
      </w:r>
    </w:p>
    <w:p w14:paraId="24A0E04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（4）因承包人原因工期延误后的价格调整</w:t>
      </w:r>
    </w:p>
    <w:p w14:paraId="0CF280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70C5A2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第2种方式：采用造价信息进行价格调整。</w:t>
      </w:r>
    </w:p>
    <w:p w14:paraId="0C8C310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083B067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9B7A98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（2）材料、工程设备价格变化的价款调整按照发包人提供的基准价格，按以下风险范围规定执行：</w:t>
      </w:r>
    </w:p>
    <w:p w14:paraId="6782CA9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147E924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5CE3AB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0F0B42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5352CE8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2177D7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（3）施工机械台班单价或施工机械使用费发生变化超过省级或行业建设主管部门或其授权的工程造价管理机构规定的范围时，按规定调整合同价格。</w:t>
      </w:r>
    </w:p>
    <w:p w14:paraId="42E95F6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第3种方式：专用合同条款约定的其他方式。</w:t>
      </w:r>
    </w:p>
    <w:p w14:paraId="50DD856E">
      <w:pPr>
        <w:pStyle w:val="4"/>
        <w:spacing w:line="240" w:lineRule="auto"/>
        <w:rPr>
          <w:rFonts w:ascii="黑体" w:hAnsi="黑体"/>
          <w:color w:val="auto"/>
          <w:highlight w:val="none"/>
        </w:rPr>
      </w:pPr>
      <w:bookmarkStart w:id="125" w:name="_Toc217642237"/>
      <w:r>
        <w:rPr>
          <w:rFonts w:hint="eastAsia" w:ascii="黑体" w:hAnsi="黑体"/>
          <w:color w:val="auto"/>
          <w:highlight w:val="none"/>
        </w:rPr>
        <w:t>11.2法律变化引起的调整</w:t>
      </w:r>
      <w:bookmarkEnd w:id="125"/>
    </w:p>
    <w:p w14:paraId="1A0B30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06D6981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因法律变化引起的合同价格和工期调整，合同当事人无法达成一致的，由总监理工程师按第4.4款〔商定或确定〕的约定处理。</w:t>
      </w:r>
    </w:p>
    <w:p w14:paraId="43B31D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因承包人原因造成工期延误，在工期延误期间出现法律变化的，由此增加的费用和（或）延误的工期由承包人承担。</w:t>
      </w:r>
    </w:p>
    <w:p w14:paraId="60D13751">
      <w:pPr>
        <w:pStyle w:val="3"/>
        <w:rPr>
          <w:rFonts w:ascii="黑体" w:hAnsi="黑体"/>
          <w:color w:val="auto"/>
          <w:highlight w:val="none"/>
        </w:rPr>
      </w:pPr>
      <w:bookmarkStart w:id="126" w:name="_Toc217642238"/>
      <w:r>
        <w:rPr>
          <w:rFonts w:hint="eastAsia" w:ascii="黑体" w:hAnsi="黑体"/>
          <w:color w:val="auto"/>
          <w:highlight w:val="none"/>
        </w:rPr>
        <w:t>12.合同价格、计量与支付</w:t>
      </w:r>
      <w:bookmarkEnd w:id="126"/>
    </w:p>
    <w:p w14:paraId="678C60A6">
      <w:pPr>
        <w:pStyle w:val="4"/>
        <w:spacing w:line="240" w:lineRule="auto"/>
        <w:rPr>
          <w:rFonts w:ascii="黑体" w:hAnsi="黑体"/>
          <w:color w:val="auto"/>
          <w:highlight w:val="none"/>
        </w:rPr>
      </w:pPr>
      <w:bookmarkStart w:id="127" w:name="_Toc217642239"/>
      <w:r>
        <w:rPr>
          <w:rFonts w:hint="eastAsia" w:ascii="黑体" w:hAnsi="黑体"/>
          <w:color w:val="auto"/>
          <w:highlight w:val="none"/>
        </w:rPr>
        <w:t>12.1合同价格形式</w:t>
      </w:r>
      <w:bookmarkEnd w:id="127"/>
    </w:p>
    <w:p w14:paraId="5F7ADFA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发包人和承包人应在合同协议书中选择下列一种合同价格形式：</w:t>
      </w:r>
    </w:p>
    <w:p w14:paraId="203880C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1.单价合同</w:t>
      </w:r>
    </w:p>
    <w:p w14:paraId="04B0A75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2B7D30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2.总价合同</w:t>
      </w:r>
    </w:p>
    <w:p w14:paraId="667C19A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4EA4AB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3.其它价格形式</w:t>
      </w:r>
    </w:p>
    <w:p w14:paraId="4AF254B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合同当事人可在专用合同条款中约定其他合同价格形式。</w:t>
      </w:r>
    </w:p>
    <w:p w14:paraId="7AF32364">
      <w:pPr>
        <w:pStyle w:val="4"/>
        <w:spacing w:line="240" w:lineRule="auto"/>
        <w:rPr>
          <w:rFonts w:ascii="黑体" w:hAnsi="黑体"/>
          <w:color w:val="auto"/>
          <w:highlight w:val="none"/>
        </w:rPr>
      </w:pPr>
      <w:bookmarkStart w:id="128" w:name="_Toc217642240"/>
      <w:r>
        <w:rPr>
          <w:rFonts w:hint="eastAsia" w:ascii="黑体" w:hAnsi="黑体"/>
          <w:color w:val="auto"/>
          <w:highlight w:val="none"/>
        </w:rPr>
        <w:t>12.2预付款</w:t>
      </w:r>
      <w:bookmarkEnd w:id="128"/>
    </w:p>
    <w:p w14:paraId="03F73A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12.2.1预付款的支付</w:t>
      </w:r>
    </w:p>
    <w:p w14:paraId="018636E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61A0B9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除专用合同条款另有约定外，预付款在进度付款中同比例扣回。在颁发工程接收证书前，提前解除合同的，尚未扣完的预付款应与合同价款一并结算。</w:t>
      </w:r>
    </w:p>
    <w:p w14:paraId="2647606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1367821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12.2.2预付款担保</w:t>
      </w:r>
    </w:p>
    <w:p w14:paraId="54A644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1BD117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发包人在工程款中逐期扣回预付款后，预付款担保额度应相应减少，但剩余的预付款担保金额不得低于未被扣回的预付款金额。</w:t>
      </w:r>
    </w:p>
    <w:p w14:paraId="11B1D08D">
      <w:pPr>
        <w:pStyle w:val="4"/>
        <w:spacing w:line="240" w:lineRule="auto"/>
        <w:rPr>
          <w:rFonts w:ascii="黑体" w:hAnsi="黑体"/>
          <w:color w:val="auto"/>
          <w:highlight w:val="none"/>
        </w:rPr>
      </w:pPr>
      <w:bookmarkStart w:id="129" w:name="_Toc217642241"/>
      <w:r>
        <w:rPr>
          <w:rFonts w:hint="eastAsia" w:ascii="黑体" w:hAnsi="黑体"/>
          <w:color w:val="auto"/>
          <w:highlight w:val="none"/>
        </w:rPr>
        <w:t>12.3计量</w:t>
      </w:r>
      <w:bookmarkEnd w:id="129"/>
    </w:p>
    <w:p w14:paraId="6D23A71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12.3.1计量原则</w:t>
      </w:r>
    </w:p>
    <w:p w14:paraId="5EB3A4F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工程量计量按照合同约定的工程量计算规则、图纸及变更指示等进行计量。工程量计算规则应以相关的国家标准、行业标准等为依据，由合同当事人在专用合同条款中约定。</w:t>
      </w:r>
    </w:p>
    <w:p w14:paraId="5041A9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12.3.2计量周期</w:t>
      </w:r>
    </w:p>
    <w:p w14:paraId="25A4CF4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除专用合同条款另有约定外，工程量的计量按月进行。</w:t>
      </w:r>
    </w:p>
    <w:p w14:paraId="13BF996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12.3.3单价合同的计量</w:t>
      </w:r>
    </w:p>
    <w:p w14:paraId="3EEBB2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除专用合同条款另有约定外，单价合同的计量按照本项约定执行：</w:t>
      </w:r>
    </w:p>
    <w:p w14:paraId="0C29CB0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（1）承包人应于每月25日向监理人报送上月20日至当月19日已完成的工程量报告，并附具进度付款申请单、已完成工程量报表和有关资料。</w:t>
      </w:r>
    </w:p>
    <w:p w14:paraId="0C4E152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307A56F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（3）监理人未在收到承包人提交的工程量报表后的7天内完成审核的，承包人报送的工程量报告中的工程量视为承包人实际完成的工程量，据此计算工程价款。</w:t>
      </w:r>
    </w:p>
    <w:p w14:paraId="7BE237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12.3.4总价合同的计量</w:t>
      </w:r>
    </w:p>
    <w:p w14:paraId="14B742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除专用合同条款另有约定外，按月计量支付的总价合同，按照本项约定执行：</w:t>
      </w:r>
    </w:p>
    <w:p w14:paraId="04C993C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（1）承包人应于每月25日向监理人报送上月20日至当月19日已完成的工程量报告，并附具进度付款申请单、已完成工程量报表和有关资料。</w:t>
      </w:r>
    </w:p>
    <w:p w14:paraId="642408B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070D43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（3）监理人未在收到承包人提交的工程量报表后的7天内完成复核的，承包人提交的工程量报告中的工程量视为承包人实际完成的工程量。</w:t>
      </w:r>
    </w:p>
    <w:p w14:paraId="7454F2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12.3.5总价合同采用支付分解表计量支付的，可以按照第12.3.4项〔总价合同的计量〕约定进行计量，但合同价款按照支付分解表进行支付。</w:t>
      </w:r>
    </w:p>
    <w:p w14:paraId="2278590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12.3.6其他价格形式合同的计量</w:t>
      </w:r>
    </w:p>
    <w:p w14:paraId="2F8EFD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合同当事人可在专用合同条款中约定其他价格形式合同的计量方式和程序。</w:t>
      </w:r>
    </w:p>
    <w:p w14:paraId="6DDFFA58">
      <w:pPr>
        <w:pStyle w:val="4"/>
        <w:spacing w:line="240" w:lineRule="auto"/>
        <w:rPr>
          <w:rFonts w:ascii="黑体" w:hAnsi="黑体"/>
          <w:color w:val="auto"/>
          <w:highlight w:val="none"/>
        </w:rPr>
      </w:pPr>
      <w:bookmarkStart w:id="130" w:name="_Toc217642242"/>
      <w:r>
        <w:rPr>
          <w:rFonts w:hint="eastAsia" w:ascii="黑体" w:hAnsi="黑体"/>
          <w:color w:val="auto"/>
          <w:highlight w:val="none"/>
        </w:rPr>
        <w:t>12.4工程进度款支付</w:t>
      </w:r>
      <w:bookmarkEnd w:id="130"/>
    </w:p>
    <w:p w14:paraId="03D2033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12.4.1付款周期</w:t>
      </w:r>
    </w:p>
    <w:p w14:paraId="176F0F4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除专用合同条款另有约定外，付款周期应按照第12.3.2项〔计量周期〕的约定与计量周期保持一致。</w:t>
      </w:r>
    </w:p>
    <w:p w14:paraId="4EFF50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12.4.2进度付款申请单的编制</w:t>
      </w:r>
    </w:p>
    <w:p w14:paraId="5306FEF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除专用合同条款另有约定外，进度付款申请单应包括下列内容：</w:t>
      </w:r>
    </w:p>
    <w:p w14:paraId="709B86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（1）截至本次付款周期已完成工作对应的金额；</w:t>
      </w:r>
    </w:p>
    <w:p w14:paraId="7D42E4D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（2）根据第10条〔变更〕应增加和扣减的变更金额；</w:t>
      </w:r>
    </w:p>
    <w:p w14:paraId="62EE8A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（3）根据第12.2款〔预付款〕约定应支付的预付款和扣减的返还预付款；</w:t>
      </w:r>
    </w:p>
    <w:p w14:paraId="587ECC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（4）根据第15.3款〔质量保证金〕约定应扣减的质量保证金；</w:t>
      </w:r>
    </w:p>
    <w:p w14:paraId="795977B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（5）根据第19条〔索赔〕应增加和扣减的索赔金额；</w:t>
      </w:r>
    </w:p>
    <w:p w14:paraId="2C08CA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（6）对已签发的进度款支付证书中出现错误的修正，应在本次进度付款中支付或扣除的金额；</w:t>
      </w:r>
    </w:p>
    <w:p w14:paraId="7113B8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（7）根据合同约定应增加和扣减的其他金额。</w:t>
      </w:r>
    </w:p>
    <w:p w14:paraId="2DB181E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12.4.3进度付款申请单的提交</w:t>
      </w:r>
    </w:p>
    <w:p w14:paraId="26942C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（1）单价合同进度付款申请单的提交</w:t>
      </w:r>
    </w:p>
    <w:p w14:paraId="6A57E00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7D01232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（2）总价合同进度付款申请单的提交</w:t>
      </w:r>
    </w:p>
    <w:p w14:paraId="2E74A84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总价合同按月计量支付的，承包人按照第12.3.4项〔总价合同的计量〕约定的时间按月向监理人提交进度付款申请单，并附上已完成工程量报表和有关资料。</w:t>
      </w:r>
    </w:p>
    <w:p w14:paraId="66E9FD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总价合同按支付分解表支付的，承包人应按照第12.4.6项〔支付分解表〕及第12.4.2项〔进度付款申请单的编制〕的约定向监理人提交进度付款申请单。</w:t>
      </w:r>
    </w:p>
    <w:p w14:paraId="6351CBC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（3）其他价格形式合同的进度付款申请单的提交</w:t>
      </w:r>
    </w:p>
    <w:p w14:paraId="6A9B46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合同当事人可在专用合同条款中约定其他价格形式合同的进度付款申请单的编制和提交程序。</w:t>
      </w:r>
    </w:p>
    <w:p w14:paraId="0150040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12.4.4进度款审核和支付</w:t>
      </w:r>
    </w:p>
    <w:p w14:paraId="7D91377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6550521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55EF44D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4E3B60A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（3）发包人签发进度款支付证书或临时进度款支付证书，不表明发包人已同意、批准或接受了承包人完成的相应部分的工作。</w:t>
      </w:r>
    </w:p>
    <w:p w14:paraId="5D8DE29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12.4.5进度付款的修正</w:t>
      </w:r>
    </w:p>
    <w:p w14:paraId="78457FB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7B4222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12.4.6支付分解表</w:t>
      </w:r>
    </w:p>
    <w:p w14:paraId="43040B6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1.支付分解表的编制要求</w:t>
      </w:r>
    </w:p>
    <w:p w14:paraId="40EEF07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（1）支付分解表中所列的每期付款金额，应为第12.4.2项〔进度付款申请单的编制〕第（1）目的估算金额；</w:t>
      </w:r>
    </w:p>
    <w:p w14:paraId="4E49B07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（2）实际进度与施工进度计划不一致的，合同当事人可按照第4.4款〔商定或确定〕修改支付分解表；</w:t>
      </w:r>
    </w:p>
    <w:p w14:paraId="2F8231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（3）不采用支付分解表的，承包人应向发包人和监理人提交按季度编制的支付估算分解表，用于支付参考。</w:t>
      </w:r>
    </w:p>
    <w:p w14:paraId="2C40D9A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2.总价合同支付分解表的编制与审批</w:t>
      </w:r>
    </w:p>
    <w:p w14:paraId="75D35C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4E8420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6072913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（3）发包人逾期未完成支付分解表审批的，也未及时要求承包人进行修正和提供补充资料的，则承包人提交的支付分解表视为已经获得发包人批准。</w:t>
      </w:r>
    </w:p>
    <w:p w14:paraId="5DF9C27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3.单价合同的总价项目支付分解表的编制与审批</w:t>
      </w:r>
    </w:p>
    <w:p w14:paraId="6B68377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7A92A745">
      <w:pPr>
        <w:pStyle w:val="4"/>
        <w:spacing w:line="240" w:lineRule="auto"/>
        <w:rPr>
          <w:rFonts w:ascii="黑体" w:hAnsi="黑体"/>
          <w:color w:val="auto"/>
          <w:highlight w:val="none"/>
        </w:rPr>
      </w:pPr>
      <w:bookmarkStart w:id="131" w:name="_Toc217642243"/>
      <w:r>
        <w:rPr>
          <w:rFonts w:hint="eastAsia" w:ascii="黑体" w:hAnsi="黑体"/>
          <w:color w:val="auto"/>
          <w:highlight w:val="none"/>
        </w:rPr>
        <w:t>12.5支付账户</w:t>
      </w:r>
      <w:bookmarkEnd w:id="131"/>
    </w:p>
    <w:p w14:paraId="6727436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发包人应将合同价款支付至合同协议书中约定的承包人账户。</w:t>
      </w:r>
    </w:p>
    <w:p w14:paraId="2B36E59E">
      <w:pPr>
        <w:pStyle w:val="3"/>
        <w:rPr>
          <w:rFonts w:ascii="黑体" w:hAnsi="黑体"/>
          <w:color w:val="auto"/>
          <w:highlight w:val="none"/>
        </w:rPr>
      </w:pPr>
      <w:bookmarkStart w:id="132" w:name="_Toc217642244"/>
      <w:r>
        <w:rPr>
          <w:rFonts w:hint="eastAsia" w:ascii="黑体" w:hAnsi="黑体"/>
          <w:color w:val="auto"/>
          <w:highlight w:val="none"/>
        </w:rPr>
        <w:t>13.验收和工程试车</w:t>
      </w:r>
      <w:bookmarkEnd w:id="132"/>
    </w:p>
    <w:p w14:paraId="3A5A462C">
      <w:pPr>
        <w:pStyle w:val="4"/>
        <w:spacing w:line="240" w:lineRule="auto"/>
        <w:rPr>
          <w:rFonts w:ascii="黑体" w:hAnsi="黑体"/>
          <w:color w:val="auto"/>
          <w:highlight w:val="none"/>
        </w:rPr>
      </w:pPr>
      <w:bookmarkStart w:id="133" w:name="_Toc217642245"/>
      <w:r>
        <w:rPr>
          <w:rFonts w:hint="eastAsia" w:ascii="黑体" w:hAnsi="黑体"/>
          <w:color w:val="auto"/>
          <w:highlight w:val="none"/>
        </w:rPr>
        <w:t>13.1分部分项工程验收</w:t>
      </w:r>
      <w:bookmarkEnd w:id="133"/>
    </w:p>
    <w:p w14:paraId="29D1344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13.1.1分部分项工程质量应符合国家有关工程施工验收规范、标准及合同约定，承包人应按照施工组织设计的要求完成分部分项工程施工。</w:t>
      </w:r>
    </w:p>
    <w:p w14:paraId="38A9FCB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13.1.2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06AF9C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分部分项工程的验收资料应当作为竣工资料的组成部分。</w:t>
      </w:r>
    </w:p>
    <w:p w14:paraId="46062CE8">
      <w:pPr>
        <w:pStyle w:val="4"/>
        <w:spacing w:line="240" w:lineRule="auto"/>
        <w:rPr>
          <w:rFonts w:ascii="黑体" w:hAnsi="黑体"/>
          <w:color w:val="auto"/>
          <w:highlight w:val="none"/>
        </w:rPr>
      </w:pPr>
      <w:bookmarkStart w:id="134" w:name="_Toc217642246"/>
      <w:r>
        <w:rPr>
          <w:rFonts w:hint="eastAsia" w:ascii="黑体" w:hAnsi="黑体"/>
          <w:color w:val="auto"/>
          <w:highlight w:val="none"/>
        </w:rPr>
        <w:t>13.2竣工验收</w:t>
      </w:r>
      <w:bookmarkEnd w:id="134"/>
    </w:p>
    <w:p w14:paraId="59D439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13.2.1竣工验收条件</w:t>
      </w:r>
    </w:p>
    <w:p w14:paraId="2C4CA3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工程具备以下条件的，承包人可以申请竣工验收：</w:t>
      </w:r>
    </w:p>
    <w:p w14:paraId="011DB2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（1）除发包人同意的甩项工作和缺陷修补工作外，合同范围内的全部工程以及有关工作，包括合同要求的试验、试运行以及检验均已完成，并符合合同要求；</w:t>
      </w:r>
    </w:p>
    <w:p w14:paraId="0E632F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（2）已按合同约定编制了甩项工作和缺陷修补工作清单以及相应的施工计划；</w:t>
      </w:r>
    </w:p>
    <w:p w14:paraId="587B7EF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（3）已按合同约定的内容和份数备齐竣工资料。</w:t>
      </w:r>
    </w:p>
    <w:p w14:paraId="40B6BB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13.2.2竣工验收程序</w:t>
      </w:r>
    </w:p>
    <w:p w14:paraId="4D31F2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除专用合同条款另有约定外，承包人申请竣工验收的，应当按照以下程序进行：</w:t>
      </w:r>
    </w:p>
    <w:p w14:paraId="40C24CA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0233CE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6FE7F0F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1176DA9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6FEC3D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3476C5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2F6F4E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13.2.3竣工日期</w:t>
      </w:r>
    </w:p>
    <w:p w14:paraId="1457CA8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6CA5DD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13.2.4拒绝接收全部或部分工程</w:t>
      </w:r>
    </w:p>
    <w:p w14:paraId="7B4D0B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4A0036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13.2.5移交、接收全部与部分工程</w:t>
      </w:r>
    </w:p>
    <w:p w14:paraId="24A80BF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除专用合同条款另有约定外，合同当事人应当在颁发工程接收证书后7天内完成工程的移交。</w:t>
      </w:r>
    </w:p>
    <w:p w14:paraId="5BC8A58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3407F0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24D739DF">
      <w:pPr>
        <w:pStyle w:val="4"/>
        <w:spacing w:line="240" w:lineRule="auto"/>
        <w:rPr>
          <w:rFonts w:ascii="黑体" w:hAnsi="黑体"/>
          <w:color w:val="auto"/>
          <w:highlight w:val="none"/>
        </w:rPr>
      </w:pPr>
      <w:bookmarkStart w:id="135" w:name="_Toc217642247"/>
      <w:r>
        <w:rPr>
          <w:rFonts w:hint="eastAsia" w:ascii="黑体" w:hAnsi="黑体"/>
          <w:color w:val="auto"/>
          <w:highlight w:val="none"/>
        </w:rPr>
        <w:t>13.3工程试车</w:t>
      </w:r>
      <w:bookmarkEnd w:id="135"/>
    </w:p>
    <w:p w14:paraId="5A69DD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13.3.1试车程序</w:t>
      </w:r>
    </w:p>
    <w:p w14:paraId="66EBAC1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工程需要试车的，除专用合同条款另有约定外，试车内容应与承包人承包范围相一致，试车费用由承包人承担。工程试车应按如下程序进行：</w:t>
      </w:r>
    </w:p>
    <w:p w14:paraId="09AF524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318A15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B9C34B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65A1F4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13.3.2试车中的责任</w:t>
      </w:r>
    </w:p>
    <w:p w14:paraId="07347A9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0BA82D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242F62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13.3.3投料试车</w:t>
      </w:r>
    </w:p>
    <w:p w14:paraId="27B8F27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7E916D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4802212C">
      <w:pPr>
        <w:pStyle w:val="4"/>
        <w:spacing w:line="240" w:lineRule="auto"/>
        <w:rPr>
          <w:rFonts w:ascii="黑体" w:hAnsi="黑体"/>
          <w:color w:val="auto"/>
          <w:highlight w:val="none"/>
        </w:rPr>
      </w:pPr>
      <w:bookmarkStart w:id="136" w:name="_Toc217642248"/>
      <w:r>
        <w:rPr>
          <w:rFonts w:hint="eastAsia" w:ascii="黑体" w:hAnsi="黑体"/>
          <w:color w:val="auto"/>
          <w:highlight w:val="none"/>
        </w:rPr>
        <w:t>13.4提前交付单位工程的验收</w:t>
      </w:r>
      <w:bookmarkEnd w:id="136"/>
    </w:p>
    <w:p w14:paraId="34FB7C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13.4.1发包人需要在工程竣工前使用单位工程的，或承包人提出提前交付已经竣工的单位工程且经发包人同意的，可进行单位工程验收，验收的程序按照第13.2款〔竣工验收〕的约定进行。</w:t>
      </w:r>
    </w:p>
    <w:p w14:paraId="62B4060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3BB1A28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13.4.2发包人要求在工程竣工前交付单位工程，由此导致承包人费用增加和（或）工期延误的，由发包人承担由此增加的费用和（或）延误的工期，并支付承包人合理的利润。</w:t>
      </w:r>
    </w:p>
    <w:p w14:paraId="57BE3C3B">
      <w:pPr>
        <w:pStyle w:val="4"/>
        <w:spacing w:line="240" w:lineRule="auto"/>
        <w:rPr>
          <w:rFonts w:ascii="黑体" w:hAnsi="黑体"/>
          <w:color w:val="auto"/>
          <w:highlight w:val="none"/>
        </w:rPr>
      </w:pPr>
      <w:bookmarkStart w:id="137" w:name="_Toc217642249"/>
      <w:r>
        <w:rPr>
          <w:rFonts w:hint="eastAsia" w:ascii="黑体" w:hAnsi="黑体"/>
          <w:color w:val="auto"/>
          <w:highlight w:val="none"/>
        </w:rPr>
        <w:t>13.5施工期运行</w:t>
      </w:r>
      <w:bookmarkEnd w:id="137"/>
    </w:p>
    <w:p w14:paraId="6BFD5A5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13.5.1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5005B55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13.5.2在施工期运行中发现工程或工程设备损坏或存在缺陷的，由承包人按第15.2款〔缺陷责任期〕约定进行修复。</w:t>
      </w:r>
    </w:p>
    <w:p w14:paraId="1FAC3F57">
      <w:pPr>
        <w:pStyle w:val="4"/>
        <w:spacing w:line="240" w:lineRule="auto"/>
        <w:rPr>
          <w:rFonts w:ascii="黑体" w:hAnsi="黑体"/>
          <w:color w:val="auto"/>
          <w:highlight w:val="none"/>
        </w:rPr>
      </w:pPr>
      <w:bookmarkStart w:id="138" w:name="_Toc217642250"/>
      <w:r>
        <w:rPr>
          <w:rFonts w:hint="eastAsia" w:ascii="黑体" w:hAnsi="黑体"/>
          <w:color w:val="auto"/>
          <w:highlight w:val="none"/>
        </w:rPr>
        <w:t>13.6竣工退场</w:t>
      </w:r>
      <w:bookmarkEnd w:id="138"/>
    </w:p>
    <w:p w14:paraId="785ACDA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13.6.1竣工退场</w:t>
      </w:r>
    </w:p>
    <w:p w14:paraId="1589E7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颁发工程接收证书后，承包人应按以下要求对施工现场进行清理：</w:t>
      </w:r>
    </w:p>
    <w:p w14:paraId="358201D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（1）施工现场内残留的垃圾已全部清除出场；</w:t>
      </w:r>
    </w:p>
    <w:p w14:paraId="6E8517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（2）临时工程已拆除，场地已进行清理、平整或复原；</w:t>
      </w:r>
    </w:p>
    <w:p w14:paraId="6403A1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（3）按合同约定应撤离的人员、承包人施工设备和剩余的材料，包括废弃的施工设备和材料，已按计划撤离施工现场；</w:t>
      </w:r>
    </w:p>
    <w:p w14:paraId="2879378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（4）施工现场周边及其附近道路、河道的施工堆积物，已全部清理；</w:t>
      </w:r>
    </w:p>
    <w:p w14:paraId="2BBE381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（5）施工现场其他场地清理工作已全部完成。</w:t>
      </w:r>
    </w:p>
    <w:p w14:paraId="36D25B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DF8F61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13.6.2地表还原</w:t>
      </w:r>
    </w:p>
    <w:p w14:paraId="767610E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1E1920A7">
      <w:pPr>
        <w:pStyle w:val="3"/>
        <w:rPr>
          <w:rFonts w:ascii="黑体" w:hAnsi="黑体"/>
          <w:color w:val="auto"/>
          <w:highlight w:val="none"/>
        </w:rPr>
      </w:pPr>
      <w:bookmarkStart w:id="139" w:name="_Toc217642251"/>
      <w:r>
        <w:rPr>
          <w:rFonts w:hint="eastAsia" w:ascii="黑体" w:hAnsi="黑体"/>
          <w:color w:val="auto"/>
          <w:highlight w:val="none"/>
        </w:rPr>
        <w:t>14.竣工结算</w:t>
      </w:r>
      <w:bookmarkEnd w:id="139"/>
    </w:p>
    <w:p w14:paraId="16D29F2B">
      <w:pPr>
        <w:pStyle w:val="4"/>
        <w:spacing w:line="240" w:lineRule="auto"/>
        <w:rPr>
          <w:rFonts w:ascii="黑体" w:hAnsi="黑体"/>
          <w:color w:val="auto"/>
          <w:highlight w:val="none"/>
        </w:rPr>
      </w:pPr>
      <w:bookmarkStart w:id="140" w:name="_Toc217642252"/>
      <w:r>
        <w:rPr>
          <w:rFonts w:hint="eastAsia" w:ascii="黑体" w:hAnsi="黑体"/>
          <w:color w:val="auto"/>
          <w:highlight w:val="none"/>
        </w:rPr>
        <w:t>14.1竣工结算申请</w:t>
      </w:r>
      <w:bookmarkEnd w:id="140"/>
    </w:p>
    <w:p w14:paraId="6B020F8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766DA8D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除专用合同条款另有约定外，竣工结算申请单应包括以下内容：</w:t>
      </w:r>
    </w:p>
    <w:p w14:paraId="5B6A8F0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（1）竣工结算合同价格；</w:t>
      </w:r>
    </w:p>
    <w:p w14:paraId="265145E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（2）发包人已支付承包人的款项；</w:t>
      </w:r>
    </w:p>
    <w:p w14:paraId="793B4E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（3）应扣留的质量保证金。已缴纳履约保证金的或提供其他工程质量担保方式的除外；</w:t>
      </w:r>
    </w:p>
    <w:p w14:paraId="20B59D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（4）发包人应支付承包人的合同价款。</w:t>
      </w:r>
    </w:p>
    <w:p w14:paraId="285446E5">
      <w:pPr>
        <w:pStyle w:val="4"/>
        <w:spacing w:line="240" w:lineRule="auto"/>
        <w:rPr>
          <w:rFonts w:ascii="黑体" w:hAnsi="黑体"/>
          <w:color w:val="auto"/>
          <w:highlight w:val="none"/>
        </w:rPr>
      </w:pPr>
      <w:bookmarkStart w:id="141" w:name="_Toc217642253"/>
      <w:r>
        <w:rPr>
          <w:rFonts w:hint="eastAsia" w:ascii="黑体" w:hAnsi="黑体"/>
          <w:color w:val="auto"/>
          <w:highlight w:val="none"/>
        </w:rPr>
        <w:t>14.2竣工结算审核</w:t>
      </w:r>
      <w:bookmarkEnd w:id="141"/>
    </w:p>
    <w:p w14:paraId="4971CD9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463757C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5E7F52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除专用合同条款另有约定外，发包人应在签发竣工付款证书后的14天内，完成对承包人的竣工付款。发包人逾期支付的，按照中国人民银行发布的同期同类贷款基准利率支付违约金；逾期支付超过56天的，按照中国人民银行发布的同期同类贷款基准利率的两倍支付违约金。</w:t>
      </w:r>
    </w:p>
    <w:p w14:paraId="4F034BC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7C728288">
      <w:pPr>
        <w:pStyle w:val="4"/>
        <w:spacing w:line="240" w:lineRule="auto"/>
        <w:rPr>
          <w:rFonts w:ascii="黑体" w:hAnsi="黑体"/>
          <w:color w:val="auto"/>
          <w:highlight w:val="none"/>
        </w:rPr>
      </w:pPr>
      <w:bookmarkStart w:id="142" w:name="_Toc217642254"/>
      <w:r>
        <w:rPr>
          <w:rFonts w:hint="eastAsia" w:ascii="黑体" w:hAnsi="黑体"/>
          <w:color w:val="auto"/>
          <w:highlight w:val="none"/>
        </w:rPr>
        <w:t>14.3甩项竣工协议</w:t>
      </w:r>
      <w:bookmarkEnd w:id="142"/>
    </w:p>
    <w:p w14:paraId="3553ED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5D9C6847">
      <w:pPr>
        <w:pStyle w:val="4"/>
        <w:spacing w:line="240" w:lineRule="auto"/>
        <w:rPr>
          <w:rFonts w:ascii="黑体" w:hAnsi="黑体"/>
          <w:color w:val="auto"/>
          <w:highlight w:val="none"/>
        </w:rPr>
      </w:pPr>
      <w:bookmarkStart w:id="143" w:name="_Toc217642255"/>
      <w:r>
        <w:rPr>
          <w:rFonts w:hint="eastAsia" w:ascii="黑体" w:hAnsi="黑体"/>
          <w:color w:val="auto"/>
          <w:highlight w:val="none"/>
        </w:rPr>
        <w:t>14.4最终结清</w:t>
      </w:r>
      <w:bookmarkEnd w:id="143"/>
    </w:p>
    <w:p w14:paraId="504EB5B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14.4.1最终结清申请单</w:t>
      </w:r>
    </w:p>
    <w:p w14:paraId="2933EF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（1）除专用合同条款另有约定外，承包人应在缺陷责任期终止证书颁发后7天内，按专用合同条款约定的份数向发包人提交最终结清申请单，并提供相关证明材料。</w:t>
      </w:r>
    </w:p>
    <w:p w14:paraId="16B2BEA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除专用合同条款另有约定外，最终结清申请单应列明质量保证金、应扣除的质量保证金、缺陷责任期内发生的增减费用。</w:t>
      </w:r>
    </w:p>
    <w:p w14:paraId="5B8BC5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（2）发包人对最终结清申请单内容有异议的，有权要求承包人进行修正和提供补充资料，承包人应向发包人提交修正后的最终结清申请单。</w:t>
      </w:r>
    </w:p>
    <w:p w14:paraId="6F9A45A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14.4.2最终结清证书和支付</w:t>
      </w:r>
    </w:p>
    <w:p w14:paraId="476ECD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6DB8EB4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5C2E2DA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（3）承包人对发包人颁发的最终结清证书有异议的，按第20条〔争议解决〕的约定办理。</w:t>
      </w:r>
    </w:p>
    <w:p w14:paraId="42C4DFBA">
      <w:pPr>
        <w:pStyle w:val="3"/>
        <w:rPr>
          <w:rFonts w:ascii="黑体" w:hAnsi="黑体"/>
          <w:color w:val="auto"/>
          <w:highlight w:val="none"/>
        </w:rPr>
      </w:pPr>
      <w:bookmarkStart w:id="144" w:name="_Toc217642256"/>
      <w:r>
        <w:rPr>
          <w:rFonts w:hint="eastAsia" w:ascii="黑体" w:hAnsi="黑体"/>
          <w:color w:val="auto"/>
          <w:highlight w:val="none"/>
        </w:rPr>
        <w:t>15.缺陷责任与保修</w:t>
      </w:r>
      <w:bookmarkEnd w:id="144"/>
    </w:p>
    <w:p w14:paraId="140D58B8">
      <w:pPr>
        <w:pStyle w:val="4"/>
        <w:spacing w:line="240" w:lineRule="auto"/>
        <w:rPr>
          <w:rFonts w:ascii="黑体" w:hAnsi="黑体"/>
          <w:color w:val="auto"/>
          <w:highlight w:val="none"/>
        </w:rPr>
      </w:pPr>
      <w:bookmarkStart w:id="145" w:name="_Toc217642257"/>
      <w:r>
        <w:rPr>
          <w:rFonts w:hint="eastAsia" w:ascii="黑体" w:hAnsi="黑体"/>
          <w:color w:val="auto"/>
          <w:highlight w:val="none"/>
        </w:rPr>
        <w:t>15.1工程保修的原则</w:t>
      </w:r>
      <w:bookmarkEnd w:id="145"/>
    </w:p>
    <w:p w14:paraId="6A9DA66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在工程移交发包人后，因承包人原因产生的质量缺陷，承包人应承担质量缺陷责任和保修义务。缺陷责任期届满，承包人仍应按合同约定的工程各部位保修年限承担保修义务。</w:t>
      </w:r>
    </w:p>
    <w:p w14:paraId="44A7DA08">
      <w:pPr>
        <w:pStyle w:val="4"/>
        <w:spacing w:line="240" w:lineRule="auto"/>
        <w:rPr>
          <w:rFonts w:ascii="黑体" w:hAnsi="黑体"/>
          <w:color w:val="auto"/>
          <w:highlight w:val="none"/>
        </w:rPr>
      </w:pPr>
      <w:bookmarkStart w:id="146" w:name="_Toc217642258"/>
      <w:r>
        <w:rPr>
          <w:rFonts w:hint="eastAsia" w:ascii="黑体" w:hAnsi="黑体"/>
          <w:color w:val="auto"/>
          <w:highlight w:val="none"/>
        </w:rPr>
        <w:t>15.2缺陷责任期</w:t>
      </w:r>
      <w:bookmarkEnd w:id="146"/>
    </w:p>
    <w:p w14:paraId="53DA7E8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15.2.1缺陷责任期从工程通过竣工验收之日起计算，合同当事人应在专用合同条款约定缺陷责任期的具体期限，但该期限最长不超过24个月。</w:t>
      </w:r>
    </w:p>
    <w:p w14:paraId="4C2FD93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40DB50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7BBC724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由他人原因造成的缺陷，发包人负责组织维修，承包人不承担费用，且发包人不得从保证金中扣除费用。</w:t>
      </w:r>
    </w:p>
    <w:p w14:paraId="2D4981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15.2.3任何一项缺陷或损坏修复后，经检查证明其影响了工程或工程设备的使用性能，承包人应重新进行合同约定的试验和试运行，试验和试运行的全部费用应由责任方承担。</w:t>
      </w:r>
    </w:p>
    <w:p w14:paraId="78E9E6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557CBF9B">
      <w:pPr>
        <w:pStyle w:val="4"/>
        <w:spacing w:line="240" w:lineRule="auto"/>
        <w:rPr>
          <w:rFonts w:ascii="黑体" w:hAnsi="黑体"/>
          <w:color w:val="auto"/>
          <w:highlight w:val="none"/>
        </w:rPr>
      </w:pPr>
      <w:bookmarkStart w:id="147" w:name="_Toc217642259"/>
      <w:r>
        <w:rPr>
          <w:rFonts w:hint="eastAsia" w:ascii="黑体" w:hAnsi="黑体"/>
          <w:color w:val="auto"/>
          <w:highlight w:val="none"/>
        </w:rPr>
        <w:t>15.3质量保证金</w:t>
      </w:r>
      <w:bookmarkEnd w:id="147"/>
    </w:p>
    <w:p w14:paraId="50F1CFB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经合同当事人协商一致扣留质量保证金的，应在专用合同条款中予以明确。</w:t>
      </w:r>
    </w:p>
    <w:p w14:paraId="092BB09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在工程项目竣工前，承包人已经提供履约担保的，发包人不得同时预留工程质量保证金。</w:t>
      </w:r>
    </w:p>
    <w:p w14:paraId="22F7344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15.3.1承包人提供质量保证金的方式</w:t>
      </w:r>
    </w:p>
    <w:p w14:paraId="6AD16D6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承包人提供质量保证金有以下三种方式：</w:t>
      </w:r>
    </w:p>
    <w:p w14:paraId="34B5B42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（1）质量保证金保函；</w:t>
      </w:r>
    </w:p>
    <w:p w14:paraId="03D116F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（2）相应比例的工程款；</w:t>
      </w:r>
    </w:p>
    <w:p w14:paraId="1AA3951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（3）双方约定的其他方式。</w:t>
      </w:r>
    </w:p>
    <w:p w14:paraId="6032AEE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除专用合同条款另有约定外，质量保证金原则上采用上述第（1）种方式。</w:t>
      </w:r>
    </w:p>
    <w:p w14:paraId="092554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15.3.2质量保证金的扣留</w:t>
      </w:r>
    </w:p>
    <w:p w14:paraId="6B67A6F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质量保证金的扣留有以下三种方式：</w:t>
      </w:r>
    </w:p>
    <w:p w14:paraId="007E1AF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（1）在支付工程进度款时逐次扣留，在此情形下，质量保证金的计算基数不包括预付款的支付、扣回以及价格调整的金额；</w:t>
      </w:r>
    </w:p>
    <w:p w14:paraId="10392C3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（2）工程竣工结算时一次性扣留质量保证金；</w:t>
      </w:r>
    </w:p>
    <w:p w14:paraId="62D63CC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（3）双方约定的其他扣留方式。</w:t>
      </w:r>
    </w:p>
    <w:p w14:paraId="02A4F71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除专用合同条款另有约定外，质量保证金的扣留原则上采用上述第（1）种方式。</w:t>
      </w:r>
    </w:p>
    <w:p w14:paraId="2ADBB2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7A16393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发包人在退还质量保证金的同时按照中国人民银行发布的同期同类贷款基准利率支付利息。</w:t>
      </w:r>
    </w:p>
    <w:p w14:paraId="050AAE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15.3.3质量保证金的退还</w:t>
      </w:r>
    </w:p>
    <w:p w14:paraId="4E299D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缺陷责任期内，承包人认真履行合同约定的责任，到期后，承包人可向发包人申请返还保证金。</w:t>
      </w:r>
    </w:p>
    <w:p w14:paraId="452638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85031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发包人和承包人对保证金预留、返还以及工程维修质量、费用有争议的，按本合同第20条约定的争议和纠纷解决程序处理。</w:t>
      </w:r>
    </w:p>
    <w:p w14:paraId="3F518260">
      <w:pPr>
        <w:pStyle w:val="4"/>
        <w:spacing w:line="240" w:lineRule="auto"/>
        <w:rPr>
          <w:rFonts w:ascii="黑体" w:hAnsi="黑体"/>
          <w:color w:val="auto"/>
          <w:highlight w:val="none"/>
        </w:rPr>
      </w:pPr>
      <w:bookmarkStart w:id="148" w:name="_Toc217642260"/>
      <w:r>
        <w:rPr>
          <w:rFonts w:hint="eastAsia" w:ascii="黑体" w:hAnsi="黑体"/>
          <w:color w:val="auto"/>
          <w:highlight w:val="none"/>
        </w:rPr>
        <w:t>15.4保修</w:t>
      </w:r>
      <w:bookmarkEnd w:id="148"/>
    </w:p>
    <w:p w14:paraId="0323D8A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15.4.1保修责任</w:t>
      </w:r>
    </w:p>
    <w:p w14:paraId="5A2AD7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3CD848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发包人未经竣工验收擅自使用工程的，保修期自转移占有之日起算。</w:t>
      </w:r>
    </w:p>
    <w:p w14:paraId="5B60769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15.4.2修复费用</w:t>
      </w:r>
    </w:p>
    <w:p w14:paraId="20F23D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保修期内，修复的费用按照以下约定处理：</w:t>
      </w:r>
    </w:p>
    <w:p w14:paraId="07D8C99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（1）保修期内，因承包人原因造成工程的缺陷、损坏，承包人应负责修复，并承担修复的费用以及因工程的缺陷、损坏造成的人身伤害和财产损失；</w:t>
      </w:r>
    </w:p>
    <w:p w14:paraId="2D038A6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（2）保修期内，因发包人使用不当造成工程的缺陷、损坏，可以委托承包人修复，但发包人应承担修复的费用，并支付承包人合理利润；</w:t>
      </w:r>
    </w:p>
    <w:p w14:paraId="2868287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（3）因其他原因造成工程的缺陷、损坏，可以委托承包人修复，发包人应承担修复的费用，并支付承包人合理的利润，因工程的缺陷、损坏造成的人身伤害和财产损失由责任方承担。</w:t>
      </w:r>
    </w:p>
    <w:p w14:paraId="325DD07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15.4.3修复通知</w:t>
      </w:r>
    </w:p>
    <w:p w14:paraId="4E6C64C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367FD06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15.4.4未能修复</w:t>
      </w:r>
    </w:p>
    <w:p w14:paraId="5389E10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1D76153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15.4.5承包人出入权</w:t>
      </w:r>
    </w:p>
    <w:p w14:paraId="798997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776913EE">
      <w:pPr>
        <w:pStyle w:val="3"/>
        <w:rPr>
          <w:rFonts w:ascii="黑体" w:hAnsi="黑体"/>
          <w:color w:val="auto"/>
          <w:highlight w:val="none"/>
        </w:rPr>
      </w:pPr>
      <w:bookmarkStart w:id="149" w:name="_Toc217642261"/>
      <w:r>
        <w:rPr>
          <w:rFonts w:hint="eastAsia" w:ascii="黑体" w:hAnsi="黑体"/>
          <w:color w:val="auto"/>
          <w:highlight w:val="none"/>
        </w:rPr>
        <w:t>16.违约</w:t>
      </w:r>
      <w:bookmarkEnd w:id="149"/>
    </w:p>
    <w:p w14:paraId="6CE8EB2C">
      <w:pPr>
        <w:pStyle w:val="4"/>
        <w:spacing w:line="240" w:lineRule="auto"/>
        <w:rPr>
          <w:rFonts w:ascii="黑体" w:hAnsi="黑体"/>
          <w:color w:val="auto"/>
          <w:highlight w:val="none"/>
        </w:rPr>
      </w:pPr>
      <w:bookmarkStart w:id="150" w:name="_Toc217642262"/>
      <w:r>
        <w:rPr>
          <w:rFonts w:hint="eastAsia" w:ascii="黑体" w:hAnsi="黑体"/>
          <w:color w:val="auto"/>
          <w:highlight w:val="none"/>
        </w:rPr>
        <w:t>16.1发包人违约</w:t>
      </w:r>
      <w:bookmarkEnd w:id="150"/>
    </w:p>
    <w:p w14:paraId="5D068D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16.1.1发包人违约的情形</w:t>
      </w:r>
    </w:p>
    <w:p w14:paraId="39D00C8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在合同履行过程中发生的下列情形，属于发包人违约：</w:t>
      </w:r>
    </w:p>
    <w:p w14:paraId="15AF5B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（1）因发包人原因未能在计划开工日期前7天内下达开工通知的；</w:t>
      </w:r>
    </w:p>
    <w:p w14:paraId="10F5865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（2）因发包人原因未能按合同约定支付合同价款的；</w:t>
      </w:r>
    </w:p>
    <w:p w14:paraId="2A105A2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（3）发包人违反第10.1款〔变更的范围〕第（2）项约定，自行实施被取消的工作或转由他人实施的；</w:t>
      </w:r>
    </w:p>
    <w:p w14:paraId="5AA2E8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（4）发包人提供的材料、工程设备的规格、数量或质量不符合合同约定，或因发包人原因导致交货日期延误或交货地点变更等情况的；</w:t>
      </w:r>
    </w:p>
    <w:p w14:paraId="1BC4EB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（5）因发包人违反合同约定造成暂停施工的；</w:t>
      </w:r>
    </w:p>
    <w:p w14:paraId="3FDA5E3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（6）发包人无正当理由没有在约定期限内发出复工指示，导致承包人无法复工的；</w:t>
      </w:r>
    </w:p>
    <w:p w14:paraId="4BBF48F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（7）发包人明确表示或者以其行为表明不履行合同主要义务的；</w:t>
      </w:r>
    </w:p>
    <w:p w14:paraId="00BBE7B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（8）发包人未能按照合同约定履行其他义务的。</w:t>
      </w:r>
    </w:p>
    <w:p w14:paraId="5A75463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9F312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16.1.2发包人违约的责任</w:t>
      </w:r>
    </w:p>
    <w:p w14:paraId="1B057C3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1457253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16.1.3因发包人违约解除合同</w:t>
      </w:r>
    </w:p>
    <w:p w14:paraId="03175C5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654FDF0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16.1.4因发包人违约解除合同后的付款</w:t>
      </w:r>
    </w:p>
    <w:p w14:paraId="4813946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承包人按照本款约定解除合同的，发包人应在解除合同后28天内支付下列款项，并解除履约担保：</w:t>
      </w:r>
    </w:p>
    <w:p w14:paraId="1A3931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（1）合同解除前所完成工作的价款；</w:t>
      </w:r>
    </w:p>
    <w:p w14:paraId="595865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（2）承包人为工程施工订购并已付款的材料、工程设备和其他物品的价款；</w:t>
      </w:r>
    </w:p>
    <w:p w14:paraId="7A54DD9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（3）承包人撤离施工现场以及遣散承包人人员的款项；</w:t>
      </w:r>
    </w:p>
    <w:p w14:paraId="007E4D2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（4）按照合同约定在合同解除前应支付的违约金；</w:t>
      </w:r>
    </w:p>
    <w:p w14:paraId="6656E2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（5）按照合同约定应当支付给承包人的其他款项；</w:t>
      </w:r>
    </w:p>
    <w:p w14:paraId="187C982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（6）按照合同约定应退还的质量保证金；</w:t>
      </w:r>
    </w:p>
    <w:p w14:paraId="2DCD853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（7）因解除合同给承包人造成的损失。</w:t>
      </w:r>
    </w:p>
    <w:p w14:paraId="3897E8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合同当事人未能就解除合同后的结清达成一致的，按照第20条〔争议解决〕的约定处理。</w:t>
      </w:r>
    </w:p>
    <w:p w14:paraId="3A16984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承包人应妥善做好已完工程和与工程有关的已购材料、工程设备的保护和移交工作，并将施工设备和人员撤出施工现场，发包人应为承包人撤出提供必要条件。</w:t>
      </w:r>
    </w:p>
    <w:p w14:paraId="2D1A2190">
      <w:pPr>
        <w:pStyle w:val="4"/>
        <w:spacing w:line="240" w:lineRule="auto"/>
        <w:rPr>
          <w:rFonts w:ascii="黑体" w:hAnsi="黑体"/>
          <w:color w:val="auto"/>
          <w:highlight w:val="none"/>
        </w:rPr>
      </w:pPr>
      <w:bookmarkStart w:id="151" w:name="_Toc217642263"/>
      <w:r>
        <w:rPr>
          <w:rFonts w:hint="eastAsia" w:ascii="黑体" w:hAnsi="黑体"/>
          <w:color w:val="auto"/>
          <w:highlight w:val="none"/>
        </w:rPr>
        <w:t>16.2承包人违约</w:t>
      </w:r>
      <w:bookmarkEnd w:id="151"/>
    </w:p>
    <w:p w14:paraId="3314D4D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16.2.1承包人违约的情形</w:t>
      </w:r>
    </w:p>
    <w:p w14:paraId="7A833F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在合同履行过程中发生的下列情形，属于承包人违约：</w:t>
      </w:r>
    </w:p>
    <w:p w14:paraId="759D63D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（1）承包人违反合同约定进行转包或违法分包的；</w:t>
      </w:r>
    </w:p>
    <w:p w14:paraId="7AF8AD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（2）承包人违反合同约定采购和使用不合格的材料和工程设备的；</w:t>
      </w:r>
    </w:p>
    <w:p w14:paraId="2DAD96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（3）因承包人原因导致工程质量不符合合同要求的；</w:t>
      </w:r>
    </w:p>
    <w:p w14:paraId="685A9C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（4）承包人违反第8.9款〔材料与设备专用要求〕的约定，未经批准，私自将已按照合同约定进入施工现场的材料或设备撤离施工现场的；</w:t>
      </w:r>
    </w:p>
    <w:p w14:paraId="57B5D3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（5）承包人未能按施工进度计划及时完成合同约定的工作，造成工期延误的；</w:t>
      </w:r>
    </w:p>
    <w:p w14:paraId="3B1983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（6）承包人在缺陷责任期及保修期内，未能在合理期限对工程缺陷进行修复，或拒绝按发包人要求进行修复的；</w:t>
      </w:r>
    </w:p>
    <w:p w14:paraId="5F8C91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（7）承包人明确表示或者以其行为表明不履行合同主要义务的；</w:t>
      </w:r>
    </w:p>
    <w:p w14:paraId="1CCC61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（8）承包人未能按照合同约定履行其他义务的。</w:t>
      </w:r>
    </w:p>
    <w:p w14:paraId="19A39B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承包人发生除本项第（7）目约定以外的其他违约情况时，监理人可向承包人发出整改通知，要求其在指定的期限内改正。</w:t>
      </w:r>
    </w:p>
    <w:p w14:paraId="26A51B0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16.2.2承包人违约的责任</w:t>
      </w:r>
    </w:p>
    <w:p w14:paraId="0C9871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承包人应承担因其违约行为而增加的费用和（或）延误的工期。此外，合同当事人可在专用合同条款中另行约定承包人违约责任的承担方式和计算方法。</w:t>
      </w:r>
    </w:p>
    <w:p w14:paraId="2060AA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16.2.3因承包人违约解除合同</w:t>
      </w:r>
    </w:p>
    <w:p w14:paraId="7644A8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7152A5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16.2.4因承包人违约解除合同后的处理</w:t>
      </w:r>
    </w:p>
    <w:p w14:paraId="54B182F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因承包人原因导致合同解除的，则合同当事人应在合同解除后28天内完成估价、付款和清算，并按以下约定执行：</w:t>
      </w:r>
    </w:p>
    <w:p w14:paraId="48405B3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（1）合同解除后，按第4.4款〔商定或确定〕商定或确定承包人实际完成工作对应的合同价款，以及承包人已提供的材料、工程设备、施工设备和临时工程等的价值；</w:t>
      </w:r>
    </w:p>
    <w:p w14:paraId="3B1D31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（2）合同解除后，承包人应支付的违约金；</w:t>
      </w:r>
    </w:p>
    <w:p w14:paraId="2D762A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（3）合同解除后，因解除合同给发包人造成的损失；</w:t>
      </w:r>
    </w:p>
    <w:p w14:paraId="6CEFD6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（4）合同解除后，承包人应按照发包人要求和监理人的指示完成现场的清理和撤离；</w:t>
      </w:r>
    </w:p>
    <w:p w14:paraId="4628201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（5）发包人和承包人应在合同解除后进行清算，出具最终结清付款证书，结清全部款项。</w:t>
      </w:r>
    </w:p>
    <w:p w14:paraId="7A248F5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16199E3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16.2.5采购合同权益转让</w:t>
      </w:r>
    </w:p>
    <w:p w14:paraId="06A7533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3445019A">
      <w:pPr>
        <w:pStyle w:val="4"/>
        <w:spacing w:line="240" w:lineRule="auto"/>
        <w:rPr>
          <w:rFonts w:ascii="黑体" w:hAnsi="黑体"/>
          <w:color w:val="auto"/>
          <w:highlight w:val="none"/>
        </w:rPr>
      </w:pPr>
      <w:bookmarkStart w:id="152" w:name="_Toc217642264"/>
      <w:r>
        <w:rPr>
          <w:rFonts w:hint="eastAsia" w:ascii="黑体" w:hAnsi="黑体"/>
          <w:color w:val="auto"/>
          <w:highlight w:val="none"/>
        </w:rPr>
        <w:t>16.3第三人造成的违约</w:t>
      </w:r>
      <w:bookmarkEnd w:id="152"/>
    </w:p>
    <w:p w14:paraId="29F6D27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在履行合同过程中，一方当事人因第三人的原因造成违约的，应当向对方当事人承担违约责任。一方当事人和第三人之间的纠纷，依照法律规定或者按照约定解决。</w:t>
      </w:r>
    </w:p>
    <w:p w14:paraId="5680C508">
      <w:pPr>
        <w:pStyle w:val="3"/>
        <w:rPr>
          <w:rFonts w:ascii="黑体" w:hAnsi="黑体"/>
          <w:color w:val="auto"/>
          <w:highlight w:val="none"/>
        </w:rPr>
      </w:pPr>
      <w:bookmarkStart w:id="153" w:name="_Toc217642265"/>
      <w:r>
        <w:rPr>
          <w:rFonts w:hint="eastAsia" w:ascii="黑体" w:hAnsi="黑体"/>
          <w:color w:val="auto"/>
          <w:highlight w:val="none"/>
        </w:rPr>
        <w:t>17.不可抗力</w:t>
      </w:r>
      <w:bookmarkEnd w:id="153"/>
    </w:p>
    <w:p w14:paraId="60236F10">
      <w:pPr>
        <w:pStyle w:val="4"/>
        <w:spacing w:line="240" w:lineRule="auto"/>
        <w:rPr>
          <w:rFonts w:ascii="黑体" w:hAnsi="黑体"/>
          <w:color w:val="auto"/>
          <w:highlight w:val="none"/>
        </w:rPr>
      </w:pPr>
      <w:bookmarkStart w:id="154" w:name="_Toc217642266"/>
      <w:r>
        <w:rPr>
          <w:rFonts w:hint="eastAsia" w:ascii="黑体" w:hAnsi="黑体"/>
          <w:color w:val="auto"/>
          <w:highlight w:val="none"/>
        </w:rPr>
        <w:t>17.1不可抗力的确认</w:t>
      </w:r>
      <w:bookmarkEnd w:id="154"/>
    </w:p>
    <w:p w14:paraId="0F14B20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7BCC2A9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1706B324">
      <w:pPr>
        <w:pStyle w:val="4"/>
        <w:spacing w:line="240" w:lineRule="auto"/>
        <w:rPr>
          <w:rFonts w:ascii="黑体" w:hAnsi="黑体"/>
          <w:color w:val="auto"/>
          <w:highlight w:val="none"/>
        </w:rPr>
      </w:pPr>
      <w:bookmarkStart w:id="155" w:name="_Toc217642267"/>
      <w:r>
        <w:rPr>
          <w:rFonts w:hint="eastAsia" w:ascii="黑体" w:hAnsi="黑体"/>
          <w:color w:val="auto"/>
          <w:highlight w:val="none"/>
        </w:rPr>
        <w:t>17.2不可抗力的通知</w:t>
      </w:r>
      <w:bookmarkEnd w:id="155"/>
    </w:p>
    <w:p w14:paraId="76AA8F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合同一方当事人遇到不可抗力事件，使其履行合同义务受到阻碍时，应立即通知合同另一方当事人和监理人，书面说明不可抗力和受阻碍的详细情况，并提供必要的证明。</w:t>
      </w:r>
    </w:p>
    <w:p w14:paraId="5C22C85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2178BD3E">
      <w:pPr>
        <w:pStyle w:val="4"/>
        <w:spacing w:line="240" w:lineRule="auto"/>
        <w:rPr>
          <w:rFonts w:ascii="黑体" w:hAnsi="黑体"/>
          <w:color w:val="auto"/>
          <w:highlight w:val="none"/>
        </w:rPr>
      </w:pPr>
      <w:bookmarkStart w:id="156" w:name="_Toc217642268"/>
      <w:r>
        <w:rPr>
          <w:rFonts w:hint="eastAsia" w:ascii="黑体" w:hAnsi="黑体"/>
          <w:color w:val="auto"/>
          <w:highlight w:val="none"/>
        </w:rPr>
        <w:t>17.3不可抗力后果的承担</w:t>
      </w:r>
      <w:bookmarkEnd w:id="156"/>
    </w:p>
    <w:p w14:paraId="651458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17.3.1不可抗力引起的后果及造成的损失由合同当事人按照法律规定及合同约定各自承担。不可抗力发生前已完成的工程应当按照合同约定进行计量支付。</w:t>
      </w:r>
    </w:p>
    <w:p w14:paraId="5281932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17.3.2不可抗力导致的人员伤亡、财产损失、费用增加和（或）工期延误等后果，由合同当事人按以下原则承担：</w:t>
      </w:r>
    </w:p>
    <w:p w14:paraId="138598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（1）永久工程、已运至施工现场的材料和工程设备的损坏，以及因工程损坏造成的第三人人员伤亡和财产损失由发包人承担；</w:t>
      </w:r>
    </w:p>
    <w:p w14:paraId="47D949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（2）承包人施工设备的损坏由承包人承担；</w:t>
      </w:r>
    </w:p>
    <w:p w14:paraId="182F06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（3）发包人和承包人承担各自人员伤亡和财产的损失；</w:t>
      </w:r>
    </w:p>
    <w:p w14:paraId="4B30DCE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0AD60C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（5）因不可抗力引起或将引起工期延误，发包人要求赶工的，由此增加的赶工费用由发包人承担；</w:t>
      </w:r>
    </w:p>
    <w:p w14:paraId="1C6CA34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（6）承包人在停工期间按照发包人要求照管、清理和修复工程的费用由发包人承担。</w:t>
      </w:r>
    </w:p>
    <w:p w14:paraId="7238D68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不可抗力发生后，合同当事人均应采取措施尽量避免和减少损失的扩大，任何一方当事人没有采取有效措施导致损失扩大的，应对扩大的损失承担责任。</w:t>
      </w:r>
    </w:p>
    <w:p w14:paraId="1D5D59C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因合同一方迟延履行合同义务，在迟延履行期间遭遇不可抗力的，不免除其违约责任。</w:t>
      </w:r>
    </w:p>
    <w:p w14:paraId="1350A19E">
      <w:pPr>
        <w:pStyle w:val="4"/>
        <w:spacing w:line="240" w:lineRule="auto"/>
        <w:rPr>
          <w:rFonts w:ascii="黑体" w:hAnsi="黑体"/>
          <w:color w:val="auto"/>
          <w:highlight w:val="none"/>
        </w:rPr>
      </w:pPr>
      <w:bookmarkStart w:id="157" w:name="_Toc217642269"/>
      <w:r>
        <w:rPr>
          <w:rFonts w:hint="eastAsia" w:ascii="黑体" w:hAnsi="黑体"/>
          <w:color w:val="auto"/>
          <w:highlight w:val="none"/>
        </w:rPr>
        <w:t>17.4因不可抗力解除合同</w:t>
      </w:r>
      <w:bookmarkEnd w:id="157"/>
    </w:p>
    <w:p w14:paraId="23BB195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4C1DED2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（1）合同解除前承包人已完成工作的价款；</w:t>
      </w:r>
    </w:p>
    <w:p w14:paraId="31CC23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（2）承包人为工程订购的并已交付给承包人，或承包人有责任接受交付的材料、工程设备和其他物品的价款；</w:t>
      </w:r>
    </w:p>
    <w:p w14:paraId="56F7584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（3）发包人要求承包人退货或解除订货合同而产生的费用，或因不能退货或解除合同而产生的损失；</w:t>
      </w:r>
    </w:p>
    <w:p w14:paraId="000AF7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（4）承包人撤离施工现场以及遣散承包人人员的费用；</w:t>
      </w:r>
    </w:p>
    <w:p w14:paraId="166B19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（5）按照合同约定在合同解除前应支付给承包人的其他款项；</w:t>
      </w:r>
    </w:p>
    <w:p w14:paraId="1A4584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（6）扣减承包人按照合同约定应向发包人支付的款项；</w:t>
      </w:r>
    </w:p>
    <w:p w14:paraId="19A764D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（7）双方商定或确定的其他款项。</w:t>
      </w:r>
    </w:p>
    <w:p w14:paraId="4445CED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除专用合同条款另有约定外，合同解除后，发包人应在商定或确定上述款项后28天内完成上述款项的支付。</w:t>
      </w:r>
    </w:p>
    <w:p w14:paraId="0AE66372">
      <w:pPr>
        <w:pStyle w:val="3"/>
        <w:rPr>
          <w:rFonts w:ascii="黑体" w:hAnsi="黑体"/>
          <w:color w:val="auto"/>
          <w:highlight w:val="none"/>
        </w:rPr>
      </w:pPr>
      <w:bookmarkStart w:id="158" w:name="_Toc217642270"/>
      <w:r>
        <w:rPr>
          <w:rFonts w:hint="eastAsia" w:ascii="黑体" w:hAnsi="黑体"/>
          <w:color w:val="auto"/>
          <w:highlight w:val="none"/>
        </w:rPr>
        <w:t>18.保险</w:t>
      </w:r>
      <w:bookmarkEnd w:id="158"/>
    </w:p>
    <w:p w14:paraId="2DFC0BB9">
      <w:pPr>
        <w:pStyle w:val="4"/>
        <w:spacing w:line="240" w:lineRule="auto"/>
        <w:rPr>
          <w:rFonts w:ascii="黑体" w:hAnsi="黑体"/>
          <w:color w:val="auto"/>
          <w:highlight w:val="none"/>
        </w:rPr>
      </w:pPr>
      <w:bookmarkStart w:id="159" w:name="_Toc217642271"/>
      <w:r>
        <w:rPr>
          <w:rFonts w:hint="eastAsia" w:ascii="黑体" w:hAnsi="黑体"/>
          <w:color w:val="auto"/>
          <w:highlight w:val="none"/>
        </w:rPr>
        <w:t>18.1工程保险</w:t>
      </w:r>
      <w:bookmarkEnd w:id="159"/>
    </w:p>
    <w:p w14:paraId="0513E2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除专用合同条款另有约定外，发包人应投保建筑工程一切险或安装工程一切险；发包人委托承包人投保的，因投保产生的保险费和其他相关费用由发包人承担。</w:t>
      </w:r>
    </w:p>
    <w:p w14:paraId="15B44BDC">
      <w:pPr>
        <w:pStyle w:val="4"/>
        <w:spacing w:line="240" w:lineRule="auto"/>
        <w:rPr>
          <w:rFonts w:ascii="黑体" w:hAnsi="黑体"/>
          <w:color w:val="auto"/>
          <w:highlight w:val="none"/>
        </w:rPr>
      </w:pPr>
      <w:bookmarkStart w:id="160" w:name="_Toc217642272"/>
      <w:r>
        <w:rPr>
          <w:rFonts w:hint="eastAsia" w:ascii="黑体" w:hAnsi="黑体"/>
          <w:color w:val="auto"/>
          <w:highlight w:val="none"/>
        </w:rPr>
        <w:t>18.2工伤保险</w:t>
      </w:r>
      <w:bookmarkEnd w:id="160"/>
    </w:p>
    <w:p w14:paraId="545ACBC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18.2.1发包人应依照法律规定参加工伤保险，并为在施工现场的全部员工办理工伤保险，缴纳工伤保险费，并要求监理人及由发包人为履行合同聘请的第三方依法参加工伤保险。</w:t>
      </w:r>
    </w:p>
    <w:p w14:paraId="354FA1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18.2.2承包人应依照法律规定参加工伤保险，并为其履行合同的全部员工办理工伤保险，缴纳工伤保险费，并要求分包人及由承包人为履行合同聘请的第三方依法参加工伤保险。</w:t>
      </w:r>
    </w:p>
    <w:p w14:paraId="70DFFA8F">
      <w:pPr>
        <w:pStyle w:val="4"/>
        <w:spacing w:line="240" w:lineRule="auto"/>
        <w:rPr>
          <w:rFonts w:ascii="黑体" w:hAnsi="黑体"/>
          <w:color w:val="auto"/>
          <w:highlight w:val="none"/>
        </w:rPr>
      </w:pPr>
      <w:bookmarkStart w:id="161" w:name="_Toc217642273"/>
      <w:r>
        <w:rPr>
          <w:rFonts w:hint="eastAsia" w:ascii="黑体" w:hAnsi="黑体"/>
          <w:color w:val="auto"/>
          <w:highlight w:val="none"/>
        </w:rPr>
        <w:t>18.3其他保险</w:t>
      </w:r>
      <w:bookmarkEnd w:id="161"/>
    </w:p>
    <w:p w14:paraId="089A04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3B2E197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除专用合同条款另有约定外，承包人应为其施工设备等办理财产保险。</w:t>
      </w:r>
    </w:p>
    <w:p w14:paraId="48381D23">
      <w:pPr>
        <w:pStyle w:val="4"/>
        <w:spacing w:line="240" w:lineRule="auto"/>
        <w:rPr>
          <w:rFonts w:ascii="黑体" w:hAnsi="黑体"/>
          <w:color w:val="auto"/>
          <w:highlight w:val="none"/>
        </w:rPr>
      </w:pPr>
      <w:bookmarkStart w:id="162" w:name="_Toc217642274"/>
      <w:r>
        <w:rPr>
          <w:rFonts w:hint="eastAsia" w:ascii="黑体" w:hAnsi="黑体"/>
          <w:color w:val="auto"/>
          <w:highlight w:val="none"/>
        </w:rPr>
        <w:t>18.4持续保险</w:t>
      </w:r>
      <w:bookmarkEnd w:id="162"/>
    </w:p>
    <w:p w14:paraId="470118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合同当事人应与保险人保持联系，使保险人能够随时了解工程实施中的变动，并确保按保险合同条款要求持续保险。</w:t>
      </w:r>
    </w:p>
    <w:p w14:paraId="3D5AF1C8">
      <w:pPr>
        <w:pStyle w:val="4"/>
        <w:spacing w:line="240" w:lineRule="auto"/>
        <w:rPr>
          <w:rFonts w:ascii="黑体" w:hAnsi="黑体"/>
          <w:color w:val="auto"/>
          <w:highlight w:val="none"/>
        </w:rPr>
      </w:pPr>
      <w:bookmarkStart w:id="163" w:name="_Toc217642275"/>
      <w:r>
        <w:rPr>
          <w:rFonts w:hint="eastAsia" w:ascii="黑体" w:hAnsi="黑体"/>
          <w:color w:val="auto"/>
          <w:highlight w:val="none"/>
        </w:rPr>
        <w:t>18.5保险凭证</w:t>
      </w:r>
      <w:bookmarkEnd w:id="163"/>
    </w:p>
    <w:p w14:paraId="63EFC8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合同当事人应及时向另一方当事人提交其已投保的各项保险的凭证和保险单复印件。</w:t>
      </w:r>
    </w:p>
    <w:p w14:paraId="6C860C97">
      <w:pPr>
        <w:pStyle w:val="4"/>
        <w:spacing w:line="240" w:lineRule="auto"/>
        <w:rPr>
          <w:rFonts w:ascii="黑体" w:hAnsi="黑体"/>
          <w:color w:val="auto"/>
          <w:highlight w:val="none"/>
        </w:rPr>
      </w:pPr>
      <w:bookmarkStart w:id="164" w:name="_Toc217642276"/>
      <w:r>
        <w:rPr>
          <w:rFonts w:hint="eastAsia" w:ascii="黑体" w:hAnsi="黑体"/>
          <w:color w:val="auto"/>
          <w:highlight w:val="none"/>
        </w:rPr>
        <w:t>18.6未按约定投保的补救</w:t>
      </w:r>
      <w:bookmarkEnd w:id="164"/>
    </w:p>
    <w:p w14:paraId="4002F1D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4743EF1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74A02FBA">
      <w:pPr>
        <w:pStyle w:val="4"/>
        <w:spacing w:line="240" w:lineRule="auto"/>
        <w:rPr>
          <w:rFonts w:ascii="黑体" w:hAnsi="黑体"/>
          <w:color w:val="auto"/>
          <w:highlight w:val="none"/>
        </w:rPr>
      </w:pPr>
      <w:bookmarkStart w:id="165" w:name="_Toc217642277"/>
      <w:r>
        <w:rPr>
          <w:rFonts w:hint="eastAsia" w:ascii="黑体" w:hAnsi="黑体"/>
          <w:color w:val="auto"/>
          <w:highlight w:val="none"/>
        </w:rPr>
        <w:t>18.7通知义务</w:t>
      </w:r>
      <w:bookmarkEnd w:id="165"/>
    </w:p>
    <w:p w14:paraId="3BB6D6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64EE7E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保险事故发生时，投保人应按照保险合同规定的条件和期限及时向保险人报告。发包人和承包人应当在知道保险事故发生后及时通知对方。</w:t>
      </w:r>
    </w:p>
    <w:p w14:paraId="279EB3BC">
      <w:pPr>
        <w:pStyle w:val="3"/>
        <w:rPr>
          <w:rFonts w:ascii="黑体" w:hAnsi="黑体"/>
          <w:color w:val="auto"/>
          <w:highlight w:val="none"/>
        </w:rPr>
      </w:pPr>
      <w:bookmarkStart w:id="166" w:name="_Toc217642278"/>
      <w:r>
        <w:rPr>
          <w:rFonts w:hint="eastAsia" w:ascii="黑体" w:hAnsi="黑体"/>
          <w:color w:val="auto"/>
          <w:highlight w:val="none"/>
        </w:rPr>
        <w:t>19.索赔</w:t>
      </w:r>
      <w:bookmarkEnd w:id="166"/>
    </w:p>
    <w:p w14:paraId="5104D172">
      <w:pPr>
        <w:pStyle w:val="4"/>
        <w:spacing w:line="240" w:lineRule="auto"/>
        <w:rPr>
          <w:rFonts w:ascii="黑体" w:hAnsi="黑体"/>
          <w:color w:val="auto"/>
          <w:highlight w:val="none"/>
        </w:rPr>
      </w:pPr>
      <w:bookmarkStart w:id="167" w:name="_Toc217642279"/>
      <w:r>
        <w:rPr>
          <w:rFonts w:hint="eastAsia" w:ascii="黑体" w:hAnsi="黑体"/>
          <w:color w:val="auto"/>
          <w:highlight w:val="none"/>
        </w:rPr>
        <w:t>19.1承包人的索赔</w:t>
      </w:r>
      <w:bookmarkEnd w:id="167"/>
    </w:p>
    <w:p w14:paraId="4DC006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根据合同约定，承包人认为有权得到追加付款和（或）延长工期的，应按以下程序向发包人提出索赔：</w:t>
      </w:r>
    </w:p>
    <w:p w14:paraId="6D43C4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AB8F09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560F428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（3）索赔事件具有持续影响的，承包人应按合理时间间隔继续递交延续索赔通知，说明持续影响的实际情况和记录，列出累计的追加付款金额和（或）工期延长天数；</w:t>
      </w:r>
    </w:p>
    <w:p w14:paraId="5DD1153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（4）在索赔事件影响结束后28天内，承包人应向监理人递交最终索赔报告，说明最终要求索赔的追加付款金额和（或）延长的工期，并附必要的记录和证明材料。</w:t>
      </w:r>
    </w:p>
    <w:p w14:paraId="48F2B5C4">
      <w:pPr>
        <w:pStyle w:val="4"/>
        <w:spacing w:line="240" w:lineRule="auto"/>
        <w:rPr>
          <w:rFonts w:ascii="黑体" w:hAnsi="黑体"/>
          <w:color w:val="auto"/>
          <w:highlight w:val="none"/>
        </w:rPr>
      </w:pPr>
      <w:bookmarkStart w:id="168" w:name="_Toc217642280"/>
      <w:r>
        <w:rPr>
          <w:rFonts w:hint="eastAsia" w:ascii="黑体" w:hAnsi="黑体"/>
          <w:color w:val="auto"/>
          <w:highlight w:val="none"/>
        </w:rPr>
        <w:t>19.2对承包人索赔的处理</w:t>
      </w:r>
      <w:bookmarkEnd w:id="168"/>
    </w:p>
    <w:p w14:paraId="7700B4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对承包人索赔的处理如下：</w:t>
      </w:r>
    </w:p>
    <w:p w14:paraId="0A9A13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（1）监理人应在收到索赔报告后14天内完成审查并报送发包人。监理人对索赔报告存在异议的，有权要求承包人提交全部原始记录副本；</w:t>
      </w:r>
    </w:p>
    <w:p w14:paraId="6249615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15B4C99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（3）承包人接受索赔处理结果的，索赔款项在当期进度款中进行支付；承包人不接受索赔处理结果的，按照第20条〔争议解决〕约定处理。</w:t>
      </w:r>
    </w:p>
    <w:p w14:paraId="626A0CC9">
      <w:pPr>
        <w:pStyle w:val="4"/>
        <w:spacing w:line="240" w:lineRule="auto"/>
        <w:rPr>
          <w:rFonts w:ascii="黑体" w:hAnsi="黑体"/>
          <w:color w:val="auto"/>
          <w:highlight w:val="none"/>
        </w:rPr>
      </w:pPr>
      <w:bookmarkStart w:id="169" w:name="_Toc217642281"/>
      <w:r>
        <w:rPr>
          <w:rFonts w:hint="eastAsia" w:ascii="黑体" w:hAnsi="黑体"/>
          <w:color w:val="auto"/>
          <w:highlight w:val="none"/>
        </w:rPr>
        <w:t>19.3发包人的索赔</w:t>
      </w:r>
      <w:bookmarkEnd w:id="169"/>
    </w:p>
    <w:p w14:paraId="526975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根据合同约定，发包人认为有权得到赔付金额和（或）延长缺陷责任期的，监理人应向承包人发出通知并附有详细的证明。</w:t>
      </w:r>
    </w:p>
    <w:p w14:paraId="6513201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9DD6180">
      <w:pPr>
        <w:pStyle w:val="4"/>
        <w:spacing w:line="240" w:lineRule="auto"/>
        <w:rPr>
          <w:rFonts w:ascii="黑体" w:hAnsi="黑体"/>
          <w:color w:val="auto"/>
          <w:highlight w:val="none"/>
        </w:rPr>
      </w:pPr>
      <w:bookmarkStart w:id="170" w:name="_Toc217642282"/>
      <w:r>
        <w:rPr>
          <w:rFonts w:hint="eastAsia" w:ascii="黑体" w:hAnsi="黑体"/>
          <w:color w:val="auto"/>
          <w:highlight w:val="none"/>
        </w:rPr>
        <w:t>19.4对发包人索赔的处理</w:t>
      </w:r>
      <w:bookmarkEnd w:id="170"/>
    </w:p>
    <w:p w14:paraId="3434B36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对发包人索赔的处理如下：</w:t>
      </w:r>
    </w:p>
    <w:p w14:paraId="4DB1AF5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（1）承包人收到发包人提交的索赔报告后，应及时审查索赔报告的内容、查验发包人证明材料；</w:t>
      </w:r>
    </w:p>
    <w:p w14:paraId="6590E35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（2）承包人应在收到索赔报告或有关索赔的进一步证明材料后28天内，将索赔处理结果答复发包人。如果承包人未在上述期限内作出答复的，则视为对发包人索赔要求的认可；</w:t>
      </w:r>
    </w:p>
    <w:p w14:paraId="022D24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14:paraId="56BE4715">
      <w:pPr>
        <w:pStyle w:val="4"/>
        <w:spacing w:line="240" w:lineRule="auto"/>
        <w:rPr>
          <w:rFonts w:ascii="黑体" w:hAnsi="黑体"/>
          <w:color w:val="auto"/>
          <w:highlight w:val="none"/>
        </w:rPr>
      </w:pPr>
      <w:bookmarkStart w:id="171" w:name="_Toc217642283"/>
      <w:r>
        <w:rPr>
          <w:rFonts w:hint="eastAsia" w:ascii="黑体" w:hAnsi="黑体"/>
          <w:color w:val="auto"/>
          <w:highlight w:val="none"/>
        </w:rPr>
        <w:t>19.5提出索赔的期限</w:t>
      </w:r>
      <w:bookmarkEnd w:id="171"/>
    </w:p>
    <w:p w14:paraId="55F3E37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（1）承包人按第14.2款〔竣工结算审核〕约定接收竣工付款证书后，应被视为已无权再提出在工程接收证书颁发前所发生的任何索赔。</w:t>
      </w:r>
    </w:p>
    <w:p w14:paraId="7F295B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（2）承包人按第14.4款〔最终结清〕提交的最终结清申请单中，只限于提出工程接收证书颁发后发生的索赔。提出索赔的期限自接受最终结清证书时终止。</w:t>
      </w:r>
    </w:p>
    <w:p w14:paraId="1A44A232">
      <w:pPr>
        <w:pStyle w:val="3"/>
        <w:rPr>
          <w:rFonts w:ascii="黑体" w:hAnsi="黑体"/>
          <w:color w:val="auto"/>
          <w:highlight w:val="none"/>
        </w:rPr>
      </w:pPr>
      <w:bookmarkStart w:id="172" w:name="_Toc217642284"/>
      <w:r>
        <w:rPr>
          <w:rFonts w:hint="eastAsia" w:ascii="黑体" w:hAnsi="黑体"/>
          <w:color w:val="auto"/>
          <w:highlight w:val="none"/>
        </w:rPr>
        <w:t>20.争议解决</w:t>
      </w:r>
      <w:bookmarkEnd w:id="172"/>
    </w:p>
    <w:p w14:paraId="6C80C6C1">
      <w:pPr>
        <w:pStyle w:val="4"/>
        <w:spacing w:line="240" w:lineRule="auto"/>
        <w:rPr>
          <w:rFonts w:ascii="黑体" w:hAnsi="黑体"/>
          <w:color w:val="auto"/>
          <w:highlight w:val="none"/>
        </w:rPr>
      </w:pPr>
      <w:bookmarkStart w:id="173" w:name="_Toc217642285"/>
      <w:r>
        <w:rPr>
          <w:rFonts w:hint="eastAsia" w:ascii="黑体" w:hAnsi="黑体"/>
          <w:color w:val="auto"/>
          <w:highlight w:val="none"/>
        </w:rPr>
        <w:t>20.1和解</w:t>
      </w:r>
      <w:bookmarkEnd w:id="173"/>
    </w:p>
    <w:p w14:paraId="6984C50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合同当事人可以就争议自行和解，自行和解达成协议的经双方签字并盖章后作为合同补充文件，双方均应遵照执行。</w:t>
      </w:r>
    </w:p>
    <w:p w14:paraId="13E927E2">
      <w:pPr>
        <w:pStyle w:val="4"/>
        <w:spacing w:line="240" w:lineRule="auto"/>
        <w:rPr>
          <w:rFonts w:ascii="黑体" w:hAnsi="黑体"/>
          <w:color w:val="auto"/>
          <w:highlight w:val="none"/>
        </w:rPr>
      </w:pPr>
      <w:bookmarkStart w:id="174" w:name="_Toc217642286"/>
      <w:r>
        <w:rPr>
          <w:rFonts w:hint="eastAsia" w:ascii="黑体" w:hAnsi="黑体"/>
          <w:color w:val="auto"/>
          <w:highlight w:val="none"/>
        </w:rPr>
        <w:t>20.2调解</w:t>
      </w:r>
      <w:bookmarkEnd w:id="174"/>
    </w:p>
    <w:p w14:paraId="2BC6BF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合同当事人可以就争议请求建设行政主管部门、行业协会或其他第三方进行调解，调解达成协议的，经双方签字并盖章后作为合同补充文件，双方均应遵照执行。</w:t>
      </w:r>
    </w:p>
    <w:p w14:paraId="60FAC1EC">
      <w:pPr>
        <w:pStyle w:val="4"/>
        <w:spacing w:line="240" w:lineRule="auto"/>
        <w:rPr>
          <w:rFonts w:ascii="黑体" w:hAnsi="黑体"/>
          <w:color w:val="auto"/>
          <w:highlight w:val="none"/>
        </w:rPr>
      </w:pPr>
      <w:bookmarkStart w:id="175" w:name="_Toc217642287"/>
      <w:r>
        <w:rPr>
          <w:rFonts w:hint="eastAsia" w:ascii="黑体" w:hAnsi="黑体"/>
          <w:color w:val="auto"/>
          <w:highlight w:val="none"/>
        </w:rPr>
        <w:t>20.3争议评审</w:t>
      </w:r>
      <w:bookmarkEnd w:id="175"/>
    </w:p>
    <w:p w14:paraId="4E5504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合同当事人在专用合同条款中约定采取争议评审方式解决争议以及评审规则，并按下列约定执行：</w:t>
      </w:r>
    </w:p>
    <w:p w14:paraId="0741F1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20.3.1争议评审小组的确定</w:t>
      </w:r>
    </w:p>
    <w:p w14:paraId="0B50A54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66BBE91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645DC3E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除专用合同条款另有约定外，评审员报酬由发包人和承包人各承担一半。</w:t>
      </w:r>
    </w:p>
    <w:p w14:paraId="52D416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20.3.2争议评审小组的决定</w:t>
      </w:r>
    </w:p>
    <w:p w14:paraId="4A8BC0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9117A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20.3.3争议评审小组决定的效力</w:t>
      </w:r>
    </w:p>
    <w:p w14:paraId="0B70D19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争议评审小组作出的书面决定经合同当事人签字确认后，对双方具有约束力，双方应遵照执行。</w:t>
      </w:r>
    </w:p>
    <w:p w14:paraId="4FE36B6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任何一方当事人不接受争议评审小组决定或不履行争议评审小组决定的，双方可选择采用其他争议解决方式。</w:t>
      </w:r>
    </w:p>
    <w:p w14:paraId="56503ADF">
      <w:pPr>
        <w:pStyle w:val="4"/>
        <w:spacing w:line="240" w:lineRule="auto"/>
        <w:rPr>
          <w:rFonts w:ascii="黑体" w:hAnsi="黑体"/>
          <w:color w:val="auto"/>
          <w:highlight w:val="none"/>
        </w:rPr>
      </w:pPr>
      <w:bookmarkStart w:id="176" w:name="_Toc217642288"/>
      <w:r>
        <w:rPr>
          <w:rFonts w:hint="eastAsia" w:ascii="黑体" w:hAnsi="黑体"/>
          <w:color w:val="auto"/>
          <w:highlight w:val="none"/>
        </w:rPr>
        <w:t>20.4仲裁或诉讼</w:t>
      </w:r>
      <w:bookmarkEnd w:id="176"/>
    </w:p>
    <w:p w14:paraId="65EEB7A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因合同及合同有关事项产生的争议，合同当事人可以在专用合同条款中约定以下一种方式解决争议：</w:t>
      </w:r>
    </w:p>
    <w:p w14:paraId="26502C8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（1）向约定的仲裁委员会申请仲裁；</w:t>
      </w:r>
    </w:p>
    <w:p w14:paraId="06E6B79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（2）向有管辖权的人民法院起诉。</w:t>
      </w:r>
    </w:p>
    <w:p w14:paraId="74969F4C">
      <w:pPr>
        <w:pStyle w:val="4"/>
        <w:spacing w:line="240" w:lineRule="auto"/>
        <w:rPr>
          <w:rFonts w:ascii="黑体" w:hAnsi="黑体"/>
          <w:color w:val="auto"/>
          <w:highlight w:val="none"/>
        </w:rPr>
      </w:pPr>
      <w:bookmarkStart w:id="177" w:name="_Toc217642289"/>
      <w:r>
        <w:rPr>
          <w:rFonts w:hint="eastAsia" w:ascii="黑体" w:hAnsi="黑体"/>
          <w:color w:val="auto"/>
          <w:highlight w:val="none"/>
        </w:rPr>
        <w:t>20.5争议解决条款效力</w:t>
      </w:r>
      <w:bookmarkEnd w:id="177"/>
    </w:p>
    <w:p w14:paraId="16BDCC2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合同有关争议解决的条款独立存在，合同的变更、解除、终止、无效或者被撤销均不影响其效力。</w:t>
      </w:r>
    </w:p>
    <w:p w14:paraId="343F2FA0">
      <w:pPr>
        <w:pStyle w:val="168"/>
        <w:spacing w:line="360" w:lineRule="auto"/>
        <w:ind w:firstLine="420" w:firstLineChars="200"/>
        <w:rPr>
          <w:rFonts w:ascii="宋体" w:hAnsi="宋体"/>
          <w:color w:val="auto"/>
          <w:szCs w:val="21"/>
          <w:highlight w:val="none"/>
        </w:rPr>
        <w:sectPr>
          <w:pgSz w:w="11906" w:h="16838"/>
          <w:pgMar w:top="1440" w:right="1134" w:bottom="1440" w:left="1418" w:header="851" w:footer="992" w:gutter="0"/>
          <w:cols w:space="425" w:num="1"/>
          <w:docGrid w:type="lines" w:linePitch="312" w:charSpace="0"/>
        </w:sectPr>
      </w:pPr>
      <w:bookmarkStart w:id="178" w:name="_Toc407135193"/>
      <w:bookmarkStart w:id="179" w:name="_Toc256000129"/>
      <w:bookmarkStart w:id="180" w:name="_Toc83895640"/>
      <w:bookmarkStart w:id="181" w:name="_Toc389065257"/>
    </w:p>
    <w:p w14:paraId="73C03760">
      <w:pPr>
        <w:pStyle w:val="2"/>
        <w:jc w:val="center"/>
        <w:rPr>
          <w:rFonts w:ascii="黑体" w:hAnsi="黑体"/>
          <w:color w:val="auto"/>
          <w:highlight w:val="none"/>
        </w:rPr>
      </w:pPr>
      <w:bookmarkStart w:id="182" w:name="_Toc217642290"/>
      <w:bookmarkStart w:id="183" w:name="_Toc28456"/>
      <w:r>
        <w:rPr>
          <w:rFonts w:hint="eastAsia" w:ascii="黑体" w:hAnsi="黑体"/>
          <w:color w:val="auto"/>
          <w:highlight w:val="none"/>
        </w:rPr>
        <w:t>第三部分</w:t>
      </w:r>
      <w:r>
        <w:rPr>
          <w:rFonts w:ascii="黑体" w:hAnsi="黑体"/>
          <w:color w:val="auto"/>
          <w:highlight w:val="none"/>
        </w:rPr>
        <w:t xml:space="preserve">  </w:t>
      </w:r>
      <w:r>
        <w:rPr>
          <w:rFonts w:hint="eastAsia" w:ascii="黑体" w:hAnsi="黑体"/>
          <w:color w:val="auto"/>
          <w:highlight w:val="none"/>
        </w:rPr>
        <w:t>专用合同条款</w:t>
      </w:r>
      <w:bookmarkEnd w:id="38"/>
      <w:bookmarkEnd w:id="39"/>
      <w:bookmarkEnd w:id="40"/>
      <w:bookmarkEnd w:id="178"/>
      <w:bookmarkEnd w:id="179"/>
      <w:bookmarkEnd w:id="180"/>
      <w:bookmarkEnd w:id="181"/>
      <w:bookmarkEnd w:id="182"/>
      <w:bookmarkEnd w:id="183"/>
    </w:p>
    <w:p w14:paraId="035B7E23">
      <w:pPr>
        <w:rPr>
          <w:color w:val="auto"/>
          <w:sz w:val="20"/>
          <w:highlight w:val="none"/>
        </w:rPr>
      </w:pPr>
    </w:p>
    <w:p w14:paraId="1BAAEA1E">
      <w:pPr>
        <w:pStyle w:val="167"/>
        <w:rPr>
          <w:rFonts w:ascii="黑体" w:hAnsi="黑体"/>
          <w:color w:val="auto"/>
          <w:highlight w:val="none"/>
        </w:rPr>
      </w:pPr>
      <w:bookmarkStart w:id="184" w:name="_Toc217642291"/>
      <w:bookmarkStart w:id="185" w:name="_Toc166155221"/>
      <w:r>
        <w:rPr>
          <w:rFonts w:hint="eastAsia" w:ascii="黑体" w:hAnsi="黑体"/>
          <w:color w:val="auto"/>
          <w:highlight w:val="none"/>
        </w:rPr>
        <w:t>1.一般约定</w:t>
      </w:r>
      <w:bookmarkEnd w:id="184"/>
      <w:bookmarkEnd w:id="185"/>
    </w:p>
    <w:p w14:paraId="692B6294">
      <w:pPr>
        <w:pStyle w:val="170"/>
        <w:spacing w:line="240" w:lineRule="auto"/>
        <w:rPr>
          <w:rFonts w:ascii="黑体" w:hAnsi="黑体"/>
          <w:color w:val="auto"/>
          <w:highlight w:val="none"/>
        </w:rPr>
      </w:pPr>
      <w:bookmarkStart w:id="186" w:name="_Toc217642292"/>
      <w:bookmarkStart w:id="187" w:name="_Toc166155222"/>
      <w:r>
        <w:rPr>
          <w:rFonts w:hint="eastAsia" w:ascii="黑体" w:hAnsi="黑体"/>
          <w:color w:val="auto"/>
          <w:highlight w:val="none"/>
        </w:rPr>
        <w:t>1.1词语定义</w:t>
      </w:r>
      <w:bookmarkEnd w:id="186"/>
      <w:bookmarkEnd w:id="187"/>
    </w:p>
    <w:p w14:paraId="382D154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1.1.1合同</w:t>
      </w:r>
    </w:p>
    <w:p w14:paraId="276E6D3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1.1.1.10其他合同文件包括：</w:t>
      </w:r>
      <w:r>
        <w:rPr>
          <w:rFonts w:hint="eastAsia" w:ascii="宋体" w:hAnsi="宋体"/>
          <w:color w:val="auto"/>
          <w:szCs w:val="21"/>
          <w:highlight w:val="none"/>
          <w:u w:val="single"/>
        </w:rPr>
        <w:t>（1）本合同协议书；（2）成交通知书；（3）响应文件及其附件；（4）专用合同条款及其附件；（5）本通用合同条款；（6）技术标准和要求；（7）图纸会审记录、施工组织设计及施工方案、设计变更、发包人和监理工程师通知及指令、现场签证、工程技术联系单、发承包人确认的相关文件资料等有关工程洽商、变更等书面协议；（8）工程报告单及预算书；（9）招标文件及其附件</w:t>
      </w:r>
      <w:r>
        <w:rPr>
          <w:rFonts w:hint="eastAsia" w:ascii="宋体" w:hAnsi="宋体"/>
          <w:color w:val="auto"/>
          <w:szCs w:val="21"/>
          <w:highlight w:val="none"/>
        </w:rPr>
        <w:t>。</w:t>
      </w:r>
    </w:p>
    <w:p w14:paraId="238E8EA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1.1.2合同当事人及其他相关方</w:t>
      </w:r>
    </w:p>
    <w:p w14:paraId="2AEA23E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1.1.2.4监理人：</w:t>
      </w:r>
    </w:p>
    <w:p w14:paraId="4F64A69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名称：</w:t>
      </w:r>
      <w:r>
        <w:rPr>
          <w:rFonts w:ascii="宋体" w:hAnsi="宋体"/>
          <w:b/>
          <w:color w:val="auto"/>
          <w:szCs w:val="21"/>
          <w:highlight w:val="none"/>
        </w:rPr>
        <w:t>______</w:t>
      </w:r>
      <w:r>
        <w:rPr>
          <w:rFonts w:hint="eastAsia" w:ascii="宋体" w:hAnsi="宋体"/>
          <w:color w:val="auto"/>
          <w:szCs w:val="21"/>
          <w:highlight w:val="none"/>
        </w:rPr>
        <w:t>；</w:t>
      </w:r>
    </w:p>
    <w:p w14:paraId="7130D5F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b/>
          <w:color w:val="auto"/>
          <w:szCs w:val="21"/>
          <w:highlight w:val="none"/>
        </w:rPr>
        <w:t>______</w:t>
      </w:r>
      <w:r>
        <w:rPr>
          <w:rFonts w:hint="eastAsia" w:ascii="宋体" w:hAnsi="宋体"/>
          <w:color w:val="auto"/>
          <w:szCs w:val="21"/>
          <w:highlight w:val="none"/>
        </w:rPr>
        <w:t>；</w:t>
      </w:r>
    </w:p>
    <w:p w14:paraId="1F81609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ascii="宋体" w:hAnsi="宋体"/>
          <w:b/>
          <w:color w:val="auto"/>
          <w:szCs w:val="21"/>
          <w:highlight w:val="none"/>
        </w:rPr>
        <w:t>______</w:t>
      </w:r>
      <w:r>
        <w:rPr>
          <w:rFonts w:hint="eastAsia" w:ascii="宋体" w:hAnsi="宋体"/>
          <w:color w:val="auto"/>
          <w:szCs w:val="21"/>
          <w:highlight w:val="none"/>
        </w:rPr>
        <w:t>；</w:t>
      </w:r>
    </w:p>
    <w:p w14:paraId="67270FC5">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ascii="宋体" w:hAnsi="宋体"/>
          <w:b/>
          <w:color w:val="auto"/>
          <w:szCs w:val="21"/>
          <w:highlight w:val="none"/>
        </w:rPr>
        <w:t>______</w:t>
      </w:r>
      <w:r>
        <w:rPr>
          <w:rFonts w:hint="eastAsia" w:ascii="宋体" w:hAnsi="宋体"/>
          <w:color w:val="auto"/>
          <w:szCs w:val="21"/>
          <w:highlight w:val="none"/>
        </w:rPr>
        <w:t>；</w:t>
      </w:r>
    </w:p>
    <w:p w14:paraId="5403317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ascii="宋体" w:hAnsi="宋体"/>
          <w:b/>
          <w:color w:val="auto"/>
          <w:szCs w:val="21"/>
          <w:highlight w:val="none"/>
        </w:rPr>
        <w:t>______</w:t>
      </w:r>
      <w:r>
        <w:rPr>
          <w:rFonts w:hint="eastAsia" w:ascii="宋体" w:hAnsi="宋体"/>
          <w:color w:val="auto"/>
          <w:szCs w:val="21"/>
          <w:highlight w:val="none"/>
        </w:rPr>
        <w:t>。</w:t>
      </w:r>
    </w:p>
    <w:p w14:paraId="1FE6B70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1.1.2.5设计人：</w:t>
      </w:r>
    </w:p>
    <w:p w14:paraId="5EB962B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45E7C1F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b/>
          <w:color w:val="auto"/>
          <w:szCs w:val="21"/>
          <w:highlight w:val="none"/>
        </w:rPr>
        <w:t>______</w:t>
      </w:r>
      <w:r>
        <w:rPr>
          <w:rFonts w:hint="eastAsia" w:ascii="宋体" w:hAnsi="宋体"/>
          <w:color w:val="auto"/>
          <w:szCs w:val="21"/>
          <w:highlight w:val="none"/>
        </w:rPr>
        <w:t>；</w:t>
      </w:r>
    </w:p>
    <w:p w14:paraId="6C51F5DE">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ascii="宋体" w:hAnsi="宋体"/>
          <w:b/>
          <w:color w:val="auto"/>
          <w:szCs w:val="21"/>
          <w:highlight w:val="none"/>
        </w:rPr>
        <w:t>______</w:t>
      </w:r>
      <w:r>
        <w:rPr>
          <w:rFonts w:hint="eastAsia" w:ascii="宋体" w:hAnsi="宋体"/>
          <w:color w:val="auto"/>
          <w:szCs w:val="21"/>
          <w:highlight w:val="none"/>
        </w:rPr>
        <w:t>；</w:t>
      </w:r>
    </w:p>
    <w:p w14:paraId="60E2802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ascii="宋体" w:hAnsi="宋体"/>
          <w:b/>
          <w:color w:val="auto"/>
          <w:szCs w:val="21"/>
          <w:highlight w:val="none"/>
        </w:rPr>
        <w:t>______</w:t>
      </w:r>
      <w:r>
        <w:rPr>
          <w:rFonts w:hint="eastAsia" w:ascii="宋体" w:hAnsi="宋体"/>
          <w:color w:val="auto"/>
          <w:szCs w:val="21"/>
          <w:highlight w:val="none"/>
        </w:rPr>
        <w:t>；</w:t>
      </w:r>
    </w:p>
    <w:p w14:paraId="1983CF1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ascii="宋体" w:hAnsi="宋体"/>
          <w:b/>
          <w:color w:val="auto"/>
          <w:szCs w:val="21"/>
          <w:highlight w:val="none"/>
        </w:rPr>
        <w:t>______</w:t>
      </w:r>
      <w:r>
        <w:rPr>
          <w:rFonts w:hint="eastAsia" w:ascii="宋体" w:hAnsi="宋体"/>
          <w:color w:val="auto"/>
          <w:szCs w:val="21"/>
          <w:highlight w:val="none"/>
        </w:rPr>
        <w:t>。</w:t>
      </w:r>
    </w:p>
    <w:p w14:paraId="3C1BA3E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1.1.3工程和设备</w:t>
      </w:r>
    </w:p>
    <w:p w14:paraId="56E1F30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1.1.3.7作为施工现场组成部分的其他场所包括：</w:t>
      </w:r>
      <w:r>
        <w:rPr>
          <w:rFonts w:hint="eastAsia" w:ascii="宋体" w:hAnsi="宋体"/>
          <w:color w:val="auto"/>
          <w:szCs w:val="21"/>
          <w:highlight w:val="none"/>
          <w:u w:val="single"/>
        </w:rPr>
        <w:t>永久占地和临时占地</w:t>
      </w:r>
      <w:r>
        <w:rPr>
          <w:rFonts w:hint="eastAsia" w:ascii="宋体" w:hAnsi="宋体"/>
          <w:color w:val="auto"/>
          <w:szCs w:val="21"/>
          <w:highlight w:val="none"/>
        </w:rPr>
        <w:t>。</w:t>
      </w:r>
    </w:p>
    <w:p w14:paraId="320BAA9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1.1.3.9永久占地包括：</w:t>
      </w:r>
      <w:r>
        <w:rPr>
          <w:rFonts w:hint="eastAsia" w:ascii="宋体" w:hAnsi="宋体"/>
          <w:color w:val="auto"/>
          <w:szCs w:val="21"/>
          <w:highlight w:val="none"/>
          <w:u w:val="single"/>
        </w:rPr>
        <w:t>通用条款1.1.3.9 执行</w:t>
      </w:r>
      <w:r>
        <w:rPr>
          <w:rFonts w:hint="eastAsia" w:ascii="宋体" w:hAnsi="宋体"/>
          <w:color w:val="auto"/>
          <w:szCs w:val="21"/>
          <w:highlight w:val="none"/>
        </w:rPr>
        <w:t>。</w:t>
      </w:r>
    </w:p>
    <w:p w14:paraId="2E6E629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1.1.3.10临时占地包括：</w:t>
      </w:r>
      <w:r>
        <w:rPr>
          <w:rFonts w:hint="eastAsia" w:ascii="宋体" w:hAnsi="宋体"/>
          <w:color w:val="auto"/>
          <w:szCs w:val="21"/>
          <w:highlight w:val="none"/>
          <w:u w:val="single"/>
        </w:rPr>
        <w:t>通用条款1.1.3.10 执行</w:t>
      </w:r>
      <w:r>
        <w:rPr>
          <w:rFonts w:hint="eastAsia" w:ascii="宋体" w:hAnsi="宋体"/>
          <w:color w:val="auto"/>
          <w:szCs w:val="21"/>
          <w:highlight w:val="none"/>
        </w:rPr>
        <w:t>。</w:t>
      </w:r>
    </w:p>
    <w:p w14:paraId="31867415">
      <w:pPr>
        <w:pStyle w:val="170"/>
        <w:spacing w:line="240" w:lineRule="auto"/>
        <w:rPr>
          <w:rFonts w:ascii="黑体" w:hAnsi="黑体"/>
          <w:color w:val="auto"/>
          <w:highlight w:val="none"/>
        </w:rPr>
      </w:pPr>
      <w:bookmarkStart w:id="188" w:name="_Toc217642293"/>
      <w:bookmarkStart w:id="189" w:name="_Toc166155223"/>
      <w:r>
        <w:rPr>
          <w:rFonts w:hint="eastAsia" w:ascii="黑体" w:hAnsi="黑体"/>
          <w:color w:val="auto"/>
          <w:highlight w:val="none"/>
        </w:rPr>
        <w:t>1.3法律</w:t>
      </w:r>
      <w:bookmarkEnd w:id="188"/>
      <w:bookmarkEnd w:id="189"/>
    </w:p>
    <w:p w14:paraId="5A40B25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适用于合同的其他规范性文件：</w:t>
      </w:r>
      <w:r>
        <w:rPr>
          <w:rFonts w:hint="eastAsia" w:ascii="宋体" w:hAnsi="宋体"/>
          <w:color w:val="auto"/>
          <w:szCs w:val="21"/>
          <w:highlight w:val="none"/>
          <w:u w:val="single"/>
        </w:rPr>
        <w:t>按通用条款1.3条执行</w:t>
      </w:r>
      <w:r>
        <w:rPr>
          <w:rFonts w:hint="eastAsia" w:ascii="宋体" w:hAnsi="宋体"/>
          <w:color w:val="auto"/>
          <w:szCs w:val="21"/>
          <w:highlight w:val="none"/>
        </w:rPr>
        <w:t>。</w:t>
      </w:r>
    </w:p>
    <w:p w14:paraId="7E94AA99">
      <w:pPr>
        <w:pStyle w:val="170"/>
        <w:spacing w:line="240" w:lineRule="auto"/>
        <w:rPr>
          <w:rFonts w:ascii="黑体" w:hAnsi="黑体"/>
          <w:color w:val="auto"/>
          <w:highlight w:val="none"/>
        </w:rPr>
      </w:pPr>
      <w:bookmarkStart w:id="190" w:name="_Toc166155224"/>
      <w:bookmarkStart w:id="191" w:name="_Toc217642294"/>
      <w:r>
        <w:rPr>
          <w:rFonts w:hint="eastAsia" w:ascii="黑体" w:hAnsi="黑体"/>
          <w:color w:val="auto"/>
          <w:highlight w:val="none"/>
        </w:rPr>
        <w:t>1.4标准和规范</w:t>
      </w:r>
      <w:bookmarkEnd w:id="190"/>
      <w:bookmarkEnd w:id="191"/>
    </w:p>
    <w:p w14:paraId="2CDBA05E">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1.4.1适用于工程的标准规范包括：</w:t>
      </w:r>
      <w:r>
        <w:rPr>
          <w:rFonts w:hint="eastAsia" w:ascii="宋体" w:hAnsi="宋体"/>
          <w:color w:val="auto"/>
          <w:szCs w:val="21"/>
          <w:highlight w:val="none"/>
          <w:u w:val="single"/>
        </w:rPr>
        <w:t>按通用条款1.4.1条执行</w:t>
      </w:r>
      <w:r>
        <w:rPr>
          <w:rFonts w:hint="eastAsia" w:ascii="宋体" w:hAnsi="宋体"/>
          <w:color w:val="auto"/>
          <w:szCs w:val="21"/>
          <w:highlight w:val="none"/>
        </w:rPr>
        <w:t>。</w:t>
      </w:r>
    </w:p>
    <w:p w14:paraId="321984B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1.4.2发包人提供国外标准、规范的名称：</w:t>
      </w:r>
      <w:r>
        <w:rPr>
          <w:rFonts w:hint="eastAsia" w:ascii="宋体" w:hAnsi="宋体"/>
          <w:color w:val="auto"/>
          <w:szCs w:val="21"/>
          <w:highlight w:val="none"/>
          <w:u w:val="single"/>
        </w:rPr>
        <w:t>无</w:t>
      </w:r>
      <w:r>
        <w:rPr>
          <w:rFonts w:hint="eastAsia" w:ascii="宋体" w:hAnsi="宋体"/>
          <w:color w:val="auto"/>
          <w:szCs w:val="21"/>
          <w:highlight w:val="none"/>
        </w:rPr>
        <w:t>；</w:t>
      </w:r>
    </w:p>
    <w:p w14:paraId="73AEB9D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发包人提供国外标准、规范的份数：</w:t>
      </w:r>
      <w:r>
        <w:rPr>
          <w:rFonts w:hint="eastAsia" w:ascii="宋体" w:hAnsi="宋体"/>
          <w:color w:val="auto"/>
          <w:szCs w:val="21"/>
          <w:highlight w:val="none"/>
          <w:u w:val="single"/>
        </w:rPr>
        <w:t>无</w:t>
      </w:r>
      <w:r>
        <w:rPr>
          <w:rFonts w:hint="eastAsia" w:ascii="宋体" w:hAnsi="宋体"/>
          <w:color w:val="auto"/>
          <w:szCs w:val="21"/>
          <w:highlight w:val="none"/>
        </w:rPr>
        <w:t>；</w:t>
      </w:r>
    </w:p>
    <w:p w14:paraId="63C4F60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发包人提供国外标准、规范的名称：</w:t>
      </w:r>
      <w:r>
        <w:rPr>
          <w:rFonts w:hint="eastAsia" w:ascii="宋体" w:hAnsi="宋体"/>
          <w:color w:val="auto"/>
          <w:szCs w:val="21"/>
          <w:highlight w:val="none"/>
          <w:u w:val="single"/>
        </w:rPr>
        <w:t>无</w:t>
      </w:r>
      <w:r>
        <w:rPr>
          <w:rFonts w:hint="eastAsia" w:ascii="宋体" w:hAnsi="宋体"/>
          <w:color w:val="auto"/>
          <w:szCs w:val="21"/>
          <w:highlight w:val="none"/>
        </w:rPr>
        <w:t>。</w:t>
      </w:r>
    </w:p>
    <w:p w14:paraId="4256D7C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1.4.3发包人对工程的技术标准和功能要求的特殊要求：</w:t>
      </w:r>
      <w:r>
        <w:rPr>
          <w:rFonts w:hint="eastAsia" w:ascii="宋体" w:hAnsi="宋体"/>
          <w:color w:val="auto"/>
          <w:szCs w:val="21"/>
          <w:highlight w:val="none"/>
          <w:u w:val="single"/>
        </w:rPr>
        <w:t>无</w:t>
      </w:r>
      <w:r>
        <w:rPr>
          <w:rFonts w:hint="eastAsia" w:ascii="宋体" w:hAnsi="宋体"/>
          <w:color w:val="auto"/>
          <w:szCs w:val="21"/>
          <w:highlight w:val="none"/>
        </w:rPr>
        <w:t>。</w:t>
      </w:r>
    </w:p>
    <w:p w14:paraId="1E30B458">
      <w:pPr>
        <w:pStyle w:val="170"/>
        <w:spacing w:line="240" w:lineRule="auto"/>
        <w:rPr>
          <w:rFonts w:ascii="黑体" w:hAnsi="黑体"/>
          <w:color w:val="auto"/>
          <w:highlight w:val="none"/>
        </w:rPr>
      </w:pPr>
      <w:bookmarkStart w:id="192" w:name="_Toc166155225"/>
      <w:bookmarkStart w:id="193" w:name="_Toc217642295"/>
      <w:r>
        <w:rPr>
          <w:rFonts w:hint="eastAsia" w:ascii="黑体" w:hAnsi="黑体"/>
          <w:color w:val="auto"/>
          <w:highlight w:val="none"/>
        </w:rPr>
        <w:t>1.5合同文件的优先顺序</w:t>
      </w:r>
      <w:bookmarkEnd w:id="192"/>
      <w:bookmarkEnd w:id="193"/>
    </w:p>
    <w:p w14:paraId="26B4E97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合同文件组成及优先顺序为：</w:t>
      </w:r>
    </w:p>
    <w:p w14:paraId="6C28D1E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（1）合同协议书；</w:t>
      </w:r>
    </w:p>
    <w:p w14:paraId="2CFA230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（2）中标通知书；</w:t>
      </w:r>
    </w:p>
    <w:p w14:paraId="092C4BE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（3）响应函、响应报价表、最终报价表；</w:t>
      </w:r>
    </w:p>
    <w:p w14:paraId="777EA62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（4）专用合同条款；</w:t>
      </w:r>
    </w:p>
    <w:p w14:paraId="0370656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（5）通用合同条款；</w:t>
      </w:r>
    </w:p>
    <w:p w14:paraId="27BF86C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（6）技术标准和要求；</w:t>
      </w:r>
    </w:p>
    <w:p w14:paraId="7B79492B">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（7）图纸；</w:t>
      </w:r>
    </w:p>
    <w:p w14:paraId="34BC53D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（8）已标价工程量清单；</w:t>
      </w:r>
    </w:p>
    <w:p w14:paraId="51E7E65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（9）其他合同文件：</w:t>
      </w:r>
      <w:r>
        <w:rPr>
          <w:rFonts w:hint="eastAsia" w:ascii="宋体" w:hAnsi="宋体"/>
          <w:color w:val="auto"/>
          <w:szCs w:val="21"/>
          <w:highlight w:val="none"/>
          <w:u w:val="single"/>
        </w:rPr>
        <w:t>《建设工程工程量清单计价规范（GB50500-2013）》及其广西实施细则及《关于建筑业实施营业税改征增值税后广西壮族自治区建设工程计价依据调整的通知》（桂建标〔2016〕17号）、《建设工程工程量清单计算规范（GB5854~50862-2013）》及其广西实施细则（修订本） （适用于实行工程量清单计价的项目）</w:t>
      </w:r>
      <w:r>
        <w:rPr>
          <w:rFonts w:hint="eastAsia" w:ascii="宋体" w:hAnsi="宋体"/>
          <w:color w:val="auto"/>
          <w:szCs w:val="21"/>
          <w:highlight w:val="none"/>
        </w:rPr>
        <w:t>。</w:t>
      </w:r>
    </w:p>
    <w:p w14:paraId="4CECA46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7F3B4799">
      <w:pPr>
        <w:pStyle w:val="170"/>
        <w:spacing w:line="240" w:lineRule="auto"/>
        <w:rPr>
          <w:rFonts w:ascii="黑体" w:hAnsi="黑体"/>
          <w:color w:val="auto"/>
          <w:highlight w:val="none"/>
        </w:rPr>
      </w:pPr>
      <w:bookmarkStart w:id="194" w:name="_Toc166155226"/>
      <w:bookmarkStart w:id="195" w:name="_Toc217642296"/>
      <w:r>
        <w:rPr>
          <w:rFonts w:hint="eastAsia" w:ascii="黑体" w:hAnsi="黑体"/>
          <w:color w:val="auto"/>
          <w:highlight w:val="none"/>
        </w:rPr>
        <w:t>1.6图纸和承包人文件</w:t>
      </w:r>
      <w:bookmarkEnd w:id="194"/>
      <w:bookmarkEnd w:id="195"/>
    </w:p>
    <w:p w14:paraId="0798E61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1.6.1图纸的提供</w:t>
      </w:r>
    </w:p>
    <w:p w14:paraId="3BFBFA5E">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发包人向承包人提供图纸的期限：</w:t>
      </w:r>
      <w:r>
        <w:rPr>
          <w:rFonts w:hint="eastAsia" w:ascii="宋体" w:hAnsi="宋体"/>
          <w:color w:val="auto"/>
          <w:szCs w:val="21"/>
          <w:highlight w:val="none"/>
          <w:u w:val="single"/>
        </w:rPr>
        <w:t>开工前7个工作日内</w:t>
      </w:r>
      <w:r>
        <w:rPr>
          <w:rFonts w:hint="eastAsia" w:ascii="宋体" w:hAnsi="宋体"/>
          <w:color w:val="auto"/>
          <w:szCs w:val="21"/>
          <w:highlight w:val="none"/>
        </w:rPr>
        <w:t>；</w:t>
      </w:r>
    </w:p>
    <w:p w14:paraId="340F7D0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发包人向承包人提供图纸的数量：</w:t>
      </w:r>
      <w:r>
        <w:rPr>
          <w:rFonts w:hint="eastAsia" w:ascii="宋体" w:hAnsi="宋体"/>
          <w:color w:val="auto"/>
          <w:szCs w:val="21"/>
          <w:highlight w:val="none"/>
          <w:u w:val="single"/>
        </w:rPr>
        <w:t>一式贰</w:t>
      </w:r>
      <w:r>
        <w:rPr>
          <w:rFonts w:hint="eastAsia" w:ascii="宋体" w:hAnsi="宋体"/>
          <w:color w:val="auto"/>
          <w:szCs w:val="21"/>
          <w:highlight w:val="none"/>
        </w:rPr>
        <w:t>套（承包人需要增加图纸套数的，发包人应代为复制，复制费用由承包人承担）；</w:t>
      </w:r>
    </w:p>
    <w:p w14:paraId="1A5D573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发包人向承包人提供图纸的内容：</w:t>
      </w:r>
      <w:r>
        <w:rPr>
          <w:rFonts w:hint="eastAsia" w:ascii="宋体" w:hAnsi="宋体"/>
          <w:color w:val="auto"/>
          <w:szCs w:val="21"/>
          <w:highlight w:val="none"/>
          <w:u w:val="single"/>
        </w:rPr>
        <w:t>经施工图审查通过的施工图纸</w:t>
      </w:r>
      <w:r>
        <w:rPr>
          <w:rFonts w:hint="eastAsia" w:ascii="宋体" w:hAnsi="宋体"/>
          <w:color w:val="auto"/>
          <w:szCs w:val="21"/>
          <w:highlight w:val="none"/>
        </w:rPr>
        <w:t>。</w:t>
      </w:r>
    </w:p>
    <w:p w14:paraId="2635292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1.6.4承包人文件</w:t>
      </w:r>
    </w:p>
    <w:p w14:paraId="29C840AE">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需要由承包人提供的文件，包括：</w:t>
      </w:r>
      <w:r>
        <w:rPr>
          <w:rFonts w:hint="eastAsia" w:ascii="宋体" w:hAnsi="宋体"/>
          <w:color w:val="auto"/>
          <w:szCs w:val="21"/>
          <w:highlight w:val="none"/>
          <w:u w:val="single"/>
        </w:rPr>
        <w:t>（1）提交施工组织设计（施工方案）；（2）提交符合规定的工程总进度计划；（3）提交分年、分季、分月的进度计划和相应的进度统计报表</w:t>
      </w:r>
      <w:r>
        <w:rPr>
          <w:rFonts w:hint="eastAsia" w:ascii="宋体" w:hAnsi="宋体"/>
          <w:color w:val="auto"/>
          <w:szCs w:val="21"/>
          <w:highlight w:val="none"/>
        </w:rPr>
        <w:t>；</w:t>
      </w:r>
    </w:p>
    <w:p w14:paraId="1650282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承包人提供的文件的期限为：</w:t>
      </w:r>
      <w:r>
        <w:rPr>
          <w:rFonts w:hint="eastAsia" w:ascii="宋体" w:hAnsi="宋体"/>
          <w:color w:val="auto"/>
          <w:szCs w:val="21"/>
          <w:highlight w:val="none"/>
          <w:u w:val="single"/>
        </w:rPr>
        <w:t>（1）收到发包人全部设计图纸后3天内提供；（2）在开工前7天；月报表每月25日前提交，季报表每季度第一个月25日前提交，年报表每年最后月25日前提交</w:t>
      </w:r>
      <w:r>
        <w:rPr>
          <w:rFonts w:hint="eastAsia" w:ascii="宋体" w:hAnsi="宋体"/>
          <w:color w:val="auto"/>
          <w:szCs w:val="21"/>
          <w:highlight w:val="none"/>
        </w:rPr>
        <w:t>；</w:t>
      </w:r>
    </w:p>
    <w:p w14:paraId="6EAF0C25">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承包人提供的文件的数量为：</w:t>
      </w:r>
      <w:r>
        <w:rPr>
          <w:rFonts w:hint="eastAsia" w:ascii="宋体" w:hAnsi="宋体"/>
          <w:color w:val="auto"/>
          <w:szCs w:val="21"/>
          <w:highlight w:val="none"/>
          <w:u w:val="single"/>
        </w:rPr>
        <w:t>一式贰套</w:t>
      </w:r>
      <w:r>
        <w:rPr>
          <w:rFonts w:hint="eastAsia" w:ascii="宋体" w:hAnsi="宋体"/>
          <w:color w:val="auto"/>
          <w:szCs w:val="21"/>
          <w:highlight w:val="none"/>
        </w:rPr>
        <w:t>；</w:t>
      </w:r>
    </w:p>
    <w:p w14:paraId="51A786D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承包人提供的文件的形式为：</w:t>
      </w:r>
      <w:r>
        <w:rPr>
          <w:rFonts w:hint="eastAsia" w:ascii="宋体" w:hAnsi="宋体"/>
          <w:color w:val="auto"/>
          <w:szCs w:val="21"/>
          <w:highlight w:val="none"/>
          <w:u w:val="single"/>
        </w:rPr>
        <w:t>书面材料</w:t>
      </w:r>
      <w:r>
        <w:rPr>
          <w:rFonts w:hint="eastAsia" w:ascii="宋体" w:hAnsi="宋体"/>
          <w:color w:val="auto"/>
          <w:szCs w:val="21"/>
          <w:highlight w:val="none"/>
        </w:rPr>
        <w:t>；</w:t>
      </w:r>
    </w:p>
    <w:p w14:paraId="326CC71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发包人审批承包人文件的期限：</w:t>
      </w:r>
      <w:r>
        <w:rPr>
          <w:rFonts w:hint="eastAsia" w:ascii="宋体" w:hAnsi="宋体"/>
          <w:color w:val="auto"/>
          <w:szCs w:val="21"/>
          <w:highlight w:val="none"/>
          <w:u w:val="single"/>
        </w:rPr>
        <w:t>收到后7个工作日内确认批复</w:t>
      </w:r>
      <w:r>
        <w:rPr>
          <w:rFonts w:hint="eastAsia" w:ascii="宋体" w:hAnsi="宋体"/>
          <w:color w:val="auto"/>
          <w:szCs w:val="21"/>
          <w:highlight w:val="none"/>
        </w:rPr>
        <w:t>。</w:t>
      </w:r>
    </w:p>
    <w:p w14:paraId="2AFA23F5">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1.6.5现场图纸准备</w:t>
      </w:r>
    </w:p>
    <w:p w14:paraId="3E6E7E4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关于现场图纸准备的约定：</w:t>
      </w:r>
      <w:r>
        <w:rPr>
          <w:rFonts w:hint="eastAsia" w:ascii="宋体" w:hAnsi="宋体"/>
          <w:color w:val="auto"/>
          <w:szCs w:val="21"/>
          <w:highlight w:val="none"/>
          <w:u w:val="single"/>
        </w:rPr>
        <w:t>按通用条款1.6.5条执行</w:t>
      </w:r>
      <w:r>
        <w:rPr>
          <w:rFonts w:hint="eastAsia" w:ascii="宋体" w:hAnsi="宋体"/>
          <w:color w:val="auto"/>
          <w:szCs w:val="21"/>
          <w:highlight w:val="none"/>
        </w:rPr>
        <w:t>。</w:t>
      </w:r>
    </w:p>
    <w:p w14:paraId="2F5485F2">
      <w:pPr>
        <w:pStyle w:val="170"/>
        <w:spacing w:line="240" w:lineRule="auto"/>
        <w:rPr>
          <w:rFonts w:ascii="黑体" w:hAnsi="黑体"/>
          <w:color w:val="auto"/>
          <w:highlight w:val="none"/>
        </w:rPr>
      </w:pPr>
      <w:bookmarkStart w:id="196" w:name="_Toc217642297"/>
      <w:bookmarkStart w:id="197" w:name="_Toc166155227"/>
      <w:r>
        <w:rPr>
          <w:rFonts w:hint="eastAsia" w:ascii="黑体" w:hAnsi="黑体"/>
          <w:color w:val="auto"/>
          <w:highlight w:val="none"/>
        </w:rPr>
        <w:t>1.7联络</w:t>
      </w:r>
      <w:bookmarkEnd w:id="196"/>
      <w:bookmarkEnd w:id="197"/>
    </w:p>
    <w:p w14:paraId="359ECAC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1.7.1发包人和承包人应当在</w:t>
      </w:r>
      <w:r>
        <w:rPr>
          <w:rFonts w:ascii="宋体" w:hAnsi="宋体"/>
          <w:color w:val="auto"/>
          <w:szCs w:val="21"/>
          <w:highlight w:val="none"/>
          <w:u w:val="single"/>
        </w:rPr>
        <w:t>3</w:t>
      </w:r>
      <w:r>
        <w:rPr>
          <w:rFonts w:hint="eastAsia" w:ascii="宋体" w:hAnsi="宋体"/>
          <w:color w:val="auto"/>
          <w:szCs w:val="21"/>
          <w:highlight w:val="none"/>
        </w:rPr>
        <w:t>天内将与合同有关的通知、批准、证明、证书、指示、指令、要求、请求、同意、意见、确定和决定等书面函件送达对方当事人。</w:t>
      </w:r>
    </w:p>
    <w:p w14:paraId="4CA9122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1.7.2发包人接收文件的地点：</w:t>
      </w:r>
      <w:r>
        <w:rPr>
          <w:rFonts w:hint="eastAsia" w:ascii="宋体" w:hAnsi="宋体"/>
          <w:color w:val="auto"/>
          <w:szCs w:val="21"/>
          <w:highlight w:val="none"/>
          <w:u w:val="single"/>
        </w:rPr>
        <w:t>发包人指定地点</w:t>
      </w:r>
      <w:r>
        <w:rPr>
          <w:rFonts w:hint="eastAsia" w:ascii="宋体" w:hAnsi="宋体"/>
          <w:color w:val="auto"/>
          <w:szCs w:val="21"/>
          <w:highlight w:val="none"/>
        </w:rPr>
        <w:t>；</w:t>
      </w:r>
    </w:p>
    <w:p w14:paraId="5BEF6CC1">
      <w:pPr>
        <w:pStyle w:val="168"/>
        <w:tabs>
          <w:tab w:val="center" w:pos="4887"/>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发包人指定的接收人为：</w:t>
      </w:r>
      <w:r>
        <w:rPr>
          <w:rFonts w:hint="eastAsia" w:ascii="宋体" w:hAnsi="宋体"/>
          <w:color w:val="auto"/>
          <w:szCs w:val="21"/>
          <w:highlight w:val="none"/>
          <w:u w:val="single"/>
        </w:rPr>
        <w:t>业主代表（现场）</w:t>
      </w:r>
      <w:r>
        <w:rPr>
          <w:rFonts w:hint="eastAsia" w:ascii="宋体" w:hAnsi="宋体"/>
          <w:color w:val="auto"/>
          <w:szCs w:val="21"/>
          <w:highlight w:val="none"/>
        </w:rPr>
        <w:t>；</w:t>
      </w:r>
    </w:p>
    <w:p w14:paraId="01A7B85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承包人接收文件的地点：</w:t>
      </w:r>
      <w:r>
        <w:rPr>
          <w:rFonts w:hint="eastAsia" w:ascii="宋体" w:hAnsi="宋体"/>
          <w:color w:val="auto"/>
          <w:szCs w:val="21"/>
          <w:highlight w:val="none"/>
          <w:u w:val="single"/>
        </w:rPr>
        <w:t>承包人施工场地管理机构的办公地点</w:t>
      </w:r>
      <w:r>
        <w:rPr>
          <w:rFonts w:hint="eastAsia" w:ascii="宋体" w:hAnsi="宋体"/>
          <w:color w:val="auto"/>
          <w:szCs w:val="21"/>
          <w:highlight w:val="none"/>
        </w:rPr>
        <w:t>；</w:t>
      </w:r>
    </w:p>
    <w:p w14:paraId="3872032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承包人指定的接收人为：</w:t>
      </w:r>
      <w:r>
        <w:rPr>
          <w:rFonts w:hint="eastAsia" w:ascii="宋体" w:hAnsi="宋体"/>
          <w:color w:val="auto"/>
          <w:szCs w:val="21"/>
          <w:highlight w:val="none"/>
          <w:u w:val="single"/>
        </w:rPr>
        <w:t>项目经理或资料员</w:t>
      </w:r>
      <w:r>
        <w:rPr>
          <w:rFonts w:hint="eastAsia" w:ascii="宋体" w:hAnsi="宋体"/>
          <w:color w:val="auto"/>
          <w:szCs w:val="21"/>
          <w:highlight w:val="none"/>
        </w:rPr>
        <w:t>；</w:t>
      </w:r>
    </w:p>
    <w:p w14:paraId="41370F7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监理人接收文件的地点：</w:t>
      </w:r>
      <w:r>
        <w:rPr>
          <w:rFonts w:hint="eastAsia" w:ascii="宋体" w:hAnsi="宋体"/>
          <w:color w:val="auto"/>
          <w:szCs w:val="21"/>
          <w:highlight w:val="none"/>
          <w:u w:val="single"/>
        </w:rPr>
        <w:t>施工现场监理人办公地点</w:t>
      </w:r>
      <w:r>
        <w:rPr>
          <w:rFonts w:hint="eastAsia" w:ascii="宋体" w:hAnsi="宋体"/>
          <w:color w:val="auto"/>
          <w:szCs w:val="21"/>
          <w:highlight w:val="none"/>
        </w:rPr>
        <w:t>；</w:t>
      </w:r>
    </w:p>
    <w:p w14:paraId="7F50ED5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监理人指定的接收人为：</w:t>
      </w:r>
      <w:r>
        <w:rPr>
          <w:rFonts w:hint="eastAsia" w:ascii="宋体" w:hAnsi="宋体"/>
          <w:color w:val="auto"/>
          <w:szCs w:val="21"/>
          <w:highlight w:val="none"/>
          <w:u w:val="single"/>
        </w:rPr>
        <w:t>总监理工程师或总监代表。</w:t>
      </w:r>
    </w:p>
    <w:p w14:paraId="70C26AEF">
      <w:pPr>
        <w:pStyle w:val="170"/>
        <w:spacing w:line="240" w:lineRule="auto"/>
        <w:rPr>
          <w:rFonts w:ascii="黑体" w:hAnsi="黑体"/>
          <w:color w:val="auto"/>
          <w:highlight w:val="none"/>
        </w:rPr>
      </w:pPr>
      <w:bookmarkStart w:id="198" w:name="_Toc217642298"/>
      <w:bookmarkStart w:id="199" w:name="_Toc166155228"/>
      <w:r>
        <w:rPr>
          <w:rFonts w:hint="eastAsia" w:ascii="黑体" w:hAnsi="黑体"/>
          <w:color w:val="auto"/>
          <w:highlight w:val="none"/>
        </w:rPr>
        <w:t>1.10交通运输</w:t>
      </w:r>
      <w:bookmarkEnd w:id="198"/>
      <w:bookmarkEnd w:id="199"/>
    </w:p>
    <w:p w14:paraId="5CF46D5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1.10.1出入现场的权利</w:t>
      </w:r>
    </w:p>
    <w:p w14:paraId="4ACBEED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关于出入现场的权利的约定：</w:t>
      </w:r>
      <w:r>
        <w:rPr>
          <w:rFonts w:hint="eastAsia" w:ascii="宋体" w:hAnsi="宋体"/>
          <w:color w:val="auto"/>
          <w:szCs w:val="21"/>
          <w:highlight w:val="none"/>
          <w:u w:val="single"/>
        </w:rPr>
        <w:t>与施工无关的人员需出入现场须经承发包双方同意</w:t>
      </w:r>
      <w:r>
        <w:rPr>
          <w:rFonts w:hint="eastAsia" w:ascii="宋体" w:hAnsi="宋体"/>
          <w:color w:val="auto"/>
          <w:szCs w:val="21"/>
          <w:highlight w:val="none"/>
        </w:rPr>
        <w:t>。</w:t>
      </w:r>
    </w:p>
    <w:p w14:paraId="21049DE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1.10.3场内交通</w:t>
      </w:r>
    </w:p>
    <w:p w14:paraId="3158698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关于场外交通和场内交通的边界的约定：</w:t>
      </w:r>
      <w:r>
        <w:rPr>
          <w:rFonts w:hint="eastAsia" w:ascii="宋体" w:hAnsi="宋体"/>
          <w:color w:val="auto"/>
          <w:szCs w:val="21"/>
          <w:highlight w:val="none"/>
          <w:u w:val="single"/>
        </w:rPr>
        <w:t>/</w:t>
      </w:r>
      <w:r>
        <w:rPr>
          <w:rFonts w:hint="eastAsia" w:ascii="宋体" w:hAnsi="宋体"/>
          <w:color w:val="auto"/>
          <w:szCs w:val="21"/>
          <w:highlight w:val="none"/>
        </w:rPr>
        <w:t>。</w:t>
      </w:r>
    </w:p>
    <w:p w14:paraId="5329BB15">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关于发包人向承包人免费提供满足工程施工需要的场内道路和交通设施的约定：</w:t>
      </w:r>
      <w:r>
        <w:rPr>
          <w:rFonts w:hint="eastAsia" w:ascii="宋体" w:hAnsi="宋体"/>
          <w:color w:val="auto"/>
          <w:szCs w:val="21"/>
          <w:highlight w:val="none"/>
          <w:u w:val="single"/>
        </w:rPr>
        <w:t>由承包人根据现场实际自行考虑，费用自理</w:t>
      </w:r>
      <w:r>
        <w:rPr>
          <w:rFonts w:hint="eastAsia" w:ascii="宋体" w:hAnsi="宋体"/>
          <w:color w:val="auto"/>
          <w:szCs w:val="21"/>
          <w:highlight w:val="none"/>
        </w:rPr>
        <w:t>。</w:t>
      </w:r>
    </w:p>
    <w:p w14:paraId="0EF0FA3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1.10.4超大件和超重件的运输</w:t>
      </w:r>
    </w:p>
    <w:p w14:paraId="4CADD00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14:paraId="09A9A95F">
      <w:pPr>
        <w:pStyle w:val="170"/>
        <w:spacing w:line="240" w:lineRule="auto"/>
        <w:rPr>
          <w:rFonts w:ascii="黑体" w:hAnsi="黑体"/>
          <w:color w:val="auto"/>
          <w:highlight w:val="none"/>
        </w:rPr>
      </w:pPr>
      <w:bookmarkStart w:id="200" w:name="_Toc166155229"/>
      <w:bookmarkStart w:id="201" w:name="_Toc217642299"/>
      <w:r>
        <w:rPr>
          <w:rFonts w:hint="eastAsia" w:ascii="黑体" w:hAnsi="黑体"/>
          <w:color w:val="auto"/>
          <w:highlight w:val="none"/>
        </w:rPr>
        <w:t>1.11知识产权</w:t>
      </w:r>
      <w:bookmarkEnd w:id="200"/>
      <w:bookmarkEnd w:id="201"/>
    </w:p>
    <w:p w14:paraId="7C1A8B6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u w:val="single"/>
        </w:rPr>
        <w:t>属于发包人</w:t>
      </w:r>
      <w:r>
        <w:rPr>
          <w:rFonts w:hint="eastAsia" w:ascii="宋体" w:hAnsi="宋体"/>
          <w:color w:val="auto"/>
          <w:szCs w:val="21"/>
          <w:highlight w:val="none"/>
        </w:rPr>
        <w:t>。</w:t>
      </w:r>
    </w:p>
    <w:p w14:paraId="7887B1D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关于发包人提供的上述文件的使用限制的要求：</w:t>
      </w:r>
      <w:r>
        <w:rPr>
          <w:rFonts w:hint="eastAsia" w:ascii="宋体" w:hAnsi="宋体"/>
          <w:color w:val="auto"/>
          <w:szCs w:val="21"/>
          <w:highlight w:val="none"/>
          <w:u w:val="single"/>
        </w:rPr>
        <w:t>承包人可以为实现本合同目的而复制、使用此类文件，但不能用于与合同无关的其他事项，未经发包人同意，承包人不得为了合同以外的目的而复制、使用上述文件或将之提供给任何第三方</w:t>
      </w:r>
      <w:r>
        <w:rPr>
          <w:rFonts w:hint="eastAsia" w:ascii="宋体" w:hAnsi="宋体"/>
          <w:color w:val="auto"/>
          <w:szCs w:val="21"/>
          <w:highlight w:val="none"/>
        </w:rPr>
        <w:t>。</w:t>
      </w:r>
    </w:p>
    <w:p w14:paraId="65424A7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1.11.2关于承包人为实施工程所编制文件的著作权的归属：</w:t>
      </w:r>
      <w:r>
        <w:rPr>
          <w:rFonts w:hint="eastAsia" w:ascii="宋体" w:hAnsi="宋体"/>
          <w:color w:val="auto"/>
          <w:szCs w:val="21"/>
          <w:highlight w:val="none"/>
          <w:u w:val="single"/>
        </w:rPr>
        <w:t>属于承包人</w:t>
      </w:r>
      <w:r>
        <w:rPr>
          <w:rFonts w:hint="eastAsia" w:ascii="宋体" w:hAnsi="宋体"/>
          <w:color w:val="auto"/>
          <w:szCs w:val="21"/>
          <w:highlight w:val="none"/>
        </w:rPr>
        <w:t>。</w:t>
      </w:r>
    </w:p>
    <w:p w14:paraId="6DCD6CE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关于承包人提供的上述文件的使用限制的要求：</w:t>
      </w:r>
      <w:r>
        <w:rPr>
          <w:rFonts w:hint="eastAsia" w:ascii="宋体" w:hAnsi="宋体"/>
          <w:color w:val="auto"/>
          <w:szCs w:val="21"/>
          <w:highlight w:val="none"/>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hint="eastAsia" w:ascii="宋体" w:hAnsi="宋体"/>
          <w:color w:val="auto"/>
          <w:szCs w:val="21"/>
          <w:highlight w:val="none"/>
        </w:rPr>
        <w:t>。</w:t>
      </w:r>
    </w:p>
    <w:p w14:paraId="45434D4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1.11.4承包人在施工过程中所采用的专利、专有技术、技术秘密的使用费的承担方式：</w:t>
      </w:r>
      <w:r>
        <w:rPr>
          <w:rFonts w:hint="eastAsia" w:ascii="宋体" w:hAnsi="宋体"/>
          <w:color w:val="auto"/>
          <w:szCs w:val="21"/>
          <w:highlight w:val="none"/>
          <w:u w:val="single"/>
        </w:rPr>
        <w:t>承包人在合同签订前和签订时已确定采用的专利、专有技术、技术秘密的使用费已包含在签约合同价中。（由承包人承担）</w:t>
      </w:r>
      <w:r>
        <w:rPr>
          <w:rFonts w:hint="eastAsia" w:ascii="宋体" w:hAnsi="宋体"/>
          <w:color w:val="auto"/>
          <w:szCs w:val="21"/>
          <w:highlight w:val="none"/>
        </w:rPr>
        <w:t>。</w:t>
      </w:r>
    </w:p>
    <w:p w14:paraId="256E6A9B">
      <w:pPr>
        <w:pStyle w:val="170"/>
        <w:spacing w:line="240" w:lineRule="auto"/>
        <w:rPr>
          <w:rFonts w:ascii="黑体" w:hAnsi="黑体"/>
          <w:color w:val="auto"/>
          <w:highlight w:val="none"/>
        </w:rPr>
      </w:pPr>
      <w:bookmarkStart w:id="202" w:name="_Toc217642300"/>
      <w:bookmarkStart w:id="203" w:name="_Toc166155230"/>
      <w:r>
        <w:rPr>
          <w:rFonts w:hint="eastAsia" w:ascii="黑体" w:hAnsi="黑体"/>
          <w:color w:val="auto"/>
          <w:highlight w:val="none"/>
        </w:rPr>
        <w:t>1.13工程量清单错误的修正</w:t>
      </w:r>
      <w:bookmarkEnd w:id="202"/>
      <w:bookmarkEnd w:id="203"/>
    </w:p>
    <w:p w14:paraId="382541B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工程量清单工程量偏差时，可以调整合同价格。</w:t>
      </w:r>
      <w:r>
        <w:rPr>
          <w:rFonts w:hint="eastAsia" w:ascii="宋体" w:hAnsi="宋体"/>
          <w:color w:val="auto"/>
          <w:szCs w:val="21"/>
          <w:highlight w:val="none"/>
        </w:rPr>
        <w:t>允许调整合同价格的工程量偏差范围及其调整办法：</w:t>
      </w:r>
    </w:p>
    <w:p w14:paraId="3E4B352A">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承包人实际完成的某单项清单项目工程量与招标工程量清单工程量偏差超过15%且该单项清单造价超过合同总价1%以上的，超过后增加部分工程量或减少后剩余部分工程量的综合单价按以下方法调整：由承包人对增加的工程量或减少后剩余的工程量的综合单价按10.4.1（3）变更估价原则计算。经发包人确认调整后，作为结算依据。当以上变化引起的相关总价措施项目发生变化时，以项计算的总价措施项目应按实际发生变化的措施项目进行调整，以计算基础乘费率计算的总价措施项目按照实际发生变化的计算基础及竞标报价费率进行调整。</w:t>
      </w:r>
    </w:p>
    <w:p w14:paraId="0351FAF2">
      <w:pPr>
        <w:pStyle w:val="167"/>
        <w:rPr>
          <w:rFonts w:ascii="黑体" w:hAnsi="黑体"/>
          <w:color w:val="auto"/>
          <w:highlight w:val="none"/>
        </w:rPr>
      </w:pPr>
      <w:bookmarkStart w:id="204" w:name="_Toc217642301"/>
      <w:bookmarkStart w:id="205" w:name="_Toc166155231"/>
      <w:r>
        <w:rPr>
          <w:rFonts w:hint="eastAsia" w:ascii="黑体" w:hAnsi="黑体"/>
          <w:color w:val="auto"/>
          <w:highlight w:val="none"/>
        </w:rPr>
        <w:t>2.发包人</w:t>
      </w:r>
      <w:bookmarkEnd w:id="204"/>
      <w:bookmarkEnd w:id="205"/>
    </w:p>
    <w:p w14:paraId="1D0204A1">
      <w:pPr>
        <w:pStyle w:val="170"/>
        <w:spacing w:line="240" w:lineRule="auto"/>
        <w:rPr>
          <w:rFonts w:ascii="黑体" w:hAnsi="黑体"/>
          <w:color w:val="auto"/>
          <w:highlight w:val="none"/>
        </w:rPr>
      </w:pPr>
      <w:bookmarkStart w:id="206" w:name="_Toc217642302"/>
      <w:bookmarkStart w:id="207" w:name="_Toc166155232"/>
      <w:r>
        <w:rPr>
          <w:rFonts w:hint="eastAsia" w:ascii="黑体" w:hAnsi="黑体"/>
          <w:color w:val="auto"/>
          <w:highlight w:val="none"/>
        </w:rPr>
        <w:t>2.1许可或批准</w:t>
      </w:r>
      <w:bookmarkEnd w:id="206"/>
      <w:bookmarkEnd w:id="207"/>
    </w:p>
    <w:p w14:paraId="7B50013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规划核实、消防验收等许可和批准。发包人应协助承包人办理法律规定的有关施工证件和批件。因发包人原因未能及时办理完毕前述许可、批准或备案，造成工期延误的，由发包人承担。</w:t>
      </w:r>
    </w:p>
    <w:p w14:paraId="1703BD9E">
      <w:pPr>
        <w:pStyle w:val="170"/>
        <w:spacing w:line="240" w:lineRule="auto"/>
        <w:rPr>
          <w:rFonts w:ascii="黑体" w:hAnsi="黑体"/>
          <w:color w:val="auto"/>
          <w:highlight w:val="none"/>
        </w:rPr>
      </w:pPr>
      <w:bookmarkStart w:id="208" w:name="_Toc166155233"/>
      <w:bookmarkStart w:id="209" w:name="_Toc217642303"/>
      <w:r>
        <w:rPr>
          <w:rFonts w:hint="eastAsia" w:ascii="黑体" w:hAnsi="黑体"/>
          <w:color w:val="auto"/>
          <w:highlight w:val="none"/>
        </w:rPr>
        <w:t>2.2发包人代表</w:t>
      </w:r>
      <w:bookmarkEnd w:id="208"/>
      <w:bookmarkEnd w:id="209"/>
    </w:p>
    <w:p w14:paraId="3A4F2B4E">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姓名：_______；</w:t>
      </w:r>
    </w:p>
    <w:p w14:paraId="09CC322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身份证号：_______；</w:t>
      </w:r>
    </w:p>
    <w:p w14:paraId="528FC65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职务：_______；</w:t>
      </w:r>
    </w:p>
    <w:p w14:paraId="52C7461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联系电话：_______；</w:t>
      </w:r>
    </w:p>
    <w:p w14:paraId="154C798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电子信箱：_______；</w:t>
      </w:r>
    </w:p>
    <w:p w14:paraId="295C105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295D86BB">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发包人对发包人代表授权范围如下：负责处理合同履行过程中与发包人有关的事宜：对本工程质量、工期、进度、安全、文明施工及材料和设备进场进行监督检查；对涉及工期延长、设计变更、现场收方及签证、已完工程量报告、竣工结算报告等影响工程造价的相关事项作出处理；办理中间交工、工程验收手续；审核工程进度报表、督促监理工程师行使职权以及协调施工现场各方面的关系。</w:t>
      </w:r>
    </w:p>
    <w:p w14:paraId="25D23CEE">
      <w:pPr>
        <w:pStyle w:val="170"/>
        <w:spacing w:line="240" w:lineRule="auto"/>
        <w:rPr>
          <w:rFonts w:ascii="黑体" w:hAnsi="黑体"/>
          <w:color w:val="auto"/>
          <w:highlight w:val="none"/>
        </w:rPr>
      </w:pPr>
      <w:bookmarkStart w:id="210" w:name="_Toc166155234"/>
      <w:bookmarkStart w:id="211" w:name="_Toc217642304"/>
      <w:r>
        <w:rPr>
          <w:rFonts w:hint="eastAsia" w:ascii="黑体" w:hAnsi="黑体"/>
          <w:color w:val="auto"/>
          <w:highlight w:val="none"/>
        </w:rPr>
        <w:t>2.4施工现场、施工条件和基础资料的提供</w:t>
      </w:r>
      <w:bookmarkEnd w:id="210"/>
      <w:bookmarkEnd w:id="211"/>
    </w:p>
    <w:p w14:paraId="5B7438E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2.4.1提供施工现场</w:t>
      </w:r>
    </w:p>
    <w:p w14:paraId="6D5F66E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关于发包人移交施工现场的期限要求：</w:t>
      </w:r>
      <w:r>
        <w:rPr>
          <w:rFonts w:hint="eastAsia" w:ascii="宋体" w:hAnsi="宋体"/>
          <w:color w:val="auto"/>
          <w:szCs w:val="21"/>
          <w:highlight w:val="none"/>
          <w:u w:val="single"/>
        </w:rPr>
        <w:t>无</w:t>
      </w:r>
      <w:r>
        <w:rPr>
          <w:rFonts w:hint="eastAsia" w:ascii="宋体" w:hAnsi="宋体"/>
          <w:color w:val="auto"/>
          <w:szCs w:val="21"/>
          <w:highlight w:val="none"/>
        </w:rPr>
        <w:t>。</w:t>
      </w:r>
    </w:p>
    <w:p w14:paraId="6AC6EFC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2.4.2提供施工条件</w:t>
      </w:r>
    </w:p>
    <w:p w14:paraId="58DDAD1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关于发包人应负责提供施工所需要的条件，包括：</w:t>
      </w:r>
      <w:r>
        <w:rPr>
          <w:rFonts w:hint="eastAsia" w:ascii="宋体" w:hAnsi="宋体"/>
          <w:color w:val="auto"/>
          <w:szCs w:val="21"/>
          <w:highlight w:val="none"/>
          <w:u w:val="single"/>
        </w:rPr>
        <w:t>无</w:t>
      </w:r>
      <w:r>
        <w:rPr>
          <w:rFonts w:hint="eastAsia" w:ascii="宋体" w:hAnsi="宋体"/>
          <w:color w:val="auto"/>
          <w:szCs w:val="21"/>
          <w:highlight w:val="none"/>
        </w:rPr>
        <w:t>。</w:t>
      </w:r>
    </w:p>
    <w:p w14:paraId="478EC69C">
      <w:pPr>
        <w:pStyle w:val="170"/>
        <w:spacing w:line="240" w:lineRule="auto"/>
        <w:rPr>
          <w:rFonts w:ascii="黑体" w:hAnsi="黑体"/>
          <w:color w:val="auto"/>
          <w:highlight w:val="none"/>
        </w:rPr>
      </w:pPr>
      <w:bookmarkStart w:id="212" w:name="_Toc217642305"/>
      <w:bookmarkStart w:id="213" w:name="_Toc166155235"/>
      <w:r>
        <w:rPr>
          <w:rFonts w:hint="eastAsia" w:ascii="黑体" w:hAnsi="黑体"/>
          <w:color w:val="auto"/>
          <w:highlight w:val="none"/>
        </w:rPr>
        <w:t>2.5资金来源证明及支付担保</w:t>
      </w:r>
      <w:bookmarkEnd w:id="212"/>
      <w:bookmarkEnd w:id="213"/>
    </w:p>
    <w:p w14:paraId="3DAB161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发包人提供资金来源证明的期限要求：</w:t>
      </w:r>
      <w:r>
        <w:rPr>
          <w:rFonts w:hint="eastAsia" w:ascii="宋体" w:hAnsi="宋体"/>
          <w:color w:val="auto"/>
          <w:szCs w:val="21"/>
          <w:highlight w:val="none"/>
          <w:u w:val="single"/>
        </w:rPr>
        <w:t>无</w:t>
      </w:r>
      <w:r>
        <w:rPr>
          <w:rFonts w:hint="eastAsia" w:ascii="宋体" w:hAnsi="宋体"/>
          <w:color w:val="auto"/>
          <w:szCs w:val="21"/>
          <w:highlight w:val="none"/>
        </w:rPr>
        <w:t>。</w:t>
      </w:r>
    </w:p>
    <w:p w14:paraId="6F61076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发包人是否提供支付担保：</w:t>
      </w:r>
      <w:r>
        <w:rPr>
          <w:rFonts w:hint="eastAsia" w:ascii="宋体" w:hAnsi="宋体"/>
          <w:color w:val="auto"/>
          <w:szCs w:val="21"/>
          <w:highlight w:val="none"/>
          <w:u w:val="single"/>
        </w:rPr>
        <w:t>无</w:t>
      </w:r>
      <w:r>
        <w:rPr>
          <w:rFonts w:hint="eastAsia" w:ascii="宋体" w:hAnsi="宋体"/>
          <w:color w:val="auto"/>
          <w:szCs w:val="21"/>
          <w:highlight w:val="none"/>
        </w:rPr>
        <w:t>。</w:t>
      </w:r>
    </w:p>
    <w:p w14:paraId="0FF6283E">
      <w:pPr>
        <w:pStyle w:val="167"/>
        <w:rPr>
          <w:rFonts w:ascii="黑体" w:hAnsi="黑体"/>
          <w:color w:val="auto"/>
          <w:highlight w:val="none"/>
        </w:rPr>
      </w:pPr>
      <w:bookmarkStart w:id="214" w:name="_Toc166155236"/>
      <w:bookmarkStart w:id="215" w:name="_Toc217642306"/>
      <w:r>
        <w:rPr>
          <w:rFonts w:hint="eastAsia" w:ascii="黑体" w:hAnsi="黑体"/>
          <w:color w:val="auto"/>
          <w:highlight w:val="none"/>
        </w:rPr>
        <w:t>3.承包人</w:t>
      </w:r>
      <w:bookmarkEnd w:id="214"/>
      <w:bookmarkEnd w:id="215"/>
    </w:p>
    <w:p w14:paraId="280FBE99">
      <w:pPr>
        <w:pStyle w:val="170"/>
        <w:spacing w:line="240" w:lineRule="auto"/>
        <w:rPr>
          <w:rFonts w:ascii="黑体" w:hAnsi="黑体"/>
          <w:color w:val="auto"/>
          <w:highlight w:val="none"/>
        </w:rPr>
      </w:pPr>
      <w:bookmarkStart w:id="216" w:name="_Toc217642307"/>
      <w:bookmarkStart w:id="217" w:name="_Toc166155237"/>
      <w:r>
        <w:rPr>
          <w:rFonts w:hint="eastAsia" w:ascii="黑体" w:hAnsi="黑体"/>
          <w:color w:val="auto"/>
          <w:highlight w:val="none"/>
        </w:rPr>
        <w:t>3.1承包人的一般义务</w:t>
      </w:r>
      <w:bookmarkEnd w:id="216"/>
      <w:bookmarkEnd w:id="217"/>
    </w:p>
    <w:p w14:paraId="5023928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（9）承包人提交的竣工资料的内容：</w:t>
      </w:r>
      <w:r>
        <w:rPr>
          <w:rFonts w:hint="eastAsia" w:ascii="宋体" w:hAnsi="宋体"/>
          <w:color w:val="auto"/>
          <w:szCs w:val="21"/>
          <w:highlight w:val="none"/>
          <w:u w:val="single"/>
        </w:rPr>
        <w:t>按照法律规定和合同约定编制的竣工资料，符合工程所在地建设行政主管部门和（或）城市建设档案管理机构有关施工资料的要求，并立卷及归档</w:t>
      </w:r>
      <w:r>
        <w:rPr>
          <w:rFonts w:hint="eastAsia" w:ascii="宋体" w:hAnsi="宋体"/>
          <w:color w:val="auto"/>
          <w:szCs w:val="21"/>
          <w:highlight w:val="none"/>
        </w:rPr>
        <w:t>。</w:t>
      </w:r>
    </w:p>
    <w:p w14:paraId="6AC2326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承包人需要提交的竣工资料套数：</w:t>
      </w:r>
      <w:r>
        <w:rPr>
          <w:rFonts w:hint="eastAsia" w:ascii="宋体" w:hAnsi="宋体"/>
          <w:color w:val="auto"/>
          <w:szCs w:val="21"/>
          <w:highlight w:val="none"/>
          <w:u w:val="single"/>
        </w:rPr>
        <w:t>壹式肆套</w:t>
      </w:r>
      <w:r>
        <w:rPr>
          <w:rFonts w:hint="eastAsia" w:ascii="宋体" w:hAnsi="宋体"/>
          <w:color w:val="auto"/>
          <w:szCs w:val="21"/>
          <w:highlight w:val="none"/>
        </w:rPr>
        <w:t>。</w:t>
      </w:r>
    </w:p>
    <w:p w14:paraId="28FBE3AB">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14:paraId="558658D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承包人提交的竣工资料移交时间：</w:t>
      </w:r>
      <w:r>
        <w:rPr>
          <w:rFonts w:hint="eastAsia" w:ascii="宋体" w:hAnsi="宋体"/>
          <w:color w:val="auto"/>
          <w:szCs w:val="21"/>
          <w:highlight w:val="none"/>
          <w:u w:val="single"/>
        </w:rPr>
        <w:t>经过验收合格后30日历天</w:t>
      </w:r>
      <w:r>
        <w:rPr>
          <w:rFonts w:hint="eastAsia" w:ascii="宋体" w:hAnsi="宋体"/>
          <w:color w:val="auto"/>
          <w:szCs w:val="21"/>
          <w:highlight w:val="none"/>
        </w:rPr>
        <w:t>。</w:t>
      </w:r>
    </w:p>
    <w:p w14:paraId="6F308CB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承包人提交的竣工资料形式要求：</w:t>
      </w:r>
      <w:r>
        <w:rPr>
          <w:rFonts w:hint="eastAsia" w:ascii="宋体" w:hAnsi="宋体"/>
          <w:color w:val="auto"/>
          <w:szCs w:val="21"/>
          <w:highlight w:val="none"/>
          <w:u w:val="single"/>
        </w:rPr>
        <w:t>书面及电子文档</w:t>
      </w:r>
      <w:r>
        <w:rPr>
          <w:rFonts w:hint="eastAsia" w:ascii="宋体" w:hAnsi="宋体"/>
          <w:color w:val="auto"/>
          <w:szCs w:val="21"/>
          <w:highlight w:val="none"/>
        </w:rPr>
        <w:t>。</w:t>
      </w:r>
    </w:p>
    <w:p w14:paraId="662DC3D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（10）承包人应履行的其他义务：</w:t>
      </w:r>
      <w:r>
        <w:rPr>
          <w:rFonts w:hint="eastAsia" w:ascii="宋体" w:hAnsi="宋体"/>
          <w:color w:val="auto"/>
          <w:szCs w:val="21"/>
          <w:highlight w:val="none"/>
          <w:u w:val="single"/>
        </w:rPr>
        <w:t>按照《中华人民共和国工会法》、《国务院关于进一步做好为农民工服务工作的意见》（国发〔2014〕40号）、《中华全国总工会关于深入贯彻落实&lt;国务院关于进一步做好为农民工服务工作的意见&gt;的实施意见》（总工发〔2015〕14号）有关要求，深入开展“农民工入会集中行动”</w:t>
      </w:r>
      <w:r>
        <w:rPr>
          <w:rFonts w:hint="eastAsia" w:ascii="宋体" w:hAnsi="宋体"/>
          <w:color w:val="auto"/>
          <w:szCs w:val="21"/>
          <w:highlight w:val="none"/>
        </w:rPr>
        <w:t>。</w:t>
      </w:r>
    </w:p>
    <w:p w14:paraId="0A242CA5">
      <w:pPr>
        <w:pStyle w:val="168"/>
        <w:spacing w:line="360" w:lineRule="auto"/>
        <w:ind w:firstLine="420" w:firstLineChars="200"/>
        <w:rPr>
          <w:rFonts w:ascii="宋体" w:hAnsi="宋体"/>
          <w:color w:val="auto"/>
          <w:szCs w:val="21"/>
          <w:highlight w:val="none"/>
          <w:u w:val="single"/>
        </w:rPr>
      </w:pPr>
    </w:p>
    <w:p w14:paraId="0449F74C">
      <w:pPr>
        <w:pStyle w:val="170"/>
        <w:spacing w:line="240" w:lineRule="auto"/>
        <w:rPr>
          <w:rFonts w:ascii="黑体" w:hAnsi="黑体"/>
          <w:color w:val="auto"/>
          <w:highlight w:val="none"/>
        </w:rPr>
      </w:pPr>
      <w:bookmarkStart w:id="218" w:name="_Toc166155238"/>
      <w:bookmarkStart w:id="219" w:name="_Toc217642308"/>
      <w:r>
        <w:rPr>
          <w:rFonts w:hint="eastAsia" w:ascii="黑体" w:hAnsi="黑体"/>
          <w:color w:val="auto"/>
          <w:highlight w:val="none"/>
        </w:rPr>
        <w:t>3.2项目经理</w:t>
      </w:r>
      <w:bookmarkEnd w:id="218"/>
      <w:bookmarkEnd w:id="219"/>
    </w:p>
    <w:p w14:paraId="5071614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3.2.1项目经理：</w:t>
      </w:r>
    </w:p>
    <w:p w14:paraId="6087868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姓名：_______；</w:t>
      </w:r>
    </w:p>
    <w:p w14:paraId="23290B4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身份证号：_______；</w:t>
      </w:r>
    </w:p>
    <w:p w14:paraId="0F33FFD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建造师执业资格等级：_______；</w:t>
      </w:r>
    </w:p>
    <w:p w14:paraId="74B5EC0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建造师注册证书号：_______；</w:t>
      </w:r>
    </w:p>
    <w:p w14:paraId="41E46A3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安全生产考核合格证书号：_______；</w:t>
      </w:r>
    </w:p>
    <w:p w14:paraId="0A0F03B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ascii="宋体" w:hAnsi="宋体"/>
          <w:b/>
          <w:color w:val="auto"/>
          <w:szCs w:val="21"/>
          <w:highlight w:val="none"/>
        </w:rPr>
        <w:t>______</w:t>
      </w:r>
      <w:r>
        <w:rPr>
          <w:rFonts w:hint="eastAsia" w:ascii="宋体" w:hAnsi="宋体"/>
          <w:color w:val="auto"/>
          <w:szCs w:val="21"/>
          <w:highlight w:val="none"/>
        </w:rPr>
        <w:t>；</w:t>
      </w:r>
    </w:p>
    <w:p w14:paraId="06DD56F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ascii="宋体" w:hAnsi="宋体"/>
          <w:b/>
          <w:color w:val="auto"/>
          <w:szCs w:val="21"/>
          <w:highlight w:val="none"/>
        </w:rPr>
        <w:t>______</w:t>
      </w:r>
      <w:r>
        <w:rPr>
          <w:rFonts w:hint="eastAsia" w:ascii="宋体" w:hAnsi="宋体"/>
          <w:color w:val="auto"/>
          <w:szCs w:val="21"/>
          <w:highlight w:val="none"/>
        </w:rPr>
        <w:t>；</w:t>
      </w:r>
    </w:p>
    <w:p w14:paraId="5DD95AC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通信地址：_______；</w:t>
      </w:r>
    </w:p>
    <w:p w14:paraId="74BA2BB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承包人对项目经理的授权范围如下：</w:t>
      </w:r>
      <w:r>
        <w:rPr>
          <w:rFonts w:hint="eastAsia" w:ascii="宋体" w:hAnsi="宋体"/>
          <w:color w:val="auto"/>
          <w:szCs w:val="21"/>
          <w:highlight w:val="none"/>
          <w:u w:val="single"/>
        </w:rPr>
        <w:t>全面负责施工前期准备和施工过程中的安全、质量、进度管理及相关技术文件的确认。项目经理和项目部管理人员未经承包人书面授权及委托的不得以承包人名义向外赊购材料、借款、租用建筑周转材料、雇佣劳动力、签订分包合同等一切为承包人创设债权或债务的行为</w:t>
      </w:r>
      <w:r>
        <w:rPr>
          <w:rFonts w:hint="eastAsia" w:ascii="宋体" w:hAnsi="宋体"/>
          <w:color w:val="auto"/>
          <w:szCs w:val="21"/>
          <w:highlight w:val="none"/>
        </w:rPr>
        <w:t>。</w:t>
      </w:r>
    </w:p>
    <w:p w14:paraId="264C832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关于项目经理每月在施工现场的时间要求：</w:t>
      </w:r>
      <w:r>
        <w:rPr>
          <w:rFonts w:hint="eastAsia" w:ascii="宋体" w:hAnsi="宋体"/>
          <w:color w:val="auto"/>
          <w:szCs w:val="21"/>
          <w:highlight w:val="none"/>
          <w:u w:val="single"/>
        </w:rPr>
        <w:t>不得少于施工时间的80%</w:t>
      </w:r>
      <w:r>
        <w:rPr>
          <w:rFonts w:hint="eastAsia" w:ascii="宋体" w:hAnsi="宋体"/>
          <w:color w:val="auto"/>
          <w:szCs w:val="21"/>
          <w:highlight w:val="none"/>
        </w:rPr>
        <w:t>。</w:t>
      </w:r>
    </w:p>
    <w:p w14:paraId="31C9BE05">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承包人未提交劳动合同，以及没有为项目经理缴纳社会保险证明的违约责任：</w:t>
      </w:r>
      <w:r>
        <w:rPr>
          <w:rFonts w:hint="eastAsia" w:ascii="宋体" w:hAnsi="宋体"/>
          <w:color w:val="auto"/>
          <w:szCs w:val="21"/>
          <w:highlight w:val="none"/>
          <w:u w:val="single"/>
        </w:rPr>
        <w:t>承包人应向发包人支付 0.3万元的违约金，发包人有权责令承包人限期提交劳动合同并补缴社会保险，如逾期不提交劳动合同或不补缴社会保险的，视为承包人违约，承包人应从发包人责令其提交合同或补缴社会保险（以先出现的时间为准）之日起，按 1000元/天的标准向发包人支付违约金</w:t>
      </w:r>
      <w:r>
        <w:rPr>
          <w:rFonts w:hint="eastAsia" w:ascii="宋体" w:hAnsi="宋体"/>
          <w:color w:val="auto"/>
          <w:szCs w:val="21"/>
          <w:highlight w:val="none"/>
        </w:rPr>
        <w:t>。</w:t>
      </w:r>
    </w:p>
    <w:p w14:paraId="6EDBB8F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项目经理未经批准，擅自离开施工现场的违约责任：</w:t>
      </w:r>
      <w:r>
        <w:rPr>
          <w:rFonts w:hint="eastAsia" w:ascii="宋体" w:hAnsi="宋体"/>
          <w:color w:val="auto"/>
          <w:szCs w:val="21"/>
          <w:highlight w:val="none"/>
          <w:u w:val="single"/>
        </w:rPr>
        <w:t>项目经理每月在岗带班时间不得少于当月施工时间的80%。未经发包人同意或正当理由，项目经理每月在岗带班时间少于当月施工时间80%的，少在岗带班一天，发包人有权处违约金 300.00 元/日（人民币）</w:t>
      </w:r>
      <w:r>
        <w:rPr>
          <w:rFonts w:hint="eastAsia" w:ascii="宋体" w:hAnsi="宋体"/>
          <w:color w:val="auto"/>
          <w:szCs w:val="21"/>
          <w:highlight w:val="none"/>
        </w:rPr>
        <w:t>。</w:t>
      </w:r>
    </w:p>
    <w:p w14:paraId="7A3E921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3.2.3承包人擅自更换项目经理的违约责任：</w:t>
      </w:r>
      <w:r>
        <w:rPr>
          <w:rFonts w:hint="eastAsia" w:ascii="宋体" w:hAnsi="宋体"/>
          <w:color w:val="auto"/>
          <w:szCs w:val="21"/>
          <w:highlight w:val="none"/>
          <w:u w:val="single"/>
        </w:rPr>
        <w:t>承包人项目经理必须与承包人竞标时所承诺的人员一致，并在（开工日期）  前到任。在监理人向承包人颁发竣工验收合格证书（竣工证明材料名称）前，项目经理不得同时兼任其他任何项目的项目经理（符合桂建管﹝2013﹞17号和桂建管﹝2014﹞25号文除外）。未经发包人书面同意，承包人擅自更换项目经理的视为违约，发包人有权上报建设行政主管部门并报有关规规定处罚</w:t>
      </w:r>
      <w:r>
        <w:rPr>
          <w:rFonts w:hint="eastAsia" w:ascii="宋体" w:hAnsi="宋体"/>
          <w:color w:val="auto"/>
          <w:szCs w:val="21"/>
          <w:highlight w:val="none"/>
        </w:rPr>
        <w:t>。</w:t>
      </w:r>
    </w:p>
    <w:p w14:paraId="57E0A90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3.2.5承包人无正当理由拒绝更换项目经理的违约责任：</w:t>
      </w:r>
      <w:r>
        <w:rPr>
          <w:rFonts w:hint="eastAsia" w:ascii="宋体" w:hAnsi="宋体"/>
          <w:color w:val="auto"/>
          <w:szCs w:val="21"/>
          <w:highlight w:val="none"/>
          <w:u w:val="single"/>
        </w:rPr>
        <w:t>因承包人项目经理不称职，发包人要求调换而未及时调换的，视为承包人违约，发包人有权上报建设行政主管部门并报有关规规定处罚</w:t>
      </w:r>
      <w:r>
        <w:rPr>
          <w:rFonts w:hint="eastAsia" w:ascii="宋体" w:hAnsi="宋体"/>
          <w:color w:val="auto"/>
          <w:szCs w:val="21"/>
          <w:highlight w:val="none"/>
        </w:rPr>
        <w:t>。</w:t>
      </w:r>
    </w:p>
    <w:p w14:paraId="0EEB96FC">
      <w:pPr>
        <w:pStyle w:val="170"/>
        <w:spacing w:line="240" w:lineRule="auto"/>
        <w:rPr>
          <w:rFonts w:ascii="黑体" w:hAnsi="黑体"/>
          <w:color w:val="auto"/>
          <w:highlight w:val="none"/>
        </w:rPr>
      </w:pPr>
      <w:bookmarkStart w:id="220" w:name="_Toc217642309"/>
      <w:bookmarkStart w:id="221" w:name="_Toc166155239"/>
      <w:r>
        <w:rPr>
          <w:rFonts w:hint="eastAsia" w:ascii="黑体" w:hAnsi="黑体"/>
          <w:color w:val="auto"/>
          <w:highlight w:val="none"/>
        </w:rPr>
        <w:t>3.3承包人人员</w:t>
      </w:r>
      <w:bookmarkEnd w:id="220"/>
      <w:bookmarkEnd w:id="221"/>
    </w:p>
    <w:p w14:paraId="285A227E">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3.3.1承包人提交项目管理机构及施工现场管理人员安排报告（格式见合同附件</w:t>
      </w:r>
      <w:r>
        <w:rPr>
          <w:rFonts w:ascii="宋体" w:hAnsi="宋体"/>
          <w:color w:val="auto"/>
          <w:szCs w:val="21"/>
          <w:highlight w:val="none"/>
        </w:rPr>
        <w:t>3</w:t>
      </w:r>
      <w:r>
        <w:rPr>
          <w:rFonts w:hint="eastAsia" w:ascii="宋体" w:hAnsi="宋体"/>
          <w:color w:val="auto"/>
          <w:szCs w:val="21"/>
          <w:highlight w:val="none"/>
        </w:rPr>
        <w:t>）的期限：</w:t>
      </w:r>
      <w:r>
        <w:rPr>
          <w:rFonts w:hint="eastAsia" w:ascii="宋体" w:hAnsi="宋体"/>
          <w:color w:val="auto"/>
          <w:szCs w:val="21"/>
          <w:highlight w:val="none"/>
          <w:u w:val="single"/>
        </w:rPr>
        <w:t>拟投入本项目管理机构及施工现场管理人员必须与承包人竞标时所承诺的人员一致，开工前7个工作日提交</w:t>
      </w:r>
      <w:r>
        <w:rPr>
          <w:rFonts w:hint="eastAsia" w:ascii="宋体" w:hAnsi="宋体"/>
          <w:color w:val="auto"/>
          <w:szCs w:val="21"/>
          <w:highlight w:val="none"/>
        </w:rPr>
        <w:t>。</w:t>
      </w:r>
    </w:p>
    <w:p w14:paraId="123A512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3.3.3承包人无正当理由拒绝撤换主要施工管理人员的违约责任：</w:t>
      </w:r>
      <w:r>
        <w:rPr>
          <w:rFonts w:hint="eastAsia" w:ascii="宋体" w:hAnsi="宋体"/>
          <w:color w:val="auto"/>
          <w:szCs w:val="21"/>
          <w:highlight w:val="none"/>
          <w:u w:val="single"/>
        </w:rPr>
        <w:t>因承包人主要施工管理人员不称职，发包人要求调换而无正当理由拒绝撤换或未及时调换的，视为承包人违约，必须向发包人交纳处罚金，处罚标准：技术负责人500.00元/人•次（人民币）；专业工程师200.00元/人•次（人民币）</w:t>
      </w:r>
      <w:r>
        <w:rPr>
          <w:rFonts w:hint="eastAsia" w:ascii="宋体" w:hAnsi="宋体"/>
          <w:color w:val="auto"/>
          <w:szCs w:val="21"/>
          <w:highlight w:val="none"/>
        </w:rPr>
        <w:t>。</w:t>
      </w:r>
    </w:p>
    <w:p w14:paraId="1A5A0CA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3.3.4承包人主要施工管理人员离开施工现场的批准要求：</w:t>
      </w:r>
      <w:r>
        <w:rPr>
          <w:rFonts w:hint="eastAsia" w:ascii="宋体" w:hAnsi="宋体"/>
          <w:color w:val="auto"/>
          <w:szCs w:val="21"/>
          <w:highlight w:val="none"/>
          <w:u w:val="single"/>
        </w:rPr>
        <w:t>经项目业主批准同意方能离开</w:t>
      </w:r>
      <w:r>
        <w:rPr>
          <w:rFonts w:hint="eastAsia" w:ascii="宋体" w:hAnsi="宋体"/>
          <w:color w:val="auto"/>
          <w:szCs w:val="21"/>
          <w:highlight w:val="none"/>
        </w:rPr>
        <w:t>。</w:t>
      </w:r>
    </w:p>
    <w:p w14:paraId="1D87738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3.3.5承包人擅自更换主要施工管理人员的违约责任：</w:t>
      </w:r>
      <w:r>
        <w:rPr>
          <w:rFonts w:hint="eastAsia" w:ascii="宋体" w:hAnsi="宋体"/>
          <w:color w:val="auto"/>
          <w:szCs w:val="21"/>
          <w:highlight w:val="none"/>
          <w:u w:val="single"/>
        </w:rPr>
        <w:t>项目技术负责人、专职安全员及其承诺的其它在场管理人员未经发包人书面同意不准擅自更换，擅自更换项目技术负责人处500元/人•次（人民币）违约金；擅自更换专职安全员处300元/人•次（人民币）违约金；擅自更换其它在场管理人员处200元/人•次（人民币）违约金</w:t>
      </w:r>
      <w:r>
        <w:rPr>
          <w:rFonts w:hint="eastAsia" w:ascii="宋体" w:hAnsi="宋体"/>
          <w:color w:val="auto"/>
          <w:szCs w:val="21"/>
          <w:highlight w:val="none"/>
        </w:rPr>
        <w:t>。</w:t>
      </w:r>
    </w:p>
    <w:p w14:paraId="733A96BF">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3.3.6经发包人书面同意，承包人更换主要施工管理人员，除健康状况不能正常履职及其他不可抗力因素以外，承包人还需向发包人做出经济补偿：更换项目技术负责人的，补偿</w:t>
      </w:r>
      <w:r>
        <w:rPr>
          <w:rFonts w:ascii="宋体" w:hAnsi="宋体"/>
          <w:color w:val="auto"/>
          <w:szCs w:val="21"/>
          <w:highlight w:val="none"/>
          <w:u w:val="single"/>
        </w:rPr>
        <w:t>200</w:t>
      </w:r>
      <w:r>
        <w:rPr>
          <w:rFonts w:hint="eastAsia" w:ascii="宋体" w:hAnsi="宋体"/>
          <w:color w:val="auto"/>
          <w:szCs w:val="21"/>
          <w:highlight w:val="none"/>
          <w:u w:val="single"/>
        </w:rPr>
        <w:t>元/人•次；更换专职安全生产管理人员的，补偿</w:t>
      </w:r>
      <w:r>
        <w:rPr>
          <w:rFonts w:ascii="宋体" w:hAnsi="宋体"/>
          <w:color w:val="auto"/>
          <w:szCs w:val="21"/>
          <w:highlight w:val="none"/>
          <w:u w:val="single"/>
        </w:rPr>
        <w:t>100</w:t>
      </w:r>
      <w:r>
        <w:rPr>
          <w:rFonts w:hint="eastAsia" w:ascii="宋体" w:hAnsi="宋体"/>
          <w:color w:val="auto"/>
          <w:szCs w:val="21"/>
          <w:highlight w:val="none"/>
          <w:u w:val="single"/>
        </w:rPr>
        <w:t>元/人•次；更换其他在场管理人员的，补偿</w:t>
      </w:r>
      <w:r>
        <w:rPr>
          <w:rFonts w:ascii="宋体" w:hAnsi="宋体"/>
          <w:color w:val="auto"/>
          <w:szCs w:val="21"/>
          <w:highlight w:val="none"/>
          <w:u w:val="single"/>
        </w:rPr>
        <w:t>50</w:t>
      </w:r>
      <w:r>
        <w:rPr>
          <w:rFonts w:hint="eastAsia" w:ascii="宋体" w:hAnsi="宋体"/>
          <w:color w:val="auto"/>
          <w:szCs w:val="21"/>
          <w:highlight w:val="none"/>
          <w:u w:val="single"/>
        </w:rPr>
        <w:t>元/人•次。</w:t>
      </w:r>
    </w:p>
    <w:p w14:paraId="20DB27C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3.3.7承包人主要施工管理人员擅自离开施工现场的违约责任：</w:t>
      </w:r>
      <w:r>
        <w:rPr>
          <w:rFonts w:hint="eastAsia" w:ascii="宋体" w:hAnsi="宋体"/>
          <w:color w:val="auto"/>
          <w:szCs w:val="21"/>
          <w:highlight w:val="none"/>
          <w:u w:val="single"/>
        </w:rPr>
        <w:t>未经发包人同意，项目技术负责人擅自离岗的，视为承包人违约，发包人有权上报建设行政主管部门并报有关规规定处罚；未经发包人同意，专职安全员擅自离岗的，视为承包人违约，发包人有权上报建设行政主管部门并报有关规规定处罚；其它在场管理人员擅自离岗的，视为承包人违约，发包人有权上报建设行政主管部门并报有关规定处罚</w:t>
      </w:r>
      <w:r>
        <w:rPr>
          <w:rFonts w:hint="eastAsia" w:ascii="宋体" w:hAnsi="宋体"/>
          <w:color w:val="auto"/>
          <w:szCs w:val="21"/>
          <w:highlight w:val="none"/>
        </w:rPr>
        <w:t>。</w:t>
      </w:r>
    </w:p>
    <w:p w14:paraId="45A7BAF1">
      <w:pPr>
        <w:pStyle w:val="170"/>
        <w:spacing w:line="240" w:lineRule="auto"/>
        <w:rPr>
          <w:rFonts w:ascii="黑体" w:hAnsi="黑体"/>
          <w:color w:val="auto"/>
          <w:highlight w:val="none"/>
        </w:rPr>
      </w:pPr>
      <w:bookmarkStart w:id="222" w:name="_Toc217642310"/>
      <w:bookmarkStart w:id="223" w:name="_Toc166155240"/>
      <w:r>
        <w:rPr>
          <w:rFonts w:hint="eastAsia" w:ascii="黑体" w:hAnsi="黑体"/>
          <w:color w:val="auto"/>
          <w:highlight w:val="none"/>
        </w:rPr>
        <w:t>3.5分包</w:t>
      </w:r>
      <w:bookmarkEnd w:id="222"/>
      <w:bookmarkEnd w:id="223"/>
    </w:p>
    <w:p w14:paraId="7C18CC0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3.5.1分包的一般约定</w:t>
      </w:r>
    </w:p>
    <w:p w14:paraId="5DEB849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禁止分包的工程包括：</w:t>
      </w:r>
      <w:r>
        <w:rPr>
          <w:rFonts w:hint="eastAsia" w:ascii="宋体" w:hAnsi="宋体"/>
          <w:color w:val="auto"/>
          <w:szCs w:val="21"/>
          <w:highlight w:val="none"/>
          <w:u w:val="single"/>
        </w:rPr>
        <w:t>本工程禁止分包</w:t>
      </w:r>
      <w:r>
        <w:rPr>
          <w:rFonts w:hint="eastAsia" w:ascii="宋体" w:hAnsi="宋体"/>
          <w:color w:val="auto"/>
          <w:szCs w:val="21"/>
          <w:highlight w:val="none"/>
        </w:rPr>
        <w:t>。</w:t>
      </w:r>
    </w:p>
    <w:p w14:paraId="2B630F3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主体结构、关键性工作的范围：</w:t>
      </w:r>
      <w:r>
        <w:rPr>
          <w:rFonts w:hint="eastAsia" w:ascii="宋体" w:hAnsi="宋体"/>
          <w:color w:val="auto"/>
          <w:szCs w:val="21"/>
          <w:highlight w:val="none"/>
          <w:u w:val="single"/>
        </w:rPr>
        <w:t>本工程不允许违法分包</w:t>
      </w:r>
      <w:r>
        <w:rPr>
          <w:rFonts w:hint="eastAsia" w:ascii="宋体" w:hAnsi="宋体"/>
          <w:color w:val="auto"/>
          <w:szCs w:val="21"/>
          <w:highlight w:val="none"/>
        </w:rPr>
        <w:t>。</w:t>
      </w:r>
    </w:p>
    <w:p w14:paraId="68B520D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3.5.2分包的确定</w:t>
      </w:r>
    </w:p>
    <w:p w14:paraId="77AA8D8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允许分包的专业工程包括：</w:t>
      </w:r>
      <w:r>
        <w:rPr>
          <w:rFonts w:hint="eastAsia" w:ascii="宋体" w:hAnsi="宋体"/>
          <w:color w:val="auto"/>
          <w:szCs w:val="21"/>
          <w:highlight w:val="none"/>
          <w:u w:val="single"/>
        </w:rPr>
        <w:t>所需分包的工程需经过发包人书面同意</w:t>
      </w:r>
      <w:r>
        <w:rPr>
          <w:rFonts w:hint="eastAsia" w:ascii="宋体" w:hAnsi="宋体"/>
          <w:color w:val="auto"/>
          <w:szCs w:val="21"/>
          <w:highlight w:val="none"/>
        </w:rPr>
        <w:t>。</w:t>
      </w:r>
    </w:p>
    <w:p w14:paraId="0A1628E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其他关于分包的约定：</w:t>
      </w:r>
    </w:p>
    <w:p w14:paraId="437A97D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30243DF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（2）在相关分包合同签订并报送有关建设行政主管部门备案后7天内，承包人应当将一份副本提交给监理人，承包人应保障分包工作不得再次分包。</w:t>
      </w:r>
    </w:p>
    <w:p w14:paraId="440DC0F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（3）未经发包人和监理人审批同意的分包工程和分包人，发包人有权拒绝验收分包工程和支付相应款项，由此引起的发包人费用增加和（或）延误的工期由承包人承担。</w:t>
      </w:r>
    </w:p>
    <w:p w14:paraId="42298CAB">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（4）承包人有以下情况之一者，发包人有权解除合同：</w:t>
      </w:r>
    </w:p>
    <w:p w14:paraId="1BC4304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①个人承包工程，包括本人单位及外单位人员承包，发包人不承认其个人拥有任何资质等级及营业许可资格。</w:t>
      </w:r>
    </w:p>
    <w:p w14:paraId="7AA9DCA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②几个人联合承包工程，就地组织暗分包队伍，不具备完成本工程的技术、机械能力，被发包人判定为没有能力履行的承包人。</w:t>
      </w:r>
    </w:p>
    <w:p w14:paraId="2F056F5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③就地转包全部的工程，以谋取高额转让费、管理费的承包人。</w:t>
      </w:r>
    </w:p>
    <w:p w14:paraId="7A77EB15">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④承包人有部分分包现象（其中包括冒充承包人下属单位的挂勾单位，凭口头协议参与施工的分包人及其他暗分包个体户），一经发现核实，发包人将采取驱逐该暗分包人措施。</w:t>
      </w:r>
    </w:p>
    <w:p w14:paraId="1C8A3BB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3.5.4分包合同价款</w:t>
      </w:r>
    </w:p>
    <w:p w14:paraId="50885AD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关于分包合同价款支付的约定：</w:t>
      </w:r>
      <w:r>
        <w:rPr>
          <w:rFonts w:hint="eastAsia" w:ascii="宋体" w:hAnsi="宋体"/>
          <w:color w:val="auto"/>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color w:val="auto"/>
          <w:szCs w:val="21"/>
          <w:highlight w:val="none"/>
        </w:rPr>
        <w:t>。</w:t>
      </w:r>
    </w:p>
    <w:p w14:paraId="35B2E151">
      <w:pPr>
        <w:pStyle w:val="170"/>
        <w:spacing w:line="240" w:lineRule="auto"/>
        <w:rPr>
          <w:rFonts w:ascii="黑体" w:hAnsi="黑体"/>
          <w:color w:val="auto"/>
          <w:highlight w:val="none"/>
        </w:rPr>
      </w:pPr>
      <w:bookmarkStart w:id="224" w:name="_Toc217642311"/>
      <w:bookmarkStart w:id="225" w:name="_Toc166155241"/>
      <w:r>
        <w:rPr>
          <w:rFonts w:hint="eastAsia" w:ascii="黑体" w:hAnsi="黑体"/>
          <w:color w:val="auto"/>
          <w:highlight w:val="none"/>
        </w:rPr>
        <w:t>3.6工程照管与成品、半成品保护</w:t>
      </w:r>
      <w:bookmarkEnd w:id="224"/>
      <w:bookmarkEnd w:id="225"/>
    </w:p>
    <w:p w14:paraId="55FF743B">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承包人负责照管工程及工程相关的材料、工程设备的起始时间：</w:t>
      </w:r>
      <w:r>
        <w:rPr>
          <w:rFonts w:hint="eastAsia" w:ascii="宋体" w:hAnsi="宋体"/>
          <w:color w:val="auto"/>
          <w:szCs w:val="21"/>
          <w:highlight w:val="none"/>
          <w:u w:val="single"/>
        </w:rPr>
        <w:t>签订合同之日起，完成工程移交之日止</w:t>
      </w:r>
      <w:r>
        <w:rPr>
          <w:rFonts w:hint="eastAsia" w:ascii="宋体" w:hAnsi="宋体"/>
          <w:color w:val="auto"/>
          <w:szCs w:val="21"/>
          <w:highlight w:val="none"/>
        </w:rPr>
        <w:t>。</w:t>
      </w:r>
    </w:p>
    <w:p w14:paraId="529DFA66">
      <w:pPr>
        <w:pStyle w:val="170"/>
        <w:spacing w:line="240" w:lineRule="auto"/>
        <w:rPr>
          <w:rFonts w:ascii="黑体" w:hAnsi="黑体"/>
          <w:color w:val="auto"/>
          <w:highlight w:val="none"/>
        </w:rPr>
      </w:pPr>
      <w:bookmarkStart w:id="226" w:name="_Toc166155242"/>
      <w:bookmarkStart w:id="227" w:name="_Toc217642312"/>
      <w:r>
        <w:rPr>
          <w:rFonts w:hint="eastAsia" w:ascii="黑体" w:hAnsi="黑体"/>
          <w:color w:val="auto"/>
          <w:highlight w:val="none"/>
        </w:rPr>
        <w:t>3.7履约保证金</w:t>
      </w:r>
      <w:bookmarkEnd w:id="226"/>
      <w:bookmarkEnd w:id="227"/>
    </w:p>
    <w:p w14:paraId="7AD1F903">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承包人提供履约担保金额及期限：</w:t>
      </w:r>
      <w:r>
        <w:rPr>
          <w:rFonts w:hint="eastAsia" w:ascii="宋体" w:hAnsi="宋体"/>
          <w:color w:val="auto"/>
          <w:szCs w:val="21"/>
          <w:highlight w:val="none"/>
          <w:u w:val="single"/>
        </w:rPr>
        <w:t>本项目不收取履约保证金。</w:t>
      </w:r>
    </w:p>
    <w:p w14:paraId="3A6DA652">
      <w:pPr>
        <w:pStyle w:val="167"/>
        <w:rPr>
          <w:rFonts w:ascii="黑体" w:hAnsi="黑体"/>
          <w:color w:val="auto"/>
          <w:highlight w:val="none"/>
        </w:rPr>
      </w:pPr>
      <w:bookmarkStart w:id="228" w:name="_Toc217642313"/>
      <w:bookmarkStart w:id="229" w:name="_Toc166155243"/>
      <w:r>
        <w:rPr>
          <w:rFonts w:hint="eastAsia" w:ascii="黑体" w:hAnsi="黑体"/>
          <w:color w:val="auto"/>
          <w:highlight w:val="none"/>
        </w:rPr>
        <w:t>4.监理人</w:t>
      </w:r>
      <w:bookmarkEnd w:id="228"/>
      <w:bookmarkEnd w:id="229"/>
    </w:p>
    <w:p w14:paraId="20415AD4">
      <w:pPr>
        <w:pStyle w:val="170"/>
        <w:spacing w:line="240" w:lineRule="auto"/>
        <w:rPr>
          <w:rFonts w:ascii="黑体" w:hAnsi="黑体"/>
          <w:color w:val="auto"/>
          <w:highlight w:val="none"/>
        </w:rPr>
      </w:pPr>
      <w:bookmarkStart w:id="230" w:name="_Toc217642314"/>
      <w:bookmarkStart w:id="231" w:name="_Toc166155244"/>
      <w:r>
        <w:rPr>
          <w:rFonts w:hint="eastAsia" w:ascii="黑体" w:hAnsi="黑体"/>
          <w:color w:val="auto"/>
          <w:highlight w:val="none"/>
        </w:rPr>
        <w:t>4.1监理人的一般规定</w:t>
      </w:r>
      <w:bookmarkEnd w:id="230"/>
      <w:bookmarkEnd w:id="231"/>
    </w:p>
    <w:p w14:paraId="7F57E27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关于监理人的监理内容：</w:t>
      </w:r>
      <w:r>
        <w:rPr>
          <w:rFonts w:hint="eastAsia" w:ascii="宋体" w:hAnsi="宋体"/>
          <w:color w:val="auto"/>
          <w:szCs w:val="21"/>
          <w:highlight w:val="none"/>
          <w:u w:val="single"/>
        </w:rPr>
        <w:t>质量、进度、投资控制；合同管理、信息管理、安全管理；项目有关单位的协调。具体以监理合同约定为准</w:t>
      </w:r>
      <w:r>
        <w:rPr>
          <w:rFonts w:hint="eastAsia" w:ascii="宋体" w:hAnsi="宋体"/>
          <w:color w:val="auto"/>
          <w:szCs w:val="21"/>
          <w:highlight w:val="none"/>
        </w:rPr>
        <w:t>。</w:t>
      </w:r>
    </w:p>
    <w:p w14:paraId="7612FE3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关于监理人的监理权限：</w:t>
      </w:r>
      <w:r>
        <w:rPr>
          <w:rFonts w:hint="eastAsia" w:ascii="宋体" w:hAnsi="宋体"/>
          <w:color w:val="auto"/>
          <w:szCs w:val="21"/>
          <w:highlight w:val="none"/>
          <w:u w:val="single"/>
        </w:rPr>
        <w:t>对施工中的质量、进度、安全、投资进行监督控制，收集整理与施工有关的信息，协助发包人处理与施工相关的问题；对于涉及设计、工期、造价等变更文件的确认，须由发包人盖章及项目现场代表、总监理工程师签字后方能生效</w:t>
      </w:r>
      <w:r>
        <w:rPr>
          <w:rFonts w:hint="eastAsia" w:ascii="宋体" w:hAnsi="宋体"/>
          <w:color w:val="auto"/>
          <w:szCs w:val="21"/>
          <w:highlight w:val="none"/>
        </w:rPr>
        <w:t>。</w:t>
      </w:r>
    </w:p>
    <w:p w14:paraId="75E0C8C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监理人进场前提供经过与发包人、承包人协商认可的施工现场办公、住宿场所的需用计划给承包人，承包人根据计划提供且承担所发生的费用</w:t>
      </w:r>
      <w:r>
        <w:rPr>
          <w:rFonts w:hint="eastAsia" w:ascii="宋体" w:hAnsi="宋体"/>
          <w:color w:val="auto"/>
          <w:szCs w:val="21"/>
          <w:highlight w:val="none"/>
        </w:rPr>
        <w:t>。</w:t>
      </w:r>
    </w:p>
    <w:p w14:paraId="0845214F">
      <w:pPr>
        <w:pStyle w:val="170"/>
        <w:spacing w:line="240" w:lineRule="auto"/>
        <w:rPr>
          <w:rFonts w:ascii="黑体" w:hAnsi="黑体"/>
          <w:color w:val="auto"/>
          <w:highlight w:val="none"/>
        </w:rPr>
      </w:pPr>
      <w:bookmarkStart w:id="232" w:name="_Toc217642315"/>
      <w:bookmarkStart w:id="233" w:name="_Toc166155245"/>
      <w:r>
        <w:rPr>
          <w:rFonts w:hint="eastAsia" w:ascii="黑体" w:hAnsi="黑体"/>
          <w:color w:val="auto"/>
          <w:highlight w:val="none"/>
        </w:rPr>
        <w:t>4.2监理人员</w:t>
      </w:r>
      <w:bookmarkEnd w:id="232"/>
      <w:bookmarkEnd w:id="233"/>
    </w:p>
    <w:p w14:paraId="69815905">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总监理工程师：</w:t>
      </w:r>
    </w:p>
    <w:p w14:paraId="53A1DE5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ascii="宋体" w:hAnsi="宋体"/>
          <w:b/>
          <w:color w:val="auto"/>
          <w:szCs w:val="21"/>
          <w:highlight w:val="none"/>
        </w:rPr>
        <w:t>______</w:t>
      </w:r>
      <w:r>
        <w:rPr>
          <w:rFonts w:hint="eastAsia" w:ascii="宋体" w:hAnsi="宋体"/>
          <w:color w:val="auto"/>
          <w:szCs w:val="21"/>
          <w:highlight w:val="none"/>
        </w:rPr>
        <w:t>；</w:t>
      </w:r>
    </w:p>
    <w:p w14:paraId="3E2ADA4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职务：</w:t>
      </w:r>
      <w:r>
        <w:rPr>
          <w:rFonts w:ascii="宋体" w:hAnsi="宋体"/>
          <w:b/>
          <w:color w:val="auto"/>
          <w:szCs w:val="21"/>
          <w:highlight w:val="none"/>
        </w:rPr>
        <w:t>______</w:t>
      </w:r>
      <w:r>
        <w:rPr>
          <w:rFonts w:hint="eastAsia" w:ascii="宋体" w:hAnsi="宋体"/>
          <w:color w:val="auto"/>
          <w:szCs w:val="21"/>
          <w:highlight w:val="none"/>
        </w:rPr>
        <w:t>；</w:t>
      </w:r>
    </w:p>
    <w:p w14:paraId="74503B3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监理工程师注册证书号：</w:t>
      </w:r>
      <w:r>
        <w:rPr>
          <w:rFonts w:ascii="宋体" w:hAnsi="宋体"/>
          <w:b/>
          <w:color w:val="auto"/>
          <w:szCs w:val="21"/>
          <w:highlight w:val="none"/>
        </w:rPr>
        <w:t>______</w:t>
      </w:r>
      <w:r>
        <w:rPr>
          <w:rFonts w:hint="eastAsia" w:ascii="宋体" w:hAnsi="宋体"/>
          <w:color w:val="auto"/>
          <w:szCs w:val="21"/>
          <w:highlight w:val="none"/>
        </w:rPr>
        <w:t>；</w:t>
      </w:r>
    </w:p>
    <w:p w14:paraId="318B556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ascii="宋体" w:hAnsi="宋体"/>
          <w:b/>
          <w:color w:val="auto"/>
          <w:szCs w:val="21"/>
          <w:highlight w:val="none"/>
        </w:rPr>
        <w:t>______</w:t>
      </w:r>
      <w:r>
        <w:rPr>
          <w:rFonts w:hint="eastAsia" w:ascii="宋体" w:hAnsi="宋体"/>
          <w:color w:val="auto"/>
          <w:szCs w:val="21"/>
          <w:highlight w:val="none"/>
        </w:rPr>
        <w:t>；</w:t>
      </w:r>
    </w:p>
    <w:p w14:paraId="7E3E633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ascii="宋体" w:hAnsi="宋体"/>
          <w:b/>
          <w:color w:val="auto"/>
          <w:szCs w:val="21"/>
          <w:highlight w:val="none"/>
        </w:rPr>
        <w:t>______</w:t>
      </w:r>
      <w:r>
        <w:rPr>
          <w:rFonts w:hint="eastAsia" w:ascii="宋体" w:hAnsi="宋体"/>
          <w:color w:val="auto"/>
          <w:szCs w:val="21"/>
          <w:highlight w:val="none"/>
        </w:rPr>
        <w:t>；</w:t>
      </w:r>
    </w:p>
    <w:p w14:paraId="4F01A82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ascii="宋体" w:hAnsi="宋体"/>
          <w:b/>
          <w:color w:val="auto"/>
          <w:szCs w:val="21"/>
          <w:highlight w:val="none"/>
        </w:rPr>
        <w:t>______</w:t>
      </w:r>
      <w:r>
        <w:rPr>
          <w:rFonts w:hint="eastAsia" w:ascii="宋体" w:hAnsi="宋体"/>
          <w:color w:val="auto"/>
          <w:szCs w:val="21"/>
          <w:highlight w:val="none"/>
        </w:rPr>
        <w:t>；</w:t>
      </w:r>
    </w:p>
    <w:p w14:paraId="74A1BA4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关于监理人的其他约定：</w:t>
      </w:r>
      <w:r>
        <w:rPr>
          <w:rFonts w:hint="eastAsia" w:ascii="宋体" w:hAnsi="宋体"/>
          <w:color w:val="auto"/>
          <w:szCs w:val="21"/>
          <w:highlight w:val="none"/>
          <w:u w:val="single"/>
        </w:rPr>
        <w:t>/</w:t>
      </w:r>
      <w:r>
        <w:rPr>
          <w:rFonts w:hint="eastAsia" w:ascii="宋体" w:hAnsi="宋体"/>
          <w:color w:val="auto"/>
          <w:szCs w:val="21"/>
          <w:highlight w:val="none"/>
        </w:rPr>
        <w:t>。</w:t>
      </w:r>
    </w:p>
    <w:p w14:paraId="53599FF8">
      <w:pPr>
        <w:pStyle w:val="170"/>
        <w:spacing w:line="240" w:lineRule="auto"/>
        <w:rPr>
          <w:rFonts w:ascii="黑体" w:hAnsi="黑体"/>
          <w:color w:val="auto"/>
          <w:highlight w:val="none"/>
        </w:rPr>
      </w:pPr>
      <w:bookmarkStart w:id="234" w:name="_Toc217642316"/>
      <w:bookmarkStart w:id="235" w:name="_Toc166155246"/>
      <w:r>
        <w:rPr>
          <w:rFonts w:hint="eastAsia" w:ascii="黑体" w:hAnsi="黑体"/>
          <w:color w:val="auto"/>
          <w:highlight w:val="none"/>
        </w:rPr>
        <w:t>4.4商定或确定</w:t>
      </w:r>
      <w:bookmarkEnd w:id="234"/>
      <w:bookmarkEnd w:id="235"/>
    </w:p>
    <w:p w14:paraId="1D5AC27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在发包人和承包人不能通过协商达成一致意见时，发包人授权监理人对以下事项进行确定：</w:t>
      </w:r>
      <w:r>
        <w:rPr>
          <w:rFonts w:hint="eastAsia" w:ascii="宋体" w:hAnsi="宋体"/>
          <w:color w:val="auto"/>
          <w:szCs w:val="21"/>
          <w:highlight w:val="none"/>
          <w:u w:val="single"/>
        </w:rPr>
        <w:t>无</w:t>
      </w:r>
      <w:r>
        <w:rPr>
          <w:rFonts w:hint="eastAsia" w:ascii="宋体" w:hAnsi="宋体"/>
          <w:color w:val="auto"/>
          <w:szCs w:val="21"/>
          <w:highlight w:val="none"/>
        </w:rPr>
        <w:t>。</w:t>
      </w:r>
    </w:p>
    <w:p w14:paraId="44849E8F">
      <w:pPr>
        <w:pStyle w:val="167"/>
        <w:rPr>
          <w:rFonts w:ascii="黑体" w:hAnsi="黑体"/>
          <w:color w:val="auto"/>
          <w:highlight w:val="none"/>
        </w:rPr>
      </w:pPr>
      <w:bookmarkStart w:id="236" w:name="_Toc217642317"/>
      <w:bookmarkStart w:id="237" w:name="_Toc166155247"/>
      <w:r>
        <w:rPr>
          <w:rFonts w:hint="eastAsia" w:ascii="黑体" w:hAnsi="黑体"/>
          <w:color w:val="auto"/>
          <w:highlight w:val="none"/>
        </w:rPr>
        <w:t>5.工程质量</w:t>
      </w:r>
      <w:bookmarkEnd w:id="236"/>
      <w:bookmarkEnd w:id="237"/>
    </w:p>
    <w:p w14:paraId="1B2C87D5">
      <w:pPr>
        <w:pStyle w:val="170"/>
        <w:spacing w:line="240" w:lineRule="auto"/>
        <w:rPr>
          <w:rFonts w:ascii="黑体" w:hAnsi="黑体"/>
          <w:color w:val="auto"/>
          <w:highlight w:val="none"/>
        </w:rPr>
      </w:pPr>
      <w:bookmarkStart w:id="238" w:name="_Toc217642318"/>
      <w:bookmarkStart w:id="239" w:name="_Toc166155248"/>
      <w:r>
        <w:rPr>
          <w:rFonts w:hint="eastAsia" w:ascii="黑体" w:hAnsi="黑体"/>
          <w:color w:val="auto"/>
          <w:highlight w:val="none"/>
        </w:rPr>
        <w:t>5.1质量要求</w:t>
      </w:r>
      <w:bookmarkEnd w:id="238"/>
      <w:bookmarkEnd w:id="239"/>
    </w:p>
    <w:p w14:paraId="3628AAF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5.1.1特殊质量标准和要求：</w:t>
      </w:r>
      <w:r>
        <w:rPr>
          <w:rFonts w:hint="eastAsia" w:ascii="宋体" w:hAnsi="宋体"/>
          <w:color w:val="auto"/>
          <w:szCs w:val="21"/>
          <w:highlight w:val="none"/>
          <w:u w:val="single"/>
        </w:rPr>
        <w:t>严格执行广西壮族自治区住房和城乡建设厅《关于严格实行房屋建筑和市政基础设施工程质量终身责任承诺、永久性质量责任标牌、终身责任信息档案等制度的通知》（桂建管[2014]96号）和南宁市城乡建设委员会《关于落实建设工程质量终身责任，加强工程质量管理的通知》（南建质安[2014]155号）要求，落实建设工程质量终身责任</w:t>
      </w:r>
      <w:r>
        <w:rPr>
          <w:rFonts w:hint="eastAsia" w:ascii="宋体" w:hAnsi="宋体"/>
          <w:color w:val="auto"/>
          <w:szCs w:val="21"/>
          <w:highlight w:val="none"/>
        </w:rPr>
        <w:t>。</w:t>
      </w:r>
    </w:p>
    <w:p w14:paraId="0D7FB51B">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关于工程奖项的约定：无。</w:t>
      </w:r>
    </w:p>
    <w:p w14:paraId="347C2AE1">
      <w:pPr>
        <w:pStyle w:val="170"/>
        <w:spacing w:line="240" w:lineRule="auto"/>
        <w:rPr>
          <w:rFonts w:ascii="黑体" w:hAnsi="黑体"/>
          <w:color w:val="auto"/>
          <w:highlight w:val="none"/>
        </w:rPr>
      </w:pPr>
      <w:bookmarkStart w:id="240" w:name="_Toc166155249"/>
      <w:bookmarkStart w:id="241" w:name="_Toc217642319"/>
      <w:r>
        <w:rPr>
          <w:rFonts w:hint="eastAsia" w:ascii="黑体" w:hAnsi="黑体"/>
          <w:color w:val="auto"/>
          <w:highlight w:val="none"/>
        </w:rPr>
        <w:t>5.3隐蔽工程检查</w:t>
      </w:r>
      <w:bookmarkEnd w:id="240"/>
      <w:bookmarkEnd w:id="241"/>
    </w:p>
    <w:p w14:paraId="671DF78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5.3.2承包人提前通知监理人隐蔽工程检查的期限的约定：工程隐蔽或中间验收前24小时以书面形式通知发包人和监理工程师验收的内容、时间、地点，承包人准备验收记录单（最好是印制的表格）由双方签证。验收合格，承包人可进行隐蔽和继续施工；验收不合格，双方商定时限内修改后按上述循序重新验收。</w:t>
      </w:r>
    </w:p>
    <w:p w14:paraId="7E451FCE">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监理人不能按时进行检查时，应提前</w:t>
      </w:r>
      <w:r>
        <w:rPr>
          <w:rFonts w:ascii="宋体" w:hAnsi="宋体"/>
          <w:color w:val="auto"/>
          <w:szCs w:val="21"/>
          <w:highlight w:val="none"/>
          <w:u w:val="single"/>
        </w:rPr>
        <w:t>24</w:t>
      </w:r>
      <w:r>
        <w:rPr>
          <w:rFonts w:hint="eastAsia" w:ascii="宋体" w:hAnsi="宋体"/>
          <w:color w:val="auto"/>
          <w:szCs w:val="21"/>
          <w:highlight w:val="none"/>
        </w:rPr>
        <w:t>小时提交书面延期要求。</w:t>
      </w:r>
    </w:p>
    <w:p w14:paraId="6B6D4D05">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关于延期最长不得超过：</w:t>
      </w:r>
      <w:r>
        <w:rPr>
          <w:rFonts w:ascii="宋体" w:hAnsi="宋体"/>
          <w:color w:val="auto"/>
          <w:szCs w:val="21"/>
          <w:highlight w:val="none"/>
          <w:u w:val="single"/>
        </w:rPr>
        <w:t>48</w:t>
      </w:r>
      <w:r>
        <w:rPr>
          <w:rFonts w:hint="eastAsia" w:ascii="宋体" w:hAnsi="宋体"/>
          <w:color w:val="auto"/>
          <w:szCs w:val="21"/>
          <w:highlight w:val="none"/>
        </w:rPr>
        <w:t>小时。</w:t>
      </w:r>
    </w:p>
    <w:p w14:paraId="3B0467B9">
      <w:pPr>
        <w:pStyle w:val="167"/>
        <w:rPr>
          <w:rFonts w:ascii="黑体" w:hAnsi="黑体"/>
          <w:color w:val="auto"/>
          <w:highlight w:val="none"/>
        </w:rPr>
      </w:pPr>
      <w:bookmarkStart w:id="242" w:name="_Toc166155250"/>
      <w:bookmarkStart w:id="243" w:name="_Toc217642320"/>
      <w:r>
        <w:rPr>
          <w:rFonts w:hint="eastAsia" w:ascii="黑体" w:hAnsi="黑体"/>
          <w:color w:val="auto"/>
          <w:highlight w:val="none"/>
        </w:rPr>
        <w:t>6.安全文明施工与环境保护</w:t>
      </w:r>
      <w:bookmarkEnd w:id="242"/>
      <w:bookmarkEnd w:id="243"/>
    </w:p>
    <w:p w14:paraId="4B4D903C">
      <w:pPr>
        <w:pStyle w:val="170"/>
        <w:spacing w:line="240" w:lineRule="auto"/>
        <w:rPr>
          <w:rFonts w:ascii="黑体" w:hAnsi="黑体"/>
          <w:color w:val="auto"/>
          <w:highlight w:val="none"/>
        </w:rPr>
      </w:pPr>
      <w:bookmarkStart w:id="244" w:name="_Toc217642321"/>
      <w:bookmarkStart w:id="245" w:name="_Toc166155251"/>
      <w:r>
        <w:rPr>
          <w:rFonts w:hint="eastAsia" w:ascii="黑体" w:hAnsi="黑体"/>
          <w:color w:val="auto"/>
          <w:highlight w:val="none"/>
        </w:rPr>
        <w:t>6.1安全文明施工</w:t>
      </w:r>
      <w:bookmarkEnd w:id="244"/>
      <w:bookmarkEnd w:id="245"/>
    </w:p>
    <w:p w14:paraId="2820D55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6.1.1项目安全生产的达标目标及相应事项的约定：</w:t>
      </w:r>
      <w:r>
        <w:rPr>
          <w:rFonts w:hint="eastAsia" w:ascii="宋体" w:hAnsi="宋体"/>
          <w:color w:val="auto"/>
          <w:szCs w:val="21"/>
          <w:highlight w:val="none"/>
          <w:u w:val="single"/>
        </w:rPr>
        <w:t>按合同通用条款6.1.1款执行</w:t>
      </w:r>
      <w:r>
        <w:rPr>
          <w:rFonts w:hint="eastAsia" w:ascii="宋体" w:hAnsi="宋体"/>
          <w:color w:val="auto"/>
          <w:szCs w:val="21"/>
          <w:highlight w:val="none"/>
        </w:rPr>
        <w:t>。</w:t>
      </w:r>
    </w:p>
    <w:p w14:paraId="7FAECC4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关于安全文明施工奖项的约定：</w:t>
      </w:r>
      <w:r>
        <w:rPr>
          <w:rFonts w:hint="eastAsia" w:ascii="宋体" w:hAnsi="宋体"/>
          <w:color w:val="auto"/>
          <w:szCs w:val="21"/>
          <w:highlight w:val="none"/>
          <w:u w:val="single"/>
        </w:rPr>
        <w:t>无</w:t>
      </w:r>
      <w:r>
        <w:rPr>
          <w:rFonts w:hint="eastAsia" w:ascii="宋体" w:hAnsi="宋体"/>
          <w:color w:val="auto"/>
          <w:szCs w:val="21"/>
          <w:highlight w:val="none"/>
        </w:rPr>
        <w:t>。</w:t>
      </w:r>
    </w:p>
    <w:p w14:paraId="5E1660D6">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6.1.4关于治安保卫的特别约定：</w:t>
      </w:r>
      <w:r>
        <w:rPr>
          <w:rFonts w:hint="eastAsia" w:ascii="宋体" w:hAnsi="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F6E091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关于编制施工场地治安管理计划的约定：</w:t>
      </w:r>
      <w:r>
        <w:rPr>
          <w:rFonts w:hint="eastAsia" w:ascii="宋体" w:hAnsi="宋体"/>
          <w:color w:val="auto"/>
          <w:szCs w:val="21"/>
          <w:highlight w:val="none"/>
          <w:u w:val="single"/>
        </w:rPr>
        <w:t>按通用条款6.1.4执行</w:t>
      </w:r>
      <w:r>
        <w:rPr>
          <w:rFonts w:hint="eastAsia" w:ascii="宋体" w:hAnsi="宋体"/>
          <w:color w:val="auto"/>
          <w:szCs w:val="21"/>
          <w:highlight w:val="none"/>
        </w:rPr>
        <w:t>。</w:t>
      </w:r>
    </w:p>
    <w:p w14:paraId="0F1CCD0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6.1.5文明施工</w:t>
      </w:r>
    </w:p>
    <w:p w14:paraId="04EA624E">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合同当事人对文明施工的要求：</w:t>
      </w:r>
      <w:r>
        <w:rPr>
          <w:rFonts w:hint="eastAsia" w:ascii="宋体" w:hAnsi="宋体"/>
          <w:color w:val="auto"/>
          <w:szCs w:val="21"/>
          <w:highlight w:val="none"/>
          <w:u w:val="single"/>
        </w:rPr>
        <w:t>严格执行《中华人民共和国大气污染防治法》（主席令第三十一号）、《南宁市建设工程质量和安全生产管理办法》（南宁市人民政府令 第46号）、《南宁市建设工程质量安全标准化图集》、《南宁市建设工程施工现场管理若干规定》（南宁市人民政府令 第8号）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覆盖（种草、绿网）、洗车出门、保洁路口、在线监测、抑尘喷淋等有效措施，确保建设工程各项安全防护、文明施工措施及其费用在工地一线按标准落实到位</w:t>
      </w:r>
      <w:r>
        <w:rPr>
          <w:rFonts w:hint="eastAsia" w:ascii="宋体" w:hAnsi="宋体"/>
          <w:color w:val="auto"/>
          <w:szCs w:val="21"/>
          <w:highlight w:val="none"/>
        </w:rPr>
        <w:t>。</w:t>
      </w:r>
    </w:p>
    <w:p w14:paraId="481635B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6.1.6关于安全生产费总额、支付比例、支付期限、转入和结余收回的约定：</w:t>
      </w:r>
    </w:p>
    <w:p w14:paraId="7ED3274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（1）本合同价款已包含安全文明施工费</w:t>
      </w:r>
      <w:r>
        <w:rPr>
          <w:rFonts w:ascii="宋体" w:hAnsi="宋体"/>
          <w:b/>
          <w:color w:val="auto"/>
          <w:szCs w:val="21"/>
          <w:highlight w:val="none"/>
        </w:rPr>
        <w:t>______</w:t>
      </w:r>
      <w:r>
        <w:rPr>
          <w:rFonts w:hint="eastAsia" w:ascii="宋体" w:hAnsi="宋体"/>
          <w:color w:val="auto"/>
          <w:szCs w:val="21"/>
          <w:highlight w:val="none"/>
        </w:rPr>
        <w:t>元。</w:t>
      </w:r>
    </w:p>
    <w:p w14:paraId="7B6B907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（2）使用要求：专款专用。具体按</w:t>
      </w:r>
      <w:r>
        <w:rPr>
          <w:rFonts w:hint="eastAsia" w:ascii="宋体" w:hAnsi="宋体"/>
          <w:color w:val="auto"/>
          <w:szCs w:val="21"/>
          <w:highlight w:val="none"/>
          <w:u w:val="single"/>
        </w:rPr>
        <w:t>《广西壮族自治区建设工程安全文明施工费使用管理细则》（桂建质〔2015〕16号）</w:t>
      </w:r>
      <w:r>
        <w:rPr>
          <w:rFonts w:hint="eastAsia" w:ascii="宋体" w:hAnsi="宋体"/>
          <w:color w:val="auto"/>
          <w:szCs w:val="21"/>
          <w:highlight w:val="none"/>
        </w:rPr>
        <w:t>和</w:t>
      </w:r>
      <w:r>
        <w:rPr>
          <w:rFonts w:hint="eastAsia" w:ascii="宋体" w:hAnsi="宋体"/>
          <w:color w:val="auto"/>
          <w:szCs w:val="21"/>
          <w:highlight w:val="none"/>
          <w:u w:val="single"/>
        </w:rPr>
        <w:t>《广西壮族自治区建筑工程安全生产管理办法》（广西壮族自治区人民政府令第124号）、《南宁市建设工程施工现场管理若干规定》（南宁市人民政府令第8号）等南宁</w:t>
      </w:r>
      <w:r>
        <w:rPr>
          <w:rFonts w:hint="eastAsia" w:ascii="宋体" w:hAnsi="宋体"/>
          <w:color w:val="auto"/>
          <w:szCs w:val="21"/>
          <w:highlight w:val="none"/>
        </w:rPr>
        <w:t>市相关规定执行。</w:t>
      </w:r>
    </w:p>
    <w:p w14:paraId="7DF29B1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（3）支付约定：在本合同签订后    个工作日内，预付安全文明施工费总额的     （30%-50%），其余部分与进度款同期支付，安全文明施工费预付款在工程进度款累计金额超过合同价的   %时开始起扣，每月从支付给承包商的工程款内按安全文明预付款占合同总价的同一百分比扣回。</w:t>
      </w:r>
    </w:p>
    <w:p w14:paraId="6B27F0D5">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（4）建设单位按规定将安全生产费用转入承包人设立的安全生产费用专户。</w:t>
      </w:r>
    </w:p>
    <w:p w14:paraId="5165F3B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（5）工程施工完成后安全生产费用尚有结余的，结余部分由建设单位收回。</w:t>
      </w:r>
    </w:p>
    <w:p w14:paraId="511BCE7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（6）承包人将安全生产费用使用情况定期报告建设单位和监理单位，并提供相应的材料接受建设行政主管部门对此事项监管。</w:t>
      </w:r>
    </w:p>
    <w:p w14:paraId="4F8107B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（7）安全生产费用专户：</w:t>
      </w:r>
    </w:p>
    <w:p w14:paraId="4397652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账户名称：</w:t>
      </w:r>
      <w:r>
        <w:rPr>
          <w:rFonts w:ascii="宋体" w:hAnsi="宋体"/>
          <w:b/>
          <w:color w:val="auto"/>
          <w:szCs w:val="21"/>
          <w:highlight w:val="none"/>
        </w:rPr>
        <w:t>______</w:t>
      </w:r>
    </w:p>
    <w:p w14:paraId="7A8D983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纳税人识别号：</w:t>
      </w:r>
      <w:r>
        <w:rPr>
          <w:rFonts w:ascii="宋体" w:hAnsi="宋体"/>
          <w:b/>
          <w:color w:val="auto"/>
          <w:szCs w:val="21"/>
          <w:highlight w:val="none"/>
        </w:rPr>
        <w:t>______</w:t>
      </w:r>
    </w:p>
    <w:p w14:paraId="1331E4D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收款人账号：</w:t>
      </w:r>
      <w:r>
        <w:rPr>
          <w:rFonts w:ascii="宋体" w:hAnsi="宋体"/>
          <w:b/>
          <w:color w:val="auto"/>
          <w:szCs w:val="21"/>
          <w:highlight w:val="none"/>
        </w:rPr>
        <w:t>______</w:t>
      </w:r>
    </w:p>
    <w:p w14:paraId="76A735FB">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收款人开户行：</w:t>
      </w:r>
      <w:r>
        <w:rPr>
          <w:rFonts w:ascii="宋体" w:hAnsi="宋体"/>
          <w:b/>
          <w:color w:val="auto"/>
          <w:szCs w:val="21"/>
          <w:highlight w:val="none"/>
        </w:rPr>
        <w:t>______</w:t>
      </w:r>
    </w:p>
    <w:p w14:paraId="74C8DAB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收款人开户行行号：</w:t>
      </w:r>
      <w:r>
        <w:rPr>
          <w:rFonts w:ascii="宋体" w:hAnsi="宋体"/>
          <w:b/>
          <w:color w:val="auto"/>
          <w:szCs w:val="21"/>
          <w:highlight w:val="none"/>
        </w:rPr>
        <w:t>______</w:t>
      </w:r>
    </w:p>
    <w:p w14:paraId="2F0566E3">
      <w:pPr>
        <w:pStyle w:val="170"/>
        <w:spacing w:line="240" w:lineRule="auto"/>
        <w:rPr>
          <w:rFonts w:ascii="黑体" w:hAnsi="黑体"/>
          <w:color w:val="auto"/>
          <w:highlight w:val="none"/>
        </w:rPr>
      </w:pPr>
      <w:bookmarkStart w:id="246" w:name="_Toc217642322"/>
      <w:bookmarkStart w:id="247" w:name="_Toc166155252"/>
      <w:r>
        <w:rPr>
          <w:rFonts w:hint="eastAsia" w:ascii="黑体" w:hAnsi="黑体"/>
          <w:color w:val="auto"/>
          <w:highlight w:val="none"/>
        </w:rPr>
        <w:t>6.3环境保护</w:t>
      </w:r>
      <w:bookmarkEnd w:id="246"/>
      <w:bookmarkEnd w:id="247"/>
    </w:p>
    <w:p w14:paraId="3410F70F">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因施工需要，经发包人批准，由承包人办理有关施工场地交通、环卫和施工噪音管理等手续，费用由承包人负责。</w:t>
      </w:r>
    </w:p>
    <w:p w14:paraId="72C69C53">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经过城市道路的施工车辆，必须按交警、城管、运输等部门相关规定执行。由于施工车辆造成的道路、环境等污染，其责任和费用均由承包人承担。</w:t>
      </w:r>
    </w:p>
    <w:p w14:paraId="1CCEA670">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根据《南宁市挥发性有机物污染防治实施方案（2019-2020年）》（南环委办〔2019〕166号）文件精神，宜优先使用低VOCs含量的涂料、油漆和有机溶剂。</w:t>
      </w:r>
    </w:p>
    <w:p w14:paraId="167EABFC">
      <w:pPr>
        <w:pStyle w:val="167"/>
        <w:rPr>
          <w:rFonts w:ascii="黑体" w:hAnsi="黑体"/>
          <w:color w:val="auto"/>
          <w:highlight w:val="none"/>
        </w:rPr>
      </w:pPr>
      <w:bookmarkStart w:id="248" w:name="_Toc166155253"/>
      <w:bookmarkStart w:id="249" w:name="_Toc217642323"/>
      <w:r>
        <w:rPr>
          <w:rFonts w:hint="eastAsia" w:ascii="黑体" w:hAnsi="黑体"/>
          <w:color w:val="auto"/>
          <w:highlight w:val="none"/>
        </w:rPr>
        <w:t>7.工期和进度</w:t>
      </w:r>
      <w:bookmarkEnd w:id="248"/>
      <w:bookmarkEnd w:id="249"/>
    </w:p>
    <w:p w14:paraId="09841A2E">
      <w:pPr>
        <w:pStyle w:val="170"/>
        <w:spacing w:line="240" w:lineRule="auto"/>
        <w:rPr>
          <w:rFonts w:ascii="黑体" w:hAnsi="黑体"/>
          <w:color w:val="auto"/>
          <w:highlight w:val="none"/>
        </w:rPr>
      </w:pPr>
      <w:bookmarkStart w:id="250" w:name="_Toc217642324"/>
      <w:bookmarkStart w:id="251" w:name="_Toc166155254"/>
      <w:r>
        <w:rPr>
          <w:rFonts w:hint="eastAsia" w:ascii="黑体" w:hAnsi="黑体"/>
          <w:color w:val="auto"/>
          <w:highlight w:val="none"/>
        </w:rPr>
        <w:t>7.1施工组织设计</w:t>
      </w:r>
      <w:bookmarkEnd w:id="250"/>
      <w:bookmarkEnd w:id="251"/>
    </w:p>
    <w:p w14:paraId="5EC43D3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7.1.1合同当事人约定的施工组织设计应包括的其他内容：</w:t>
      </w:r>
      <w:r>
        <w:rPr>
          <w:rFonts w:hint="eastAsia" w:ascii="宋体" w:hAnsi="宋体"/>
          <w:color w:val="auto"/>
          <w:szCs w:val="21"/>
          <w:highlight w:val="none"/>
          <w:u w:val="single"/>
        </w:rPr>
        <w:t>按有关规定执行</w:t>
      </w:r>
      <w:r>
        <w:rPr>
          <w:rFonts w:hint="eastAsia" w:ascii="宋体" w:hAnsi="宋体"/>
          <w:color w:val="auto"/>
          <w:szCs w:val="21"/>
          <w:highlight w:val="none"/>
        </w:rPr>
        <w:t>。</w:t>
      </w:r>
    </w:p>
    <w:p w14:paraId="444A28D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7.1.2施工组织设计的提交和修改</w:t>
      </w:r>
    </w:p>
    <w:p w14:paraId="64AC7AE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承包人提交详细施工组织设计的期限的约定：</w:t>
      </w:r>
      <w:r>
        <w:rPr>
          <w:rFonts w:hint="eastAsia" w:ascii="宋体" w:hAnsi="宋体"/>
          <w:color w:val="auto"/>
          <w:szCs w:val="21"/>
          <w:highlight w:val="none"/>
          <w:u w:val="single"/>
        </w:rPr>
        <w:t>工程开工前7个工作日内</w:t>
      </w:r>
      <w:r>
        <w:rPr>
          <w:rFonts w:hint="eastAsia" w:ascii="宋体" w:hAnsi="宋体"/>
          <w:color w:val="auto"/>
          <w:szCs w:val="21"/>
          <w:highlight w:val="none"/>
        </w:rPr>
        <w:t>。</w:t>
      </w:r>
    </w:p>
    <w:p w14:paraId="60B3585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rPr>
        <w:t>从收到承包人提供的施工组织设计（施工方案）之日起七天内予以确认，如有重大异议必须在收到上述资料之日起五天内以书面形式送达承包人，逾期不确认也不提出书面意见的，视为同意</w:t>
      </w:r>
      <w:r>
        <w:rPr>
          <w:rFonts w:hint="eastAsia" w:ascii="宋体" w:hAnsi="宋体"/>
          <w:color w:val="auto"/>
          <w:szCs w:val="21"/>
          <w:highlight w:val="none"/>
        </w:rPr>
        <w:t>。</w:t>
      </w:r>
    </w:p>
    <w:p w14:paraId="1B6E6336">
      <w:pPr>
        <w:pStyle w:val="170"/>
        <w:spacing w:line="240" w:lineRule="auto"/>
        <w:rPr>
          <w:rFonts w:ascii="黑体" w:hAnsi="黑体"/>
          <w:color w:val="auto"/>
          <w:highlight w:val="none"/>
        </w:rPr>
      </w:pPr>
      <w:bookmarkStart w:id="252" w:name="_Toc217642325"/>
      <w:bookmarkStart w:id="253" w:name="_Toc166155255"/>
      <w:r>
        <w:rPr>
          <w:rFonts w:hint="eastAsia" w:ascii="黑体" w:hAnsi="黑体"/>
          <w:color w:val="auto"/>
          <w:highlight w:val="none"/>
        </w:rPr>
        <w:t>7.2施工进度计划</w:t>
      </w:r>
      <w:bookmarkEnd w:id="252"/>
      <w:bookmarkEnd w:id="253"/>
    </w:p>
    <w:p w14:paraId="594ECF55">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7.2.2施工进度计划的修订</w:t>
      </w:r>
    </w:p>
    <w:p w14:paraId="16ADC18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发包人和监理人在收到修订的施工进度计划后确认或提出修改意见的期限：</w:t>
      </w:r>
      <w:r>
        <w:rPr>
          <w:rFonts w:hint="eastAsia" w:ascii="宋体" w:hAnsi="宋体"/>
          <w:color w:val="auto"/>
          <w:szCs w:val="21"/>
          <w:highlight w:val="none"/>
          <w:u w:val="single"/>
        </w:rPr>
        <w:t>收到之后3 个工作日内</w:t>
      </w:r>
      <w:r>
        <w:rPr>
          <w:rFonts w:hint="eastAsia" w:ascii="宋体" w:hAnsi="宋体"/>
          <w:color w:val="auto"/>
          <w:szCs w:val="21"/>
          <w:highlight w:val="none"/>
        </w:rPr>
        <w:t>。</w:t>
      </w:r>
    </w:p>
    <w:p w14:paraId="1C2B8D17">
      <w:pPr>
        <w:pStyle w:val="170"/>
        <w:spacing w:line="240" w:lineRule="auto"/>
        <w:rPr>
          <w:rFonts w:ascii="黑体" w:hAnsi="黑体"/>
          <w:color w:val="auto"/>
          <w:highlight w:val="none"/>
        </w:rPr>
      </w:pPr>
      <w:bookmarkStart w:id="254" w:name="_Toc166155256"/>
      <w:bookmarkStart w:id="255" w:name="_Toc217642326"/>
      <w:r>
        <w:rPr>
          <w:rFonts w:hint="eastAsia" w:ascii="黑体" w:hAnsi="黑体"/>
          <w:color w:val="auto"/>
          <w:highlight w:val="none"/>
        </w:rPr>
        <w:t>7.3开工</w:t>
      </w:r>
      <w:bookmarkEnd w:id="254"/>
      <w:bookmarkEnd w:id="255"/>
    </w:p>
    <w:p w14:paraId="579F97FE">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7.3.1开工准备</w:t>
      </w:r>
    </w:p>
    <w:p w14:paraId="23D9023B">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关于承包人提交工程开工报审表的期限：</w:t>
      </w:r>
      <w:r>
        <w:rPr>
          <w:rFonts w:hint="eastAsia" w:ascii="宋体" w:hAnsi="宋体"/>
          <w:color w:val="auto"/>
          <w:szCs w:val="21"/>
          <w:highlight w:val="none"/>
          <w:u w:val="single"/>
        </w:rPr>
        <w:t>承包人在图纸会审和设计交底之日起7个工作日内报送</w:t>
      </w:r>
      <w:r>
        <w:rPr>
          <w:rFonts w:hint="eastAsia" w:ascii="宋体" w:hAnsi="宋体"/>
          <w:color w:val="auto"/>
          <w:szCs w:val="21"/>
          <w:highlight w:val="none"/>
        </w:rPr>
        <w:t>。</w:t>
      </w:r>
    </w:p>
    <w:p w14:paraId="23F9572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关于发包人应完成的其他开工准备工作及期限：</w:t>
      </w:r>
      <w:r>
        <w:rPr>
          <w:rFonts w:hint="eastAsia" w:ascii="宋体" w:hAnsi="宋体"/>
          <w:color w:val="auto"/>
          <w:szCs w:val="21"/>
          <w:highlight w:val="none"/>
          <w:u w:val="single"/>
        </w:rPr>
        <w:t>签订合同后14天内</w:t>
      </w:r>
      <w:r>
        <w:rPr>
          <w:rFonts w:hint="eastAsia" w:ascii="宋体" w:hAnsi="宋体"/>
          <w:color w:val="auto"/>
          <w:szCs w:val="21"/>
          <w:highlight w:val="none"/>
        </w:rPr>
        <w:t>。</w:t>
      </w:r>
    </w:p>
    <w:p w14:paraId="1E29F93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关于承包人应完成的其他开工准备工作及期限：</w:t>
      </w:r>
      <w:r>
        <w:rPr>
          <w:rFonts w:hint="eastAsia" w:ascii="宋体" w:hAnsi="宋体"/>
          <w:color w:val="auto"/>
          <w:szCs w:val="21"/>
          <w:highlight w:val="none"/>
          <w:u w:val="single"/>
        </w:rPr>
        <w:t>签订合同后14天内</w:t>
      </w:r>
      <w:r>
        <w:rPr>
          <w:rFonts w:hint="eastAsia" w:ascii="宋体" w:hAnsi="宋体"/>
          <w:color w:val="auto"/>
          <w:szCs w:val="21"/>
          <w:highlight w:val="none"/>
        </w:rPr>
        <w:t>。</w:t>
      </w:r>
    </w:p>
    <w:p w14:paraId="5E19484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7.3.2开工通知</w:t>
      </w:r>
    </w:p>
    <w:p w14:paraId="5A9ACFE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因发包人原因造成监理人未能在计划开工日期之日起</w:t>
      </w:r>
      <w:r>
        <w:rPr>
          <w:rFonts w:ascii="宋体" w:hAnsi="宋体"/>
          <w:color w:val="auto"/>
          <w:szCs w:val="21"/>
          <w:highlight w:val="none"/>
          <w:u w:val="single"/>
        </w:rPr>
        <w:t>90</w:t>
      </w:r>
      <w:r>
        <w:rPr>
          <w:rFonts w:hint="eastAsia" w:ascii="宋体" w:hAnsi="宋体"/>
          <w:color w:val="auto"/>
          <w:szCs w:val="21"/>
          <w:highlight w:val="none"/>
        </w:rPr>
        <w:t>天内发出开工通知的，承包人有权提出价格调整要求，或者解除合同。</w:t>
      </w:r>
    </w:p>
    <w:p w14:paraId="30048494">
      <w:pPr>
        <w:pStyle w:val="170"/>
        <w:spacing w:line="240" w:lineRule="auto"/>
        <w:rPr>
          <w:rFonts w:ascii="黑体" w:hAnsi="黑体"/>
          <w:color w:val="auto"/>
          <w:highlight w:val="none"/>
        </w:rPr>
      </w:pPr>
      <w:bookmarkStart w:id="256" w:name="_Toc217642327"/>
      <w:bookmarkStart w:id="257" w:name="_Toc166155257"/>
      <w:r>
        <w:rPr>
          <w:rFonts w:hint="eastAsia" w:ascii="黑体" w:hAnsi="黑体"/>
          <w:color w:val="auto"/>
          <w:highlight w:val="none"/>
        </w:rPr>
        <w:t>7.4测量放线</w:t>
      </w:r>
      <w:bookmarkEnd w:id="256"/>
      <w:bookmarkEnd w:id="257"/>
    </w:p>
    <w:p w14:paraId="26B9780E">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7.4.1发包人通过监理人向承包人提供测量基准点、基准线和水准点及其书面资料的期限：</w:t>
      </w:r>
      <w:r>
        <w:rPr>
          <w:rFonts w:hint="eastAsia" w:ascii="宋体" w:hAnsi="宋体"/>
          <w:color w:val="auto"/>
          <w:szCs w:val="21"/>
          <w:highlight w:val="none"/>
          <w:u w:val="single"/>
        </w:rPr>
        <w:t>《开工通知》标明的开工日期前七天内，以书面形式交给承包人，双方现场进行交验</w:t>
      </w:r>
      <w:r>
        <w:rPr>
          <w:rFonts w:hint="eastAsia" w:ascii="宋体" w:hAnsi="宋体"/>
          <w:color w:val="auto"/>
          <w:szCs w:val="21"/>
          <w:highlight w:val="none"/>
        </w:rPr>
        <w:t>。</w:t>
      </w:r>
    </w:p>
    <w:p w14:paraId="5EBBA082">
      <w:pPr>
        <w:pStyle w:val="170"/>
        <w:spacing w:line="240" w:lineRule="auto"/>
        <w:rPr>
          <w:rFonts w:ascii="黑体" w:hAnsi="黑体"/>
          <w:color w:val="auto"/>
          <w:highlight w:val="none"/>
        </w:rPr>
      </w:pPr>
      <w:bookmarkStart w:id="258" w:name="_Toc217642328"/>
      <w:bookmarkStart w:id="259" w:name="_Toc166155258"/>
      <w:r>
        <w:rPr>
          <w:rFonts w:hint="eastAsia" w:ascii="黑体" w:hAnsi="黑体"/>
          <w:color w:val="auto"/>
          <w:highlight w:val="none"/>
        </w:rPr>
        <w:t>7.5工期延误</w:t>
      </w:r>
      <w:bookmarkEnd w:id="258"/>
      <w:bookmarkEnd w:id="259"/>
    </w:p>
    <w:p w14:paraId="6F1A9CD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7.5.1因发包人原因导致工期延误</w:t>
      </w:r>
    </w:p>
    <w:p w14:paraId="63F5393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（7）因发包人原因导致工期延误的其他情形：</w:t>
      </w:r>
      <w:r>
        <w:rPr>
          <w:rFonts w:hint="eastAsia" w:ascii="宋体" w:hAnsi="宋体"/>
          <w:color w:val="auto"/>
          <w:szCs w:val="21"/>
          <w:highlight w:val="none"/>
          <w:u w:val="single"/>
        </w:rPr>
        <w:t>①重大图纸变更影响关键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color w:val="auto"/>
          <w:szCs w:val="21"/>
          <w:highlight w:val="none"/>
        </w:rPr>
        <w:t>。</w:t>
      </w:r>
    </w:p>
    <w:p w14:paraId="0FD9147B">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7.5.2因承包人原因导致工期延误</w:t>
      </w:r>
    </w:p>
    <w:p w14:paraId="4C3D1DFB">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双方约定经监理工程师确认，工期相应顺延的情况：</w:t>
      </w:r>
      <w:r>
        <w:rPr>
          <w:rFonts w:hint="eastAsia" w:ascii="宋体" w:hAnsi="宋体"/>
          <w:color w:val="auto"/>
          <w:szCs w:val="21"/>
          <w:highlight w:val="none"/>
          <w:u w:val="single"/>
        </w:rPr>
        <w:t>满足专用条款第7.5.1条及专用条款7.7条及当地政府指令性要求（包括规划调整、征地等）原因</w:t>
      </w:r>
      <w:r>
        <w:rPr>
          <w:rFonts w:hint="eastAsia" w:ascii="宋体" w:hAnsi="宋体"/>
          <w:color w:val="auto"/>
          <w:szCs w:val="21"/>
          <w:highlight w:val="none"/>
        </w:rPr>
        <w:t>。</w:t>
      </w:r>
    </w:p>
    <w:p w14:paraId="44B3057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因承包人原因造成工期延误，逾期竣工违约金的计算方法为：</w:t>
      </w:r>
      <w:r>
        <w:rPr>
          <w:rFonts w:hint="eastAsia" w:ascii="宋体" w:hAnsi="宋体"/>
          <w:color w:val="auto"/>
          <w:szCs w:val="21"/>
          <w:highlight w:val="none"/>
          <w:u w:val="single"/>
        </w:rPr>
        <w:t>按逾期竣工的单项工程罚款，每延误一天，按单项工程应支付给承包人的结算造价的万分之四处罚，罚款直接从结算款中扣除。误期时间从规定竣工日期起直到实际竣工日期的天数（扣除发包人批准顺延的工期）</w:t>
      </w:r>
      <w:r>
        <w:rPr>
          <w:rFonts w:hint="eastAsia" w:ascii="宋体" w:hAnsi="宋体"/>
          <w:color w:val="auto"/>
          <w:szCs w:val="21"/>
          <w:highlight w:val="none"/>
        </w:rPr>
        <w:t>。</w:t>
      </w:r>
    </w:p>
    <w:p w14:paraId="0252B84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因承包人原因造成工期延误，逾期竣工违约金的上限：</w:t>
      </w:r>
      <w:r>
        <w:rPr>
          <w:rFonts w:hint="eastAsia" w:ascii="宋体" w:hAnsi="宋体"/>
          <w:color w:val="auto"/>
          <w:szCs w:val="21"/>
          <w:highlight w:val="none"/>
          <w:u w:val="single"/>
        </w:rPr>
        <w:t>逾期竣工的单位工程合同价扣除建安劳保费、发包人材料价款后的3%</w:t>
      </w:r>
      <w:r>
        <w:rPr>
          <w:rFonts w:hint="eastAsia" w:ascii="宋体" w:hAnsi="宋体"/>
          <w:color w:val="auto"/>
          <w:szCs w:val="21"/>
          <w:highlight w:val="none"/>
        </w:rPr>
        <w:t>。</w:t>
      </w:r>
    </w:p>
    <w:p w14:paraId="75FDFFB6">
      <w:pPr>
        <w:pStyle w:val="170"/>
        <w:spacing w:line="240" w:lineRule="auto"/>
        <w:rPr>
          <w:rFonts w:ascii="黑体" w:hAnsi="黑体"/>
          <w:color w:val="auto"/>
          <w:highlight w:val="none"/>
        </w:rPr>
      </w:pPr>
      <w:bookmarkStart w:id="260" w:name="_Toc217642329"/>
      <w:bookmarkStart w:id="261" w:name="_Toc166155259"/>
      <w:r>
        <w:rPr>
          <w:rFonts w:hint="eastAsia" w:ascii="黑体" w:hAnsi="黑体"/>
          <w:color w:val="auto"/>
          <w:highlight w:val="none"/>
        </w:rPr>
        <w:t>7.6不利物质条件</w:t>
      </w:r>
      <w:bookmarkEnd w:id="260"/>
      <w:bookmarkEnd w:id="261"/>
    </w:p>
    <w:p w14:paraId="1A9A0B5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不利物质条件的其他情形和有关约定：</w:t>
      </w:r>
      <w:r>
        <w:rPr>
          <w:rFonts w:hint="eastAsia" w:ascii="宋体" w:hAnsi="宋体"/>
          <w:color w:val="auto"/>
          <w:szCs w:val="21"/>
          <w:highlight w:val="none"/>
          <w:u w:val="single"/>
        </w:rPr>
        <w:t>以有关部门发布的文告或文件为准</w:t>
      </w:r>
      <w:r>
        <w:rPr>
          <w:rFonts w:hint="eastAsia" w:ascii="宋体" w:hAnsi="宋体"/>
          <w:color w:val="auto"/>
          <w:szCs w:val="21"/>
          <w:highlight w:val="none"/>
        </w:rPr>
        <w:t>。</w:t>
      </w:r>
    </w:p>
    <w:p w14:paraId="36A9EB0F">
      <w:pPr>
        <w:pStyle w:val="170"/>
        <w:spacing w:line="240" w:lineRule="auto"/>
        <w:rPr>
          <w:rFonts w:ascii="黑体" w:hAnsi="黑体"/>
          <w:color w:val="auto"/>
          <w:highlight w:val="none"/>
        </w:rPr>
      </w:pPr>
      <w:bookmarkStart w:id="262" w:name="_Toc217642330"/>
      <w:bookmarkStart w:id="263" w:name="_Toc166155260"/>
      <w:r>
        <w:rPr>
          <w:rFonts w:hint="eastAsia" w:ascii="黑体" w:hAnsi="黑体"/>
          <w:color w:val="auto"/>
          <w:highlight w:val="none"/>
        </w:rPr>
        <w:t>7.7异常恶劣的气候条件</w:t>
      </w:r>
      <w:bookmarkEnd w:id="262"/>
      <w:bookmarkEnd w:id="263"/>
    </w:p>
    <w:p w14:paraId="2E2EAF1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发包人和承包人同意以下情形视为异常恶劣的气候条件：</w:t>
      </w:r>
    </w:p>
    <w:p w14:paraId="48B27A5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（1）6级以上地震；</w:t>
      </w:r>
    </w:p>
    <w:p w14:paraId="14C7EEE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（2）10级以上持续1天的大风；</w:t>
      </w:r>
    </w:p>
    <w:p w14:paraId="0073F3A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（3）日气温低于零摄氏度的严寒大于3天；</w:t>
      </w:r>
    </w:p>
    <w:p w14:paraId="078787F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（4）日气温超过40摄氏度的高温大于3天；</w:t>
      </w:r>
    </w:p>
    <w:p w14:paraId="62543FE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（5）一日内降雨达200mm的暴雨（以气象部门公布的为准）；</w:t>
      </w:r>
    </w:p>
    <w:p w14:paraId="74E9CA8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（6）造成工程损坏的冰雹和大雪灾害；其他异常恶劣气候灾害（以气象部门公布的为准）。</w:t>
      </w:r>
    </w:p>
    <w:p w14:paraId="5CC4EBFB">
      <w:pPr>
        <w:pStyle w:val="170"/>
        <w:spacing w:line="240" w:lineRule="auto"/>
        <w:rPr>
          <w:rFonts w:ascii="黑体" w:hAnsi="黑体"/>
          <w:color w:val="auto"/>
          <w:highlight w:val="none"/>
        </w:rPr>
      </w:pPr>
      <w:bookmarkStart w:id="264" w:name="_Toc217642331"/>
      <w:bookmarkStart w:id="265" w:name="_Toc166155261"/>
      <w:r>
        <w:rPr>
          <w:rFonts w:hint="eastAsia" w:ascii="黑体" w:hAnsi="黑体"/>
          <w:color w:val="auto"/>
          <w:highlight w:val="none"/>
        </w:rPr>
        <w:t>7.9提前竣工</w:t>
      </w:r>
      <w:bookmarkEnd w:id="264"/>
      <w:bookmarkEnd w:id="265"/>
    </w:p>
    <w:p w14:paraId="6B01CA2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7.9.2提前竣工（赶工）增加费的计算方法：</w:t>
      </w:r>
      <w:r>
        <w:rPr>
          <w:rFonts w:hint="eastAsia" w:ascii="宋体" w:hAnsi="宋体"/>
          <w:color w:val="auto"/>
          <w:szCs w:val="21"/>
          <w:highlight w:val="none"/>
          <w:u w:val="single"/>
        </w:rPr>
        <w:t>无</w:t>
      </w:r>
      <w:r>
        <w:rPr>
          <w:rFonts w:hint="eastAsia" w:ascii="宋体" w:hAnsi="宋体"/>
          <w:color w:val="auto"/>
          <w:szCs w:val="21"/>
          <w:highlight w:val="none"/>
        </w:rPr>
        <w:t>。</w:t>
      </w:r>
    </w:p>
    <w:p w14:paraId="3A5B4235">
      <w:pPr>
        <w:pStyle w:val="167"/>
        <w:rPr>
          <w:rFonts w:ascii="黑体" w:hAnsi="黑体"/>
          <w:color w:val="auto"/>
          <w:highlight w:val="none"/>
        </w:rPr>
      </w:pPr>
      <w:bookmarkStart w:id="266" w:name="_Toc217642332"/>
      <w:bookmarkStart w:id="267" w:name="_Toc166155262"/>
      <w:r>
        <w:rPr>
          <w:rFonts w:hint="eastAsia" w:ascii="黑体" w:hAnsi="黑体"/>
          <w:color w:val="auto"/>
          <w:highlight w:val="none"/>
        </w:rPr>
        <w:t>8.材料与设备</w:t>
      </w:r>
      <w:bookmarkEnd w:id="266"/>
      <w:bookmarkEnd w:id="267"/>
    </w:p>
    <w:p w14:paraId="4EE11432">
      <w:pPr>
        <w:pStyle w:val="170"/>
        <w:spacing w:line="240" w:lineRule="auto"/>
        <w:rPr>
          <w:rFonts w:ascii="黑体" w:hAnsi="黑体"/>
          <w:color w:val="auto"/>
          <w:highlight w:val="none"/>
        </w:rPr>
      </w:pPr>
      <w:bookmarkStart w:id="268" w:name="_Toc166155263"/>
      <w:bookmarkStart w:id="269" w:name="_Toc217642333"/>
      <w:r>
        <w:rPr>
          <w:rFonts w:hint="eastAsia" w:ascii="黑体" w:hAnsi="黑体"/>
          <w:color w:val="auto"/>
          <w:highlight w:val="none"/>
        </w:rPr>
        <w:t>8.2承包人采购材料与工程设备</w:t>
      </w:r>
      <w:bookmarkEnd w:id="268"/>
      <w:bookmarkEnd w:id="269"/>
    </w:p>
    <w:p w14:paraId="517BD1C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的附件《发包人供应材料设备一览表》中明确的材料、工程设备外，由承包人负责材料和工程设备的采购、运输和保管。对工程使用的重要建设工程材料，承包人应按《南宁市建设工程材料使用管理办法》相关规定，从南宁市建设行政主管部门公布的建设工程材料备案目录中选用。</w:t>
      </w:r>
    </w:p>
    <w:p w14:paraId="018CB91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对发包人在招标时有“参照或相当于”约定的材料，承包人在施工过程中必须按类似于或优于所约定品牌、厂家和等级进行采购，并经发包人认可。当发包人与承包人对招标文件所约定的材料有争议时，发包人有权要求承包人按招标文件有“参照或相当于”标明材料品牌的材料进行采购，并在结算时按投标单价支付。</w:t>
      </w:r>
    </w:p>
    <w:p w14:paraId="5E573E07">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对发包人在招标时，没有明确约定“参照或相当于”**品牌、档次的材料和设备，或双方对材料和设备选择有争议的，发包人有权要求承包人按不低于招标控制价相同细目的材料或设备价格进行采购。</w:t>
      </w:r>
    </w:p>
    <w:p w14:paraId="65258DE5">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满足南宁市城乡建设委员会南宁市工业和信息化委员会关于重新印发《南宁市城乡建设委员会和南宁市工业和信息化委员会关于推广应用高性能混凝土的通知》的通知（南建规【2016】1号）要求的，本工程推荐使用高性能混凝土。</w:t>
      </w:r>
    </w:p>
    <w:p w14:paraId="104F9119">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满足南宁市人民政府印发的《南宁市人民政府关于推广使用预拌砂浆的实施意见》（南府规〔2016〕12号）要求的，本工程必须使用预拌砂浆，价格执行市场询价。</w:t>
      </w:r>
    </w:p>
    <w:p w14:paraId="38EEA97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满足《南宁市松材线虫病防控工作领导小组工作制度》要求，要求涉木产品供货商对应施检疫的产品提供《植物检疫证书》；涉及松木质包装材料的，积极配合林业部门做好检疫工作</w:t>
      </w:r>
      <w:r>
        <w:rPr>
          <w:rFonts w:hint="eastAsia" w:ascii="宋体" w:hAnsi="宋体"/>
          <w:color w:val="auto"/>
          <w:szCs w:val="21"/>
          <w:highlight w:val="none"/>
        </w:rPr>
        <w:t>。</w:t>
      </w:r>
    </w:p>
    <w:p w14:paraId="59C10E9B">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禁止使用松木及其制品、松木包装材料设备、种子、苗木、花卉及繁殖材料。</w:t>
      </w:r>
    </w:p>
    <w:p w14:paraId="6B477CE0">
      <w:pPr>
        <w:pStyle w:val="170"/>
        <w:spacing w:line="240" w:lineRule="auto"/>
        <w:rPr>
          <w:rFonts w:ascii="黑体" w:hAnsi="黑体"/>
          <w:color w:val="auto"/>
          <w:highlight w:val="none"/>
        </w:rPr>
      </w:pPr>
      <w:bookmarkStart w:id="270" w:name="_Toc166155264"/>
      <w:bookmarkStart w:id="271" w:name="_Toc217642334"/>
      <w:r>
        <w:rPr>
          <w:rFonts w:hint="eastAsia" w:ascii="黑体" w:hAnsi="黑体"/>
          <w:color w:val="auto"/>
          <w:highlight w:val="none"/>
        </w:rPr>
        <w:t>8.4材料与工程设备的保管与使用</w:t>
      </w:r>
      <w:bookmarkEnd w:id="270"/>
      <w:bookmarkEnd w:id="271"/>
    </w:p>
    <w:p w14:paraId="3D62EDF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8.4.1发包人供应的材料设备的保管费用的承担：</w:t>
      </w:r>
      <w:r>
        <w:rPr>
          <w:rFonts w:hint="eastAsia" w:ascii="宋体" w:hAnsi="宋体"/>
          <w:color w:val="auto"/>
          <w:szCs w:val="21"/>
          <w:highlight w:val="none"/>
          <w:u w:val="single"/>
        </w:rPr>
        <w:t>材料设备堆放至发包人指定的存放地点后，所发生的一切保管、运输费用均由承包人承担，因保管不力所造成的损失由承包人负责。移交承包人之前由发包人承担</w:t>
      </w:r>
      <w:r>
        <w:rPr>
          <w:rFonts w:hint="eastAsia" w:ascii="宋体" w:hAnsi="宋体"/>
          <w:color w:val="auto"/>
          <w:szCs w:val="21"/>
          <w:highlight w:val="none"/>
        </w:rPr>
        <w:t>。</w:t>
      </w:r>
    </w:p>
    <w:p w14:paraId="0F5FAAB1">
      <w:pPr>
        <w:pStyle w:val="170"/>
        <w:spacing w:line="240" w:lineRule="auto"/>
        <w:rPr>
          <w:rFonts w:ascii="黑体" w:hAnsi="黑体"/>
          <w:color w:val="auto"/>
          <w:highlight w:val="none"/>
        </w:rPr>
      </w:pPr>
      <w:bookmarkStart w:id="272" w:name="_Toc166155265"/>
      <w:bookmarkStart w:id="273" w:name="_Toc217642335"/>
      <w:r>
        <w:rPr>
          <w:rFonts w:hint="eastAsia" w:ascii="黑体" w:hAnsi="黑体"/>
          <w:color w:val="auto"/>
          <w:highlight w:val="none"/>
        </w:rPr>
        <w:t>8.6样品</w:t>
      </w:r>
      <w:bookmarkEnd w:id="272"/>
      <w:bookmarkEnd w:id="273"/>
    </w:p>
    <w:p w14:paraId="137D945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8.6.1样品的报送与封存</w:t>
      </w:r>
    </w:p>
    <w:p w14:paraId="548D363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需要承包人报送样品的材料或工程设备，样品的种类、名称、规格、数量要求：</w:t>
      </w:r>
      <w:r>
        <w:rPr>
          <w:rFonts w:hint="eastAsia" w:ascii="宋体" w:hAnsi="宋体"/>
          <w:color w:val="auto"/>
          <w:szCs w:val="21"/>
          <w:highlight w:val="none"/>
          <w:u w:val="single"/>
        </w:rPr>
        <w:t>主要材料涉及品种、款式、颜色等方面内容的，承包人应提交准备合格的材料样品送发包人选定</w:t>
      </w:r>
      <w:r>
        <w:rPr>
          <w:rFonts w:hint="eastAsia" w:ascii="宋体" w:hAnsi="宋体"/>
          <w:color w:val="auto"/>
          <w:szCs w:val="21"/>
          <w:highlight w:val="none"/>
        </w:rPr>
        <w:t>。</w:t>
      </w:r>
    </w:p>
    <w:p w14:paraId="693F07DE">
      <w:pPr>
        <w:pStyle w:val="170"/>
        <w:spacing w:line="240" w:lineRule="auto"/>
        <w:rPr>
          <w:rFonts w:ascii="黑体" w:hAnsi="黑体"/>
          <w:color w:val="auto"/>
          <w:highlight w:val="none"/>
        </w:rPr>
      </w:pPr>
      <w:bookmarkStart w:id="274" w:name="_Toc217642336"/>
      <w:bookmarkStart w:id="275" w:name="_Toc166155266"/>
      <w:r>
        <w:rPr>
          <w:rFonts w:hint="eastAsia" w:ascii="黑体" w:hAnsi="黑体"/>
          <w:color w:val="auto"/>
          <w:highlight w:val="none"/>
        </w:rPr>
        <w:t>8.8施工设备和临时设施</w:t>
      </w:r>
      <w:bookmarkEnd w:id="274"/>
      <w:bookmarkEnd w:id="275"/>
    </w:p>
    <w:p w14:paraId="0FC0810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8.8.1承包人提供的施工设备和临时设施</w:t>
      </w:r>
    </w:p>
    <w:p w14:paraId="68BA889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r>
        <w:rPr>
          <w:rFonts w:ascii="宋体" w:hAnsi="宋体"/>
          <w:color w:val="auto"/>
          <w:szCs w:val="21"/>
          <w:highlight w:val="none"/>
        </w:rPr>
        <w:t>2</w:t>
      </w:r>
      <w:r>
        <w:rPr>
          <w:rFonts w:hint="eastAsia" w:ascii="宋体" w:hAnsi="宋体"/>
          <w:color w:val="auto"/>
          <w:szCs w:val="21"/>
          <w:highlight w:val="none"/>
        </w:rPr>
        <w:t>。</w:t>
      </w:r>
    </w:p>
    <w:p w14:paraId="3BC2B55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关于修建临时设施费用承担的约定：</w:t>
      </w:r>
      <w:r>
        <w:rPr>
          <w:rFonts w:hint="eastAsia" w:ascii="宋体" w:hAnsi="宋体"/>
          <w:color w:val="auto"/>
          <w:szCs w:val="21"/>
          <w:highlight w:val="none"/>
          <w:u w:val="single"/>
        </w:rPr>
        <w:t>由承包人自行承担。</w:t>
      </w:r>
    </w:p>
    <w:p w14:paraId="149DECF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8.8.2发包人提供的施工设备和临时设施</w:t>
      </w:r>
    </w:p>
    <w:p w14:paraId="0D9E7A4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发包人提供的施工设备和临时设施：</w:t>
      </w:r>
      <w:r>
        <w:rPr>
          <w:rFonts w:hint="eastAsia" w:ascii="宋体" w:hAnsi="宋体"/>
          <w:color w:val="auto"/>
          <w:szCs w:val="21"/>
          <w:highlight w:val="none"/>
          <w:u w:val="single"/>
        </w:rPr>
        <w:t>无</w:t>
      </w:r>
      <w:r>
        <w:rPr>
          <w:rFonts w:hint="eastAsia" w:ascii="宋体" w:hAnsi="宋体"/>
          <w:color w:val="auto"/>
          <w:szCs w:val="21"/>
          <w:highlight w:val="none"/>
        </w:rPr>
        <w:t>。</w:t>
      </w:r>
    </w:p>
    <w:p w14:paraId="7AFD190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发包人提供的施工设备和临时设施的运行、维护、拆除、清运费用的承担人：</w:t>
      </w:r>
      <w:r>
        <w:rPr>
          <w:rFonts w:hint="eastAsia" w:ascii="宋体" w:hAnsi="宋体"/>
          <w:color w:val="auto"/>
          <w:szCs w:val="21"/>
          <w:highlight w:val="none"/>
          <w:u w:val="single"/>
        </w:rPr>
        <w:t>承包人</w:t>
      </w:r>
      <w:r>
        <w:rPr>
          <w:rFonts w:hint="eastAsia" w:ascii="宋体" w:hAnsi="宋体"/>
          <w:color w:val="auto"/>
          <w:szCs w:val="21"/>
          <w:highlight w:val="none"/>
        </w:rPr>
        <w:t>。</w:t>
      </w:r>
    </w:p>
    <w:p w14:paraId="5CE1FA2F">
      <w:pPr>
        <w:pStyle w:val="167"/>
        <w:rPr>
          <w:rFonts w:ascii="黑体" w:hAnsi="黑体"/>
          <w:color w:val="auto"/>
          <w:highlight w:val="none"/>
        </w:rPr>
      </w:pPr>
      <w:bookmarkStart w:id="276" w:name="_Toc217642337"/>
      <w:bookmarkStart w:id="277" w:name="_Toc166155267"/>
      <w:r>
        <w:rPr>
          <w:rFonts w:hint="eastAsia" w:ascii="黑体" w:hAnsi="黑体"/>
          <w:color w:val="auto"/>
          <w:highlight w:val="none"/>
        </w:rPr>
        <w:t>9.试验与检验</w:t>
      </w:r>
      <w:bookmarkEnd w:id="276"/>
      <w:bookmarkEnd w:id="277"/>
    </w:p>
    <w:p w14:paraId="181A191E">
      <w:pPr>
        <w:pStyle w:val="170"/>
        <w:spacing w:line="240" w:lineRule="auto"/>
        <w:rPr>
          <w:rFonts w:ascii="黑体" w:hAnsi="黑体"/>
          <w:color w:val="auto"/>
          <w:highlight w:val="none"/>
        </w:rPr>
      </w:pPr>
      <w:bookmarkStart w:id="278" w:name="_Toc166155268"/>
      <w:bookmarkStart w:id="279" w:name="_Toc217642338"/>
      <w:r>
        <w:rPr>
          <w:rFonts w:hint="eastAsia" w:ascii="黑体" w:hAnsi="黑体"/>
          <w:color w:val="auto"/>
          <w:highlight w:val="none"/>
        </w:rPr>
        <w:t>9.1试验设备与试验人员</w:t>
      </w:r>
      <w:bookmarkEnd w:id="278"/>
      <w:bookmarkEnd w:id="279"/>
    </w:p>
    <w:p w14:paraId="5BEE15E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9.1.2试验设备</w:t>
      </w:r>
    </w:p>
    <w:p w14:paraId="451BF9D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施工现场需要配置的试验场所：</w:t>
      </w:r>
      <w:r>
        <w:rPr>
          <w:rFonts w:hint="eastAsia" w:ascii="宋体" w:hAnsi="宋体"/>
          <w:color w:val="auto"/>
          <w:szCs w:val="21"/>
          <w:highlight w:val="none"/>
          <w:u w:val="single"/>
        </w:rPr>
        <w:t>由承包人自理</w:t>
      </w:r>
      <w:r>
        <w:rPr>
          <w:rFonts w:hint="eastAsia" w:ascii="宋体" w:hAnsi="宋体"/>
          <w:color w:val="auto"/>
          <w:szCs w:val="21"/>
          <w:highlight w:val="none"/>
        </w:rPr>
        <w:t>。</w:t>
      </w:r>
    </w:p>
    <w:p w14:paraId="5A22EF85">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施工现场需要配备的试验设备：</w:t>
      </w:r>
      <w:r>
        <w:rPr>
          <w:rFonts w:hint="eastAsia" w:ascii="宋体" w:hAnsi="宋体"/>
          <w:color w:val="auto"/>
          <w:szCs w:val="21"/>
          <w:highlight w:val="none"/>
          <w:u w:val="single"/>
        </w:rPr>
        <w:t>由承包人自理</w:t>
      </w:r>
      <w:r>
        <w:rPr>
          <w:rFonts w:hint="eastAsia" w:ascii="宋体" w:hAnsi="宋体"/>
          <w:color w:val="auto"/>
          <w:szCs w:val="21"/>
          <w:highlight w:val="none"/>
        </w:rPr>
        <w:t>。</w:t>
      </w:r>
    </w:p>
    <w:p w14:paraId="394BE2C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施工现场需要具备的其他试验条件：</w:t>
      </w:r>
      <w:r>
        <w:rPr>
          <w:rFonts w:hint="eastAsia" w:ascii="宋体" w:hAnsi="宋体"/>
          <w:color w:val="auto"/>
          <w:szCs w:val="21"/>
          <w:highlight w:val="none"/>
          <w:u w:val="single"/>
        </w:rPr>
        <w:t>由承包人自理</w:t>
      </w:r>
      <w:r>
        <w:rPr>
          <w:rFonts w:hint="eastAsia" w:ascii="宋体" w:hAnsi="宋体"/>
          <w:color w:val="auto"/>
          <w:szCs w:val="21"/>
          <w:highlight w:val="none"/>
        </w:rPr>
        <w:t>。</w:t>
      </w:r>
    </w:p>
    <w:p w14:paraId="791C45BB">
      <w:pPr>
        <w:pStyle w:val="170"/>
        <w:spacing w:line="240" w:lineRule="auto"/>
        <w:rPr>
          <w:rFonts w:ascii="黑体" w:hAnsi="黑体"/>
          <w:color w:val="auto"/>
          <w:highlight w:val="none"/>
        </w:rPr>
      </w:pPr>
      <w:bookmarkStart w:id="280" w:name="_Toc166155269"/>
      <w:bookmarkStart w:id="281" w:name="_Toc217642339"/>
      <w:r>
        <w:rPr>
          <w:rFonts w:hint="eastAsia" w:ascii="黑体" w:hAnsi="黑体"/>
          <w:color w:val="auto"/>
          <w:highlight w:val="none"/>
        </w:rPr>
        <w:t>9.4现场工艺试验</w:t>
      </w:r>
      <w:bookmarkEnd w:id="280"/>
      <w:bookmarkEnd w:id="281"/>
    </w:p>
    <w:p w14:paraId="17B993B5">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现场工艺试验的有关约定：</w:t>
      </w:r>
      <w:r>
        <w:rPr>
          <w:rFonts w:hint="eastAsia" w:ascii="宋体" w:hAnsi="宋体"/>
          <w:color w:val="auto"/>
          <w:szCs w:val="21"/>
          <w:highlight w:val="none"/>
          <w:u w:val="single"/>
        </w:rPr>
        <w:t>无</w:t>
      </w:r>
      <w:r>
        <w:rPr>
          <w:rFonts w:hint="eastAsia" w:ascii="宋体" w:hAnsi="宋体"/>
          <w:color w:val="auto"/>
          <w:szCs w:val="21"/>
          <w:highlight w:val="none"/>
        </w:rPr>
        <w:t>。</w:t>
      </w:r>
    </w:p>
    <w:p w14:paraId="4225FE0B">
      <w:pPr>
        <w:pStyle w:val="170"/>
        <w:spacing w:line="240" w:lineRule="auto"/>
        <w:rPr>
          <w:rFonts w:ascii="黑体" w:hAnsi="黑体"/>
          <w:color w:val="auto"/>
          <w:highlight w:val="none"/>
        </w:rPr>
      </w:pPr>
      <w:bookmarkStart w:id="282" w:name="_Toc166155270"/>
      <w:bookmarkStart w:id="283" w:name="_Toc217642340"/>
      <w:r>
        <w:rPr>
          <w:rFonts w:hint="eastAsia" w:ascii="黑体" w:hAnsi="黑体"/>
          <w:color w:val="auto"/>
          <w:highlight w:val="none"/>
        </w:rPr>
        <w:t>9.5检验费用</w:t>
      </w:r>
      <w:bookmarkEnd w:id="282"/>
      <w:bookmarkEnd w:id="283"/>
    </w:p>
    <w:p w14:paraId="6F50180E">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建设工程质量检测管理办法》（2022年12月29日中华人民共和国住房和城乡建设部令第57号）以及《广西壮族自治区建设工程质量检测管理实施细则》（桂建发〔2025〕5号）规定，工程质量检测业务由发包人委托有相应资质的检测机构检测。费用从发包人的项目建设经费中支出并直接支付给检测机构，不计入合同价款内。</w:t>
      </w:r>
    </w:p>
    <w:p w14:paraId="42393912">
      <w:pPr>
        <w:pStyle w:val="167"/>
        <w:rPr>
          <w:rFonts w:ascii="黑体" w:hAnsi="黑体"/>
          <w:color w:val="auto"/>
          <w:highlight w:val="none"/>
        </w:rPr>
      </w:pPr>
      <w:bookmarkStart w:id="284" w:name="_Toc217642341"/>
      <w:bookmarkStart w:id="285" w:name="_Toc166155271"/>
      <w:r>
        <w:rPr>
          <w:rFonts w:hint="eastAsia" w:ascii="黑体" w:hAnsi="黑体"/>
          <w:color w:val="auto"/>
          <w:highlight w:val="none"/>
        </w:rPr>
        <w:t>10.变更</w:t>
      </w:r>
      <w:bookmarkEnd w:id="284"/>
      <w:bookmarkEnd w:id="285"/>
    </w:p>
    <w:p w14:paraId="11B1FD5D">
      <w:pPr>
        <w:pStyle w:val="170"/>
        <w:spacing w:line="240" w:lineRule="auto"/>
        <w:rPr>
          <w:rFonts w:ascii="黑体" w:hAnsi="黑体"/>
          <w:color w:val="auto"/>
          <w:highlight w:val="none"/>
        </w:rPr>
      </w:pPr>
      <w:bookmarkStart w:id="286" w:name="_Toc217642342"/>
      <w:bookmarkStart w:id="287" w:name="_Toc166155272"/>
      <w:r>
        <w:rPr>
          <w:rFonts w:hint="eastAsia" w:ascii="黑体" w:hAnsi="黑体"/>
          <w:color w:val="auto"/>
          <w:highlight w:val="none"/>
        </w:rPr>
        <w:t>10.1变更的范围</w:t>
      </w:r>
      <w:bookmarkEnd w:id="286"/>
      <w:bookmarkEnd w:id="287"/>
    </w:p>
    <w:p w14:paraId="03374A8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关于变更的范围的约定：</w:t>
      </w:r>
      <w:r>
        <w:rPr>
          <w:rFonts w:hint="eastAsia" w:ascii="宋体" w:hAnsi="宋体"/>
          <w:color w:val="auto"/>
          <w:szCs w:val="21"/>
          <w:highlight w:val="none"/>
          <w:u w:val="single"/>
        </w:rPr>
        <w:t>除通用合同条款约定的范围外，发包人有权根据本工程的实际提出其他的变更事项。凡涉及合同价款增减变化的变更事项，必须以发包人代表签字并经发包人盖章确认后的书面文件为准</w:t>
      </w:r>
      <w:r>
        <w:rPr>
          <w:rFonts w:hint="eastAsia" w:ascii="宋体" w:hAnsi="宋体"/>
          <w:color w:val="auto"/>
          <w:szCs w:val="21"/>
          <w:highlight w:val="none"/>
        </w:rPr>
        <w:t>。</w:t>
      </w:r>
    </w:p>
    <w:p w14:paraId="12AD1E67">
      <w:pPr>
        <w:pStyle w:val="170"/>
        <w:spacing w:line="240" w:lineRule="auto"/>
        <w:rPr>
          <w:rFonts w:ascii="黑体" w:hAnsi="黑体"/>
          <w:color w:val="auto"/>
          <w:highlight w:val="none"/>
        </w:rPr>
      </w:pPr>
      <w:bookmarkStart w:id="288" w:name="_Toc166155273"/>
      <w:bookmarkStart w:id="289" w:name="_Toc217642343"/>
      <w:r>
        <w:rPr>
          <w:rFonts w:hint="eastAsia" w:ascii="黑体" w:hAnsi="黑体"/>
          <w:color w:val="auto"/>
          <w:highlight w:val="none"/>
        </w:rPr>
        <w:t>10.3变更程序</w:t>
      </w:r>
      <w:bookmarkEnd w:id="288"/>
      <w:bookmarkEnd w:id="289"/>
    </w:p>
    <w:p w14:paraId="4BA45039">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10.3.1国有投资项目：</w:t>
      </w:r>
    </w:p>
    <w:p w14:paraId="601E7CC6">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（1）设计变更和工程签证，按南宁市政府或相关部门的规定办理。属不可抗力（自然灾害、突发事件等）造成变更的，按特事特办原则予以办理。</w:t>
      </w:r>
    </w:p>
    <w:p w14:paraId="76C1FD4D">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（2）建设单位在实施项目过程中，若发生单价变动，由建设单位、施工单位及其他相关单位共同商定并签字确认，并按规定办理相关手续。</w:t>
      </w:r>
    </w:p>
    <w:p w14:paraId="75154A05">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（3）当合同规定的合同价款调整情况发生后，承包人未在规定时间内通知发包人，或者未在规定时间内提出调整报告，发包人可以根据有关资料，决定是否调整和调整的金额，并书面通知承包人。</w:t>
      </w:r>
    </w:p>
    <w:p w14:paraId="78592E3C">
      <w:pPr>
        <w:pStyle w:val="170"/>
        <w:spacing w:line="240" w:lineRule="auto"/>
        <w:rPr>
          <w:rFonts w:ascii="黑体" w:hAnsi="黑体"/>
          <w:color w:val="auto"/>
          <w:highlight w:val="none"/>
        </w:rPr>
      </w:pPr>
      <w:bookmarkStart w:id="290" w:name="_Toc217642344"/>
      <w:r>
        <w:rPr>
          <w:rFonts w:hint="eastAsia" w:ascii="宋体" w:hAnsi="宋体"/>
          <w:color w:val="auto"/>
          <w:szCs w:val="21"/>
          <w:highlight w:val="none"/>
          <w:u w:val="single"/>
        </w:rPr>
        <w:t>10.3.2非国有投资项目：无。</w:t>
      </w:r>
      <w:bookmarkStart w:id="291" w:name="_Toc166155274"/>
      <w:r>
        <w:rPr>
          <w:rFonts w:hint="eastAsia" w:ascii="黑体" w:hAnsi="黑体"/>
          <w:color w:val="auto"/>
          <w:highlight w:val="none"/>
        </w:rPr>
        <w:t>10.4变更估价</w:t>
      </w:r>
      <w:bookmarkEnd w:id="290"/>
      <w:bookmarkEnd w:id="291"/>
    </w:p>
    <w:p w14:paraId="4742AAA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10.4.1变更估价原则</w:t>
      </w:r>
    </w:p>
    <w:p w14:paraId="5BCD96AB">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关于变更估价的约定：</w:t>
      </w:r>
      <w:r>
        <w:rPr>
          <w:rFonts w:hint="eastAsia" w:ascii="宋体" w:hAnsi="宋体"/>
          <w:color w:val="auto"/>
          <w:szCs w:val="21"/>
          <w:highlight w:val="none"/>
          <w:u w:val="single"/>
        </w:rPr>
        <w:t>本合同实施期间因工程量清单漏项、工程变更及相关签证引起工程项目、工程量变化的，其工程量按实际发生并监理工程师及发包人确认，变更合同价款按下列方法进行：（1）合同中已有相同清单项目的，按合同该清单项目价格进行计算；（2）合同中只有类似清单项目的，参照该类似清单项目价格进行计算；（3）合同中没有适用或类似子目的价格计算方法：有定额的套定额（土石方工程除外），并乘以下浮系数（成交价/公布的工程招标控制价）计算，其中材料价格按施工期间的《南宁建设工程造价信息》相应价格信息进行计算；《南宁建设工程造价信息》没有相应价格信息的按市场价计算不下浮；无定额可套的，根据市场价格协商确定综合价格不下浮；新增项目的单价必须经南宁市政府财政评审中心审定。</w:t>
      </w:r>
    </w:p>
    <w:p w14:paraId="6265A69F">
      <w:pPr>
        <w:pStyle w:val="170"/>
        <w:spacing w:line="240" w:lineRule="auto"/>
        <w:rPr>
          <w:rFonts w:ascii="黑体" w:hAnsi="黑体"/>
          <w:color w:val="auto"/>
          <w:highlight w:val="none"/>
        </w:rPr>
      </w:pPr>
      <w:bookmarkStart w:id="292" w:name="_Toc166155275"/>
      <w:bookmarkStart w:id="293" w:name="_Toc217642345"/>
      <w:r>
        <w:rPr>
          <w:rFonts w:hint="eastAsia" w:ascii="黑体" w:hAnsi="黑体"/>
          <w:color w:val="auto"/>
          <w:highlight w:val="none"/>
        </w:rPr>
        <w:t>10.5承包人的合理化建议</w:t>
      </w:r>
      <w:bookmarkEnd w:id="292"/>
      <w:bookmarkEnd w:id="293"/>
    </w:p>
    <w:p w14:paraId="7FF2D22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监理人审查承包人合理化建议的期限：</w:t>
      </w:r>
      <w:r>
        <w:rPr>
          <w:rFonts w:hint="eastAsia" w:ascii="宋体" w:hAnsi="宋体"/>
          <w:color w:val="auto"/>
          <w:szCs w:val="21"/>
          <w:highlight w:val="none"/>
          <w:u w:val="single"/>
        </w:rPr>
        <w:t>按通用条款10.5执行</w:t>
      </w:r>
      <w:r>
        <w:rPr>
          <w:rFonts w:hint="eastAsia" w:ascii="宋体" w:hAnsi="宋体"/>
          <w:color w:val="auto"/>
          <w:szCs w:val="21"/>
          <w:highlight w:val="none"/>
        </w:rPr>
        <w:t>。</w:t>
      </w:r>
    </w:p>
    <w:p w14:paraId="02BD3F8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发包人审批承包人合理化建议的期限：</w:t>
      </w:r>
      <w:r>
        <w:rPr>
          <w:rFonts w:hint="eastAsia" w:ascii="宋体" w:hAnsi="宋体"/>
          <w:color w:val="auto"/>
          <w:szCs w:val="21"/>
          <w:highlight w:val="none"/>
          <w:u w:val="single"/>
        </w:rPr>
        <w:t>按通用条款10.5执行</w:t>
      </w:r>
      <w:r>
        <w:rPr>
          <w:rFonts w:hint="eastAsia" w:ascii="宋体" w:hAnsi="宋体"/>
          <w:color w:val="auto"/>
          <w:szCs w:val="21"/>
          <w:highlight w:val="none"/>
        </w:rPr>
        <w:t>。</w:t>
      </w:r>
    </w:p>
    <w:p w14:paraId="75B9875E">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承包人提出的合理化建议降低了合同价格或者提高了工程经济效益的奖励的方法和金额为：</w:t>
      </w:r>
      <w:r>
        <w:rPr>
          <w:rFonts w:hint="eastAsia" w:ascii="宋体" w:hAnsi="宋体"/>
          <w:color w:val="auto"/>
          <w:szCs w:val="21"/>
          <w:highlight w:val="none"/>
          <w:u w:val="single"/>
        </w:rPr>
        <w:t>无</w:t>
      </w:r>
      <w:r>
        <w:rPr>
          <w:rFonts w:hint="eastAsia" w:ascii="宋体" w:hAnsi="宋体"/>
          <w:color w:val="auto"/>
          <w:szCs w:val="21"/>
          <w:highlight w:val="none"/>
        </w:rPr>
        <w:t>。</w:t>
      </w:r>
    </w:p>
    <w:p w14:paraId="02132FCF">
      <w:pPr>
        <w:pStyle w:val="170"/>
        <w:spacing w:line="240" w:lineRule="auto"/>
        <w:rPr>
          <w:rFonts w:ascii="黑体" w:hAnsi="黑体"/>
          <w:color w:val="auto"/>
          <w:highlight w:val="none"/>
        </w:rPr>
      </w:pPr>
      <w:bookmarkStart w:id="294" w:name="_Toc166155277"/>
      <w:bookmarkStart w:id="295" w:name="_Toc217642346"/>
      <w:r>
        <w:rPr>
          <w:rFonts w:hint="eastAsia" w:ascii="黑体" w:hAnsi="黑体"/>
          <w:color w:val="auto"/>
          <w:highlight w:val="none"/>
        </w:rPr>
        <w:t>10.7暂估价</w:t>
      </w:r>
      <w:bookmarkEnd w:id="294"/>
      <w:bookmarkEnd w:id="295"/>
    </w:p>
    <w:p w14:paraId="1A2B588E">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暂估价材料和工程设备的明细详见已标价工程量清单《材料（工程设备）暂估价格及调整表》（表12-2）和《专业工程暂估价表》（表12-3）。</w:t>
      </w:r>
    </w:p>
    <w:p w14:paraId="116976E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10.7.1依法必须招标的暂估价项目</w:t>
      </w:r>
    </w:p>
    <w:p w14:paraId="2169895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对于依法必须招标的暂估价项目的确认和批准采取第</w:t>
      </w:r>
      <w:r>
        <w:rPr>
          <w:rFonts w:ascii="宋体" w:hAnsi="宋体"/>
          <w:color w:val="auto"/>
          <w:szCs w:val="21"/>
          <w:highlight w:val="none"/>
          <w:u w:val="single"/>
        </w:rPr>
        <w:t xml:space="preserve">   </w:t>
      </w:r>
      <w:r>
        <w:rPr>
          <w:rFonts w:hint="eastAsia" w:ascii="宋体" w:hAnsi="宋体"/>
          <w:color w:val="auto"/>
          <w:szCs w:val="21"/>
          <w:highlight w:val="none"/>
        </w:rPr>
        <w:t>种方式确定。</w:t>
      </w:r>
    </w:p>
    <w:p w14:paraId="31B3BFF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10.7.2不属于依法必须招标的暂估价项目</w:t>
      </w:r>
    </w:p>
    <w:p w14:paraId="16D9F09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对于不属于依法必须招标的暂估价项目的确认和批准采取第</w:t>
      </w:r>
      <w:r>
        <w:rPr>
          <w:rFonts w:ascii="宋体" w:hAnsi="宋体"/>
          <w:color w:val="auto"/>
          <w:szCs w:val="21"/>
          <w:highlight w:val="none"/>
          <w:u w:val="single"/>
        </w:rPr>
        <w:t xml:space="preserve">   </w:t>
      </w:r>
      <w:r>
        <w:rPr>
          <w:rFonts w:hint="eastAsia" w:ascii="宋体" w:hAnsi="宋体"/>
          <w:color w:val="auto"/>
          <w:szCs w:val="21"/>
          <w:highlight w:val="none"/>
        </w:rPr>
        <w:t>种方式确定。</w:t>
      </w:r>
    </w:p>
    <w:p w14:paraId="6E75686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第3种方式：承包人直接实施的暂估价项目</w:t>
      </w:r>
    </w:p>
    <w:p w14:paraId="70E03AA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承包人直接实施的暂估价项目的约定：</w:t>
      </w:r>
      <w:r>
        <w:rPr>
          <w:rFonts w:hint="eastAsia" w:ascii="宋体" w:hAnsi="宋体"/>
          <w:color w:val="auto"/>
          <w:szCs w:val="21"/>
          <w:highlight w:val="none"/>
          <w:u w:val="single"/>
        </w:rPr>
        <w:t>报经发包人同意之后方可实施</w:t>
      </w:r>
      <w:r>
        <w:rPr>
          <w:rFonts w:hint="eastAsia" w:ascii="宋体" w:hAnsi="宋体"/>
          <w:color w:val="auto"/>
          <w:szCs w:val="21"/>
          <w:highlight w:val="none"/>
        </w:rPr>
        <w:t>。</w:t>
      </w:r>
    </w:p>
    <w:p w14:paraId="15E0E237">
      <w:pPr>
        <w:pStyle w:val="170"/>
        <w:spacing w:line="240" w:lineRule="auto"/>
        <w:rPr>
          <w:rFonts w:ascii="黑体" w:hAnsi="黑体"/>
          <w:color w:val="auto"/>
          <w:highlight w:val="none"/>
        </w:rPr>
      </w:pPr>
      <w:bookmarkStart w:id="296" w:name="_Toc166155278"/>
      <w:bookmarkStart w:id="297" w:name="_Toc217642347"/>
      <w:r>
        <w:rPr>
          <w:rFonts w:hint="eastAsia" w:ascii="黑体" w:hAnsi="黑体"/>
          <w:color w:val="auto"/>
          <w:highlight w:val="none"/>
        </w:rPr>
        <w:t>10.8暂列金额</w:t>
      </w:r>
      <w:bookmarkEnd w:id="296"/>
      <w:bookmarkEnd w:id="297"/>
    </w:p>
    <w:p w14:paraId="590DDB3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合同当事人关于暂列金额使用的约定：</w:t>
      </w:r>
      <w:r>
        <w:rPr>
          <w:rFonts w:hint="eastAsia" w:ascii="宋体" w:hAnsi="宋体"/>
          <w:color w:val="auto"/>
          <w:szCs w:val="21"/>
          <w:highlight w:val="none"/>
          <w:u w:val="single"/>
        </w:rPr>
        <w:t>以发包人要求为准，内容详见工程量清单</w:t>
      </w:r>
      <w:r>
        <w:rPr>
          <w:rFonts w:hint="eastAsia" w:ascii="宋体" w:hAnsi="宋体"/>
          <w:color w:val="auto"/>
          <w:szCs w:val="21"/>
          <w:highlight w:val="none"/>
        </w:rPr>
        <w:t>。</w:t>
      </w:r>
    </w:p>
    <w:p w14:paraId="31618585">
      <w:pPr>
        <w:pStyle w:val="167"/>
        <w:rPr>
          <w:rFonts w:ascii="黑体" w:hAnsi="黑体"/>
          <w:color w:val="auto"/>
          <w:highlight w:val="none"/>
        </w:rPr>
      </w:pPr>
      <w:bookmarkStart w:id="298" w:name="_Toc166155279"/>
      <w:bookmarkStart w:id="299" w:name="_Toc217642348"/>
      <w:r>
        <w:rPr>
          <w:rFonts w:hint="eastAsia" w:ascii="黑体" w:hAnsi="黑体"/>
          <w:color w:val="auto"/>
          <w:highlight w:val="none"/>
        </w:rPr>
        <w:t>11.价格调整</w:t>
      </w:r>
      <w:bookmarkEnd w:id="298"/>
      <w:bookmarkEnd w:id="299"/>
    </w:p>
    <w:p w14:paraId="76F7BCB0">
      <w:pPr>
        <w:pStyle w:val="170"/>
        <w:spacing w:line="240" w:lineRule="auto"/>
        <w:rPr>
          <w:rFonts w:ascii="黑体" w:hAnsi="黑体"/>
          <w:color w:val="auto"/>
          <w:highlight w:val="none"/>
        </w:rPr>
      </w:pPr>
      <w:bookmarkStart w:id="300" w:name="_Toc217642349"/>
      <w:bookmarkStart w:id="301" w:name="_Toc166155280"/>
      <w:r>
        <w:rPr>
          <w:rFonts w:hint="eastAsia" w:ascii="黑体" w:hAnsi="黑体"/>
          <w:color w:val="auto"/>
          <w:highlight w:val="none"/>
        </w:rPr>
        <w:t>11.1市场价格波动引起的调整</w:t>
      </w:r>
      <w:bookmarkEnd w:id="300"/>
      <w:bookmarkEnd w:id="301"/>
    </w:p>
    <w:p w14:paraId="1014FEA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①法律变化引起的调整；</w:t>
      </w:r>
    </w:p>
    <w:p w14:paraId="4F6D849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②工程变更、项目特征不符、工程量清单缺项、工程量偏差引起的调整；</w:t>
      </w:r>
    </w:p>
    <w:p w14:paraId="29CE510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③计日工引起的调整。</w:t>
      </w:r>
    </w:p>
    <w:p w14:paraId="51E99D0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市场价格波动是否调整合同价格的约定：</w:t>
      </w:r>
      <w:r>
        <w:rPr>
          <w:rFonts w:hint="eastAsia" w:ascii="宋体" w:hAnsi="宋体"/>
          <w:color w:val="auto"/>
          <w:szCs w:val="21"/>
          <w:highlight w:val="none"/>
          <w:u w:val="single"/>
        </w:rPr>
        <w:t>第三种方式</w:t>
      </w:r>
      <w:r>
        <w:rPr>
          <w:rFonts w:hint="eastAsia" w:ascii="宋体" w:hAnsi="宋体"/>
          <w:color w:val="auto"/>
          <w:szCs w:val="21"/>
          <w:highlight w:val="none"/>
        </w:rPr>
        <w:t>。</w:t>
      </w:r>
    </w:p>
    <w:p w14:paraId="0679279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因市场价格波动调整合同价格，采用以下第</w:t>
      </w:r>
      <w:r>
        <w:rPr>
          <w:rFonts w:hint="eastAsia" w:ascii="宋体" w:hAnsi="宋体"/>
          <w:color w:val="auto"/>
          <w:szCs w:val="21"/>
          <w:highlight w:val="none"/>
          <w:u w:val="single"/>
        </w:rPr>
        <w:t>3</w:t>
      </w:r>
      <w:r>
        <w:rPr>
          <w:rFonts w:hint="eastAsia" w:ascii="宋体" w:hAnsi="宋体"/>
          <w:color w:val="auto"/>
          <w:szCs w:val="21"/>
          <w:highlight w:val="none"/>
        </w:rPr>
        <w:t>种方式对合同价格进行调整：</w:t>
      </w:r>
    </w:p>
    <w:p w14:paraId="3580DCE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第1种方式：采用价格指数进行价格调整。</w:t>
      </w:r>
    </w:p>
    <w:p w14:paraId="66F5875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关于各可调因子、定值和变值权重，以及基本价格指数及其来源的约定：   ；</w:t>
      </w:r>
    </w:p>
    <w:p w14:paraId="2F5FDB4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第2种方式：采用造价信息进行价格调整。</w:t>
      </w:r>
    </w:p>
    <w:p w14:paraId="007D67E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（1）允许调整的主要材料和设备、基期价格、风险系数、竞标报价：详见《承包人提供主要材料和设备一览表》，价差调整部分仅计算税金，除此表列明的材料、设备外，其余材料设备价差原则上不予调整。</w:t>
      </w:r>
    </w:p>
    <w:p w14:paraId="52D4C7E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（2）主要材料和设备确认价：</w:t>
      </w:r>
    </w:p>
    <w:p w14:paraId="2ED4086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按施工期间《南宁市建设工程造价信息》加权平均计算，信息价没有的按通用条款规定确定。</w:t>
      </w:r>
    </w:p>
    <w:p w14:paraId="551C3BC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（3）价差计算方法：</w:t>
      </w:r>
    </w:p>
    <w:p w14:paraId="1104AC6E">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承包人提供主要材料和设备一览表》中载明的材料和设备竞标报价低于基准价格的：合同履行期间材料和设备单价涨幅以基准价格为基础超过约定的风险范围时，或材料和设备单价跌幅以竞标报价为基础超过约定的风险范围时，对其超过部分进行价差调整，价差计算公式：价格上涨价差=确认价-基准单价*（1+风险系数），价格下跌价差=确认价-竞标报价*（1+风险系数）。</w:t>
      </w:r>
    </w:p>
    <w:p w14:paraId="229B105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承包人在《承包人提供主要材料和设备一览表》中载明的材料和设备竞标报价高于基准价格的：合同履行期间材料和设备单价跌幅以基准价格为基础超过约定的风险范围时，或材料和设备单价涨幅以竞标报价为基础超过约定的风险范围时，对其超过部分进行价差调整。价差计算公式：价格上涨价差=确认价-竞标报价*（1+风险系数），价格下跌价差=确认价-基准价*（1+风险系数。）</w:t>
      </w:r>
    </w:p>
    <w:p w14:paraId="620D8F9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承包人在《承包人提供主要材料和设备一览表》中载明的材料和设备单价等于基准单价的：合同履行期间材料和设备单价涨跌幅以基准单价为基础超过约定的风险范围时，其超过部分据实调整。价差计算公式：上涨或下跌价差=确认价-基准单价*（1+风险系数）</w:t>
      </w:r>
    </w:p>
    <w:p w14:paraId="2BED05C3">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第3种方式：</w:t>
      </w:r>
      <w:r>
        <w:rPr>
          <w:rFonts w:hint="eastAsia" w:ascii="宋体" w:hAnsi="宋体"/>
          <w:color w:val="auto"/>
          <w:szCs w:val="21"/>
          <w:highlight w:val="none"/>
          <w:u w:val="single"/>
        </w:rPr>
        <w:t>其他价格调整方式：除合同约定可以调整的主要材料外，材料单价在合同实施期间不因市场价格变化因素而变动，因征地拆迁影响及重大设计变更等发包人的原因，在招标后延迟开工或中途停建重新复工的施工工期内，主要材料涨跌的调整幅度按南重点办【2014】29号文执行。</w:t>
      </w:r>
    </w:p>
    <w:p w14:paraId="74F86214">
      <w:pPr>
        <w:pStyle w:val="167"/>
        <w:rPr>
          <w:rFonts w:ascii="黑体" w:hAnsi="黑体"/>
          <w:color w:val="auto"/>
          <w:highlight w:val="none"/>
        </w:rPr>
      </w:pPr>
      <w:bookmarkStart w:id="302" w:name="_Toc166155281"/>
      <w:bookmarkStart w:id="303" w:name="_Toc217642350"/>
      <w:r>
        <w:rPr>
          <w:rFonts w:hint="eastAsia" w:ascii="黑体" w:hAnsi="黑体"/>
          <w:color w:val="auto"/>
          <w:highlight w:val="none"/>
        </w:rPr>
        <w:t>12.合同价格、计量与支付</w:t>
      </w:r>
      <w:bookmarkEnd w:id="302"/>
      <w:bookmarkEnd w:id="303"/>
    </w:p>
    <w:p w14:paraId="4536FFB0">
      <w:pPr>
        <w:pStyle w:val="170"/>
        <w:spacing w:line="240" w:lineRule="auto"/>
        <w:rPr>
          <w:rFonts w:ascii="黑体" w:hAnsi="黑体"/>
          <w:color w:val="auto"/>
          <w:highlight w:val="none"/>
        </w:rPr>
      </w:pPr>
      <w:bookmarkStart w:id="304" w:name="_Toc166155282"/>
      <w:bookmarkStart w:id="305" w:name="_Toc217642351"/>
      <w:r>
        <w:rPr>
          <w:rFonts w:hint="eastAsia" w:ascii="黑体" w:hAnsi="黑体"/>
          <w:color w:val="auto"/>
          <w:highlight w:val="none"/>
        </w:rPr>
        <w:t>12.1合同价格形式</w:t>
      </w:r>
      <w:bookmarkEnd w:id="304"/>
      <w:bookmarkEnd w:id="305"/>
    </w:p>
    <w:p w14:paraId="62984EE5">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本工程采用</w:t>
      </w:r>
      <w:r>
        <w:rPr>
          <w:rFonts w:hint="eastAsia" w:ascii="宋体" w:hAnsi="宋体"/>
          <w:color w:val="auto"/>
          <w:szCs w:val="21"/>
          <w:highlight w:val="none"/>
          <w:u w:val="single"/>
        </w:rPr>
        <w:t>固定综合单价</w:t>
      </w:r>
      <w:r>
        <w:rPr>
          <w:rFonts w:hint="eastAsia" w:ascii="宋体" w:hAnsi="宋体"/>
          <w:color w:val="auto"/>
          <w:szCs w:val="21"/>
          <w:highlight w:val="none"/>
        </w:rPr>
        <w:t>合同价格形式，合同价格包含增值税，本工程计价时采用的增值税计税方法为：</w:t>
      </w:r>
      <w:r>
        <w:rPr>
          <w:rFonts w:ascii="Wingdings 2" w:hAnsi="Wingdings 2"/>
          <w:color w:val="auto"/>
          <w:szCs w:val="21"/>
          <w:highlight w:val="none"/>
          <w:u w:val="single"/>
        </w:rPr>
        <w:t></w:t>
      </w:r>
      <w:r>
        <w:rPr>
          <w:rFonts w:hint="eastAsia" w:ascii="宋体" w:hAnsi="宋体"/>
          <w:color w:val="auto"/>
          <w:szCs w:val="21"/>
          <w:highlight w:val="none"/>
        </w:rPr>
        <w:t>一般计税法□简易计税法。</w:t>
      </w:r>
    </w:p>
    <w:p w14:paraId="181A013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（1）单价合同。</w:t>
      </w:r>
    </w:p>
    <w:p w14:paraId="78BC824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采用综合单价合同方式时，工程量按建设单位、施工单位三方确认的竣工图结算。固定综合单价包含的风险范围：</w:t>
      </w:r>
      <w:r>
        <w:rPr>
          <w:rFonts w:hint="eastAsia" w:ascii="宋体" w:hAnsi="宋体"/>
          <w:color w:val="auto"/>
          <w:szCs w:val="21"/>
          <w:highlight w:val="none"/>
          <w:u w:val="single"/>
        </w:rPr>
        <w:t>除工程变更、项目特征不符、工程量清单缺项、工程量偏差、政策性调整、本工程《承包人提供主要材料和设备一览表》中约定的材料和设备价格变动风险以外的其他风险因素</w:t>
      </w:r>
      <w:r>
        <w:rPr>
          <w:rFonts w:hint="eastAsia" w:ascii="宋体" w:hAnsi="宋体"/>
          <w:color w:val="auto"/>
          <w:szCs w:val="21"/>
          <w:highlight w:val="none"/>
        </w:rPr>
        <w:t>。</w:t>
      </w:r>
    </w:p>
    <w:p w14:paraId="5BBFAA8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风险范围以外合同价款调整方法：</w:t>
      </w:r>
    </w:p>
    <w:p w14:paraId="21484A6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（1）工程变更、项目特征不符、工程量清单缺项：按10.4.1变更估价原则的约定调整。</w:t>
      </w:r>
    </w:p>
    <w:p w14:paraId="0C961D95">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（2）工程量偏差：按1.13工程量清单错误修正的约定调整。</w:t>
      </w:r>
    </w:p>
    <w:p w14:paraId="2BA199C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（3）政策性调整：</w:t>
      </w:r>
      <w:r>
        <w:rPr>
          <w:rFonts w:hint="eastAsia" w:ascii="宋体" w:hAnsi="宋体"/>
          <w:color w:val="auto"/>
          <w:szCs w:val="21"/>
          <w:highlight w:val="none"/>
          <w:u w:val="single"/>
        </w:rPr>
        <w:t>按自治区住房和城乡建设厅或工程所在地住房城乡建设主管部门颁布的文件执行</w:t>
      </w:r>
      <w:r>
        <w:rPr>
          <w:rFonts w:hint="eastAsia" w:ascii="宋体" w:hAnsi="宋体"/>
          <w:color w:val="auto"/>
          <w:szCs w:val="21"/>
          <w:highlight w:val="none"/>
        </w:rPr>
        <w:t>。</w:t>
      </w:r>
    </w:p>
    <w:p w14:paraId="1F7A220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（4）市场波动引起的调整：按11.1的约定调整。</w:t>
      </w:r>
    </w:p>
    <w:p w14:paraId="67CF0D39">
      <w:pPr>
        <w:pStyle w:val="170"/>
        <w:spacing w:line="240" w:lineRule="auto"/>
        <w:rPr>
          <w:rFonts w:ascii="黑体" w:hAnsi="黑体"/>
          <w:color w:val="auto"/>
          <w:highlight w:val="none"/>
        </w:rPr>
      </w:pPr>
      <w:bookmarkStart w:id="306" w:name="_Toc217642352"/>
      <w:bookmarkStart w:id="307" w:name="_Toc166155283"/>
      <w:r>
        <w:rPr>
          <w:rFonts w:hint="eastAsia" w:ascii="黑体" w:hAnsi="黑体"/>
          <w:color w:val="auto"/>
          <w:highlight w:val="none"/>
        </w:rPr>
        <w:t>12.2预付款</w:t>
      </w:r>
      <w:bookmarkEnd w:id="306"/>
      <w:bookmarkEnd w:id="307"/>
    </w:p>
    <w:p w14:paraId="57E2289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12.2.1预付款的支付</w:t>
      </w:r>
    </w:p>
    <w:p w14:paraId="529C774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预付款支付比例或金额：</w:t>
      </w:r>
      <w:r>
        <w:rPr>
          <w:rFonts w:hint="eastAsia" w:ascii="宋体" w:hAnsi="宋体"/>
          <w:color w:val="auto"/>
          <w:szCs w:val="21"/>
          <w:highlight w:val="none"/>
          <w:u w:val="single"/>
        </w:rPr>
        <w:t>无</w:t>
      </w:r>
      <w:r>
        <w:rPr>
          <w:rFonts w:hint="eastAsia" w:ascii="宋体" w:hAnsi="宋体"/>
          <w:color w:val="auto"/>
          <w:szCs w:val="21"/>
          <w:highlight w:val="none"/>
        </w:rPr>
        <w:t>。</w:t>
      </w:r>
    </w:p>
    <w:p w14:paraId="1841144E">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预付款支付期限：</w:t>
      </w:r>
      <w:r>
        <w:rPr>
          <w:rFonts w:hint="eastAsia" w:ascii="宋体" w:hAnsi="宋体"/>
          <w:color w:val="auto"/>
          <w:szCs w:val="21"/>
          <w:highlight w:val="none"/>
          <w:u w:val="single"/>
        </w:rPr>
        <w:t>无。</w:t>
      </w:r>
    </w:p>
    <w:p w14:paraId="1C213F06">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预付款扣回的方式：</w:t>
      </w:r>
      <w:r>
        <w:rPr>
          <w:rFonts w:hint="eastAsia" w:ascii="宋体" w:hAnsi="宋体"/>
          <w:color w:val="auto"/>
          <w:szCs w:val="21"/>
          <w:highlight w:val="none"/>
          <w:u w:val="single"/>
        </w:rPr>
        <w:t>无。</w:t>
      </w:r>
    </w:p>
    <w:p w14:paraId="5812C95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12.2.2预付款担保</w:t>
      </w:r>
    </w:p>
    <w:p w14:paraId="21E8CE45">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承包人提交预付款担保的期限：</w:t>
      </w:r>
      <w:r>
        <w:rPr>
          <w:rFonts w:hint="eastAsia" w:ascii="宋体" w:hAnsi="宋体"/>
          <w:color w:val="auto"/>
          <w:szCs w:val="21"/>
          <w:highlight w:val="none"/>
          <w:u w:val="single"/>
        </w:rPr>
        <w:t>无</w:t>
      </w:r>
      <w:r>
        <w:rPr>
          <w:rFonts w:hint="eastAsia" w:ascii="宋体" w:hAnsi="宋体"/>
          <w:color w:val="auto"/>
          <w:szCs w:val="21"/>
          <w:highlight w:val="none"/>
        </w:rPr>
        <w:t>。</w:t>
      </w:r>
    </w:p>
    <w:p w14:paraId="28CE3E5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预付款担保的形式为：</w:t>
      </w:r>
      <w:r>
        <w:rPr>
          <w:rFonts w:hint="eastAsia" w:ascii="宋体" w:hAnsi="宋体"/>
          <w:color w:val="auto"/>
          <w:szCs w:val="21"/>
          <w:highlight w:val="none"/>
          <w:u w:val="single"/>
        </w:rPr>
        <w:t>可以是银行转账、银行保函形式。</w:t>
      </w:r>
      <w:r>
        <w:rPr>
          <w:rFonts w:hint="eastAsia" w:ascii="宋体" w:hAnsi="宋体"/>
          <w:color w:val="auto"/>
          <w:szCs w:val="21"/>
          <w:highlight w:val="none"/>
        </w:rPr>
        <w:t>工程担保保证人应将出具的保函相关信息录入“广西建筑市场监管云”平台（http：//gxjzsc.caihcloud.com），以实现保函查询及验真功能。</w:t>
      </w:r>
    </w:p>
    <w:p w14:paraId="076732AC">
      <w:pPr>
        <w:pStyle w:val="170"/>
        <w:spacing w:line="240" w:lineRule="auto"/>
        <w:rPr>
          <w:rFonts w:ascii="黑体" w:hAnsi="黑体"/>
          <w:color w:val="auto"/>
          <w:highlight w:val="none"/>
        </w:rPr>
      </w:pPr>
      <w:bookmarkStart w:id="308" w:name="_Toc217642353"/>
      <w:bookmarkStart w:id="309" w:name="_Toc166155284"/>
      <w:r>
        <w:rPr>
          <w:rFonts w:hint="eastAsia" w:ascii="黑体" w:hAnsi="黑体"/>
          <w:color w:val="auto"/>
          <w:highlight w:val="none"/>
        </w:rPr>
        <w:t>12.3计量</w:t>
      </w:r>
      <w:bookmarkEnd w:id="308"/>
      <w:bookmarkEnd w:id="309"/>
    </w:p>
    <w:p w14:paraId="115AD29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12.3.1计量原则</w:t>
      </w:r>
    </w:p>
    <w:p w14:paraId="24BBB07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工程量计算规则：</w:t>
      </w:r>
      <w:r>
        <w:rPr>
          <w:rFonts w:hint="eastAsia" w:ascii="宋体" w:hAnsi="宋体"/>
          <w:color w:val="auto"/>
          <w:szCs w:val="21"/>
          <w:highlight w:val="none"/>
          <w:u w:val="single"/>
        </w:rPr>
        <w:t>工程的计量均以《建设工程工程量清单计价规范》（GB50500－2013）及其广西壮族自治区实施细则、《建设工程工程量清单计算规范》（GB50854~50862－2013）及其广西实施细则、本工程补充项目清单为准</w:t>
      </w:r>
      <w:r>
        <w:rPr>
          <w:rFonts w:hint="eastAsia" w:ascii="宋体" w:hAnsi="宋体"/>
          <w:color w:val="auto"/>
          <w:szCs w:val="21"/>
          <w:highlight w:val="none"/>
        </w:rPr>
        <w:t>。</w:t>
      </w:r>
    </w:p>
    <w:p w14:paraId="08C999F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12.3.2计量周期</w:t>
      </w:r>
    </w:p>
    <w:p w14:paraId="5B01E79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关于计量周期的约定：</w:t>
      </w:r>
      <w:r>
        <w:rPr>
          <w:rFonts w:hint="eastAsia" w:ascii="宋体" w:hAnsi="宋体"/>
          <w:color w:val="auto"/>
          <w:szCs w:val="21"/>
          <w:highlight w:val="none"/>
          <w:u w:val="single"/>
        </w:rPr>
        <w:t>每月25日前</w:t>
      </w:r>
      <w:r>
        <w:rPr>
          <w:rFonts w:hint="eastAsia" w:ascii="宋体" w:hAnsi="宋体"/>
          <w:color w:val="auto"/>
          <w:szCs w:val="21"/>
          <w:highlight w:val="none"/>
        </w:rPr>
        <w:t>。</w:t>
      </w:r>
    </w:p>
    <w:p w14:paraId="27BCFB5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12.3.3单价合同的计量</w:t>
      </w:r>
    </w:p>
    <w:p w14:paraId="333F4B1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关于单价合同计量的约定：</w:t>
      </w:r>
    </w:p>
    <w:p w14:paraId="55DCD80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color w:val="auto"/>
          <w:szCs w:val="21"/>
          <w:highlight w:val="none"/>
        </w:rPr>
        <w:t>。</w:t>
      </w:r>
    </w:p>
    <w:p w14:paraId="69F7EBE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（2）除另有规定外，工程师应按照合同通过计量来核实确定已完成的工程量和价值，承包人应得到该价值扣除保留金后的价款。当工程师要对已完工的工程量进行计量时，应适时地通知承包人参加。</w:t>
      </w:r>
    </w:p>
    <w:p w14:paraId="43E4504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12.3.4总价合同的计量</w:t>
      </w:r>
    </w:p>
    <w:p w14:paraId="55B96DF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（1）总价合同计量约定：进度款按支付分解表支付，支付分解表在招标完成后签合同之前制定，具体详见本专用合同条款12.4.6。</w:t>
      </w:r>
    </w:p>
    <w:p w14:paraId="11ADF8D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12.3.6其他价格形式合同的计量</w:t>
      </w:r>
    </w:p>
    <w:p w14:paraId="1378B62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其他价格形式的计量方式和程序：</w:t>
      </w:r>
      <w:r>
        <w:rPr>
          <w:rFonts w:hint="eastAsia" w:ascii="宋体" w:hAnsi="宋体"/>
          <w:color w:val="auto"/>
          <w:szCs w:val="21"/>
          <w:highlight w:val="none"/>
          <w:u w:val="single"/>
        </w:rPr>
        <w:t>无</w:t>
      </w:r>
      <w:r>
        <w:rPr>
          <w:rFonts w:hint="eastAsia" w:ascii="宋体" w:hAnsi="宋体"/>
          <w:color w:val="auto"/>
          <w:szCs w:val="21"/>
          <w:highlight w:val="none"/>
        </w:rPr>
        <w:t>。</w:t>
      </w:r>
    </w:p>
    <w:p w14:paraId="7C75DF60">
      <w:pPr>
        <w:pStyle w:val="170"/>
        <w:spacing w:line="240" w:lineRule="auto"/>
        <w:rPr>
          <w:rFonts w:ascii="黑体" w:hAnsi="黑体"/>
          <w:color w:val="auto"/>
          <w:highlight w:val="none"/>
        </w:rPr>
      </w:pPr>
      <w:bookmarkStart w:id="310" w:name="_Toc166155285"/>
      <w:bookmarkStart w:id="311" w:name="_Toc217642354"/>
      <w:r>
        <w:rPr>
          <w:rFonts w:hint="eastAsia" w:ascii="黑体" w:hAnsi="黑体"/>
          <w:color w:val="auto"/>
          <w:highlight w:val="none"/>
        </w:rPr>
        <w:t>12.4工程进度款支付</w:t>
      </w:r>
      <w:bookmarkEnd w:id="310"/>
      <w:bookmarkEnd w:id="311"/>
    </w:p>
    <w:p w14:paraId="3FE023D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12.4.1付款周期</w:t>
      </w:r>
    </w:p>
    <w:p w14:paraId="1109C3D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付款方式及条件：本项目无预付款，工程款原则上按月支付，合同内进度款支付限额为已完成工程量的80%，工程变更部分进度款支付限额为已完成工程量的60%。工程完工验收达到质量要求，结算经相关部门审定后，工程款支付至结算总价的100%（含已支付的）。每次支付款项前，承包人需提供相应金额的增值税发票，否则，发包人有权相应顺延当期的付款时间。如因财政原因导致延迟支付的，发包人不承担违约责任。</w:t>
      </w:r>
    </w:p>
    <w:p w14:paraId="3370798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12.4.2进度付款申请单的编制</w:t>
      </w:r>
    </w:p>
    <w:p w14:paraId="0E05CE2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关于进度付款申请单编制的约定：</w:t>
      </w:r>
      <w:r>
        <w:rPr>
          <w:rFonts w:hint="eastAsia" w:ascii="宋体" w:hAnsi="宋体"/>
          <w:color w:val="auto"/>
          <w:szCs w:val="21"/>
          <w:highlight w:val="none"/>
          <w:u w:val="single"/>
        </w:rPr>
        <w:t>按通用条款12.4.2执行</w:t>
      </w:r>
      <w:r>
        <w:rPr>
          <w:rFonts w:hint="eastAsia" w:ascii="宋体" w:hAnsi="宋体"/>
          <w:color w:val="auto"/>
          <w:szCs w:val="21"/>
          <w:highlight w:val="none"/>
        </w:rPr>
        <w:t>。</w:t>
      </w:r>
    </w:p>
    <w:p w14:paraId="54D30C9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12.4.3进度付款申请单的提交</w:t>
      </w:r>
    </w:p>
    <w:p w14:paraId="49DCD15D">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（1）单价合同进度付款申请单提交的约定：</w:t>
      </w:r>
      <w:r>
        <w:rPr>
          <w:rFonts w:hint="eastAsia" w:ascii="宋体" w:hAnsi="宋体"/>
          <w:color w:val="auto"/>
          <w:szCs w:val="21"/>
          <w:highlight w:val="none"/>
          <w:u w:val="single"/>
        </w:rPr>
        <w:t>承包人申请工程进度款时，承包人向发包人提供以下资料：①《工程用款支付证书》；②《财政性资金投资项目用款核定通知书》；③工程量计量报表（格式按财政局业务科室具体要求）。</w:t>
      </w:r>
    </w:p>
    <w:p w14:paraId="347019F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（2）总价合同进度付款申请单提交的约定：</w:t>
      </w:r>
      <w:r>
        <w:rPr>
          <w:rFonts w:hint="eastAsia" w:ascii="宋体" w:hAnsi="宋体"/>
          <w:color w:val="auto"/>
          <w:szCs w:val="21"/>
          <w:highlight w:val="none"/>
          <w:u w:val="single"/>
        </w:rPr>
        <w:t>无</w:t>
      </w:r>
      <w:r>
        <w:rPr>
          <w:rFonts w:hint="eastAsia" w:ascii="宋体" w:hAnsi="宋体"/>
          <w:color w:val="auto"/>
          <w:szCs w:val="21"/>
          <w:highlight w:val="none"/>
        </w:rPr>
        <w:t>。</w:t>
      </w:r>
    </w:p>
    <w:p w14:paraId="48309AE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（3）其他价格形式合同进度付款申请单提交的约定：</w:t>
      </w:r>
      <w:r>
        <w:rPr>
          <w:rFonts w:hint="eastAsia" w:ascii="宋体" w:hAnsi="宋体"/>
          <w:color w:val="auto"/>
          <w:szCs w:val="21"/>
          <w:highlight w:val="none"/>
          <w:u w:val="single"/>
        </w:rPr>
        <w:t>无</w:t>
      </w:r>
      <w:r>
        <w:rPr>
          <w:rFonts w:hint="eastAsia" w:ascii="宋体" w:hAnsi="宋体"/>
          <w:color w:val="auto"/>
          <w:szCs w:val="21"/>
          <w:highlight w:val="none"/>
        </w:rPr>
        <w:t>。</w:t>
      </w:r>
    </w:p>
    <w:p w14:paraId="6E20012B">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12.4.4进度款审核和支付</w:t>
      </w:r>
    </w:p>
    <w:p w14:paraId="2B1DB88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（1）发包人完成审批并签发进度款支付证书的期限：发包人应在收到后7个工作日内完成审批并签发进度款支付证书。</w:t>
      </w:r>
    </w:p>
    <w:p w14:paraId="34A73CB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（2）发包人支付进度款的期限：自收到承包人递交的申请单起15天内。</w:t>
      </w:r>
    </w:p>
    <w:p w14:paraId="186DE17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发包人逾期支付进度款的违约金的计算方式：无。</w:t>
      </w:r>
    </w:p>
    <w:p w14:paraId="61E28DF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进度款支付方式：银行转账。</w:t>
      </w:r>
    </w:p>
    <w:p w14:paraId="26E56125">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（3）农民工工资支付</w:t>
      </w:r>
    </w:p>
    <w:p w14:paraId="703CFD3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承包人在中标后7个工作日内，按南宁市住房和城乡建设局（各市住房城乡建设行政主管部门）规定将农民工工资保证金存入账户。工程竣工验收结算经审定后，按照规定程序，将农民工工资保证金没有使用或剩余的金额退还给承包人。</w:t>
      </w:r>
    </w:p>
    <w:p w14:paraId="25D7E6B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人工费应与工程进度款分账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账出来的人工费转入承包人农民工工资支付专用账户，转入农民工工资支付专用账户环节必须有银行流水凭证。</w:t>
      </w:r>
    </w:p>
    <w:p w14:paraId="10F7F19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3）发包人依据工程进度，审核承包人申报的工程进度款，将人工费及时足额拨付至承包人的农民工工资专用账户，其余工程进度款项由发包人支付到承包人的单位基本户。</w:t>
      </w:r>
    </w:p>
    <w:p w14:paraId="6B804DC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7508F7C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5）凡未向付款单位提供农民工工资专用账户的，或者请款单位在申请工程进度款时未将人工费单列的，付款单位有权拒绝支付工程进度款。</w:t>
      </w:r>
    </w:p>
    <w:p w14:paraId="24700D4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6）人工费使用要求：专款专用，除发放农民工工资外，不得用于其他用途。</w:t>
      </w:r>
    </w:p>
    <w:p w14:paraId="17D79D5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7）承包人将人工费支付情况定期报告发包人和监理单位，并提供相应的材料接受建设行政主管部门和劳动保障行政主管部门对此事项监管。</w:t>
      </w:r>
    </w:p>
    <w:p w14:paraId="4DEA988B">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8）人工费支付专用账户：</w:t>
      </w:r>
    </w:p>
    <w:p w14:paraId="286FB23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户名：_______</w:t>
      </w:r>
      <w:r>
        <w:rPr>
          <w:rFonts w:hint="eastAsia" w:ascii="宋体" w:hAnsi="宋体"/>
          <w:color w:val="auto"/>
          <w:szCs w:val="21"/>
          <w:highlight w:val="none"/>
          <w:u w:val="single"/>
        </w:rPr>
        <w:t>农民工工资支付专用账户</w:t>
      </w:r>
    </w:p>
    <w:p w14:paraId="4CBACAC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账号：</w:t>
      </w:r>
      <w:r>
        <w:rPr>
          <w:rFonts w:ascii="宋体" w:hAnsi="宋体"/>
          <w:b/>
          <w:color w:val="auto"/>
          <w:szCs w:val="21"/>
          <w:highlight w:val="none"/>
        </w:rPr>
        <w:t>______</w:t>
      </w:r>
    </w:p>
    <w:p w14:paraId="1A62940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开户行：</w:t>
      </w:r>
      <w:r>
        <w:rPr>
          <w:rFonts w:ascii="宋体" w:hAnsi="宋体"/>
          <w:b/>
          <w:color w:val="auto"/>
          <w:szCs w:val="21"/>
          <w:highlight w:val="none"/>
        </w:rPr>
        <w:t>______</w:t>
      </w:r>
    </w:p>
    <w:p w14:paraId="1F8FD2A5">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联行号：</w:t>
      </w:r>
      <w:r>
        <w:rPr>
          <w:rFonts w:ascii="宋体" w:hAnsi="宋体"/>
          <w:b/>
          <w:color w:val="auto"/>
          <w:szCs w:val="21"/>
          <w:highlight w:val="none"/>
        </w:rPr>
        <w:t>______</w:t>
      </w:r>
    </w:p>
    <w:p w14:paraId="39B5B7B9">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9）本项目不允许转包分包，发包人不向除承包人以外的任何分包人农民工工资账户支付任何款项，也不向任何分包人的任何账户支付任何款项。</w:t>
      </w:r>
    </w:p>
    <w:p w14:paraId="3970A821">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10）承包人必须与包括农民工在内的所有雇用人员签订劳动合同，为雇佣人员购买工伤保险、医疗保险、意外伤害险等，并应及时足额支付劳动报酬，若发现承包人有非法用工或未及时足额支付雇用人员劳动报酬的，发包人有权拒绝支付承包人任何款项至承包人整改完毕为止。</w:t>
      </w:r>
    </w:p>
    <w:p w14:paraId="4D343033">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11）承包人与雇佣人员发生劳动纠纷、工伤等情形的，均由承包人负责处理并承担相应的责任，与发包人无关；承包人不得以劳动纠纷或工人纠集闹事等任何理由提前预支任何款项。</w:t>
      </w:r>
    </w:p>
    <w:p w14:paraId="76D778BE">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12）承包人不得以任何借口将承包人与包括农民工在内的雇用人员的劳酬纠纷引发的矛盾转嫁发包人，如果出现雇用人员聚众向发包方闹事的情形，承包人须按（人民币）</w:t>
      </w:r>
      <w:r>
        <w:rPr>
          <w:rFonts w:ascii="宋体" w:hAnsi="宋体"/>
          <w:color w:val="auto"/>
          <w:szCs w:val="21"/>
          <w:highlight w:val="none"/>
          <w:u w:val="single"/>
        </w:rPr>
        <w:t>1</w:t>
      </w:r>
      <w:r>
        <w:rPr>
          <w:rFonts w:hint="eastAsia" w:ascii="宋体" w:hAnsi="宋体"/>
          <w:color w:val="auto"/>
          <w:szCs w:val="21"/>
          <w:highlight w:val="none"/>
          <w:u w:val="single"/>
        </w:rPr>
        <w:t>万元/次的标准向发包人计付违约金，若因此造成发包人工作人员人身伤害、财产损毁的，承包人还须承担赔偿损失等法律责任。</w:t>
      </w:r>
    </w:p>
    <w:p w14:paraId="2543DC0B">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12.4.6支付分解表的编制</w:t>
      </w:r>
    </w:p>
    <w:p w14:paraId="3F023C7E">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（1）总价合同支付分解表的编制与审批：</w:t>
      </w:r>
      <w:r>
        <w:rPr>
          <w:rFonts w:hint="eastAsia" w:ascii="宋体" w:hAnsi="宋体"/>
          <w:color w:val="auto"/>
          <w:szCs w:val="21"/>
          <w:highlight w:val="none"/>
          <w:u w:val="single"/>
        </w:rPr>
        <w:t>总价合同支付分解表在招标完成后由发包人和承包人共同编制，由发包人审批，并作为本合同内容。</w:t>
      </w:r>
    </w:p>
    <w:p w14:paraId="1B389875">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（2）单价合同的总价项目支付分解表的编制与审批：总价项目不采用支付分解表的方式计算，而按《&lt;建设工程工程量清单计价规范（GB50500-2013）&gt;广西壮族自治区实施细则》的规定执行。</w:t>
      </w:r>
    </w:p>
    <w:p w14:paraId="0DF60EAE">
      <w:pPr>
        <w:pStyle w:val="167"/>
        <w:rPr>
          <w:rFonts w:ascii="黑体" w:hAnsi="黑体"/>
          <w:color w:val="auto"/>
          <w:highlight w:val="none"/>
        </w:rPr>
      </w:pPr>
      <w:bookmarkStart w:id="312" w:name="_Toc217642355"/>
      <w:bookmarkStart w:id="313" w:name="_Toc166155286"/>
      <w:r>
        <w:rPr>
          <w:rFonts w:hint="eastAsia" w:ascii="黑体" w:hAnsi="黑体"/>
          <w:color w:val="auto"/>
          <w:highlight w:val="none"/>
        </w:rPr>
        <w:t>13.验收和工程试车</w:t>
      </w:r>
      <w:bookmarkEnd w:id="312"/>
      <w:bookmarkEnd w:id="313"/>
    </w:p>
    <w:p w14:paraId="4FD6E457">
      <w:pPr>
        <w:pStyle w:val="170"/>
        <w:spacing w:line="240" w:lineRule="auto"/>
        <w:rPr>
          <w:rFonts w:ascii="黑体" w:hAnsi="黑体"/>
          <w:color w:val="auto"/>
          <w:highlight w:val="none"/>
        </w:rPr>
      </w:pPr>
      <w:bookmarkStart w:id="314" w:name="_Toc217642356"/>
      <w:bookmarkStart w:id="315" w:name="_Toc166155287"/>
      <w:r>
        <w:rPr>
          <w:rFonts w:hint="eastAsia" w:ascii="黑体" w:hAnsi="黑体"/>
          <w:color w:val="auto"/>
          <w:highlight w:val="none"/>
        </w:rPr>
        <w:t>13.1分部分项工程验收</w:t>
      </w:r>
      <w:bookmarkEnd w:id="314"/>
    </w:p>
    <w:p w14:paraId="38C339A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13.1.2发包人不能按时进行验收时，应提前24小时提交书面延期要求。</w:t>
      </w:r>
    </w:p>
    <w:p w14:paraId="265FBF8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关于延期最长不得超过：48小时。</w:t>
      </w:r>
    </w:p>
    <w:p w14:paraId="09B48022">
      <w:pPr>
        <w:pStyle w:val="170"/>
        <w:spacing w:line="240" w:lineRule="auto"/>
        <w:rPr>
          <w:rFonts w:ascii="黑体" w:hAnsi="黑体"/>
          <w:color w:val="auto"/>
          <w:highlight w:val="none"/>
        </w:rPr>
      </w:pPr>
      <w:bookmarkStart w:id="316" w:name="_Toc217642357"/>
      <w:r>
        <w:rPr>
          <w:rFonts w:hint="eastAsia" w:ascii="黑体" w:hAnsi="黑体"/>
          <w:color w:val="auto"/>
          <w:highlight w:val="none"/>
        </w:rPr>
        <w:t>13.2竣工验收</w:t>
      </w:r>
      <w:bookmarkEnd w:id="315"/>
      <w:bookmarkEnd w:id="316"/>
    </w:p>
    <w:p w14:paraId="3B5DF99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13.2.1竣工验收条件</w:t>
      </w:r>
    </w:p>
    <w:p w14:paraId="46CC719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color w:val="auto"/>
          <w:szCs w:val="21"/>
          <w:highlight w:val="none"/>
          <w:u w:val="single"/>
        </w:rPr>
        <w:t>符合要求的完整施工资料</w:t>
      </w:r>
      <w:r>
        <w:rPr>
          <w:rFonts w:hint="eastAsia" w:ascii="宋体" w:hAnsi="宋体"/>
          <w:color w:val="auto"/>
          <w:szCs w:val="21"/>
          <w:highlight w:val="none"/>
        </w:rPr>
        <w:t>。</w:t>
      </w:r>
    </w:p>
    <w:p w14:paraId="008DFE2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竣工验收资料的份数：</w:t>
      </w:r>
      <w:r>
        <w:rPr>
          <w:rFonts w:hint="eastAsia" w:ascii="宋体" w:hAnsi="宋体"/>
          <w:color w:val="auto"/>
          <w:szCs w:val="21"/>
          <w:highlight w:val="none"/>
          <w:u w:val="single"/>
        </w:rPr>
        <w:t>一式捌份</w:t>
      </w:r>
      <w:r>
        <w:rPr>
          <w:rFonts w:hint="eastAsia" w:ascii="宋体" w:hAnsi="宋体"/>
          <w:color w:val="auto"/>
          <w:szCs w:val="21"/>
          <w:highlight w:val="none"/>
        </w:rPr>
        <w:t>。</w:t>
      </w:r>
    </w:p>
    <w:p w14:paraId="6A4E7C0E">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承包人提供竣工图的约定：</w:t>
      </w:r>
      <w:r>
        <w:rPr>
          <w:rFonts w:hint="eastAsia" w:ascii="宋体" w:hAnsi="宋体"/>
          <w:color w:val="auto"/>
          <w:szCs w:val="21"/>
          <w:highlight w:val="none"/>
          <w:u w:val="single"/>
        </w:rPr>
        <w:t>竣工验收正式通过后5天（工程造价在500万元以下含500万元）、10天（工程造价在500万元至1000万元之间含1000万元）、15天（工程造价在1000万元以上），提供竣工图的数量分别为2套、4套、6套</w:t>
      </w:r>
      <w:r>
        <w:rPr>
          <w:rFonts w:hint="eastAsia" w:ascii="宋体" w:hAnsi="宋体"/>
          <w:color w:val="auto"/>
          <w:szCs w:val="21"/>
          <w:highlight w:val="none"/>
        </w:rPr>
        <w:t>。</w:t>
      </w:r>
    </w:p>
    <w:p w14:paraId="1BE2316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13.2.2竣工验收程序</w:t>
      </w:r>
    </w:p>
    <w:p w14:paraId="64D2B74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关于竣工验收程序的约定：</w:t>
      </w:r>
      <w:r>
        <w:rPr>
          <w:rFonts w:hint="eastAsia" w:ascii="宋体" w:hAnsi="宋体"/>
          <w:color w:val="auto"/>
          <w:szCs w:val="21"/>
          <w:highlight w:val="none"/>
          <w:u w:val="single"/>
        </w:rPr>
        <w:t>按通用条款13.2.2执行</w:t>
      </w:r>
      <w:r>
        <w:rPr>
          <w:rFonts w:hint="eastAsia" w:ascii="宋体" w:hAnsi="宋体"/>
          <w:color w:val="auto"/>
          <w:szCs w:val="21"/>
          <w:highlight w:val="none"/>
        </w:rPr>
        <w:t>。</w:t>
      </w:r>
    </w:p>
    <w:p w14:paraId="757711DB">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发包人不按照本项约定组织竣工验收、颁发工程接收证书的违约金的计算方法：</w:t>
      </w:r>
      <w:r>
        <w:rPr>
          <w:rFonts w:hint="eastAsia" w:ascii="宋体" w:hAnsi="宋体"/>
          <w:color w:val="auto"/>
          <w:szCs w:val="21"/>
          <w:highlight w:val="none"/>
          <w:u w:val="single"/>
        </w:rPr>
        <w:t>无</w:t>
      </w:r>
      <w:r>
        <w:rPr>
          <w:rFonts w:hint="eastAsia" w:ascii="宋体" w:hAnsi="宋体"/>
          <w:color w:val="auto"/>
          <w:szCs w:val="21"/>
          <w:highlight w:val="none"/>
        </w:rPr>
        <w:t>。</w:t>
      </w:r>
    </w:p>
    <w:p w14:paraId="540B715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13.2.5移交、接收全部与部分工程</w:t>
      </w:r>
    </w:p>
    <w:p w14:paraId="14A091F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承包人向发包人移交工程的期限：</w:t>
      </w:r>
      <w:r>
        <w:rPr>
          <w:rFonts w:hint="eastAsia" w:ascii="宋体" w:hAnsi="宋体"/>
          <w:color w:val="auto"/>
          <w:szCs w:val="21"/>
          <w:highlight w:val="none"/>
          <w:u w:val="single"/>
        </w:rPr>
        <w:t>颁发工程接收证书后7个工作日内完成工程的移交</w:t>
      </w:r>
      <w:r>
        <w:rPr>
          <w:rFonts w:hint="eastAsia" w:ascii="宋体" w:hAnsi="宋体"/>
          <w:color w:val="auto"/>
          <w:szCs w:val="21"/>
          <w:highlight w:val="none"/>
        </w:rPr>
        <w:t>。</w:t>
      </w:r>
    </w:p>
    <w:p w14:paraId="19185E2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发包人未按本合同约定接收全部或部分工程的，违约金的计算方法为：</w:t>
      </w:r>
      <w:r>
        <w:rPr>
          <w:rFonts w:hint="eastAsia" w:ascii="宋体" w:hAnsi="宋体"/>
          <w:color w:val="auto"/>
          <w:szCs w:val="21"/>
          <w:highlight w:val="none"/>
          <w:u w:val="single"/>
        </w:rPr>
        <w:t>无</w:t>
      </w:r>
      <w:r>
        <w:rPr>
          <w:rFonts w:hint="eastAsia" w:ascii="宋体" w:hAnsi="宋体"/>
          <w:color w:val="auto"/>
          <w:szCs w:val="21"/>
          <w:highlight w:val="none"/>
        </w:rPr>
        <w:t>。</w:t>
      </w:r>
    </w:p>
    <w:p w14:paraId="16E3E95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承包人未按时移交工程的，违约金的计算方法为：</w:t>
      </w:r>
      <w:r>
        <w:rPr>
          <w:rFonts w:hint="eastAsia" w:ascii="宋体" w:hAnsi="宋体"/>
          <w:color w:val="auto"/>
          <w:szCs w:val="21"/>
          <w:highlight w:val="none"/>
          <w:u w:val="single"/>
        </w:rPr>
        <w:t>每逾期一天，承包人按合同价款的万分之四向发包人支付违约金</w:t>
      </w:r>
      <w:r>
        <w:rPr>
          <w:rFonts w:hint="eastAsia" w:ascii="宋体" w:hAnsi="宋体"/>
          <w:color w:val="auto"/>
          <w:szCs w:val="21"/>
          <w:highlight w:val="none"/>
        </w:rPr>
        <w:t>。</w:t>
      </w:r>
    </w:p>
    <w:p w14:paraId="769E8CF0">
      <w:pPr>
        <w:pStyle w:val="170"/>
        <w:spacing w:line="240" w:lineRule="auto"/>
        <w:rPr>
          <w:rFonts w:ascii="黑体" w:hAnsi="黑体"/>
          <w:color w:val="auto"/>
          <w:highlight w:val="none"/>
        </w:rPr>
      </w:pPr>
      <w:bookmarkStart w:id="317" w:name="_Toc166155288"/>
      <w:bookmarkStart w:id="318" w:name="_Toc217642358"/>
      <w:r>
        <w:rPr>
          <w:rFonts w:hint="eastAsia" w:ascii="黑体" w:hAnsi="黑体"/>
          <w:color w:val="auto"/>
          <w:highlight w:val="none"/>
        </w:rPr>
        <w:t>13.3工程试车</w:t>
      </w:r>
      <w:bookmarkEnd w:id="317"/>
      <w:bookmarkEnd w:id="318"/>
    </w:p>
    <w:p w14:paraId="5826EA8B">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13.3.1试车程序</w:t>
      </w:r>
    </w:p>
    <w:p w14:paraId="3D46B20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工程试车内容：</w:t>
      </w:r>
      <w:r>
        <w:rPr>
          <w:rFonts w:hint="eastAsia" w:ascii="宋体" w:hAnsi="宋体"/>
          <w:color w:val="auto"/>
          <w:szCs w:val="21"/>
          <w:highlight w:val="none"/>
          <w:u w:val="single"/>
        </w:rPr>
        <w:t>按通用条款13.3.1条执行</w:t>
      </w:r>
      <w:r>
        <w:rPr>
          <w:rFonts w:hint="eastAsia" w:ascii="宋体" w:hAnsi="宋体"/>
          <w:color w:val="auto"/>
          <w:szCs w:val="21"/>
          <w:highlight w:val="none"/>
        </w:rPr>
        <w:t>。</w:t>
      </w:r>
    </w:p>
    <w:p w14:paraId="19198A9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（1）单机无负荷试车费用由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14:paraId="6BF329D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（2）无负荷联动试车费用由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14:paraId="0A41AD6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13.3.3投料试车</w:t>
      </w:r>
    </w:p>
    <w:p w14:paraId="6F5F1AA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关于投料试车相关事项的约定：</w:t>
      </w:r>
      <w:r>
        <w:rPr>
          <w:rFonts w:hint="eastAsia" w:ascii="宋体" w:hAnsi="宋体"/>
          <w:color w:val="auto"/>
          <w:szCs w:val="21"/>
          <w:highlight w:val="none"/>
          <w:u w:val="single"/>
        </w:rPr>
        <w:t>投料试运行应在工程竣工验收后由发包人负责，如发包人要求在工程竣工验收前进行或需要承包人配合时，应征得承包人同意，另行签订补充协议</w:t>
      </w:r>
      <w:r>
        <w:rPr>
          <w:rFonts w:hint="eastAsia" w:ascii="宋体" w:hAnsi="宋体"/>
          <w:color w:val="auto"/>
          <w:szCs w:val="21"/>
          <w:highlight w:val="none"/>
        </w:rPr>
        <w:t>。</w:t>
      </w:r>
    </w:p>
    <w:p w14:paraId="3F1184F8">
      <w:pPr>
        <w:pStyle w:val="170"/>
        <w:spacing w:line="240" w:lineRule="auto"/>
        <w:rPr>
          <w:rFonts w:ascii="黑体" w:hAnsi="黑体"/>
          <w:color w:val="auto"/>
          <w:highlight w:val="none"/>
        </w:rPr>
      </w:pPr>
      <w:bookmarkStart w:id="319" w:name="_Toc166155289"/>
      <w:bookmarkStart w:id="320" w:name="_Toc217642359"/>
      <w:r>
        <w:rPr>
          <w:rFonts w:hint="eastAsia" w:ascii="黑体" w:hAnsi="黑体"/>
          <w:color w:val="auto"/>
          <w:highlight w:val="none"/>
        </w:rPr>
        <w:t>13.6竣工退场</w:t>
      </w:r>
      <w:bookmarkEnd w:id="319"/>
      <w:bookmarkEnd w:id="320"/>
    </w:p>
    <w:p w14:paraId="2F32933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13.6.1竣工退场</w:t>
      </w:r>
    </w:p>
    <w:p w14:paraId="574C0C15">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承包人完成竣工退场的期限：</w:t>
      </w:r>
      <w:r>
        <w:rPr>
          <w:rFonts w:hint="eastAsia" w:ascii="宋体" w:hAnsi="宋体"/>
          <w:color w:val="auto"/>
          <w:szCs w:val="21"/>
          <w:highlight w:val="none"/>
          <w:u w:val="single"/>
        </w:rPr>
        <w:t>发包人颁发（出具）工程接收证书后，承包人负责按照通用合同条款和本项约定的要求对施工场地进行清理并承担相关费用，直至发包人检验合格后七日内，如承包人到期后不退场，发包人有权安排其他人员进行清理，费用从承包人工程款中扣除</w:t>
      </w:r>
      <w:r>
        <w:rPr>
          <w:rFonts w:hint="eastAsia" w:ascii="宋体" w:hAnsi="宋体"/>
          <w:color w:val="auto"/>
          <w:szCs w:val="21"/>
          <w:highlight w:val="none"/>
        </w:rPr>
        <w:t>。</w:t>
      </w:r>
    </w:p>
    <w:p w14:paraId="50689DD1">
      <w:pPr>
        <w:pStyle w:val="167"/>
        <w:rPr>
          <w:rFonts w:ascii="黑体" w:hAnsi="黑体"/>
          <w:color w:val="auto"/>
          <w:highlight w:val="none"/>
        </w:rPr>
      </w:pPr>
      <w:bookmarkStart w:id="321" w:name="_Toc217642360"/>
      <w:bookmarkStart w:id="322" w:name="_Toc166155290"/>
      <w:r>
        <w:rPr>
          <w:rFonts w:hint="eastAsia" w:ascii="黑体" w:hAnsi="黑体"/>
          <w:color w:val="auto"/>
          <w:highlight w:val="none"/>
        </w:rPr>
        <w:t>14.竣工结算</w:t>
      </w:r>
      <w:bookmarkEnd w:id="321"/>
      <w:bookmarkEnd w:id="322"/>
    </w:p>
    <w:p w14:paraId="729BAF18">
      <w:pPr>
        <w:pStyle w:val="170"/>
        <w:spacing w:line="240" w:lineRule="auto"/>
        <w:rPr>
          <w:rFonts w:ascii="黑体" w:hAnsi="黑体"/>
          <w:color w:val="auto"/>
          <w:highlight w:val="none"/>
        </w:rPr>
      </w:pPr>
      <w:bookmarkStart w:id="323" w:name="_Toc166155291"/>
      <w:bookmarkStart w:id="324" w:name="_Toc217642361"/>
      <w:r>
        <w:rPr>
          <w:rFonts w:hint="eastAsia" w:ascii="黑体" w:hAnsi="黑体"/>
          <w:color w:val="auto"/>
          <w:highlight w:val="none"/>
        </w:rPr>
        <w:t>14.1竣工结算及竣工付款申请</w:t>
      </w:r>
      <w:bookmarkEnd w:id="323"/>
      <w:bookmarkEnd w:id="324"/>
    </w:p>
    <w:p w14:paraId="1C8EF97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承包人提交竣工结算申请单的期限：</w:t>
      </w:r>
      <w:r>
        <w:rPr>
          <w:rFonts w:hint="eastAsia" w:ascii="宋体" w:hAnsi="宋体"/>
          <w:color w:val="auto"/>
          <w:szCs w:val="21"/>
          <w:highlight w:val="none"/>
          <w:u w:val="single"/>
        </w:rPr>
        <w:t>本工程结算审定后28日内</w:t>
      </w:r>
      <w:r>
        <w:rPr>
          <w:rFonts w:hint="eastAsia" w:ascii="宋体" w:hAnsi="宋体"/>
          <w:color w:val="auto"/>
          <w:szCs w:val="21"/>
          <w:highlight w:val="none"/>
        </w:rPr>
        <w:t>。</w:t>
      </w:r>
    </w:p>
    <w:p w14:paraId="36F85E47">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竣工结算申请单应包括的内容：</w:t>
      </w:r>
      <w:r>
        <w:rPr>
          <w:rFonts w:hint="eastAsia" w:ascii="宋体" w:hAnsi="宋体"/>
          <w:color w:val="auto"/>
          <w:szCs w:val="21"/>
          <w:highlight w:val="none"/>
          <w:u w:val="single"/>
        </w:rPr>
        <w:t>除通用合同条款第14.1款约定的内容外，还应包括：工程结算审核结论书。</w:t>
      </w:r>
    </w:p>
    <w:p w14:paraId="02DDF6B1">
      <w:pPr>
        <w:pStyle w:val="170"/>
        <w:spacing w:line="240" w:lineRule="auto"/>
        <w:rPr>
          <w:rFonts w:ascii="黑体" w:hAnsi="黑体"/>
          <w:color w:val="auto"/>
          <w:highlight w:val="none"/>
        </w:rPr>
      </w:pPr>
      <w:bookmarkStart w:id="325" w:name="_Toc217642362"/>
      <w:bookmarkStart w:id="326" w:name="_Toc166155292"/>
      <w:r>
        <w:rPr>
          <w:rFonts w:hint="eastAsia" w:ascii="黑体" w:hAnsi="黑体"/>
          <w:color w:val="auto"/>
          <w:highlight w:val="none"/>
        </w:rPr>
        <w:t>14.2竣工结算审核及竣工付款</w:t>
      </w:r>
      <w:bookmarkEnd w:id="325"/>
      <w:bookmarkEnd w:id="326"/>
    </w:p>
    <w:p w14:paraId="7EF664E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发包人审批竣工结算资料的期限：</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3543"/>
        <w:gridCol w:w="5380"/>
      </w:tblGrid>
      <w:tr w14:paraId="2E04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dxa"/>
            <w:vAlign w:val="center"/>
          </w:tcPr>
          <w:p w14:paraId="3D758425">
            <w:pPr>
              <w:pStyle w:val="168"/>
              <w:jc w:val="center"/>
              <w:rPr>
                <w:rFonts w:ascii="宋体" w:hAnsi="宋体"/>
                <w:color w:val="auto"/>
                <w:szCs w:val="21"/>
                <w:highlight w:val="none"/>
              </w:rPr>
            </w:pPr>
          </w:p>
        </w:tc>
        <w:tc>
          <w:tcPr>
            <w:tcW w:w="3543" w:type="dxa"/>
            <w:vAlign w:val="center"/>
          </w:tcPr>
          <w:p w14:paraId="22AA131B">
            <w:pPr>
              <w:pStyle w:val="168"/>
              <w:jc w:val="center"/>
              <w:rPr>
                <w:rFonts w:ascii="宋体" w:hAnsi="宋体"/>
                <w:color w:val="auto"/>
                <w:szCs w:val="21"/>
                <w:highlight w:val="none"/>
              </w:rPr>
            </w:pPr>
            <w:r>
              <w:rPr>
                <w:rFonts w:hint="eastAsia" w:ascii="宋体" w:hAnsi="宋体"/>
                <w:color w:val="auto"/>
                <w:szCs w:val="21"/>
                <w:highlight w:val="none"/>
              </w:rPr>
              <w:t>工程竣工结算报告金额</w:t>
            </w:r>
          </w:p>
        </w:tc>
        <w:tc>
          <w:tcPr>
            <w:tcW w:w="5380" w:type="dxa"/>
            <w:vAlign w:val="center"/>
          </w:tcPr>
          <w:p w14:paraId="6C512215">
            <w:pPr>
              <w:pStyle w:val="168"/>
              <w:jc w:val="center"/>
              <w:rPr>
                <w:rFonts w:ascii="宋体" w:hAnsi="宋体"/>
                <w:color w:val="auto"/>
                <w:szCs w:val="21"/>
                <w:highlight w:val="none"/>
              </w:rPr>
            </w:pPr>
            <w:r>
              <w:rPr>
                <w:rFonts w:hint="eastAsia" w:ascii="宋体" w:hAnsi="宋体"/>
                <w:color w:val="auto"/>
                <w:szCs w:val="21"/>
                <w:highlight w:val="none"/>
              </w:rPr>
              <w:t>发包人审查时间</w:t>
            </w:r>
          </w:p>
        </w:tc>
      </w:tr>
      <w:tr w14:paraId="6930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dxa"/>
            <w:vAlign w:val="center"/>
          </w:tcPr>
          <w:p w14:paraId="39D6D9D8">
            <w:pPr>
              <w:pStyle w:val="168"/>
              <w:jc w:val="center"/>
              <w:rPr>
                <w:rFonts w:ascii="宋体" w:hAnsi="宋体"/>
                <w:color w:val="auto"/>
                <w:szCs w:val="21"/>
                <w:highlight w:val="none"/>
              </w:rPr>
            </w:pPr>
            <w:r>
              <w:rPr>
                <w:rFonts w:hint="eastAsia" w:ascii="宋体" w:hAnsi="宋体"/>
                <w:color w:val="auto"/>
                <w:szCs w:val="21"/>
                <w:highlight w:val="none"/>
              </w:rPr>
              <w:t>1</w:t>
            </w:r>
          </w:p>
        </w:tc>
        <w:tc>
          <w:tcPr>
            <w:tcW w:w="3543" w:type="dxa"/>
            <w:vAlign w:val="center"/>
          </w:tcPr>
          <w:p w14:paraId="7A904E9E">
            <w:pPr>
              <w:pStyle w:val="168"/>
              <w:jc w:val="center"/>
              <w:rPr>
                <w:rFonts w:ascii="宋体" w:hAnsi="宋体"/>
                <w:color w:val="auto"/>
                <w:szCs w:val="21"/>
                <w:highlight w:val="none"/>
              </w:rPr>
            </w:pPr>
            <w:r>
              <w:rPr>
                <w:rFonts w:hint="eastAsia" w:ascii="宋体" w:hAnsi="宋体"/>
                <w:color w:val="auto"/>
                <w:szCs w:val="21"/>
                <w:highlight w:val="none"/>
              </w:rPr>
              <w:t>500万元以下</w:t>
            </w:r>
          </w:p>
        </w:tc>
        <w:tc>
          <w:tcPr>
            <w:tcW w:w="5380" w:type="dxa"/>
            <w:vAlign w:val="center"/>
          </w:tcPr>
          <w:p w14:paraId="37719EA7">
            <w:pPr>
              <w:pStyle w:val="168"/>
              <w:jc w:val="center"/>
              <w:rPr>
                <w:rFonts w:ascii="宋体" w:hAnsi="宋体"/>
                <w:color w:val="auto"/>
                <w:szCs w:val="21"/>
                <w:highlight w:val="none"/>
              </w:rPr>
            </w:pPr>
            <w:r>
              <w:rPr>
                <w:rFonts w:hint="eastAsia" w:ascii="宋体" w:hAnsi="宋体"/>
                <w:color w:val="auto"/>
                <w:szCs w:val="21"/>
                <w:highlight w:val="none"/>
              </w:rPr>
              <w:t>从接到竣工结算报告和完整的竣工结算资料之日起20天</w:t>
            </w:r>
          </w:p>
        </w:tc>
      </w:tr>
      <w:tr w14:paraId="51A8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dxa"/>
            <w:vAlign w:val="center"/>
          </w:tcPr>
          <w:p w14:paraId="1CD95906">
            <w:pPr>
              <w:pStyle w:val="168"/>
              <w:jc w:val="center"/>
              <w:rPr>
                <w:rFonts w:ascii="宋体" w:hAnsi="宋体"/>
                <w:color w:val="auto"/>
                <w:szCs w:val="21"/>
                <w:highlight w:val="none"/>
              </w:rPr>
            </w:pPr>
            <w:r>
              <w:rPr>
                <w:rFonts w:hint="eastAsia" w:ascii="宋体" w:hAnsi="宋体"/>
                <w:color w:val="auto"/>
                <w:szCs w:val="21"/>
                <w:highlight w:val="none"/>
              </w:rPr>
              <w:t>2</w:t>
            </w:r>
          </w:p>
        </w:tc>
        <w:tc>
          <w:tcPr>
            <w:tcW w:w="3543" w:type="dxa"/>
            <w:vAlign w:val="center"/>
          </w:tcPr>
          <w:p w14:paraId="13F79E9B">
            <w:pPr>
              <w:pStyle w:val="168"/>
              <w:jc w:val="center"/>
              <w:rPr>
                <w:rFonts w:ascii="宋体" w:hAnsi="宋体"/>
                <w:color w:val="auto"/>
                <w:szCs w:val="21"/>
                <w:highlight w:val="none"/>
              </w:rPr>
            </w:pPr>
            <w:r>
              <w:rPr>
                <w:rFonts w:hint="eastAsia" w:ascii="宋体" w:hAnsi="宋体"/>
                <w:color w:val="auto"/>
                <w:szCs w:val="21"/>
                <w:highlight w:val="none"/>
              </w:rPr>
              <w:t>500万元-2000万元</w:t>
            </w:r>
          </w:p>
        </w:tc>
        <w:tc>
          <w:tcPr>
            <w:tcW w:w="5380" w:type="dxa"/>
            <w:vAlign w:val="center"/>
          </w:tcPr>
          <w:p w14:paraId="39F013DB">
            <w:pPr>
              <w:pStyle w:val="168"/>
              <w:jc w:val="center"/>
              <w:rPr>
                <w:rFonts w:ascii="宋体" w:hAnsi="宋体"/>
                <w:color w:val="auto"/>
                <w:szCs w:val="21"/>
                <w:highlight w:val="none"/>
              </w:rPr>
            </w:pPr>
            <w:r>
              <w:rPr>
                <w:rFonts w:hint="eastAsia" w:ascii="宋体" w:hAnsi="宋体"/>
                <w:color w:val="auto"/>
                <w:szCs w:val="21"/>
                <w:highlight w:val="none"/>
              </w:rPr>
              <w:t>从接到竣工结算报告和完整的竣工结算资料之日起30天</w:t>
            </w:r>
          </w:p>
        </w:tc>
      </w:tr>
      <w:tr w14:paraId="1317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dxa"/>
            <w:vAlign w:val="center"/>
          </w:tcPr>
          <w:p w14:paraId="21EBACE5">
            <w:pPr>
              <w:pStyle w:val="168"/>
              <w:jc w:val="center"/>
              <w:rPr>
                <w:rFonts w:ascii="宋体" w:hAnsi="宋体"/>
                <w:color w:val="auto"/>
                <w:szCs w:val="21"/>
                <w:highlight w:val="none"/>
              </w:rPr>
            </w:pPr>
            <w:r>
              <w:rPr>
                <w:rFonts w:hint="eastAsia" w:ascii="宋体" w:hAnsi="宋体"/>
                <w:color w:val="auto"/>
                <w:szCs w:val="21"/>
                <w:highlight w:val="none"/>
              </w:rPr>
              <w:t>3</w:t>
            </w:r>
          </w:p>
        </w:tc>
        <w:tc>
          <w:tcPr>
            <w:tcW w:w="3543" w:type="dxa"/>
            <w:vAlign w:val="center"/>
          </w:tcPr>
          <w:p w14:paraId="4F0A0555">
            <w:pPr>
              <w:pStyle w:val="168"/>
              <w:jc w:val="center"/>
              <w:rPr>
                <w:rFonts w:ascii="宋体" w:hAnsi="宋体"/>
                <w:color w:val="auto"/>
                <w:szCs w:val="21"/>
                <w:highlight w:val="none"/>
              </w:rPr>
            </w:pPr>
            <w:r>
              <w:rPr>
                <w:rFonts w:hint="eastAsia" w:ascii="宋体" w:hAnsi="宋体"/>
                <w:color w:val="auto"/>
                <w:szCs w:val="21"/>
                <w:highlight w:val="none"/>
              </w:rPr>
              <w:t>2000万元-5000万元</w:t>
            </w:r>
          </w:p>
        </w:tc>
        <w:tc>
          <w:tcPr>
            <w:tcW w:w="5380" w:type="dxa"/>
            <w:vAlign w:val="center"/>
          </w:tcPr>
          <w:p w14:paraId="51D11EDF">
            <w:pPr>
              <w:pStyle w:val="168"/>
              <w:jc w:val="center"/>
              <w:rPr>
                <w:rFonts w:ascii="宋体" w:hAnsi="宋体"/>
                <w:color w:val="auto"/>
                <w:szCs w:val="21"/>
                <w:highlight w:val="none"/>
              </w:rPr>
            </w:pPr>
            <w:r>
              <w:rPr>
                <w:rFonts w:hint="eastAsia" w:ascii="宋体" w:hAnsi="宋体"/>
                <w:color w:val="auto"/>
                <w:szCs w:val="21"/>
                <w:highlight w:val="none"/>
              </w:rPr>
              <w:t>从接到竣工结算报告和完整的竣工结算资料之日起45天</w:t>
            </w:r>
          </w:p>
        </w:tc>
      </w:tr>
      <w:tr w14:paraId="4284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dxa"/>
            <w:vAlign w:val="center"/>
          </w:tcPr>
          <w:p w14:paraId="23177356">
            <w:pPr>
              <w:pStyle w:val="168"/>
              <w:jc w:val="center"/>
              <w:rPr>
                <w:rFonts w:ascii="宋体" w:hAnsi="宋体"/>
                <w:color w:val="auto"/>
                <w:szCs w:val="21"/>
                <w:highlight w:val="none"/>
              </w:rPr>
            </w:pPr>
            <w:r>
              <w:rPr>
                <w:rFonts w:hint="eastAsia" w:ascii="宋体" w:hAnsi="宋体"/>
                <w:color w:val="auto"/>
                <w:szCs w:val="21"/>
                <w:highlight w:val="none"/>
              </w:rPr>
              <w:t>4</w:t>
            </w:r>
          </w:p>
        </w:tc>
        <w:tc>
          <w:tcPr>
            <w:tcW w:w="3543" w:type="dxa"/>
            <w:vAlign w:val="center"/>
          </w:tcPr>
          <w:p w14:paraId="2D37C84D">
            <w:pPr>
              <w:pStyle w:val="168"/>
              <w:jc w:val="center"/>
              <w:rPr>
                <w:rFonts w:ascii="宋体" w:hAnsi="宋体"/>
                <w:color w:val="auto"/>
                <w:szCs w:val="21"/>
                <w:highlight w:val="none"/>
              </w:rPr>
            </w:pPr>
            <w:r>
              <w:rPr>
                <w:rFonts w:hint="eastAsia" w:ascii="宋体" w:hAnsi="宋体"/>
                <w:color w:val="auto"/>
                <w:szCs w:val="21"/>
                <w:highlight w:val="none"/>
              </w:rPr>
              <w:t>5000万元以上</w:t>
            </w:r>
          </w:p>
        </w:tc>
        <w:tc>
          <w:tcPr>
            <w:tcW w:w="5380" w:type="dxa"/>
            <w:vAlign w:val="center"/>
          </w:tcPr>
          <w:p w14:paraId="382DCA19">
            <w:pPr>
              <w:pStyle w:val="168"/>
              <w:jc w:val="center"/>
              <w:rPr>
                <w:rFonts w:ascii="宋体" w:hAnsi="宋体"/>
                <w:color w:val="auto"/>
                <w:szCs w:val="21"/>
                <w:highlight w:val="none"/>
              </w:rPr>
            </w:pPr>
            <w:r>
              <w:rPr>
                <w:rFonts w:hint="eastAsia" w:ascii="宋体" w:hAnsi="宋体"/>
                <w:color w:val="auto"/>
                <w:szCs w:val="21"/>
                <w:highlight w:val="none"/>
              </w:rPr>
              <w:t>从接到竣工结算报告和完整的竣工结算资料之日起60天</w:t>
            </w:r>
          </w:p>
        </w:tc>
      </w:tr>
      <w:tr w14:paraId="3808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 w:type="dxa"/>
            <w:vAlign w:val="center"/>
          </w:tcPr>
          <w:p w14:paraId="5E02A8B0">
            <w:pPr>
              <w:pStyle w:val="168"/>
              <w:jc w:val="center"/>
              <w:rPr>
                <w:rFonts w:ascii="宋体" w:hAnsi="宋体"/>
                <w:color w:val="auto"/>
                <w:szCs w:val="21"/>
                <w:highlight w:val="none"/>
              </w:rPr>
            </w:pPr>
            <w:r>
              <w:rPr>
                <w:rFonts w:hint="eastAsia" w:ascii="宋体" w:hAnsi="宋体"/>
                <w:color w:val="auto"/>
                <w:szCs w:val="21"/>
                <w:highlight w:val="none"/>
              </w:rPr>
              <w:t>5</w:t>
            </w:r>
          </w:p>
        </w:tc>
        <w:tc>
          <w:tcPr>
            <w:tcW w:w="3543" w:type="dxa"/>
            <w:vAlign w:val="center"/>
          </w:tcPr>
          <w:p w14:paraId="66B36870">
            <w:pPr>
              <w:pStyle w:val="168"/>
              <w:jc w:val="center"/>
              <w:rPr>
                <w:rFonts w:ascii="宋体" w:hAnsi="宋体"/>
                <w:color w:val="auto"/>
                <w:szCs w:val="21"/>
                <w:highlight w:val="none"/>
              </w:rPr>
            </w:pPr>
            <w:r>
              <w:rPr>
                <w:rFonts w:hint="eastAsia" w:ascii="宋体" w:hAnsi="宋体"/>
                <w:color w:val="auto"/>
                <w:szCs w:val="21"/>
                <w:highlight w:val="none"/>
              </w:rPr>
              <w:t>5000万以上每增加0.5亿（不足0.5亿不增加）</w:t>
            </w:r>
          </w:p>
        </w:tc>
        <w:tc>
          <w:tcPr>
            <w:tcW w:w="5380" w:type="dxa"/>
            <w:vAlign w:val="center"/>
          </w:tcPr>
          <w:p w14:paraId="1DB7C009">
            <w:pPr>
              <w:pStyle w:val="168"/>
              <w:jc w:val="center"/>
              <w:rPr>
                <w:rFonts w:ascii="宋体" w:hAnsi="宋体"/>
                <w:color w:val="auto"/>
                <w:szCs w:val="21"/>
                <w:highlight w:val="none"/>
              </w:rPr>
            </w:pPr>
            <w:r>
              <w:rPr>
                <w:rFonts w:hint="eastAsia" w:ascii="宋体" w:hAnsi="宋体"/>
                <w:color w:val="auto"/>
                <w:szCs w:val="21"/>
                <w:highlight w:val="none"/>
              </w:rPr>
              <w:t>增加10天</w:t>
            </w:r>
          </w:p>
        </w:tc>
      </w:tr>
    </w:tbl>
    <w:p w14:paraId="2A25456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因承包人提供的结算资料不完整而需要补充或承包人不按时对账耽误时间时，审查时间应相应顺延。</w:t>
      </w:r>
    </w:p>
    <w:p w14:paraId="5CD88A3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竣工结算审核约定：</w:t>
      </w:r>
    </w:p>
    <w:p w14:paraId="2F8DC17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非国有投资项目：</w:t>
      </w:r>
      <w:r>
        <w:rPr>
          <w:rFonts w:hint="eastAsia" w:ascii="宋体" w:hAnsi="宋体"/>
          <w:color w:val="auto"/>
          <w:szCs w:val="21"/>
          <w:highlight w:val="none"/>
          <w:u w:val="single"/>
        </w:rPr>
        <w:t>1、工程竣工验收报告经发包人认可后   天内，承包人向发包人递交竣工验收合格资料及完整的结算资料和报告，双方按照协议书约定的合同价款及专用条款约定的合同价调整内容，进行工程竣工结算。2、发包人收到承包人递交的竣工结算报告及结算资料之日起   天内进行审核，给予确认或者提出初审意见。发包人逾期不予审定结算的视为发包人已同意上述竣工结算报告及结算资料，并以此作为最终结算的依据。发包人初审竣工结算完毕之日起  天内，按审定后的结算价款，通知经办银行向承包人支付工程竣工结算价款。承包人应根据发包人的需要随时将竣工工程交付发包人</w:t>
      </w:r>
      <w:r>
        <w:rPr>
          <w:rFonts w:hint="eastAsia" w:ascii="宋体" w:hAnsi="宋体"/>
          <w:color w:val="auto"/>
          <w:szCs w:val="21"/>
          <w:highlight w:val="none"/>
        </w:rPr>
        <w:t>。</w:t>
      </w:r>
    </w:p>
    <w:p w14:paraId="2F3B4FA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国有投资项目：（双方结合各地政府或有关部门管理规定进行局部调整）</w:t>
      </w:r>
    </w:p>
    <w:p w14:paraId="405CC22F">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发包人完成竣工付款的期限：56天内。</w:t>
      </w:r>
    </w:p>
    <w:p w14:paraId="7E2E93D6">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关于竣工付款证书异议部分复核的方式和程序：</w:t>
      </w:r>
      <w:r>
        <w:rPr>
          <w:rFonts w:hint="eastAsia" w:ascii="宋体" w:hAnsi="宋体"/>
          <w:color w:val="auto"/>
          <w:szCs w:val="21"/>
          <w:highlight w:val="none"/>
          <w:u w:val="single"/>
        </w:rPr>
        <w:t>按本合同通用条款。</w:t>
      </w:r>
    </w:p>
    <w:p w14:paraId="670DCF42">
      <w:pPr>
        <w:pStyle w:val="170"/>
        <w:spacing w:line="240" w:lineRule="auto"/>
        <w:rPr>
          <w:rFonts w:ascii="黑体" w:hAnsi="黑体"/>
          <w:color w:val="auto"/>
          <w:highlight w:val="none"/>
        </w:rPr>
      </w:pPr>
      <w:bookmarkStart w:id="327" w:name="_Toc217642363"/>
      <w:bookmarkStart w:id="328" w:name="_Toc166155293"/>
      <w:r>
        <w:rPr>
          <w:rFonts w:hint="eastAsia" w:ascii="黑体" w:hAnsi="黑体"/>
          <w:color w:val="auto"/>
          <w:highlight w:val="none"/>
        </w:rPr>
        <w:t>14.4最终结清</w:t>
      </w:r>
      <w:bookmarkEnd w:id="327"/>
      <w:bookmarkEnd w:id="328"/>
    </w:p>
    <w:p w14:paraId="2DA0A6A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14.4.1最终结清申请单</w:t>
      </w:r>
    </w:p>
    <w:p w14:paraId="05A9097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承包人提交最终结清申请单的份数：</w:t>
      </w:r>
      <w:r>
        <w:rPr>
          <w:rFonts w:hint="eastAsia" w:ascii="宋体" w:hAnsi="宋体"/>
          <w:color w:val="auto"/>
          <w:szCs w:val="21"/>
          <w:highlight w:val="none"/>
          <w:u w:val="single"/>
        </w:rPr>
        <w:t>壹式陆份</w:t>
      </w:r>
      <w:r>
        <w:rPr>
          <w:rFonts w:hint="eastAsia" w:ascii="宋体" w:hAnsi="宋体"/>
          <w:color w:val="auto"/>
          <w:szCs w:val="21"/>
          <w:highlight w:val="none"/>
        </w:rPr>
        <w:t>。</w:t>
      </w:r>
    </w:p>
    <w:p w14:paraId="6FE262A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承包人提交最终结算申请单的期限：</w:t>
      </w:r>
      <w:r>
        <w:rPr>
          <w:rFonts w:hint="eastAsia" w:ascii="宋体" w:hAnsi="宋体"/>
          <w:color w:val="auto"/>
          <w:szCs w:val="21"/>
          <w:highlight w:val="none"/>
          <w:u w:val="single"/>
        </w:rPr>
        <w:t>按合同通用条款执行</w:t>
      </w:r>
      <w:r>
        <w:rPr>
          <w:rFonts w:hint="eastAsia" w:ascii="宋体" w:hAnsi="宋体"/>
          <w:color w:val="auto"/>
          <w:szCs w:val="21"/>
          <w:highlight w:val="none"/>
        </w:rPr>
        <w:t>。</w:t>
      </w:r>
    </w:p>
    <w:p w14:paraId="7F477FF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14.4.2最终结清证书和支付</w:t>
      </w:r>
    </w:p>
    <w:p w14:paraId="18EF3645">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（1）发包人完成最终结清申请单的审批并颁发最终结清证书的期限：</w:t>
      </w:r>
      <w:r>
        <w:rPr>
          <w:rFonts w:hint="eastAsia" w:ascii="宋体" w:hAnsi="宋体"/>
          <w:color w:val="auto"/>
          <w:szCs w:val="21"/>
          <w:highlight w:val="none"/>
          <w:u w:val="single"/>
        </w:rPr>
        <w:t>缺陷责任期终止证书颁发后 14天内</w:t>
      </w:r>
      <w:r>
        <w:rPr>
          <w:rFonts w:hint="eastAsia" w:ascii="宋体" w:hAnsi="宋体"/>
          <w:color w:val="auto"/>
          <w:szCs w:val="21"/>
          <w:highlight w:val="none"/>
        </w:rPr>
        <w:t>。</w:t>
      </w:r>
    </w:p>
    <w:p w14:paraId="323483C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（2）发包人完成支付的期限：</w:t>
      </w:r>
      <w:r>
        <w:rPr>
          <w:rFonts w:hint="eastAsia" w:ascii="宋体" w:hAnsi="宋体"/>
          <w:color w:val="auto"/>
          <w:szCs w:val="21"/>
          <w:highlight w:val="none"/>
          <w:u w:val="single"/>
        </w:rPr>
        <w:t>缺陷责任期终止证书颁发后28天内</w:t>
      </w:r>
      <w:r>
        <w:rPr>
          <w:rFonts w:hint="eastAsia" w:ascii="宋体" w:hAnsi="宋体"/>
          <w:color w:val="auto"/>
          <w:szCs w:val="21"/>
          <w:highlight w:val="none"/>
        </w:rPr>
        <w:t>。</w:t>
      </w:r>
    </w:p>
    <w:p w14:paraId="43801657">
      <w:pPr>
        <w:pStyle w:val="167"/>
        <w:rPr>
          <w:rFonts w:ascii="黑体" w:hAnsi="黑体"/>
          <w:color w:val="auto"/>
          <w:highlight w:val="none"/>
        </w:rPr>
      </w:pPr>
      <w:bookmarkStart w:id="329" w:name="_Toc166155294"/>
      <w:bookmarkStart w:id="330" w:name="_Toc217642364"/>
      <w:r>
        <w:rPr>
          <w:rFonts w:hint="eastAsia" w:ascii="黑体" w:hAnsi="黑体"/>
          <w:color w:val="auto"/>
          <w:highlight w:val="none"/>
        </w:rPr>
        <w:t>15.缺陷责任期与保修</w:t>
      </w:r>
      <w:bookmarkEnd w:id="329"/>
      <w:bookmarkEnd w:id="330"/>
    </w:p>
    <w:p w14:paraId="3189B663">
      <w:pPr>
        <w:pStyle w:val="170"/>
        <w:spacing w:line="240" w:lineRule="auto"/>
        <w:rPr>
          <w:rFonts w:ascii="黑体" w:hAnsi="黑体"/>
          <w:color w:val="auto"/>
          <w:highlight w:val="none"/>
        </w:rPr>
      </w:pPr>
      <w:bookmarkStart w:id="331" w:name="_Toc166155295"/>
      <w:bookmarkStart w:id="332" w:name="_Toc217642365"/>
      <w:r>
        <w:rPr>
          <w:rFonts w:hint="eastAsia" w:ascii="黑体" w:hAnsi="黑体"/>
          <w:color w:val="auto"/>
          <w:highlight w:val="none"/>
        </w:rPr>
        <w:t>15.2缺陷责任期</w:t>
      </w:r>
      <w:bookmarkEnd w:id="331"/>
      <w:bookmarkEnd w:id="332"/>
    </w:p>
    <w:p w14:paraId="5D4C7BF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缺陷责任期的具体期限：</w:t>
      </w:r>
      <w:r>
        <w:rPr>
          <w:rFonts w:hint="eastAsia" w:ascii="宋体" w:hAnsi="宋体"/>
          <w:color w:val="auto"/>
          <w:szCs w:val="21"/>
          <w:highlight w:val="none"/>
          <w:u w:val="single"/>
        </w:rPr>
        <w:t>按照工程质量保修条例执行</w:t>
      </w:r>
      <w:r>
        <w:rPr>
          <w:rFonts w:hint="eastAsia" w:ascii="宋体" w:hAnsi="宋体"/>
          <w:color w:val="auto"/>
          <w:szCs w:val="21"/>
          <w:highlight w:val="none"/>
        </w:rPr>
        <w:t>。</w:t>
      </w:r>
    </w:p>
    <w:p w14:paraId="096A6B5F">
      <w:pPr>
        <w:pStyle w:val="170"/>
        <w:spacing w:line="240" w:lineRule="auto"/>
        <w:rPr>
          <w:rFonts w:ascii="黑体" w:hAnsi="黑体"/>
          <w:color w:val="auto"/>
          <w:highlight w:val="none"/>
        </w:rPr>
      </w:pPr>
      <w:bookmarkStart w:id="333" w:name="_Toc217642366"/>
      <w:bookmarkStart w:id="334" w:name="_Toc166155296"/>
      <w:r>
        <w:rPr>
          <w:rFonts w:hint="eastAsia" w:ascii="黑体" w:hAnsi="黑体"/>
          <w:color w:val="auto"/>
          <w:highlight w:val="none"/>
        </w:rPr>
        <w:t>15.3质量保证金</w:t>
      </w:r>
      <w:bookmarkEnd w:id="333"/>
      <w:bookmarkEnd w:id="334"/>
    </w:p>
    <w:p w14:paraId="75A1885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关于是否扣留质量保证金的约定：</w:t>
      </w:r>
      <w:r>
        <w:rPr>
          <w:rFonts w:hint="eastAsia" w:ascii="宋体" w:hAnsi="宋体"/>
          <w:color w:val="auto"/>
          <w:szCs w:val="21"/>
          <w:highlight w:val="none"/>
          <w:u w:val="single"/>
        </w:rPr>
        <w:t>无</w:t>
      </w:r>
      <w:r>
        <w:rPr>
          <w:rFonts w:hint="eastAsia" w:ascii="宋体" w:hAnsi="宋体"/>
          <w:color w:val="auto"/>
          <w:szCs w:val="21"/>
          <w:highlight w:val="none"/>
        </w:rPr>
        <w:t>。</w:t>
      </w:r>
    </w:p>
    <w:p w14:paraId="004B998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在工程项目竣工前，承包人按专用合同条款第3.7条提供履约担保的，发包人不得同时预留工程质量保证金。</w:t>
      </w:r>
    </w:p>
    <w:p w14:paraId="7523B00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15.3.1承包人提供质量保证金的方式</w:t>
      </w:r>
    </w:p>
    <w:p w14:paraId="16492CBE">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质量保证金采用以下第</w:t>
      </w:r>
      <w:r>
        <w:rPr>
          <w:rFonts w:hint="eastAsia" w:ascii="宋体" w:hAnsi="宋体"/>
          <w:color w:val="auto"/>
          <w:szCs w:val="21"/>
          <w:highlight w:val="none"/>
          <w:u w:val="single"/>
        </w:rPr>
        <w:t>/</w:t>
      </w:r>
      <w:r>
        <w:rPr>
          <w:rFonts w:hint="eastAsia" w:ascii="宋体" w:hAnsi="宋体"/>
          <w:color w:val="auto"/>
          <w:szCs w:val="21"/>
          <w:highlight w:val="none"/>
        </w:rPr>
        <w:t>种方式：</w:t>
      </w:r>
    </w:p>
    <w:p w14:paraId="1C9E0D7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（1）质量保证金保函，保证金额为：   ；</w:t>
      </w:r>
    </w:p>
    <w:p w14:paraId="40A1415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（2）发包人按工程价款结算总额的/%（不得超过3%）预留工程质量保修金，待缺陷责任期满后返还，是否付息及利息计算方式为：/；</w:t>
      </w:r>
    </w:p>
    <w:p w14:paraId="1F305FB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（3）其他方式：/。</w:t>
      </w:r>
    </w:p>
    <w:p w14:paraId="3210FC8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15.3.2质量保证金的扣留</w:t>
      </w:r>
    </w:p>
    <w:p w14:paraId="1BC6BEE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质量保证金的扣留采取以下第</w:t>
      </w:r>
      <w:r>
        <w:rPr>
          <w:rFonts w:hint="eastAsia" w:ascii="宋体" w:hAnsi="宋体"/>
          <w:color w:val="auto"/>
          <w:szCs w:val="21"/>
          <w:highlight w:val="none"/>
          <w:u w:val="single"/>
        </w:rPr>
        <w:t>/</w:t>
      </w:r>
      <w:r>
        <w:rPr>
          <w:rFonts w:hint="eastAsia" w:ascii="宋体" w:hAnsi="宋体"/>
          <w:color w:val="auto"/>
          <w:szCs w:val="21"/>
          <w:highlight w:val="none"/>
        </w:rPr>
        <w:t>种方式：</w:t>
      </w:r>
    </w:p>
    <w:p w14:paraId="65DBEBD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（1）在支付工程进度款时逐次扣留，质量保证金的计算基数不包括预付款的支付、扣回以及价格调整的金额；</w:t>
      </w:r>
    </w:p>
    <w:p w14:paraId="55EB5F2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（2）工程竣工结算时，一次性扣留质量保证金，由承包人以银行保函、保证保险替代预留质量保证金，保函金额不得高于工程价款结算总额的 </w:t>
      </w:r>
      <w:r>
        <w:rPr>
          <w:rFonts w:ascii="宋体" w:hAnsi="宋体"/>
          <w:color w:val="auto"/>
          <w:szCs w:val="21"/>
          <w:highlight w:val="none"/>
        </w:rPr>
        <w:t xml:space="preserve"> </w:t>
      </w:r>
      <w:r>
        <w:rPr>
          <w:rFonts w:hint="eastAsia" w:ascii="宋体" w:hAnsi="宋体"/>
          <w:color w:val="auto"/>
          <w:szCs w:val="21"/>
          <w:highlight w:val="none"/>
        </w:rPr>
        <w:t xml:space="preserve"> %；</w:t>
      </w:r>
    </w:p>
    <w:p w14:paraId="56DCEAE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（3）其他扣留方式：/。</w:t>
      </w:r>
    </w:p>
    <w:p w14:paraId="1E83D90B">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关于质量保证金的补充约定：/。</w:t>
      </w:r>
    </w:p>
    <w:p w14:paraId="0E3457A1">
      <w:pPr>
        <w:pStyle w:val="170"/>
        <w:spacing w:line="240" w:lineRule="auto"/>
        <w:rPr>
          <w:rFonts w:ascii="黑体" w:hAnsi="黑体"/>
          <w:color w:val="auto"/>
          <w:highlight w:val="none"/>
        </w:rPr>
      </w:pPr>
      <w:bookmarkStart w:id="335" w:name="_Toc217642367"/>
      <w:bookmarkStart w:id="336" w:name="_Toc166155297"/>
      <w:r>
        <w:rPr>
          <w:rFonts w:hint="eastAsia" w:ascii="黑体" w:hAnsi="黑体"/>
          <w:color w:val="auto"/>
          <w:highlight w:val="none"/>
        </w:rPr>
        <w:t>15.4保修</w:t>
      </w:r>
      <w:bookmarkEnd w:id="335"/>
      <w:bookmarkEnd w:id="336"/>
    </w:p>
    <w:p w14:paraId="1952384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15.4.1保修责任</w:t>
      </w:r>
    </w:p>
    <w:p w14:paraId="3B29D51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工程保修期为：</w:t>
      </w:r>
      <w:r>
        <w:rPr>
          <w:rFonts w:hint="eastAsia" w:ascii="宋体" w:hAnsi="宋体"/>
          <w:color w:val="auto"/>
          <w:szCs w:val="21"/>
          <w:highlight w:val="none"/>
          <w:u w:val="single"/>
        </w:rPr>
        <w:t>项目通过竣工验收合格后2年</w:t>
      </w:r>
      <w:r>
        <w:rPr>
          <w:rFonts w:hint="eastAsia" w:ascii="宋体" w:hAnsi="宋体"/>
          <w:color w:val="auto"/>
          <w:szCs w:val="21"/>
          <w:highlight w:val="none"/>
        </w:rPr>
        <w:t>。</w:t>
      </w:r>
    </w:p>
    <w:p w14:paraId="2D66D1FE">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工程保修书具体内容见合同附件</w:t>
      </w:r>
      <w:r>
        <w:rPr>
          <w:rFonts w:ascii="宋体" w:hAnsi="宋体"/>
          <w:color w:val="auto"/>
          <w:szCs w:val="21"/>
          <w:highlight w:val="none"/>
        </w:rPr>
        <w:t>1</w:t>
      </w:r>
      <w:r>
        <w:rPr>
          <w:rFonts w:hint="eastAsia" w:ascii="宋体" w:hAnsi="宋体"/>
          <w:color w:val="auto"/>
          <w:szCs w:val="21"/>
          <w:highlight w:val="none"/>
        </w:rPr>
        <w:t>。</w:t>
      </w:r>
    </w:p>
    <w:p w14:paraId="03D7F8D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15.4.3修复通知</w:t>
      </w:r>
    </w:p>
    <w:p w14:paraId="6FA2AAC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承包人收到保修通知并到达工程现场的合理时间：</w:t>
      </w:r>
      <w:r>
        <w:rPr>
          <w:rFonts w:hint="eastAsia" w:ascii="宋体" w:hAnsi="宋体"/>
          <w:color w:val="auto"/>
          <w:szCs w:val="21"/>
          <w:highlight w:val="none"/>
          <w:u w:val="single"/>
        </w:rPr>
        <w:t>按质量保修书执行</w:t>
      </w:r>
      <w:r>
        <w:rPr>
          <w:rFonts w:hint="eastAsia" w:ascii="宋体" w:hAnsi="宋体"/>
          <w:color w:val="auto"/>
          <w:szCs w:val="21"/>
          <w:highlight w:val="none"/>
        </w:rPr>
        <w:t>。</w:t>
      </w:r>
    </w:p>
    <w:p w14:paraId="3173C14C">
      <w:pPr>
        <w:pStyle w:val="167"/>
        <w:rPr>
          <w:rFonts w:ascii="黑体" w:hAnsi="黑体"/>
          <w:color w:val="auto"/>
          <w:highlight w:val="none"/>
        </w:rPr>
      </w:pPr>
      <w:bookmarkStart w:id="337" w:name="_Toc166155298"/>
      <w:bookmarkStart w:id="338" w:name="_Toc217642368"/>
      <w:r>
        <w:rPr>
          <w:rFonts w:hint="eastAsia" w:ascii="黑体" w:hAnsi="黑体"/>
          <w:color w:val="auto"/>
          <w:highlight w:val="none"/>
        </w:rPr>
        <w:t>16.违约</w:t>
      </w:r>
      <w:bookmarkEnd w:id="337"/>
      <w:bookmarkEnd w:id="338"/>
    </w:p>
    <w:p w14:paraId="74BB6552">
      <w:pPr>
        <w:pStyle w:val="170"/>
        <w:spacing w:line="240" w:lineRule="auto"/>
        <w:rPr>
          <w:rFonts w:ascii="黑体" w:hAnsi="黑体"/>
          <w:color w:val="auto"/>
          <w:highlight w:val="none"/>
        </w:rPr>
      </w:pPr>
      <w:bookmarkStart w:id="339" w:name="_Toc166155299"/>
      <w:bookmarkStart w:id="340" w:name="_Toc217642369"/>
      <w:r>
        <w:rPr>
          <w:rFonts w:hint="eastAsia" w:ascii="黑体" w:hAnsi="黑体"/>
          <w:color w:val="auto"/>
          <w:highlight w:val="none"/>
        </w:rPr>
        <w:t>16.1发包人违约</w:t>
      </w:r>
      <w:bookmarkEnd w:id="339"/>
      <w:bookmarkEnd w:id="340"/>
    </w:p>
    <w:p w14:paraId="270934C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16.1.1发包人违约的情形</w:t>
      </w:r>
    </w:p>
    <w:p w14:paraId="132F563B">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发包人违约的其他情形：</w:t>
      </w:r>
      <w:r>
        <w:rPr>
          <w:rFonts w:hint="eastAsia" w:ascii="宋体" w:hAnsi="宋体"/>
          <w:color w:val="auto"/>
          <w:szCs w:val="21"/>
          <w:highlight w:val="none"/>
          <w:u w:val="single"/>
        </w:rPr>
        <w:t>无</w:t>
      </w:r>
      <w:r>
        <w:rPr>
          <w:rFonts w:hint="eastAsia" w:ascii="宋体" w:hAnsi="宋体"/>
          <w:color w:val="auto"/>
          <w:szCs w:val="21"/>
          <w:highlight w:val="none"/>
        </w:rPr>
        <w:t>。</w:t>
      </w:r>
    </w:p>
    <w:p w14:paraId="0B85A49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16.1.2发包人违约的责任</w:t>
      </w:r>
    </w:p>
    <w:p w14:paraId="572E44A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发包人违约责任的承担方式和计算方法：</w:t>
      </w:r>
    </w:p>
    <w:p w14:paraId="7AAA68A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（1）因发包人原因未能在计划开工日期前7天内下达开工通知的违约责任：</w:t>
      </w:r>
      <w:r>
        <w:rPr>
          <w:rFonts w:hint="eastAsia" w:ascii="宋体" w:hAnsi="宋体"/>
          <w:color w:val="auto"/>
          <w:szCs w:val="21"/>
          <w:highlight w:val="none"/>
          <w:u w:val="single"/>
        </w:rPr>
        <w:t>无</w:t>
      </w:r>
      <w:r>
        <w:rPr>
          <w:rFonts w:hint="eastAsia" w:ascii="宋体" w:hAnsi="宋体"/>
          <w:color w:val="auto"/>
          <w:szCs w:val="21"/>
          <w:highlight w:val="none"/>
        </w:rPr>
        <w:t>。</w:t>
      </w:r>
    </w:p>
    <w:p w14:paraId="303FC3D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（2）因发包人原因未能按合同约定支付合同价款的违约责任：</w:t>
      </w:r>
      <w:r>
        <w:rPr>
          <w:rFonts w:hint="eastAsia" w:ascii="宋体" w:hAnsi="宋体"/>
          <w:color w:val="auto"/>
          <w:szCs w:val="21"/>
          <w:highlight w:val="none"/>
          <w:u w:val="single"/>
        </w:rPr>
        <w:t>承包人与发包人签订延期付款协议，延期付款协议须经财政部门及双方认可</w:t>
      </w:r>
      <w:r>
        <w:rPr>
          <w:rFonts w:hint="eastAsia" w:ascii="宋体" w:hAnsi="宋体"/>
          <w:color w:val="auto"/>
          <w:szCs w:val="21"/>
          <w:highlight w:val="none"/>
        </w:rPr>
        <w:t>。</w:t>
      </w:r>
    </w:p>
    <w:p w14:paraId="4DE45C1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（3）发包人违反第10.1款〔变更的范围〕第（2）项约定，自行实施被取消的工作或转由他人实施的违约责任：</w:t>
      </w:r>
      <w:r>
        <w:rPr>
          <w:rFonts w:hint="eastAsia" w:ascii="宋体" w:hAnsi="宋体"/>
          <w:color w:val="auto"/>
          <w:szCs w:val="21"/>
          <w:highlight w:val="none"/>
          <w:u w:val="single"/>
        </w:rPr>
        <w:t>无</w:t>
      </w:r>
      <w:r>
        <w:rPr>
          <w:rFonts w:hint="eastAsia" w:ascii="宋体" w:hAnsi="宋体"/>
          <w:color w:val="auto"/>
          <w:szCs w:val="21"/>
          <w:highlight w:val="none"/>
        </w:rPr>
        <w:t>。</w:t>
      </w:r>
    </w:p>
    <w:p w14:paraId="7BF33D0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（4）发包人提供的材料、工程设备的规格、数量或质量不符合合同约定，或因发包人原因导致交货日期延误或交货地点变更等情况的违约责任：</w:t>
      </w:r>
      <w:r>
        <w:rPr>
          <w:rFonts w:hint="eastAsia" w:ascii="宋体" w:hAnsi="宋体"/>
          <w:color w:val="auto"/>
          <w:szCs w:val="21"/>
          <w:highlight w:val="none"/>
          <w:u w:val="single"/>
        </w:rPr>
        <w:t>无</w:t>
      </w:r>
      <w:r>
        <w:rPr>
          <w:rFonts w:hint="eastAsia" w:ascii="宋体" w:hAnsi="宋体"/>
          <w:color w:val="auto"/>
          <w:szCs w:val="21"/>
          <w:highlight w:val="none"/>
        </w:rPr>
        <w:t>。</w:t>
      </w:r>
    </w:p>
    <w:p w14:paraId="22E2B68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（5）因发包人违反合同约定造成暂停施工的违约责任：</w:t>
      </w:r>
      <w:r>
        <w:rPr>
          <w:rFonts w:hint="eastAsia" w:ascii="宋体" w:hAnsi="宋体"/>
          <w:color w:val="auto"/>
          <w:szCs w:val="21"/>
          <w:highlight w:val="none"/>
          <w:u w:val="single"/>
        </w:rPr>
        <w:t>无</w:t>
      </w:r>
      <w:r>
        <w:rPr>
          <w:rFonts w:hint="eastAsia" w:ascii="宋体" w:hAnsi="宋体"/>
          <w:color w:val="auto"/>
          <w:szCs w:val="21"/>
          <w:highlight w:val="none"/>
        </w:rPr>
        <w:t>。</w:t>
      </w:r>
    </w:p>
    <w:p w14:paraId="5FDB74F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（6）发包人无正当理由没有在约定期限内发出复工指示，导致承包人无法复工的违约责任：</w:t>
      </w:r>
      <w:r>
        <w:rPr>
          <w:rFonts w:hint="eastAsia" w:ascii="宋体" w:hAnsi="宋体"/>
          <w:color w:val="auto"/>
          <w:szCs w:val="21"/>
          <w:highlight w:val="none"/>
          <w:u w:val="single"/>
        </w:rPr>
        <w:t>无</w:t>
      </w:r>
      <w:r>
        <w:rPr>
          <w:rFonts w:hint="eastAsia" w:ascii="宋体" w:hAnsi="宋体"/>
          <w:color w:val="auto"/>
          <w:szCs w:val="21"/>
          <w:highlight w:val="none"/>
        </w:rPr>
        <w:t>。</w:t>
      </w:r>
    </w:p>
    <w:p w14:paraId="76A0E71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（7）其他：</w:t>
      </w:r>
      <w:r>
        <w:rPr>
          <w:rFonts w:hint="eastAsia" w:ascii="宋体" w:hAnsi="宋体"/>
          <w:color w:val="auto"/>
          <w:szCs w:val="21"/>
          <w:highlight w:val="none"/>
          <w:u w:val="single"/>
        </w:rPr>
        <w:t>无</w:t>
      </w:r>
      <w:r>
        <w:rPr>
          <w:rFonts w:hint="eastAsia" w:ascii="宋体" w:hAnsi="宋体"/>
          <w:color w:val="auto"/>
          <w:szCs w:val="21"/>
          <w:highlight w:val="none"/>
        </w:rPr>
        <w:t>。</w:t>
      </w:r>
    </w:p>
    <w:p w14:paraId="50E3419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16.1.3因发包人违约解除合同</w:t>
      </w:r>
    </w:p>
    <w:p w14:paraId="3610516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承包人按16.1.1项〔发包人违约的情形〕约定暂停施工满</w:t>
      </w:r>
      <w:r>
        <w:rPr>
          <w:rFonts w:ascii="宋体" w:hAnsi="宋体"/>
          <w:color w:val="auto"/>
          <w:szCs w:val="21"/>
          <w:highlight w:val="none"/>
          <w:u w:val="single"/>
        </w:rPr>
        <w:t>28</w:t>
      </w:r>
      <w:r>
        <w:rPr>
          <w:rFonts w:hint="eastAsia" w:ascii="宋体" w:hAnsi="宋体"/>
          <w:color w:val="auto"/>
          <w:szCs w:val="21"/>
          <w:highlight w:val="none"/>
        </w:rPr>
        <w:t>天后发包人仍不纠正其违约行为并致使合同目的不能实现的，承包人有权解除合同。</w:t>
      </w:r>
    </w:p>
    <w:p w14:paraId="6E7C2C6B">
      <w:pPr>
        <w:pStyle w:val="170"/>
        <w:spacing w:line="240" w:lineRule="auto"/>
        <w:rPr>
          <w:rFonts w:ascii="黑体" w:hAnsi="黑体"/>
          <w:color w:val="auto"/>
          <w:highlight w:val="none"/>
        </w:rPr>
      </w:pPr>
      <w:bookmarkStart w:id="341" w:name="_Toc166155300"/>
      <w:bookmarkStart w:id="342" w:name="_Toc217642370"/>
      <w:r>
        <w:rPr>
          <w:rFonts w:hint="eastAsia" w:ascii="黑体" w:hAnsi="黑体"/>
          <w:color w:val="auto"/>
          <w:highlight w:val="none"/>
        </w:rPr>
        <w:t>16.2承包人违约</w:t>
      </w:r>
      <w:bookmarkEnd w:id="341"/>
      <w:bookmarkEnd w:id="342"/>
    </w:p>
    <w:p w14:paraId="6E106C5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16.2.1承包人违约的情形</w:t>
      </w:r>
    </w:p>
    <w:p w14:paraId="324E36B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承包人有违反2015年《南宁市人民政府关于修改〈南宁市建设工程造价管理办法〉的决定》（南宁市人民政府令第34号）规定的，按规定给予处罚。《南宁市建设工程造价管理办法》没有规定的按本合同《通用条款》执行</w:t>
      </w:r>
      <w:r>
        <w:rPr>
          <w:rFonts w:hint="eastAsia" w:ascii="宋体" w:hAnsi="宋体"/>
          <w:color w:val="auto"/>
          <w:szCs w:val="21"/>
          <w:highlight w:val="none"/>
        </w:rPr>
        <w:t>。</w:t>
      </w:r>
    </w:p>
    <w:p w14:paraId="0C47079B">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16.2.2承包人违约责任</w:t>
      </w:r>
    </w:p>
    <w:p w14:paraId="768B1CB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承包人违约责任的承担方式和计算方法：</w:t>
      </w:r>
    </w:p>
    <w:p w14:paraId="2F540F24">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01D0EFE1">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（2）承包人有本合同通用条款第16.2.1（6）条情形的，或经发包人检验认为修复质量不合格而承包人拒绝再进行修补的，发包人将扣除承包人全部质量保修金。</w:t>
      </w:r>
    </w:p>
    <w:p w14:paraId="0514144C">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（3）承包人有本专用合同条款3.2、3.3条违约责任的，发包人有权扣除承包人的违约金。违约金金额在承包人的计量支付款内扣除。 发包人预先下发含有罚款意向的指令，如承包人不及时采取措施纠正，则在指令下达后十五天下发罚款通知书（不再陈述罚款理由）。承包人被罚款后由发包人从最后一次计量支付时扣除。承包人在合同期内，完成合同规定的全部工程，且质量合格，在本工程施工竣工验收后十五天内可申请返还全部或部分罚款，返还金额由 发包人审核，发包人批准。罚款金额返还时不包括银行利息。。</w:t>
      </w:r>
    </w:p>
    <w:p w14:paraId="3EC5FFF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16.2.3因承包人违约解除合同</w:t>
      </w:r>
    </w:p>
    <w:p w14:paraId="687ABA7B">
      <w:pPr>
        <w:pStyle w:val="168"/>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u w:val="single"/>
        </w:rPr>
        <w:t>16.2.3.1关于因承包人违约而解除合同的特别约定</w:t>
      </w:r>
    </w:p>
    <w:p w14:paraId="3EE12CCD">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承包人有违反以下情况之一的，发包人有权解除合同：</w:t>
      </w:r>
    </w:p>
    <w:p w14:paraId="28BA263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（1）承包人无正当理由不按开工通知的要求及时进场组织施工和不按签订协议书时商定的进度计划有效地开展施工准备，造成工期延误的；</w:t>
      </w:r>
    </w:p>
    <w:p w14:paraId="719178F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（2）承包人违反本合同通用条款第3.5条规定私自将合同或合同的任何部分或任何权利转让给其他人，或私自将工程或工程的一部分分包出去的；</w:t>
      </w:r>
    </w:p>
    <w:p w14:paraId="48F7B0A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（3）未经监理人批准，承包人私自将已按投标文件承诺进入工地的工程设备、施工设备、临时工程或材料撤离工地的；</w:t>
      </w:r>
    </w:p>
    <w:p w14:paraId="257C167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（4）由于承包人原因拒绝按合同进度计划及时完成合同约定的工程，而又未采取有效措施赶上进度，造成工期严重延误的；</w:t>
      </w:r>
    </w:p>
    <w:p w14:paraId="011D19A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（5）承包人否认合同有效或拒绝履行合同约定义务，或由于法律、财务等原因导致承包人无法继续履行或实质上已停止履行合同义务的；</w:t>
      </w:r>
    </w:p>
    <w:p w14:paraId="7E2751DE">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（6）合同签订且具备法定开工条件后之日起十五日内，承包人无法按合同约定及投标文件的承诺进场经监理工程师认可的该施工阶段应有的全部人员和机械的。</w:t>
      </w:r>
    </w:p>
    <w:p w14:paraId="67249C38">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（7）承包人为联合体中标的，在施工过程中，未按联合体协议书约定进行分工实施本工程的。</w:t>
      </w:r>
    </w:p>
    <w:p w14:paraId="136E7CF4">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16.2.3.2</w:t>
      </w:r>
      <w:r>
        <w:rPr>
          <w:rFonts w:hint="eastAsia" w:ascii="宋体" w:hAnsi="宋体"/>
          <w:color w:val="auto"/>
          <w:szCs w:val="21"/>
          <w:highlight w:val="none"/>
        </w:rPr>
        <w:t>发包人继续使用承包人在施工现场的材料、设备、临时工程、承包人文件和由承包人或以其名义编制的其他文件的费用承担方式：</w:t>
      </w:r>
      <w:r>
        <w:rPr>
          <w:rFonts w:hint="eastAsia" w:ascii="宋体" w:hAnsi="宋体"/>
          <w:color w:val="auto"/>
          <w:szCs w:val="21"/>
          <w:highlight w:val="none"/>
          <w:u w:val="single"/>
        </w:rPr>
        <w:t>费用由承包人承担。</w:t>
      </w:r>
    </w:p>
    <w:p w14:paraId="27FE1427">
      <w:pPr>
        <w:pStyle w:val="167"/>
        <w:rPr>
          <w:rFonts w:ascii="黑体" w:hAnsi="黑体"/>
          <w:color w:val="auto"/>
          <w:highlight w:val="none"/>
        </w:rPr>
      </w:pPr>
      <w:bookmarkStart w:id="343" w:name="_Toc166155301"/>
      <w:bookmarkStart w:id="344" w:name="_Toc217642371"/>
      <w:r>
        <w:rPr>
          <w:rFonts w:hint="eastAsia" w:ascii="黑体" w:hAnsi="黑体"/>
          <w:color w:val="auto"/>
          <w:highlight w:val="none"/>
        </w:rPr>
        <w:t>17.不可抗力</w:t>
      </w:r>
      <w:bookmarkEnd w:id="343"/>
      <w:bookmarkEnd w:id="344"/>
    </w:p>
    <w:p w14:paraId="3E276ADC">
      <w:pPr>
        <w:pStyle w:val="170"/>
        <w:spacing w:line="240" w:lineRule="auto"/>
        <w:rPr>
          <w:rFonts w:ascii="黑体" w:hAnsi="黑体"/>
          <w:color w:val="auto"/>
          <w:highlight w:val="none"/>
        </w:rPr>
      </w:pPr>
      <w:bookmarkStart w:id="345" w:name="_Toc166155302"/>
      <w:bookmarkStart w:id="346" w:name="_Toc217642372"/>
      <w:r>
        <w:rPr>
          <w:rFonts w:hint="eastAsia" w:ascii="黑体" w:hAnsi="黑体"/>
          <w:color w:val="auto"/>
          <w:highlight w:val="none"/>
        </w:rPr>
        <w:t>17.1不可抗力的确认</w:t>
      </w:r>
      <w:bookmarkEnd w:id="345"/>
      <w:bookmarkEnd w:id="346"/>
    </w:p>
    <w:p w14:paraId="754BEC1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除通用合同条款约定的不可抗力事件之外，视为不可抗力的其他情形：</w:t>
      </w:r>
      <w:r>
        <w:rPr>
          <w:rFonts w:hint="eastAsia" w:ascii="宋体" w:hAnsi="宋体"/>
          <w:color w:val="auto"/>
          <w:szCs w:val="21"/>
          <w:highlight w:val="none"/>
          <w:u w:val="single"/>
        </w:rPr>
        <w:t>因政府或相关主管部门要求导致项目中断施工</w:t>
      </w:r>
      <w:r>
        <w:rPr>
          <w:rFonts w:hint="eastAsia" w:ascii="宋体" w:hAnsi="宋体"/>
          <w:color w:val="auto"/>
          <w:szCs w:val="21"/>
          <w:highlight w:val="none"/>
        </w:rPr>
        <w:t>。</w:t>
      </w:r>
    </w:p>
    <w:p w14:paraId="4A0A4FEC">
      <w:pPr>
        <w:pStyle w:val="170"/>
        <w:spacing w:line="240" w:lineRule="auto"/>
        <w:rPr>
          <w:rFonts w:ascii="黑体" w:hAnsi="黑体"/>
          <w:color w:val="auto"/>
          <w:highlight w:val="none"/>
        </w:rPr>
      </w:pPr>
      <w:bookmarkStart w:id="347" w:name="_Toc217642373"/>
      <w:bookmarkStart w:id="348" w:name="_Toc166155303"/>
      <w:r>
        <w:rPr>
          <w:rFonts w:hint="eastAsia" w:ascii="黑体" w:hAnsi="黑体"/>
          <w:color w:val="auto"/>
          <w:highlight w:val="none"/>
        </w:rPr>
        <w:t>17.4因不可抗力解除合同</w:t>
      </w:r>
      <w:bookmarkEnd w:id="347"/>
      <w:bookmarkEnd w:id="348"/>
    </w:p>
    <w:p w14:paraId="1E4D983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合同解除后，发包人应在商定或确定发包人应支付款项后</w:t>
      </w:r>
      <w:r>
        <w:rPr>
          <w:rFonts w:ascii="宋体" w:hAnsi="宋体"/>
          <w:color w:val="auto"/>
          <w:szCs w:val="21"/>
          <w:highlight w:val="none"/>
          <w:u w:val="single"/>
        </w:rPr>
        <w:t>28</w:t>
      </w:r>
      <w:r>
        <w:rPr>
          <w:rFonts w:hint="eastAsia" w:ascii="宋体" w:hAnsi="宋体"/>
          <w:color w:val="auto"/>
          <w:szCs w:val="21"/>
          <w:highlight w:val="none"/>
        </w:rPr>
        <w:t>天内完成款项的支付。</w:t>
      </w:r>
    </w:p>
    <w:p w14:paraId="4F2FB3AC">
      <w:pPr>
        <w:pStyle w:val="167"/>
        <w:rPr>
          <w:rFonts w:ascii="黑体" w:hAnsi="黑体"/>
          <w:color w:val="auto"/>
          <w:highlight w:val="none"/>
        </w:rPr>
      </w:pPr>
      <w:bookmarkStart w:id="349" w:name="_Toc166155304"/>
      <w:bookmarkStart w:id="350" w:name="_Toc217642374"/>
      <w:r>
        <w:rPr>
          <w:rFonts w:hint="eastAsia" w:ascii="黑体" w:hAnsi="黑体"/>
          <w:color w:val="auto"/>
          <w:highlight w:val="none"/>
        </w:rPr>
        <w:t>18.保险</w:t>
      </w:r>
      <w:bookmarkEnd w:id="349"/>
      <w:bookmarkEnd w:id="350"/>
    </w:p>
    <w:p w14:paraId="63346F16">
      <w:pPr>
        <w:pStyle w:val="170"/>
        <w:spacing w:line="240" w:lineRule="auto"/>
        <w:rPr>
          <w:rFonts w:ascii="黑体" w:hAnsi="黑体"/>
          <w:color w:val="auto"/>
          <w:highlight w:val="none"/>
        </w:rPr>
      </w:pPr>
      <w:bookmarkStart w:id="351" w:name="_Toc217642375"/>
      <w:bookmarkStart w:id="352" w:name="_Toc166155305"/>
      <w:r>
        <w:rPr>
          <w:rFonts w:hint="eastAsia" w:ascii="黑体" w:hAnsi="黑体"/>
          <w:color w:val="auto"/>
          <w:highlight w:val="none"/>
        </w:rPr>
        <w:t>18.1工程保险</w:t>
      </w:r>
      <w:bookmarkEnd w:id="351"/>
      <w:bookmarkEnd w:id="352"/>
    </w:p>
    <w:p w14:paraId="656A95E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关于工程保险的特别约定：</w:t>
      </w:r>
      <w:r>
        <w:rPr>
          <w:rFonts w:hint="eastAsia" w:ascii="宋体" w:hAnsi="宋体"/>
          <w:color w:val="auto"/>
          <w:szCs w:val="21"/>
          <w:highlight w:val="none"/>
          <w:u w:val="single"/>
        </w:rPr>
        <w:t>发包人可根据需要投保工程质量保险；对已投保的工程项目，承包人应积极配合保险公司开展相关工作</w:t>
      </w:r>
      <w:r>
        <w:rPr>
          <w:rFonts w:hint="eastAsia" w:ascii="宋体" w:hAnsi="宋体"/>
          <w:color w:val="auto"/>
          <w:szCs w:val="21"/>
          <w:highlight w:val="none"/>
        </w:rPr>
        <w:t>。</w:t>
      </w:r>
    </w:p>
    <w:p w14:paraId="3AB5A8C5">
      <w:pPr>
        <w:pStyle w:val="170"/>
        <w:spacing w:line="240" w:lineRule="auto"/>
        <w:rPr>
          <w:rFonts w:ascii="黑体" w:hAnsi="黑体"/>
          <w:color w:val="auto"/>
          <w:highlight w:val="none"/>
        </w:rPr>
      </w:pPr>
      <w:bookmarkStart w:id="353" w:name="_Toc166155306"/>
      <w:bookmarkStart w:id="354" w:name="_Toc217642376"/>
      <w:r>
        <w:rPr>
          <w:rFonts w:hint="eastAsia" w:ascii="黑体" w:hAnsi="黑体"/>
          <w:color w:val="auto"/>
          <w:highlight w:val="none"/>
        </w:rPr>
        <w:t>18.3其他保险</w:t>
      </w:r>
      <w:bookmarkEnd w:id="353"/>
      <w:bookmarkEnd w:id="354"/>
    </w:p>
    <w:p w14:paraId="39F208CE">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关于其他保险的约定：</w:t>
      </w:r>
      <w:r>
        <w:rPr>
          <w:rFonts w:hint="eastAsia" w:ascii="宋体" w:hAnsi="宋体"/>
          <w:color w:val="auto"/>
          <w:szCs w:val="21"/>
          <w:highlight w:val="none"/>
          <w:u w:val="single"/>
        </w:rPr>
        <w:t>承包人必须为施工现场从事施工的自有作业人员和管理人员办理意外伤害保险，并支付保险费，费用已包含在综合单价中不再另计计价</w:t>
      </w:r>
      <w:r>
        <w:rPr>
          <w:rFonts w:hint="eastAsia" w:ascii="宋体" w:hAnsi="宋体"/>
          <w:color w:val="auto"/>
          <w:szCs w:val="21"/>
          <w:highlight w:val="none"/>
        </w:rPr>
        <w:t>。</w:t>
      </w:r>
    </w:p>
    <w:p w14:paraId="1BD8912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承包人是否应为其施工设备等办理财产保险：</w:t>
      </w:r>
      <w:r>
        <w:rPr>
          <w:rFonts w:hint="eastAsia" w:ascii="宋体" w:hAnsi="宋体"/>
          <w:color w:val="auto"/>
          <w:szCs w:val="21"/>
          <w:highlight w:val="none"/>
          <w:u w:val="single"/>
        </w:rPr>
        <w:t>承包人自行考虑</w:t>
      </w:r>
      <w:r>
        <w:rPr>
          <w:rFonts w:hint="eastAsia" w:ascii="宋体" w:hAnsi="宋体"/>
          <w:color w:val="auto"/>
          <w:szCs w:val="21"/>
          <w:highlight w:val="none"/>
        </w:rPr>
        <w:t>。</w:t>
      </w:r>
    </w:p>
    <w:p w14:paraId="5B6B37D5">
      <w:pPr>
        <w:pStyle w:val="170"/>
        <w:spacing w:line="240" w:lineRule="auto"/>
        <w:rPr>
          <w:rFonts w:ascii="黑体" w:hAnsi="黑体"/>
          <w:color w:val="auto"/>
          <w:highlight w:val="none"/>
        </w:rPr>
      </w:pPr>
      <w:bookmarkStart w:id="355" w:name="_Toc217642377"/>
      <w:bookmarkStart w:id="356" w:name="_Toc166155307"/>
      <w:r>
        <w:rPr>
          <w:rFonts w:hint="eastAsia" w:ascii="黑体" w:hAnsi="黑体"/>
          <w:color w:val="auto"/>
          <w:highlight w:val="none"/>
        </w:rPr>
        <w:t>18.7通知义务</w:t>
      </w:r>
      <w:bookmarkEnd w:id="355"/>
      <w:bookmarkEnd w:id="356"/>
    </w:p>
    <w:p w14:paraId="0E1ADDD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ascii="宋体" w:hAnsi="宋体"/>
          <w:color w:val="auto"/>
          <w:szCs w:val="21"/>
          <w:highlight w:val="none"/>
          <w:u w:val="single"/>
        </w:rPr>
        <w:t>无</w:t>
      </w:r>
      <w:r>
        <w:rPr>
          <w:rFonts w:hint="eastAsia" w:ascii="宋体" w:hAnsi="宋体"/>
          <w:color w:val="auto"/>
          <w:szCs w:val="21"/>
          <w:highlight w:val="none"/>
        </w:rPr>
        <w:t>。</w:t>
      </w:r>
    </w:p>
    <w:p w14:paraId="4A2FA523">
      <w:pPr>
        <w:pStyle w:val="167"/>
        <w:rPr>
          <w:rFonts w:ascii="黑体" w:hAnsi="黑体"/>
          <w:color w:val="auto"/>
          <w:highlight w:val="none"/>
        </w:rPr>
      </w:pPr>
      <w:bookmarkStart w:id="357" w:name="_Toc217642378"/>
      <w:bookmarkStart w:id="358" w:name="_Toc166155308"/>
      <w:r>
        <w:rPr>
          <w:rFonts w:hint="eastAsia" w:ascii="黑体" w:hAnsi="黑体"/>
          <w:color w:val="auto"/>
          <w:highlight w:val="none"/>
        </w:rPr>
        <w:t>20.争议解决</w:t>
      </w:r>
      <w:bookmarkEnd w:id="357"/>
      <w:bookmarkEnd w:id="358"/>
    </w:p>
    <w:p w14:paraId="45621683">
      <w:pPr>
        <w:pStyle w:val="170"/>
        <w:spacing w:line="240" w:lineRule="auto"/>
        <w:rPr>
          <w:rFonts w:ascii="黑体" w:hAnsi="黑体"/>
          <w:color w:val="auto"/>
          <w:highlight w:val="none"/>
        </w:rPr>
      </w:pPr>
      <w:bookmarkStart w:id="359" w:name="_Toc166155309"/>
      <w:bookmarkStart w:id="360" w:name="_Toc217642379"/>
      <w:r>
        <w:rPr>
          <w:rFonts w:hint="eastAsia" w:ascii="黑体" w:hAnsi="黑体"/>
          <w:color w:val="auto"/>
          <w:highlight w:val="none"/>
        </w:rPr>
        <w:t>20.3争议评审</w:t>
      </w:r>
      <w:bookmarkEnd w:id="359"/>
      <w:bookmarkEnd w:id="360"/>
    </w:p>
    <w:p w14:paraId="1E747E8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合同当事人是否同意将工程争议提交争议评审小组决定：</w:t>
      </w:r>
      <w:r>
        <w:rPr>
          <w:rFonts w:hint="eastAsia" w:ascii="宋体" w:hAnsi="宋体"/>
          <w:color w:val="auto"/>
          <w:szCs w:val="21"/>
          <w:highlight w:val="none"/>
          <w:u w:val="single"/>
        </w:rPr>
        <w:t>是</w:t>
      </w:r>
      <w:r>
        <w:rPr>
          <w:rFonts w:hint="eastAsia" w:ascii="宋体" w:hAnsi="宋体"/>
          <w:color w:val="auto"/>
          <w:szCs w:val="21"/>
          <w:highlight w:val="none"/>
        </w:rPr>
        <w:t>。</w:t>
      </w:r>
    </w:p>
    <w:p w14:paraId="02F465F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20.3.1争议评审小组的确定</w:t>
      </w:r>
    </w:p>
    <w:p w14:paraId="5EF2DD3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争议评审小组成员的确定：</w:t>
      </w:r>
      <w:r>
        <w:rPr>
          <w:rFonts w:hint="eastAsia" w:ascii="宋体" w:hAnsi="宋体"/>
          <w:color w:val="auto"/>
          <w:szCs w:val="21"/>
          <w:highlight w:val="none"/>
          <w:u w:val="single"/>
        </w:rPr>
        <w:t>按本合同通用条款相关规定执行</w:t>
      </w:r>
      <w:r>
        <w:rPr>
          <w:rFonts w:hint="eastAsia" w:ascii="宋体" w:hAnsi="宋体"/>
          <w:color w:val="auto"/>
          <w:szCs w:val="21"/>
          <w:highlight w:val="none"/>
        </w:rPr>
        <w:t>。</w:t>
      </w:r>
    </w:p>
    <w:p w14:paraId="0CAA1AB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选定争议评审员的期限：</w:t>
      </w:r>
      <w:r>
        <w:rPr>
          <w:rFonts w:hint="eastAsia" w:ascii="宋体" w:hAnsi="宋体"/>
          <w:color w:val="auto"/>
          <w:szCs w:val="21"/>
          <w:highlight w:val="none"/>
          <w:u w:val="single"/>
        </w:rPr>
        <w:t>按本合同通用条款相关规定执行</w:t>
      </w:r>
      <w:r>
        <w:rPr>
          <w:rFonts w:hint="eastAsia" w:ascii="宋体" w:hAnsi="宋体"/>
          <w:color w:val="auto"/>
          <w:szCs w:val="21"/>
          <w:highlight w:val="none"/>
        </w:rPr>
        <w:t>。</w:t>
      </w:r>
    </w:p>
    <w:p w14:paraId="6D3F3E4E">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争议评审小组成员的报酬承担方式：</w:t>
      </w:r>
      <w:r>
        <w:rPr>
          <w:rFonts w:hint="eastAsia" w:ascii="宋体" w:hAnsi="宋体"/>
          <w:color w:val="auto"/>
          <w:szCs w:val="21"/>
          <w:highlight w:val="none"/>
          <w:u w:val="single"/>
        </w:rPr>
        <w:t>按本合同通用条款相关规定执行</w:t>
      </w:r>
      <w:r>
        <w:rPr>
          <w:rFonts w:hint="eastAsia" w:ascii="宋体" w:hAnsi="宋体"/>
          <w:color w:val="auto"/>
          <w:szCs w:val="21"/>
          <w:highlight w:val="none"/>
        </w:rPr>
        <w:t>。</w:t>
      </w:r>
    </w:p>
    <w:p w14:paraId="3FEDEE7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其他事项的约定：</w:t>
      </w:r>
      <w:r>
        <w:rPr>
          <w:rFonts w:hint="eastAsia" w:ascii="宋体" w:hAnsi="宋体"/>
          <w:color w:val="auto"/>
          <w:szCs w:val="21"/>
          <w:highlight w:val="none"/>
          <w:u w:val="single"/>
        </w:rPr>
        <w:t>按本合同通用条款相关规定执行</w:t>
      </w:r>
      <w:r>
        <w:rPr>
          <w:rFonts w:hint="eastAsia" w:ascii="宋体" w:hAnsi="宋体"/>
          <w:color w:val="auto"/>
          <w:szCs w:val="21"/>
          <w:highlight w:val="none"/>
        </w:rPr>
        <w:t>。</w:t>
      </w:r>
    </w:p>
    <w:p w14:paraId="259E2F2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20.3.2争议评审小组的决定</w:t>
      </w:r>
    </w:p>
    <w:p w14:paraId="4AFEF8C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合同当事人关于本项的约定：</w:t>
      </w:r>
      <w:r>
        <w:rPr>
          <w:rFonts w:hint="eastAsia" w:ascii="宋体" w:hAnsi="宋体"/>
          <w:color w:val="auto"/>
          <w:szCs w:val="21"/>
          <w:highlight w:val="none"/>
          <w:u w:val="single"/>
        </w:rPr>
        <w:t>按本合同通用条款相关规定执行</w:t>
      </w:r>
      <w:r>
        <w:rPr>
          <w:rFonts w:hint="eastAsia" w:ascii="宋体" w:hAnsi="宋体"/>
          <w:color w:val="auto"/>
          <w:szCs w:val="21"/>
          <w:highlight w:val="none"/>
        </w:rPr>
        <w:t>。</w:t>
      </w:r>
    </w:p>
    <w:p w14:paraId="6172F9C6">
      <w:pPr>
        <w:pStyle w:val="170"/>
        <w:spacing w:line="240" w:lineRule="auto"/>
        <w:rPr>
          <w:rFonts w:ascii="黑体" w:hAnsi="黑体"/>
          <w:color w:val="auto"/>
          <w:highlight w:val="none"/>
        </w:rPr>
      </w:pPr>
      <w:bookmarkStart w:id="361" w:name="_Toc217642380"/>
      <w:bookmarkStart w:id="362" w:name="_Toc166155310"/>
      <w:r>
        <w:rPr>
          <w:rFonts w:hint="eastAsia" w:ascii="黑体" w:hAnsi="黑体"/>
          <w:color w:val="auto"/>
          <w:highlight w:val="none"/>
        </w:rPr>
        <w:t>20.4仲裁或诉讼</w:t>
      </w:r>
      <w:bookmarkEnd w:id="361"/>
      <w:bookmarkEnd w:id="362"/>
    </w:p>
    <w:p w14:paraId="1D48BB2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因合同及合同有关事项发生的争议，按下列第</w:t>
      </w:r>
      <w:r>
        <w:rPr>
          <w:rFonts w:hint="eastAsia" w:ascii="宋体" w:hAnsi="宋体"/>
          <w:color w:val="auto"/>
          <w:szCs w:val="21"/>
          <w:highlight w:val="none"/>
          <w:u w:val="single"/>
        </w:rPr>
        <w:t>（2）</w:t>
      </w:r>
      <w:r>
        <w:rPr>
          <w:rFonts w:hint="eastAsia" w:ascii="宋体" w:hAnsi="宋体"/>
          <w:color w:val="auto"/>
          <w:szCs w:val="21"/>
          <w:highlight w:val="none"/>
        </w:rPr>
        <w:t>种方式解决：</w:t>
      </w:r>
    </w:p>
    <w:p w14:paraId="4057EDC5">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（1）提请</w:t>
      </w:r>
      <w:r>
        <w:rPr>
          <w:rFonts w:hint="eastAsia" w:ascii="宋体" w:hAnsi="宋体"/>
          <w:color w:val="auto"/>
          <w:szCs w:val="21"/>
          <w:highlight w:val="none"/>
          <w:u w:val="single"/>
        </w:rPr>
        <w:t>/</w:t>
      </w:r>
      <w:r>
        <w:rPr>
          <w:rFonts w:hint="eastAsia" w:ascii="宋体" w:hAnsi="宋体"/>
          <w:color w:val="auto"/>
          <w:szCs w:val="21"/>
          <w:highlight w:val="none"/>
        </w:rPr>
        <w:t>仲裁委员会按照该会仲裁规则进行仲裁，仲裁裁决是终局的，对合同双方均有约束力。</w:t>
      </w:r>
    </w:p>
    <w:p w14:paraId="4E5FA2A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工程所在地</w:t>
      </w:r>
      <w:r>
        <w:rPr>
          <w:rFonts w:hint="eastAsia" w:ascii="宋体" w:hAnsi="宋体"/>
          <w:color w:val="auto"/>
          <w:szCs w:val="21"/>
          <w:highlight w:val="none"/>
        </w:rPr>
        <w:t>人民法院起诉。</w:t>
      </w:r>
    </w:p>
    <w:p w14:paraId="68F376F4">
      <w:pPr>
        <w:pStyle w:val="167"/>
        <w:rPr>
          <w:rFonts w:ascii="黑体" w:hAnsi="黑体"/>
          <w:b w:val="0"/>
          <w:color w:val="auto"/>
          <w:highlight w:val="none"/>
        </w:rPr>
      </w:pPr>
      <w:bookmarkStart w:id="363" w:name="_Toc166155311"/>
      <w:bookmarkStart w:id="364" w:name="_Toc217642381"/>
      <w:r>
        <w:rPr>
          <w:rFonts w:hint="eastAsia" w:ascii="黑体" w:hAnsi="黑体"/>
          <w:b w:val="0"/>
          <w:color w:val="auto"/>
          <w:highlight w:val="none"/>
        </w:rPr>
        <w:t>21.补充条款</w:t>
      </w:r>
      <w:bookmarkEnd w:id="363"/>
      <w:bookmarkEnd w:id="364"/>
    </w:p>
    <w:p w14:paraId="5CBD1F92">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无。</w:t>
      </w:r>
    </w:p>
    <w:p w14:paraId="1AC2BE35">
      <w:pPr>
        <w:pStyle w:val="168"/>
        <w:spacing w:line="360" w:lineRule="auto"/>
        <w:ind w:firstLine="420" w:firstLineChars="200"/>
        <w:rPr>
          <w:rFonts w:ascii="宋体" w:hAnsi="宋体"/>
          <w:color w:val="auto"/>
          <w:szCs w:val="21"/>
          <w:highlight w:val="none"/>
        </w:rPr>
      </w:pPr>
    </w:p>
    <w:p w14:paraId="531FEE03">
      <w:pPr>
        <w:pStyle w:val="168"/>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附件</w:t>
      </w:r>
    </w:p>
    <w:p w14:paraId="50BA3DB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1</w:t>
      </w:r>
      <w:r>
        <w:rPr>
          <w:rFonts w:hint="eastAsia" w:ascii="宋体" w:hAnsi="宋体"/>
          <w:color w:val="auto"/>
          <w:szCs w:val="21"/>
          <w:highlight w:val="none"/>
        </w:rPr>
        <w:t>：工程质量保修书</w:t>
      </w:r>
    </w:p>
    <w:p w14:paraId="4183ED7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2</w:t>
      </w:r>
      <w:r>
        <w:rPr>
          <w:rFonts w:hint="eastAsia" w:ascii="宋体" w:hAnsi="宋体"/>
          <w:color w:val="auto"/>
          <w:szCs w:val="21"/>
          <w:highlight w:val="none"/>
        </w:rPr>
        <w:t>：承包人用于本工程施工的机械设备表</w:t>
      </w:r>
    </w:p>
    <w:p w14:paraId="02A613A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3</w:t>
      </w:r>
      <w:r>
        <w:rPr>
          <w:rFonts w:hint="eastAsia" w:ascii="宋体" w:hAnsi="宋体"/>
          <w:color w:val="auto"/>
          <w:szCs w:val="21"/>
          <w:highlight w:val="none"/>
        </w:rPr>
        <w:t>：承包人主要施工管理人员表</w:t>
      </w:r>
    </w:p>
    <w:p w14:paraId="31414FC2">
      <w:pPr>
        <w:pStyle w:val="168"/>
        <w:spacing w:line="360" w:lineRule="auto"/>
        <w:ind w:firstLine="420" w:firstLineChars="200"/>
        <w:rPr>
          <w:rFonts w:ascii="宋体" w:hAnsi="宋体"/>
          <w:color w:val="auto"/>
          <w:szCs w:val="21"/>
          <w:highlight w:val="none"/>
        </w:rPr>
      </w:pPr>
      <w:r>
        <w:rPr>
          <w:rFonts w:ascii="宋体" w:hAnsi="宋体"/>
          <w:color w:val="auto"/>
          <w:szCs w:val="21"/>
          <w:highlight w:val="none"/>
        </w:rPr>
        <w:t>附件4：</w:t>
      </w:r>
      <w:r>
        <w:rPr>
          <w:rFonts w:hint="eastAsia" w:ascii="宋体" w:hAnsi="宋体"/>
          <w:color w:val="auto"/>
          <w:szCs w:val="21"/>
          <w:highlight w:val="none"/>
        </w:rPr>
        <w:t>施工安全生产责任书</w:t>
      </w:r>
    </w:p>
    <w:p w14:paraId="42A2135C">
      <w:pPr>
        <w:pStyle w:val="168"/>
        <w:spacing w:line="360" w:lineRule="auto"/>
        <w:ind w:firstLine="420" w:firstLineChars="200"/>
        <w:rPr>
          <w:rFonts w:ascii="宋体" w:hAnsi="宋体"/>
          <w:color w:val="auto"/>
          <w:szCs w:val="21"/>
          <w:highlight w:val="none"/>
        </w:rPr>
        <w:sectPr>
          <w:pgSz w:w="11906" w:h="16838"/>
          <w:pgMar w:top="1440" w:right="1134" w:bottom="1440" w:left="1418" w:header="851" w:footer="992" w:gutter="0"/>
          <w:cols w:space="425" w:num="1"/>
          <w:docGrid w:type="lines" w:linePitch="312" w:charSpace="0"/>
        </w:sectPr>
      </w:pPr>
    </w:p>
    <w:p w14:paraId="26CC1A11">
      <w:pPr>
        <w:pStyle w:val="168"/>
        <w:spacing w:line="360" w:lineRule="auto"/>
        <w:rPr>
          <w:rFonts w:ascii="宋体" w:hAnsi="宋体"/>
          <w:color w:val="auto"/>
          <w:sz w:val="30"/>
          <w:szCs w:val="30"/>
          <w:highlight w:val="none"/>
        </w:rPr>
      </w:pPr>
      <w:r>
        <w:rPr>
          <w:rFonts w:hint="eastAsia" w:ascii="宋体" w:hAnsi="宋体"/>
          <w:color w:val="auto"/>
          <w:sz w:val="30"/>
          <w:szCs w:val="30"/>
          <w:highlight w:val="none"/>
        </w:rPr>
        <w:t>附件</w:t>
      </w:r>
      <w:r>
        <w:rPr>
          <w:rFonts w:ascii="宋体" w:hAnsi="宋体"/>
          <w:color w:val="auto"/>
          <w:sz w:val="30"/>
          <w:szCs w:val="30"/>
          <w:highlight w:val="none"/>
        </w:rPr>
        <w:t>1</w:t>
      </w:r>
      <w:r>
        <w:rPr>
          <w:rFonts w:hint="eastAsia" w:ascii="宋体" w:hAnsi="宋体"/>
          <w:color w:val="auto"/>
          <w:sz w:val="30"/>
          <w:szCs w:val="30"/>
          <w:highlight w:val="none"/>
        </w:rPr>
        <w:t>：</w:t>
      </w:r>
    </w:p>
    <w:p w14:paraId="4EBF9CA0">
      <w:pPr>
        <w:pStyle w:val="168"/>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工程质量保修书（房屋建筑工程）</w:t>
      </w:r>
    </w:p>
    <w:p w14:paraId="0B84129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发包人（全称）：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049599F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承包人（全称）：________________</w:t>
      </w:r>
    </w:p>
    <w:p w14:paraId="612C29E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发包人和承包人根据《中华人民共和国建筑法》和《建设工程质量管理条例》，经协商一致就</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（工程全称）签订工程质量保修书。</w:t>
      </w:r>
    </w:p>
    <w:p w14:paraId="73E960A0">
      <w:pPr>
        <w:pStyle w:val="168"/>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一、工程质量保修范围和内容</w:t>
      </w:r>
    </w:p>
    <w:p w14:paraId="0A0787E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承包人在质量保修期内，按照有关法律规定和合同约定，承担工程质量保修责任。</w:t>
      </w:r>
    </w:p>
    <w:p w14:paraId="3EABF93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3F0AFE5">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缺陷责任期内，如发生属承包人责任的质量问题，按工程质量保修书约定执行。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62C85D8A">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2.缺陷责任期结束后质保期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防水防渗工程质量保修，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31696517">
      <w:pPr>
        <w:pStyle w:val="168"/>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二、质量保修期</w:t>
      </w:r>
    </w:p>
    <w:p w14:paraId="5440A99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根据《建设工程质量管理条例》及有关规定，工程的质量保修期如下：</w:t>
      </w:r>
    </w:p>
    <w:p w14:paraId="7DD93E7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1．地基基础工程和主体结构工程为设计文件规定的工程合理使用年限；</w:t>
      </w:r>
    </w:p>
    <w:p w14:paraId="42ACFB4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2．屋面防水工程、有防水要求的卫生间、房间和外墙面的防渗为</w:t>
      </w:r>
      <w:r>
        <w:rPr>
          <w:rFonts w:hint="eastAsia" w:ascii="宋体" w:hAnsi="宋体"/>
          <w:color w:val="auto"/>
          <w:szCs w:val="21"/>
          <w:highlight w:val="none"/>
          <w:u w:val="single"/>
        </w:rPr>
        <w:t>5</w:t>
      </w:r>
      <w:r>
        <w:rPr>
          <w:rFonts w:hint="eastAsia" w:ascii="宋体" w:hAnsi="宋体"/>
          <w:color w:val="auto"/>
          <w:szCs w:val="21"/>
          <w:highlight w:val="none"/>
        </w:rPr>
        <w:t>年；</w:t>
      </w:r>
    </w:p>
    <w:p w14:paraId="13DAA15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3．装修工程为</w:t>
      </w:r>
      <w:r>
        <w:rPr>
          <w:rFonts w:hint="eastAsia" w:ascii="宋体" w:hAnsi="宋体"/>
          <w:color w:val="auto"/>
          <w:szCs w:val="21"/>
          <w:highlight w:val="none"/>
          <w:u w:val="single"/>
        </w:rPr>
        <w:t>2</w:t>
      </w:r>
      <w:r>
        <w:rPr>
          <w:rFonts w:hint="eastAsia" w:ascii="宋体" w:hAnsi="宋体"/>
          <w:color w:val="auto"/>
          <w:szCs w:val="21"/>
          <w:highlight w:val="none"/>
        </w:rPr>
        <w:t>年；</w:t>
      </w:r>
    </w:p>
    <w:p w14:paraId="52D9569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4．电气管线、给排水管道、设备安装工程为</w:t>
      </w:r>
      <w:r>
        <w:rPr>
          <w:rFonts w:hint="eastAsia" w:ascii="宋体" w:hAnsi="宋体"/>
          <w:color w:val="auto"/>
          <w:szCs w:val="21"/>
          <w:highlight w:val="none"/>
          <w:u w:val="single"/>
        </w:rPr>
        <w:t>2</w:t>
      </w:r>
      <w:r>
        <w:rPr>
          <w:rFonts w:hint="eastAsia" w:ascii="宋体" w:hAnsi="宋体"/>
          <w:color w:val="auto"/>
          <w:szCs w:val="21"/>
          <w:highlight w:val="none"/>
        </w:rPr>
        <w:t>年；</w:t>
      </w:r>
    </w:p>
    <w:p w14:paraId="247E503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5．供热与供冷系统为</w:t>
      </w:r>
      <w:r>
        <w:rPr>
          <w:rFonts w:hint="eastAsia" w:ascii="宋体" w:hAnsi="宋体"/>
          <w:color w:val="auto"/>
          <w:szCs w:val="21"/>
          <w:highlight w:val="none"/>
          <w:u w:val="single"/>
        </w:rPr>
        <w:t>2</w:t>
      </w:r>
      <w:r>
        <w:rPr>
          <w:rFonts w:hint="eastAsia" w:ascii="宋体" w:hAnsi="宋体"/>
          <w:color w:val="auto"/>
          <w:szCs w:val="21"/>
          <w:highlight w:val="none"/>
        </w:rPr>
        <w:t>个采暖期、供冷期；</w:t>
      </w:r>
    </w:p>
    <w:p w14:paraId="06CD325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6．住宅小区内的给排水设施、道路等配套工程为</w:t>
      </w:r>
      <w:r>
        <w:rPr>
          <w:rFonts w:hint="eastAsia" w:ascii="宋体" w:hAnsi="宋体"/>
          <w:color w:val="auto"/>
          <w:szCs w:val="21"/>
          <w:highlight w:val="none"/>
          <w:u w:val="single"/>
        </w:rPr>
        <w:t>2</w:t>
      </w:r>
      <w:r>
        <w:rPr>
          <w:rFonts w:hint="eastAsia" w:ascii="宋体" w:hAnsi="宋体"/>
          <w:color w:val="auto"/>
          <w:szCs w:val="21"/>
          <w:highlight w:val="none"/>
        </w:rPr>
        <w:t>年；</w:t>
      </w:r>
    </w:p>
    <w:p w14:paraId="651C73B5">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7．其他项目保修期限约定如下：</w:t>
      </w:r>
      <w:r>
        <w:rPr>
          <w:rFonts w:hint="eastAsia" w:ascii="宋体" w:hAnsi="宋体"/>
          <w:color w:val="auto"/>
          <w:szCs w:val="21"/>
          <w:highlight w:val="none"/>
          <w:u w:val="single"/>
        </w:rPr>
        <w:t>1年</w:t>
      </w:r>
      <w:r>
        <w:rPr>
          <w:rFonts w:hint="eastAsia" w:ascii="宋体" w:hAnsi="宋体"/>
          <w:color w:val="auto"/>
          <w:szCs w:val="21"/>
          <w:highlight w:val="none"/>
        </w:rPr>
        <w:t>。</w:t>
      </w:r>
    </w:p>
    <w:p w14:paraId="1C5C6A3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质量保修期自工程竣工验收合格之日起计算。</w:t>
      </w:r>
    </w:p>
    <w:p w14:paraId="5F84A01C">
      <w:pPr>
        <w:pStyle w:val="168"/>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三、缺陷责任期</w:t>
      </w:r>
    </w:p>
    <w:p w14:paraId="3704D6D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工程缺陷责任期为</w:t>
      </w:r>
      <w:r>
        <w:rPr>
          <w:rFonts w:hint="eastAsia" w:ascii="宋体" w:hAnsi="宋体"/>
          <w:color w:val="auto"/>
          <w:szCs w:val="21"/>
          <w:highlight w:val="none"/>
          <w:u w:val="single"/>
        </w:rPr>
        <w:t>24</w:t>
      </w:r>
      <w:r>
        <w:rPr>
          <w:rFonts w:hint="eastAsia" w:ascii="宋体" w:hAnsi="宋体"/>
          <w:color w:val="auto"/>
          <w:szCs w:val="21"/>
          <w:highlight w:val="none"/>
        </w:rPr>
        <w:t>个月（最长不超过24个月），缺陷责任期自工程竣工验收合格之日起计算。单位工程先于全部工程进行验收，单位工程缺陷责任期自单位工程验收合格之日起算。</w:t>
      </w:r>
    </w:p>
    <w:p w14:paraId="71571371">
      <w:pPr>
        <w:pStyle w:val="168"/>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四、质量保修责任</w:t>
      </w:r>
    </w:p>
    <w:p w14:paraId="70C01ED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1．属于保修范围、内容的项目，</w:t>
      </w:r>
      <w:r>
        <w:rPr>
          <w:rFonts w:hint="eastAsia" w:ascii="宋体" w:hAnsi="宋体"/>
          <w:color w:val="auto"/>
          <w:szCs w:val="21"/>
          <w:highlight w:val="none"/>
          <w:u w:val="single"/>
        </w:rPr>
        <w:t>门（窗）锁、水龙头（冲水阀）、灯具等</w:t>
      </w:r>
      <w:r>
        <w:rPr>
          <w:rFonts w:hint="eastAsia" w:ascii="宋体" w:hAnsi="宋体"/>
          <w:color w:val="auto"/>
          <w:szCs w:val="21"/>
          <w:highlight w:val="none"/>
        </w:rPr>
        <w:t>，承包人应在接到保修电话通知后</w:t>
      </w:r>
      <w:r>
        <w:rPr>
          <w:rFonts w:hint="eastAsia" w:ascii="宋体" w:hAnsi="宋体"/>
          <w:color w:val="auto"/>
          <w:szCs w:val="21"/>
          <w:highlight w:val="none"/>
          <w:u w:val="single"/>
        </w:rPr>
        <w:t>8小时</w:t>
      </w:r>
      <w:r>
        <w:rPr>
          <w:rFonts w:hint="eastAsia" w:ascii="宋体" w:hAnsi="宋体"/>
          <w:color w:val="auto"/>
          <w:szCs w:val="21"/>
          <w:highlight w:val="none"/>
        </w:rPr>
        <w:t>内派人保修，</w:t>
      </w:r>
      <w:r>
        <w:rPr>
          <w:rFonts w:hint="eastAsia" w:ascii="宋体" w:hAnsi="宋体"/>
          <w:color w:val="auto"/>
          <w:szCs w:val="21"/>
          <w:highlight w:val="none"/>
          <w:u w:val="single"/>
        </w:rPr>
        <w:t>其余项目在2天内派人保修</w:t>
      </w:r>
      <w:r>
        <w:rPr>
          <w:rFonts w:hint="eastAsia" w:ascii="宋体" w:hAnsi="宋体"/>
          <w:color w:val="auto"/>
          <w:szCs w:val="21"/>
          <w:highlight w:val="none"/>
        </w:rPr>
        <w:t>。承包人不在约定期限内派人保修的，发包人可以委托他人修理，修理费用从</w:t>
      </w:r>
      <w:r>
        <w:rPr>
          <w:rFonts w:hint="eastAsia" w:ascii="宋体" w:hAnsi="宋体"/>
          <w:color w:val="auto"/>
          <w:szCs w:val="21"/>
          <w:highlight w:val="none"/>
          <w:u w:val="single"/>
        </w:rPr>
        <w:t>应支付承包人的款项</w:t>
      </w:r>
      <w:r>
        <w:rPr>
          <w:rFonts w:hint="eastAsia" w:ascii="宋体" w:hAnsi="宋体"/>
          <w:color w:val="auto"/>
          <w:szCs w:val="21"/>
          <w:highlight w:val="none"/>
        </w:rPr>
        <w:t>内扣除。</w:t>
      </w:r>
    </w:p>
    <w:p w14:paraId="00BE614B">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14:paraId="69C7FB5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DB0086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4．质量保修完成后，由发包人组织验收。</w:t>
      </w:r>
    </w:p>
    <w:p w14:paraId="52EA2C60">
      <w:pPr>
        <w:pStyle w:val="168"/>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五、保修费用</w:t>
      </w:r>
    </w:p>
    <w:p w14:paraId="713F60FB">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保修费用由造成质量缺陷的责任方承担。</w:t>
      </w:r>
    </w:p>
    <w:p w14:paraId="1B4E8C37">
      <w:pPr>
        <w:pStyle w:val="168"/>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六、双方约定的其他工程质量保修事项：</w:t>
      </w:r>
    </w:p>
    <w:p w14:paraId="1C90E475">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4A5E020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前述处理方式，并不表示承包人可以不再履行质量保修义务、免于承担违约责任</w:t>
      </w:r>
      <w:r>
        <w:rPr>
          <w:rFonts w:hint="eastAsia" w:ascii="宋体" w:hAnsi="宋体"/>
          <w:color w:val="auto"/>
          <w:szCs w:val="21"/>
          <w:highlight w:val="none"/>
        </w:rPr>
        <w:t>。</w:t>
      </w:r>
    </w:p>
    <w:p w14:paraId="1B85D9AA">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工程质量保修书由发包人、承包人在工程竣工验收前共同签署，作为施工合同附件，其有效期限至保修期满。</w:t>
      </w:r>
    </w:p>
    <w:p w14:paraId="630FD414">
      <w:pPr>
        <w:pStyle w:val="168"/>
        <w:spacing w:line="360" w:lineRule="auto"/>
        <w:ind w:firstLine="420" w:firstLineChars="200"/>
        <w:rPr>
          <w:rFonts w:ascii="宋体" w:hAnsi="宋体"/>
          <w:color w:val="auto"/>
          <w:szCs w:val="21"/>
          <w:highlight w:val="none"/>
        </w:rPr>
        <w:sectPr>
          <w:pgSz w:w="11906" w:h="16838"/>
          <w:pgMar w:top="1440" w:right="1134" w:bottom="1440" w:left="1418" w:header="851" w:footer="992" w:gutter="0"/>
          <w:cols w:space="425" w:num="1"/>
          <w:docGrid w:type="lines" w:linePitch="312" w:charSpace="0"/>
        </w:sectPr>
      </w:pPr>
    </w:p>
    <w:p w14:paraId="241BEF70">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（签章页，无正文）</w:t>
      </w:r>
    </w:p>
    <w:p w14:paraId="747EA7C8">
      <w:pPr>
        <w:pStyle w:val="165"/>
        <w:spacing w:line="360" w:lineRule="auto"/>
        <w:ind w:firstLine="420" w:firstLineChars="200"/>
        <w:rPr>
          <w:rFonts w:ascii="宋体" w:hAnsi="宋体"/>
          <w:color w:val="auto"/>
          <w:szCs w:val="21"/>
          <w:highlight w:val="none"/>
        </w:rPr>
      </w:pPr>
    </w:p>
    <w:tbl>
      <w:tblPr>
        <w:tblStyle w:val="38"/>
        <w:tblW w:w="0" w:type="auto"/>
        <w:jc w:val="center"/>
        <w:tblLayout w:type="autofit"/>
        <w:tblCellMar>
          <w:top w:w="0" w:type="dxa"/>
          <w:left w:w="108" w:type="dxa"/>
          <w:bottom w:w="0" w:type="dxa"/>
          <w:right w:w="108" w:type="dxa"/>
        </w:tblCellMar>
      </w:tblPr>
      <w:tblGrid>
        <w:gridCol w:w="4672"/>
        <w:gridCol w:w="4672"/>
      </w:tblGrid>
      <w:tr w14:paraId="6D2E0885">
        <w:tblPrEx>
          <w:tblCellMar>
            <w:top w:w="0" w:type="dxa"/>
            <w:left w:w="108" w:type="dxa"/>
            <w:bottom w:w="0" w:type="dxa"/>
            <w:right w:w="108" w:type="dxa"/>
          </w:tblCellMar>
        </w:tblPrEx>
        <w:trPr>
          <w:trHeight w:val="1134" w:hRule="atLeast"/>
          <w:jc w:val="center"/>
        </w:trPr>
        <w:tc>
          <w:tcPr>
            <w:tcW w:w="4672" w:type="dxa"/>
          </w:tcPr>
          <w:p w14:paraId="592DBAD4">
            <w:pPr>
              <w:pStyle w:val="168"/>
              <w:spacing w:line="360" w:lineRule="auto"/>
              <w:jc w:val="left"/>
              <w:rPr>
                <w:rFonts w:ascii="宋体" w:hAnsi="宋体"/>
                <w:color w:val="auto"/>
                <w:szCs w:val="21"/>
                <w:highlight w:val="none"/>
              </w:rPr>
            </w:pPr>
            <w:r>
              <w:rPr>
                <w:rFonts w:hint="eastAsia" w:ascii="宋体" w:hAnsi="宋体"/>
                <w:color w:val="auto"/>
                <w:szCs w:val="21"/>
                <w:highlight w:val="none"/>
              </w:rPr>
              <w:t>发包人（公章）：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c>
          <w:tcPr>
            <w:tcW w:w="4672" w:type="dxa"/>
          </w:tcPr>
          <w:p w14:paraId="48654E3C">
            <w:pPr>
              <w:pStyle w:val="168"/>
              <w:spacing w:line="360" w:lineRule="auto"/>
              <w:jc w:val="left"/>
              <w:rPr>
                <w:rFonts w:ascii="宋体" w:hAnsi="宋体"/>
                <w:color w:val="auto"/>
                <w:szCs w:val="21"/>
                <w:highlight w:val="none"/>
              </w:rPr>
            </w:pPr>
            <w:r>
              <w:rPr>
                <w:rFonts w:hint="eastAsia" w:ascii="宋体" w:hAnsi="宋体"/>
                <w:color w:val="auto"/>
                <w:szCs w:val="21"/>
                <w:highlight w:val="none"/>
              </w:rPr>
              <w:t>承包人（公章）：________________</w:t>
            </w:r>
          </w:p>
        </w:tc>
      </w:tr>
      <w:tr w14:paraId="443781DB">
        <w:tblPrEx>
          <w:tblCellMar>
            <w:top w:w="0" w:type="dxa"/>
            <w:left w:w="108" w:type="dxa"/>
            <w:bottom w:w="0" w:type="dxa"/>
            <w:right w:w="108" w:type="dxa"/>
          </w:tblCellMar>
        </w:tblPrEx>
        <w:trPr>
          <w:trHeight w:val="1134" w:hRule="atLeast"/>
          <w:jc w:val="center"/>
        </w:trPr>
        <w:tc>
          <w:tcPr>
            <w:tcW w:w="4672" w:type="dxa"/>
          </w:tcPr>
          <w:p w14:paraId="6E34E195">
            <w:pPr>
              <w:pStyle w:val="168"/>
              <w:spacing w:line="360" w:lineRule="auto"/>
              <w:jc w:val="left"/>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c>
          <w:tcPr>
            <w:tcW w:w="4672" w:type="dxa"/>
          </w:tcPr>
          <w:p w14:paraId="281B3C96">
            <w:pPr>
              <w:pStyle w:val="168"/>
              <w:spacing w:line="360" w:lineRule="auto"/>
              <w:jc w:val="left"/>
              <w:rPr>
                <w:rFonts w:ascii="宋体" w:hAnsi="宋体"/>
                <w:color w:val="auto"/>
                <w:szCs w:val="21"/>
                <w:highlight w:val="none"/>
              </w:rPr>
            </w:pPr>
            <w:r>
              <w:rPr>
                <w:rFonts w:hint="eastAsia" w:ascii="宋体" w:hAnsi="宋体"/>
                <w:color w:val="auto"/>
                <w:szCs w:val="21"/>
                <w:highlight w:val="none"/>
              </w:rPr>
              <w:t>地址：________________</w:t>
            </w:r>
          </w:p>
        </w:tc>
      </w:tr>
      <w:tr w14:paraId="0E565862">
        <w:tblPrEx>
          <w:tblCellMar>
            <w:top w:w="0" w:type="dxa"/>
            <w:left w:w="108" w:type="dxa"/>
            <w:bottom w:w="0" w:type="dxa"/>
            <w:right w:w="108" w:type="dxa"/>
          </w:tblCellMar>
        </w:tblPrEx>
        <w:trPr>
          <w:trHeight w:val="1134" w:hRule="atLeast"/>
          <w:jc w:val="center"/>
        </w:trPr>
        <w:tc>
          <w:tcPr>
            <w:tcW w:w="4672" w:type="dxa"/>
          </w:tcPr>
          <w:p w14:paraId="07E21C4A">
            <w:pPr>
              <w:pStyle w:val="168"/>
              <w:spacing w:line="360" w:lineRule="auto"/>
              <w:jc w:val="left"/>
              <w:rPr>
                <w:rFonts w:ascii="宋体" w:hAnsi="宋体"/>
                <w:color w:val="auto"/>
                <w:szCs w:val="21"/>
                <w:highlight w:val="none"/>
              </w:rPr>
            </w:pPr>
            <w:r>
              <w:rPr>
                <w:rFonts w:hint="eastAsia" w:ascii="宋体" w:hAnsi="宋体"/>
                <w:color w:val="auto"/>
                <w:szCs w:val="21"/>
                <w:highlight w:val="none"/>
              </w:rPr>
              <w:t>法定代表人（签字）：</w:t>
            </w:r>
            <w:r>
              <w:rPr>
                <w:rFonts w:ascii="宋体" w:hAnsi="宋体"/>
                <w:color w:val="auto"/>
                <w:szCs w:val="21"/>
                <w:highlight w:val="none"/>
              </w:rPr>
              <w:t>______________________</w:t>
            </w:r>
          </w:p>
        </w:tc>
        <w:tc>
          <w:tcPr>
            <w:tcW w:w="4672" w:type="dxa"/>
          </w:tcPr>
          <w:p w14:paraId="1CEFFE25">
            <w:pPr>
              <w:pStyle w:val="168"/>
              <w:spacing w:line="360" w:lineRule="auto"/>
              <w:jc w:val="left"/>
              <w:rPr>
                <w:rFonts w:ascii="宋体" w:hAnsi="宋体"/>
                <w:color w:val="auto"/>
                <w:szCs w:val="21"/>
                <w:highlight w:val="none"/>
              </w:rPr>
            </w:pPr>
            <w:r>
              <w:rPr>
                <w:rFonts w:hint="eastAsia" w:ascii="宋体" w:hAnsi="宋体"/>
                <w:color w:val="auto"/>
                <w:szCs w:val="21"/>
                <w:highlight w:val="none"/>
              </w:rPr>
              <w:t>法定代表人（签字）：</w:t>
            </w:r>
            <w:r>
              <w:rPr>
                <w:rFonts w:ascii="宋体" w:hAnsi="宋体"/>
                <w:b/>
                <w:color w:val="auto"/>
                <w:szCs w:val="21"/>
                <w:highlight w:val="none"/>
              </w:rPr>
              <w:t>______________________</w:t>
            </w:r>
          </w:p>
        </w:tc>
      </w:tr>
      <w:tr w14:paraId="5DC321FF">
        <w:tblPrEx>
          <w:tblCellMar>
            <w:top w:w="0" w:type="dxa"/>
            <w:left w:w="108" w:type="dxa"/>
            <w:bottom w:w="0" w:type="dxa"/>
            <w:right w:w="108" w:type="dxa"/>
          </w:tblCellMar>
        </w:tblPrEx>
        <w:trPr>
          <w:trHeight w:val="1134" w:hRule="atLeast"/>
          <w:jc w:val="center"/>
        </w:trPr>
        <w:tc>
          <w:tcPr>
            <w:tcW w:w="4672" w:type="dxa"/>
          </w:tcPr>
          <w:p w14:paraId="4248FB91">
            <w:pPr>
              <w:pStyle w:val="168"/>
              <w:spacing w:line="360" w:lineRule="auto"/>
              <w:jc w:val="left"/>
              <w:rPr>
                <w:rFonts w:ascii="宋体" w:hAnsi="宋体"/>
                <w:color w:val="auto"/>
                <w:szCs w:val="21"/>
                <w:highlight w:val="none"/>
              </w:rPr>
            </w:pPr>
            <w:r>
              <w:rPr>
                <w:rFonts w:hint="eastAsia" w:ascii="宋体" w:hAnsi="宋体"/>
                <w:color w:val="auto"/>
                <w:szCs w:val="21"/>
                <w:highlight w:val="none"/>
              </w:rPr>
              <w:t>委托代理人（签字）：</w:t>
            </w:r>
            <w:r>
              <w:rPr>
                <w:rFonts w:ascii="宋体" w:hAnsi="宋体"/>
                <w:color w:val="auto"/>
                <w:szCs w:val="21"/>
                <w:highlight w:val="none"/>
              </w:rPr>
              <w:t>______________________</w:t>
            </w:r>
          </w:p>
        </w:tc>
        <w:tc>
          <w:tcPr>
            <w:tcW w:w="4672" w:type="dxa"/>
          </w:tcPr>
          <w:p w14:paraId="10548842">
            <w:pPr>
              <w:pStyle w:val="168"/>
              <w:spacing w:line="360" w:lineRule="auto"/>
              <w:jc w:val="left"/>
              <w:rPr>
                <w:rFonts w:ascii="宋体" w:hAnsi="宋体"/>
                <w:color w:val="auto"/>
                <w:szCs w:val="21"/>
                <w:highlight w:val="none"/>
              </w:rPr>
            </w:pPr>
            <w:r>
              <w:rPr>
                <w:rFonts w:hint="eastAsia" w:ascii="宋体" w:hAnsi="宋体"/>
                <w:color w:val="auto"/>
                <w:szCs w:val="21"/>
                <w:highlight w:val="none"/>
              </w:rPr>
              <w:t>委托代理人（签字）：</w:t>
            </w:r>
            <w:r>
              <w:rPr>
                <w:rFonts w:ascii="宋体" w:hAnsi="宋体"/>
                <w:b/>
                <w:color w:val="auto"/>
                <w:szCs w:val="21"/>
                <w:highlight w:val="none"/>
              </w:rPr>
              <w:t>______________________</w:t>
            </w:r>
          </w:p>
        </w:tc>
      </w:tr>
      <w:tr w14:paraId="4E062BBF">
        <w:tblPrEx>
          <w:tblCellMar>
            <w:top w:w="0" w:type="dxa"/>
            <w:left w:w="108" w:type="dxa"/>
            <w:bottom w:w="0" w:type="dxa"/>
            <w:right w:w="108" w:type="dxa"/>
          </w:tblCellMar>
        </w:tblPrEx>
        <w:trPr>
          <w:trHeight w:val="1134" w:hRule="atLeast"/>
          <w:jc w:val="center"/>
        </w:trPr>
        <w:tc>
          <w:tcPr>
            <w:tcW w:w="4672" w:type="dxa"/>
          </w:tcPr>
          <w:p w14:paraId="1DABF48D">
            <w:pPr>
              <w:pStyle w:val="168"/>
              <w:spacing w:line="360" w:lineRule="auto"/>
              <w:jc w:val="left"/>
              <w:rPr>
                <w:rFonts w:ascii="宋体" w:hAnsi="宋体"/>
                <w:color w:val="auto"/>
                <w:szCs w:val="21"/>
                <w:highlight w:val="none"/>
              </w:rPr>
            </w:pPr>
            <w:r>
              <w:rPr>
                <w:rFonts w:hint="eastAsia" w:ascii="宋体" w:hAnsi="宋体"/>
                <w:color w:val="auto"/>
                <w:szCs w:val="21"/>
                <w:highlight w:val="none"/>
              </w:rPr>
              <w:t>电话：________________</w:t>
            </w:r>
          </w:p>
        </w:tc>
        <w:tc>
          <w:tcPr>
            <w:tcW w:w="4672" w:type="dxa"/>
          </w:tcPr>
          <w:p w14:paraId="38408E58">
            <w:pPr>
              <w:pStyle w:val="168"/>
              <w:spacing w:line="360" w:lineRule="auto"/>
              <w:jc w:val="left"/>
              <w:rPr>
                <w:rFonts w:ascii="宋体" w:hAnsi="宋体"/>
                <w:color w:val="auto"/>
                <w:szCs w:val="21"/>
                <w:highlight w:val="none"/>
              </w:rPr>
            </w:pPr>
            <w:r>
              <w:rPr>
                <w:rFonts w:hint="eastAsia" w:ascii="宋体" w:hAnsi="宋体"/>
                <w:color w:val="auto"/>
                <w:szCs w:val="21"/>
                <w:highlight w:val="none"/>
              </w:rPr>
              <w:t>电话：________________</w:t>
            </w:r>
          </w:p>
        </w:tc>
      </w:tr>
      <w:tr w14:paraId="235F6BB2">
        <w:tblPrEx>
          <w:tblCellMar>
            <w:top w:w="0" w:type="dxa"/>
            <w:left w:w="108" w:type="dxa"/>
            <w:bottom w:w="0" w:type="dxa"/>
            <w:right w:w="108" w:type="dxa"/>
          </w:tblCellMar>
        </w:tblPrEx>
        <w:trPr>
          <w:trHeight w:val="1134" w:hRule="atLeast"/>
          <w:jc w:val="center"/>
        </w:trPr>
        <w:tc>
          <w:tcPr>
            <w:tcW w:w="4672" w:type="dxa"/>
          </w:tcPr>
          <w:p w14:paraId="062D3DC4">
            <w:pPr>
              <w:pStyle w:val="168"/>
              <w:spacing w:line="360" w:lineRule="auto"/>
              <w:jc w:val="left"/>
              <w:rPr>
                <w:rFonts w:ascii="宋体" w:hAnsi="宋体"/>
                <w:color w:val="auto"/>
                <w:szCs w:val="21"/>
                <w:highlight w:val="none"/>
              </w:rPr>
            </w:pPr>
            <w:r>
              <w:rPr>
                <w:rFonts w:hint="eastAsia" w:ascii="宋体" w:hAnsi="宋体"/>
                <w:color w:val="auto"/>
                <w:szCs w:val="21"/>
                <w:highlight w:val="none"/>
              </w:rPr>
              <w:t>传真：________________</w:t>
            </w:r>
          </w:p>
        </w:tc>
        <w:tc>
          <w:tcPr>
            <w:tcW w:w="4672" w:type="dxa"/>
          </w:tcPr>
          <w:p w14:paraId="4D5D0DEB">
            <w:pPr>
              <w:pStyle w:val="168"/>
              <w:spacing w:line="360" w:lineRule="auto"/>
              <w:jc w:val="left"/>
              <w:rPr>
                <w:rFonts w:ascii="宋体" w:hAnsi="宋体"/>
                <w:color w:val="auto"/>
                <w:szCs w:val="21"/>
                <w:highlight w:val="none"/>
              </w:rPr>
            </w:pPr>
            <w:r>
              <w:rPr>
                <w:rFonts w:hint="eastAsia" w:ascii="宋体" w:hAnsi="宋体"/>
                <w:color w:val="auto"/>
                <w:szCs w:val="21"/>
                <w:highlight w:val="none"/>
              </w:rPr>
              <w:t>传真：________________</w:t>
            </w:r>
          </w:p>
        </w:tc>
      </w:tr>
      <w:tr w14:paraId="6B9292E5">
        <w:tblPrEx>
          <w:tblCellMar>
            <w:top w:w="0" w:type="dxa"/>
            <w:left w:w="108" w:type="dxa"/>
            <w:bottom w:w="0" w:type="dxa"/>
            <w:right w:w="108" w:type="dxa"/>
          </w:tblCellMar>
        </w:tblPrEx>
        <w:trPr>
          <w:trHeight w:val="1134" w:hRule="atLeast"/>
          <w:jc w:val="center"/>
        </w:trPr>
        <w:tc>
          <w:tcPr>
            <w:tcW w:w="4672" w:type="dxa"/>
          </w:tcPr>
          <w:p w14:paraId="1A5A29AA">
            <w:pPr>
              <w:pStyle w:val="168"/>
              <w:spacing w:line="360" w:lineRule="auto"/>
              <w:jc w:val="left"/>
              <w:rPr>
                <w:rFonts w:ascii="宋体" w:hAnsi="宋体"/>
                <w:color w:val="auto"/>
                <w:szCs w:val="21"/>
                <w:highlight w:val="none"/>
              </w:rPr>
            </w:pPr>
            <w:r>
              <w:rPr>
                <w:rFonts w:hint="eastAsia" w:ascii="宋体" w:hAnsi="宋体"/>
                <w:color w:val="auto"/>
                <w:szCs w:val="21"/>
                <w:highlight w:val="none"/>
              </w:rPr>
              <w:t>开户银行：________________</w:t>
            </w:r>
          </w:p>
        </w:tc>
        <w:tc>
          <w:tcPr>
            <w:tcW w:w="4672" w:type="dxa"/>
          </w:tcPr>
          <w:p w14:paraId="321DA1AF">
            <w:pPr>
              <w:pStyle w:val="168"/>
              <w:spacing w:line="360" w:lineRule="auto"/>
              <w:jc w:val="left"/>
              <w:rPr>
                <w:rFonts w:ascii="宋体" w:hAnsi="宋体"/>
                <w:color w:val="auto"/>
                <w:szCs w:val="21"/>
                <w:highlight w:val="none"/>
              </w:rPr>
            </w:pPr>
            <w:r>
              <w:rPr>
                <w:rFonts w:hint="eastAsia" w:ascii="宋体" w:hAnsi="宋体"/>
                <w:color w:val="auto"/>
                <w:szCs w:val="21"/>
                <w:highlight w:val="none"/>
              </w:rPr>
              <w:t>开户银行：________________</w:t>
            </w:r>
          </w:p>
        </w:tc>
      </w:tr>
      <w:tr w14:paraId="18CD1290">
        <w:tblPrEx>
          <w:tblCellMar>
            <w:top w:w="0" w:type="dxa"/>
            <w:left w:w="108" w:type="dxa"/>
            <w:bottom w:w="0" w:type="dxa"/>
            <w:right w:w="108" w:type="dxa"/>
          </w:tblCellMar>
        </w:tblPrEx>
        <w:trPr>
          <w:trHeight w:val="1134" w:hRule="atLeast"/>
          <w:jc w:val="center"/>
        </w:trPr>
        <w:tc>
          <w:tcPr>
            <w:tcW w:w="4672" w:type="dxa"/>
          </w:tcPr>
          <w:p w14:paraId="06F2781E">
            <w:pPr>
              <w:pStyle w:val="168"/>
              <w:spacing w:line="360" w:lineRule="auto"/>
              <w:jc w:val="left"/>
              <w:rPr>
                <w:rFonts w:ascii="宋体" w:hAnsi="宋体"/>
                <w:color w:val="auto"/>
                <w:szCs w:val="21"/>
                <w:highlight w:val="none"/>
              </w:rPr>
            </w:pPr>
            <w:r>
              <w:rPr>
                <w:rFonts w:hint="eastAsia" w:ascii="宋体" w:hAnsi="宋体"/>
                <w:color w:val="auto"/>
                <w:szCs w:val="21"/>
                <w:highlight w:val="none"/>
              </w:rPr>
              <w:t>账号：________________</w:t>
            </w:r>
          </w:p>
        </w:tc>
        <w:tc>
          <w:tcPr>
            <w:tcW w:w="4672" w:type="dxa"/>
          </w:tcPr>
          <w:p w14:paraId="0912F18C">
            <w:pPr>
              <w:pStyle w:val="168"/>
              <w:spacing w:line="360" w:lineRule="auto"/>
              <w:jc w:val="left"/>
              <w:rPr>
                <w:rFonts w:ascii="宋体" w:hAnsi="宋体"/>
                <w:color w:val="auto"/>
                <w:szCs w:val="21"/>
                <w:highlight w:val="none"/>
              </w:rPr>
            </w:pPr>
            <w:r>
              <w:rPr>
                <w:rFonts w:hint="eastAsia" w:ascii="宋体" w:hAnsi="宋体"/>
                <w:color w:val="auto"/>
                <w:szCs w:val="21"/>
                <w:highlight w:val="none"/>
              </w:rPr>
              <w:t>账号：________________</w:t>
            </w:r>
          </w:p>
        </w:tc>
      </w:tr>
      <w:tr w14:paraId="2EAC2848">
        <w:tblPrEx>
          <w:tblCellMar>
            <w:top w:w="0" w:type="dxa"/>
            <w:left w:w="108" w:type="dxa"/>
            <w:bottom w:w="0" w:type="dxa"/>
            <w:right w:w="108" w:type="dxa"/>
          </w:tblCellMar>
        </w:tblPrEx>
        <w:trPr>
          <w:trHeight w:val="1134" w:hRule="atLeast"/>
          <w:jc w:val="center"/>
        </w:trPr>
        <w:tc>
          <w:tcPr>
            <w:tcW w:w="4672" w:type="dxa"/>
          </w:tcPr>
          <w:p w14:paraId="1164B334">
            <w:pPr>
              <w:pStyle w:val="168"/>
              <w:spacing w:line="360" w:lineRule="auto"/>
              <w:jc w:val="left"/>
              <w:rPr>
                <w:rFonts w:ascii="宋体" w:hAnsi="宋体"/>
                <w:color w:val="auto"/>
                <w:szCs w:val="21"/>
                <w:highlight w:val="none"/>
              </w:rPr>
            </w:pPr>
            <w:r>
              <w:rPr>
                <w:rFonts w:hint="eastAsia" w:ascii="宋体" w:hAnsi="宋体"/>
                <w:color w:val="auto"/>
                <w:szCs w:val="21"/>
                <w:highlight w:val="none"/>
              </w:rPr>
              <w:t>邮政编码：________________</w:t>
            </w:r>
          </w:p>
        </w:tc>
        <w:tc>
          <w:tcPr>
            <w:tcW w:w="4672" w:type="dxa"/>
          </w:tcPr>
          <w:p w14:paraId="0231DED3">
            <w:pPr>
              <w:pStyle w:val="168"/>
              <w:spacing w:line="360" w:lineRule="auto"/>
              <w:jc w:val="left"/>
              <w:rPr>
                <w:rFonts w:ascii="宋体" w:hAnsi="宋体"/>
                <w:color w:val="auto"/>
                <w:szCs w:val="21"/>
                <w:highlight w:val="none"/>
              </w:rPr>
            </w:pPr>
            <w:r>
              <w:rPr>
                <w:rFonts w:hint="eastAsia" w:ascii="宋体" w:hAnsi="宋体"/>
                <w:color w:val="auto"/>
                <w:szCs w:val="21"/>
                <w:highlight w:val="none"/>
              </w:rPr>
              <w:t>邮政编码：________________</w:t>
            </w:r>
          </w:p>
        </w:tc>
      </w:tr>
    </w:tbl>
    <w:p w14:paraId="08727A2D">
      <w:pPr>
        <w:pStyle w:val="168"/>
        <w:spacing w:line="360" w:lineRule="auto"/>
        <w:jc w:val="center"/>
        <w:rPr>
          <w:rFonts w:ascii="黑体" w:hAnsi="黑体" w:eastAsia="黑体"/>
          <w:color w:val="auto"/>
          <w:sz w:val="30"/>
          <w:szCs w:val="30"/>
          <w:highlight w:val="none"/>
        </w:rPr>
        <w:sectPr>
          <w:pgSz w:w="11906" w:h="16838"/>
          <w:pgMar w:top="1440" w:right="1134" w:bottom="1440" w:left="1418" w:header="851" w:footer="992" w:gutter="0"/>
          <w:cols w:space="425" w:num="1"/>
          <w:docGrid w:type="lines" w:linePitch="312" w:charSpace="0"/>
        </w:sectPr>
      </w:pPr>
    </w:p>
    <w:p w14:paraId="36525F99">
      <w:pPr>
        <w:pStyle w:val="168"/>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工程质量保修书（市政公用工程）</w:t>
      </w:r>
    </w:p>
    <w:p w14:paraId="081A5431">
      <w:pPr>
        <w:pStyle w:val="168"/>
        <w:spacing w:line="360" w:lineRule="auto"/>
        <w:ind w:firstLine="420" w:firstLineChars="200"/>
        <w:rPr>
          <w:rFonts w:ascii="宋体" w:hAnsi="宋体"/>
          <w:color w:val="auto"/>
          <w:szCs w:val="21"/>
          <w:highlight w:val="none"/>
        </w:rPr>
      </w:pPr>
    </w:p>
    <w:p w14:paraId="1BE8B275">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发包人（全称）：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0D827091">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承包人（全称）：________________</w:t>
      </w:r>
    </w:p>
    <w:p w14:paraId="32F2653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发包人和承包人根据《中华人民共和国建筑法》和《建设工程质量管理条例》，经协商一致就</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（工程全称）签订工程质量保修书。</w:t>
      </w:r>
    </w:p>
    <w:p w14:paraId="183E4B46">
      <w:pPr>
        <w:pStyle w:val="168"/>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一、工程质量保修范围和内容</w:t>
      </w:r>
    </w:p>
    <w:p w14:paraId="7C4755D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承包人在质量保修期内，按照有关法律规定和合同约定，承担工程质量保修责任。</w:t>
      </w:r>
    </w:p>
    <w:p w14:paraId="48FF92A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质量保修范围包括</w:t>
      </w:r>
      <w:r>
        <w:rPr>
          <w:rFonts w:hint="eastAsia" w:ascii="宋体" w:hAnsi="宋体"/>
          <w:color w:val="auto"/>
          <w:szCs w:val="21"/>
          <w:highlight w:val="none"/>
          <w:u w:val="single"/>
        </w:rPr>
        <w:t>地基基础工程、主体结构工程、路基路面工程、附属管线工程和附属设施工程等承包人施工的所有内容</w:t>
      </w:r>
      <w:r>
        <w:rPr>
          <w:rFonts w:hint="eastAsia" w:ascii="宋体" w:hAnsi="宋体"/>
          <w:color w:val="auto"/>
          <w:szCs w:val="21"/>
          <w:highlight w:val="none"/>
        </w:rPr>
        <w:t>，以及双方约定的其他项目。具体保修的内容，双方约定如下：</w:t>
      </w:r>
    </w:p>
    <w:p w14:paraId="44CC0A2B">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缺陷责任期内，如发生属承包人责任的质量问题，按工程质量保修书约定执行。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7ACE2472">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2.缺陷责任期结束后质保期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防水防渗工程质量保修，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44BDFD9B">
      <w:pPr>
        <w:pStyle w:val="168"/>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二、质量保修期</w:t>
      </w:r>
    </w:p>
    <w:p w14:paraId="6B9D481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根据《建设工程质量管理条例》及有关规定，工程的质量保修期如下：</w:t>
      </w:r>
    </w:p>
    <w:p w14:paraId="399AB8D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1．桥梁工程为</w:t>
      </w:r>
      <w:r>
        <w:rPr>
          <w:rFonts w:hint="eastAsia" w:ascii="宋体" w:hAnsi="宋体"/>
          <w:color w:val="auto"/>
          <w:szCs w:val="21"/>
          <w:highlight w:val="none"/>
          <w:u w:val="single"/>
        </w:rPr>
        <w:t>1</w:t>
      </w:r>
      <w:r>
        <w:rPr>
          <w:rFonts w:hint="eastAsia" w:ascii="宋体" w:hAnsi="宋体"/>
          <w:color w:val="auto"/>
          <w:szCs w:val="21"/>
          <w:highlight w:val="none"/>
        </w:rPr>
        <w:t>年（建议桥梁隧道主体结构工程为设计文件规定的合理使用年限）；</w:t>
      </w:r>
    </w:p>
    <w:p w14:paraId="5783A84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2．道路工程为</w:t>
      </w:r>
      <w:r>
        <w:rPr>
          <w:rFonts w:hint="eastAsia" w:ascii="宋体" w:hAnsi="宋体"/>
          <w:color w:val="auto"/>
          <w:szCs w:val="21"/>
          <w:highlight w:val="none"/>
          <w:u w:val="single"/>
        </w:rPr>
        <w:t>2</w:t>
      </w:r>
      <w:r>
        <w:rPr>
          <w:rFonts w:hint="eastAsia" w:ascii="宋体" w:hAnsi="宋体"/>
          <w:color w:val="auto"/>
          <w:szCs w:val="21"/>
          <w:highlight w:val="none"/>
        </w:rPr>
        <w:t>年（建议路基、路面、桥面为2年）；</w:t>
      </w:r>
    </w:p>
    <w:p w14:paraId="14BFFF9E">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3．排水（雨水）工程为</w:t>
      </w:r>
      <w:r>
        <w:rPr>
          <w:rFonts w:hint="eastAsia" w:ascii="宋体" w:hAnsi="宋体"/>
          <w:color w:val="auto"/>
          <w:szCs w:val="21"/>
          <w:highlight w:val="none"/>
          <w:u w:val="single"/>
        </w:rPr>
        <w:t>3</w:t>
      </w:r>
      <w:r>
        <w:rPr>
          <w:rFonts w:hint="eastAsia" w:ascii="宋体" w:hAnsi="宋体"/>
          <w:color w:val="auto"/>
          <w:szCs w:val="21"/>
          <w:highlight w:val="none"/>
        </w:rPr>
        <w:t>年（建议道路工程中的排水工程为3年）；</w:t>
      </w:r>
    </w:p>
    <w:p w14:paraId="766FF134">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4．绿化工程为单位工程竣工验收合格后</w:t>
      </w:r>
      <w:r>
        <w:rPr>
          <w:rFonts w:hint="eastAsia" w:ascii="宋体" w:hAnsi="宋体"/>
          <w:color w:val="auto"/>
          <w:szCs w:val="21"/>
          <w:highlight w:val="none"/>
          <w:u w:val="single"/>
        </w:rPr>
        <w:t>1</w:t>
      </w:r>
      <w:r>
        <w:rPr>
          <w:rFonts w:hint="eastAsia" w:ascii="宋体" w:hAnsi="宋体"/>
          <w:color w:val="auto"/>
          <w:szCs w:val="21"/>
          <w:highlight w:val="none"/>
        </w:rPr>
        <w:t>年；</w:t>
      </w:r>
    </w:p>
    <w:p w14:paraId="295BD8E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5.地下防水工程为</w:t>
      </w:r>
      <w:r>
        <w:rPr>
          <w:rFonts w:hint="eastAsia" w:ascii="宋体" w:hAnsi="宋体"/>
          <w:color w:val="auto"/>
          <w:szCs w:val="21"/>
          <w:highlight w:val="none"/>
          <w:u w:val="single"/>
        </w:rPr>
        <w:t>5</w:t>
      </w:r>
      <w:r>
        <w:rPr>
          <w:rFonts w:hint="eastAsia" w:ascii="宋体" w:hAnsi="宋体"/>
          <w:color w:val="auto"/>
          <w:szCs w:val="21"/>
          <w:highlight w:val="none"/>
        </w:rPr>
        <w:t>年（建议为5年）；</w:t>
      </w:r>
    </w:p>
    <w:p w14:paraId="4EACA9EB">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6．其他附属工程为</w:t>
      </w:r>
      <w:r>
        <w:rPr>
          <w:rFonts w:hint="eastAsia" w:ascii="宋体" w:hAnsi="宋体"/>
          <w:color w:val="auto"/>
          <w:szCs w:val="21"/>
          <w:highlight w:val="none"/>
          <w:u w:val="single"/>
        </w:rPr>
        <w:t>1</w:t>
      </w:r>
      <w:r>
        <w:rPr>
          <w:rFonts w:hint="eastAsia" w:ascii="宋体" w:hAnsi="宋体"/>
          <w:color w:val="auto"/>
          <w:szCs w:val="21"/>
          <w:highlight w:val="none"/>
        </w:rPr>
        <w:t>年；</w:t>
      </w:r>
    </w:p>
    <w:p w14:paraId="031923A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7．其他项目保修期限约定如下：</w:t>
      </w:r>
      <w:r>
        <w:rPr>
          <w:rFonts w:hint="eastAsia" w:ascii="宋体" w:hAnsi="宋体"/>
          <w:color w:val="auto"/>
          <w:szCs w:val="21"/>
          <w:highlight w:val="none"/>
          <w:u w:val="single"/>
        </w:rPr>
        <w:t>1年</w:t>
      </w:r>
      <w:r>
        <w:rPr>
          <w:rFonts w:hint="eastAsia" w:ascii="宋体" w:hAnsi="宋体"/>
          <w:color w:val="auto"/>
          <w:szCs w:val="21"/>
          <w:highlight w:val="none"/>
        </w:rPr>
        <w:t>。</w:t>
      </w:r>
    </w:p>
    <w:p w14:paraId="4004CABB">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质量保修期自工程竣工验收合格之日起计算。</w:t>
      </w:r>
    </w:p>
    <w:p w14:paraId="6B183739">
      <w:pPr>
        <w:pStyle w:val="168"/>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三、缺陷责任期</w:t>
      </w:r>
    </w:p>
    <w:p w14:paraId="66E1C3E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工程缺陷责任期为</w:t>
      </w:r>
      <w:r>
        <w:rPr>
          <w:rFonts w:hint="eastAsia" w:ascii="宋体" w:hAnsi="宋体"/>
          <w:color w:val="auto"/>
          <w:szCs w:val="21"/>
          <w:highlight w:val="none"/>
          <w:u w:val="single"/>
        </w:rPr>
        <w:t>24</w:t>
      </w:r>
      <w:r>
        <w:rPr>
          <w:rFonts w:hint="eastAsia" w:ascii="宋体" w:hAnsi="宋体"/>
          <w:color w:val="auto"/>
          <w:szCs w:val="21"/>
          <w:highlight w:val="none"/>
        </w:rPr>
        <w:t>个月（最长不超过24个月），缺陷责任期自工程竣工验收合格之日起计算。单位工程先于全部工程进行验收，单位工程缺陷责任期自单位工程验收合格之日起算。</w:t>
      </w:r>
    </w:p>
    <w:p w14:paraId="7097023E">
      <w:pPr>
        <w:pStyle w:val="168"/>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四、质量保修责任</w:t>
      </w:r>
    </w:p>
    <w:p w14:paraId="02D3953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1．属于保修范围、内容的项目，承包人应当在接到保修通知之日起</w:t>
      </w:r>
      <w:r>
        <w:rPr>
          <w:rFonts w:hint="eastAsia" w:ascii="宋体" w:hAnsi="宋体"/>
          <w:b/>
          <w:color w:val="auto"/>
          <w:szCs w:val="21"/>
          <w:highlight w:val="none"/>
          <w:u w:val="single"/>
        </w:rPr>
        <w:t>2</w:t>
      </w:r>
      <w:r>
        <w:rPr>
          <w:rFonts w:hint="eastAsia" w:ascii="宋体" w:hAnsi="宋体"/>
          <w:color w:val="auto"/>
          <w:szCs w:val="21"/>
          <w:highlight w:val="none"/>
        </w:rPr>
        <w:t>天内派人保修。承包人不在约定期限内派人保修的，发包人可以委托他人修理，修理费用从</w:t>
      </w:r>
      <w:r>
        <w:rPr>
          <w:rFonts w:hint="eastAsia" w:ascii="宋体" w:hAnsi="宋体"/>
          <w:color w:val="auto"/>
          <w:szCs w:val="21"/>
          <w:highlight w:val="none"/>
          <w:u w:val="single"/>
        </w:rPr>
        <w:t>应支付承包人的款项</w:t>
      </w:r>
      <w:r>
        <w:rPr>
          <w:rFonts w:hint="eastAsia" w:ascii="宋体" w:hAnsi="宋体"/>
          <w:color w:val="auto"/>
          <w:szCs w:val="21"/>
          <w:highlight w:val="none"/>
        </w:rPr>
        <w:t>内扣除。</w:t>
      </w:r>
    </w:p>
    <w:p w14:paraId="66B1F1A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14:paraId="0D28392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83DB511">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4．质量保修完成后，由发包人组织验收。</w:t>
      </w:r>
    </w:p>
    <w:p w14:paraId="532544C8">
      <w:pPr>
        <w:pStyle w:val="168"/>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五、保修费用</w:t>
      </w:r>
    </w:p>
    <w:p w14:paraId="7D65382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保修费用由造成质量缺陷的责任方承担。</w:t>
      </w:r>
    </w:p>
    <w:p w14:paraId="4606E827">
      <w:pPr>
        <w:pStyle w:val="168"/>
        <w:spacing w:line="360" w:lineRule="auto"/>
        <w:ind w:firstLine="422" w:firstLineChars="200"/>
        <w:rPr>
          <w:rFonts w:ascii="宋体" w:hAnsi="宋体"/>
          <w:color w:val="auto"/>
          <w:szCs w:val="21"/>
          <w:highlight w:val="none"/>
          <w:u w:val="single"/>
        </w:rPr>
      </w:pPr>
      <w:r>
        <w:rPr>
          <w:rFonts w:hint="eastAsia" w:ascii="宋体" w:hAnsi="宋体"/>
          <w:b/>
          <w:color w:val="auto"/>
          <w:szCs w:val="21"/>
          <w:highlight w:val="none"/>
        </w:rPr>
        <w:t>六、双方约定的其他工程质量保修事项</w:t>
      </w:r>
      <w:r>
        <w:rPr>
          <w:rFonts w:hint="eastAsia" w:ascii="宋体" w:hAnsi="宋体"/>
          <w:color w:val="auto"/>
          <w:szCs w:val="21"/>
          <w:highlight w:val="none"/>
        </w:rPr>
        <w:t>：</w:t>
      </w:r>
      <w:r>
        <w:rPr>
          <w:rFonts w:hint="eastAsia" w:ascii="宋体" w:hAnsi="宋体"/>
          <w:color w:val="auto"/>
          <w:szCs w:val="21"/>
          <w:highlight w:val="none"/>
          <w:u w:val="single"/>
        </w:rPr>
        <w:t>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4C366C38">
      <w:pPr>
        <w:pStyle w:val="168"/>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前述处理方式，并不表示承包人可以不再履行质量保修义务、免于承担违约责任。</w:t>
      </w:r>
    </w:p>
    <w:p w14:paraId="216B98E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工程质量保修书由发包人、承包人在工程竣工验收前共同签署，作为施工合同附件，其有效期限至保修期满。</w:t>
      </w:r>
    </w:p>
    <w:p w14:paraId="01E5069F">
      <w:pPr>
        <w:pStyle w:val="168"/>
        <w:spacing w:line="360" w:lineRule="auto"/>
        <w:jc w:val="center"/>
        <w:rPr>
          <w:rFonts w:ascii="宋体" w:hAnsi="宋体"/>
          <w:color w:val="auto"/>
          <w:szCs w:val="21"/>
          <w:highlight w:val="none"/>
        </w:rPr>
        <w:sectPr>
          <w:pgSz w:w="11906" w:h="16838"/>
          <w:pgMar w:top="1440" w:right="1134" w:bottom="1440" w:left="1418" w:header="851" w:footer="992" w:gutter="0"/>
          <w:cols w:space="425" w:num="1"/>
          <w:docGrid w:type="lines" w:linePitch="312" w:charSpace="0"/>
        </w:sectPr>
      </w:pPr>
    </w:p>
    <w:p w14:paraId="155CAD82">
      <w:pPr>
        <w:pStyle w:val="165"/>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（签章页，无正文）</w:t>
      </w:r>
    </w:p>
    <w:p w14:paraId="054E53CF">
      <w:pPr>
        <w:pStyle w:val="165"/>
        <w:spacing w:line="360" w:lineRule="auto"/>
        <w:ind w:firstLine="420" w:firstLineChars="200"/>
        <w:rPr>
          <w:rFonts w:ascii="宋体" w:hAnsi="宋体"/>
          <w:color w:val="auto"/>
          <w:szCs w:val="21"/>
          <w:highlight w:val="none"/>
        </w:rPr>
      </w:pPr>
    </w:p>
    <w:tbl>
      <w:tblPr>
        <w:tblStyle w:val="38"/>
        <w:tblW w:w="0" w:type="auto"/>
        <w:jc w:val="center"/>
        <w:tblLayout w:type="autofit"/>
        <w:tblCellMar>
          <w:top w:w="0" w:type="dxa"/>
          <w:left w:w="108" w:type="dxa"/>
          <w:bottom w:w="0" w:type="dxa"/>
          <w:right w:w="108" w:type="dxa"/>
        </w:tblCellMar>
      </w:tblPr>
      <w:tblGrid>
        <w:gridCol w:w="4672"/>
        <w:gridCol w:w="4672"/>
      </w:tblGrid>
      <w:tr w14:paraId="09CA68D3">
        <w:tblPrEx>
          <w:tblCellMar>
            <w:top w:w="0" w:type="dxa"/>
            <w:left w:w="108" w:type="dxa"/>
            <w:bottom w:w="0" w:type="dxa"/>
            <w:right w:w="108" w:type="dxa"/>
          </w:tblCellMar>
        </w:tblPrEx>
        <w:trPr>
          <w:trHeight w:val="1134" w:hRule="atLeast"/>
          <w:jc w:val="center"/>
        </w:trPr>
        <w:tc>
          <w:tcPr>
            <w:tcW w:w="4672" w:type="dxa"/>
          </w:tcPr>
          <w:p w14:paraId="1F079D29">
            <w:pPr>
              <w:pStyle w:val="168"/>
              <w:spacing w:line="360" w:lineRule="auto"/>
              <w:jc w:val="left"/>
              <w:rPr>
                <w:rFonts w:ascii="宋体" w:hAnsi="宋体"/>
                <w:color w:val="auto"/>
                <w:szCs w:val="21"/>
                <w:highlight w:val="none"/>
              </w:rPr>
            </w:pPr>
            <w:r>
              <w:rPr>
                <w:rFonts w:hint="eastAsia" w:ascii="宋体" w:hAnsi="宋体"/>
                <w:color w:val="auto"/>
                <w:szCs w:val="21"/>
                <w:highlight w:val="none"/>
              </w:rPr>
              <w:t>发包人（公章）：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c>
          <w:tcPr>
            <w:tcW w:w="4672" w:type="dxa"/>
          </w:tcPr>
          <w:p w14:paraId="38228E8C">
            <w:pPr>
              <w:pStyle w:val="168"/>
              <w:spacing w:line="360" w:lineRule="auto"/>
              <w:jc w:val="left"/>
              <w:rPr>
                <w:rFonts w:ascii="宋体" w:hAnsi="宋体"/>
                <w:color w:val="auto"/>
                <w:szCs w:val="21"/>
                <w:highlight w:val="none"/>
              </w:rPr>
            </w:pPr>
            <w:r>
              <w:rPr>
                <w:rFonts w:hint="eastAsia" w:ascii="宋体" w:hAnsi="宋体"/>
                <w:color w:val="auto"/>
                <w:szCs w:val="21"/>
                <w:highlight w:val="none"/>
              </w:rPr>
              <w:t>承包人（公章）：________________</w:t>
            </w:r>
          </w:p>
        </w:tc>
      </w:tr>
      <w:tr w14:paraId="7B1B0FF6">
        <w:tblPrEx>
          <w:tblCellMar>
            <w:top w:w="0" w:type="dxa"/>
            <w:left w:w="108" w:type="dxa"/>
            <w:bottom w:w="0" w:type="dxa"/>
            <w:right w:w="108" w:type="dxa"/>
          </w:tblCellMar>
        </w:tblPrEx>
        <w:trPr>
          <w:trHeight w:val="1134" w:hRule="atLeast"/>
          <w:jc w:val="center"/>
        </w:trPr>
        <w:tc>
          <w:tcPr>
            <w:tcW w:w="4672" w:type="dxa"/>
          </w:tcPr>
          <w:p w14:paraId="522CD3C9">
            <w:pPr>
              <w:pStyle w:val="168"/>
              <w:spacing w:line="360" w:lineRule="auto"/>
              <w:jc w:val="left"/>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c>
          <w:tcPr>
            <w:tcW w:w="4672" w:type="dxa"/>
          </w:tcPr>
          <w:p w14:paraId="5A3A858B">
            <w:pPr>
              <w:pStyle w:val="168"/>
              <w:spacing w:line="360" w:lineRule="auto"/>
              <w:jc w:val="left"/>
              <w:rPr>
                <w:rFonts w:ascii="宋体" w:hAnsi="宋体"/>
                <w:color w:val="auto"/>
                <w:szCs w:val="21"/>
                <w:highlight w:val="none"/>
              </w:rPr>
            </w:pPr>
            <w:r>
              <w:rPr>
                <w:rFonts w:hint="eastAsia" w:ascii="宋体" w:hAnsi="宋体"/>
                <w:color w:val="auto"/>
                <w:szCs w:val="21"/>
                <w:highlight w:val="none"/>
              </w:rPr>
              <w:t>地址：________________</w:t>
            </w:r>
          </w:p>
        </w:tc>
      </w:tr>
      <w:tr w14:paraId="110B80F3">
        <w:tblPrEx>
          <w:tblCellMar>
            <w:top w:w="0" w:type="dxa"/>
            <w:left w:w="108" w:type="dxa"/>
            <w:bottom w:w="0" w:type="dxa"/>
            <w:right w:w="108" w:type="dxa"/>
          </w:tblCellMar>
        </w:tblPrEx>
        <w:trPr>
          <w:trHeight w:val="1134" w:hRule="atLeast"/>
          <w:jc w:val="center"/>
        </w:trPr>
        <w:tc>
          <w:tcPr>
            <w:tcW w:w="4672" w:type="dxa"/>
          </w:tcPr>
          <w:p w14:paraId="097B3C50">
            <w:pPr>
              <w:pStyle w:val="168"/>
              <w:spacing w:line="360" w:lineRule="auto"/>
              <w:jc w:val="left"/>
              <w:rPr>
                <w:rFonts w:ascii="宋体" w:hAnsi="宋体"/>
                <w:color w:val="auto"/>
                <w:szCs w:val="21"/>
                <w:highlight w:val="none"/>
              </w:rPr>
            </w:pPr>
            <w:r>
              <w:rPr>
                <w:rFonts w:hint="eastAsia" w:ascii="宋体" w:hAnsi="宋体"/>
                <w:color w:val="auto"/>
                <w:szCs w:val="21"/>
                <w:highlight w:val="none"/>
              </w:rPr>
              <w:t>法定代表人（签字）：</w:t>
            </w:r>
            <w:r>
              <w:rPr>
                <w:rFonts w:ascii="宋体" w:hAnsi="宋体"/>
                <w:color w:val="auto"/>
                <w:szCs w:val="21"/>
                <w:highlight w:val="none"/>
              </w:rPr>
              <w:t>______________________</w:t>
            </w:r>
          </w:p>
        </w:tc>
        <w:tc>
          <w:tcPr>
            <w:tcW w:w="4672" w:type="dxa"/>
          </w:tcPr>
          <w:p w14:paraId="5398B9BE">
            <w:pPr>
              <w:pStyle w:val="168"/>
              <w:spacing w:line="360" w:lineRule="auto"/>
              <w:jc w:val="left"/>
              <w:rPr>
                <w:rFonts w:ascii="宋体" w:hAnsi="宋体"/>
                <w:color w:val="auto"/>
                <w:szCs w:val="21"/>
                <w:highlight w:val="none"/>
              </w:rPr>
            </w:pPr>
            <w:r>
              <w:rPr>
                <w:rFonts w:hint="eastAsia" w:ascii="宋体" w:hAnsi="宋体"/>
                <w:color w:val="auto"/>
                <w:szCs w:val="21"/>
                <w:highlight w:val="none"/>
              </w:rPr>
              <w:t>法定代表人（签字）：</w:t>
            </w:r>
            <w:r>
              <w:rPr>
                <w:rFonts w:ascii="宋体" w:hAnsi="宋体"/>
                <w:b/>
                <w:color w:val="auto"/>
                <w:szCs w:val="21"/>
                <w:highlight w:val="none"/>
              </w:rPr>
              <w:t>______________________</w:t>
            </w:r>
          </w:p>
        </w:tc>
      </w:tr>
      <w:tr w14:paraId="4E0DD190">
        <w:tblPrEx>
          <w:tblCellMar>
            <w:top w:w="0" w:type="dxa"/>
            <w:left w:w="108" w:type="dxa"/>
            <w:bottom w:w="0" w:type="dxa"/>
            <w:right w:w="108" w:type="dxa"/>
          </w:tblCellMar>
        </w:tblPrEx>
        <w:trPr>
          <w:trHeight w:val="1134" w:hRule="atLeast"/>
          <w:jc w:val="center"/>
        </w:trPr>
        <w:tc>
          <w:tcPr>
            <w:tcW w:w="4672" w:type="dxa"/>
          </w:tcPr>
          <w:p w14:paraId="5A96E84E">
            <w:pPr>
              <w:pStyle w:val="168"/>
              <w:spacing w:line="360" w:lineRule="auto"/>
              <w:jc w:val="left"/>
              <w:rPr>
                <w:rFonts w:ascii="宋体" w:hAnsi="宋体"/>
                <w:color w:val="auto"/>
                <w:szCs w:val="21"/>
                <w:highlight w:val="none"/>
              </w:rPr>
            </w:pPr>
            <w:r>
              <w:rPr>
                <w:rFonts w:hint="eastAsia" w:ascii="宋体" w:hAnsi="宋体"/>
                <w:color w:val="auto"/>
                <w:szCs w:val="21"/>
                <w:highlight w:val="none"/>
              </w:rPr>
              <w:t>委托代理人（签字）：</w:t>
            </w:r>
            <w:r>
              <w:rPr>
                <w:rFonts w:ascii="宋体" w:hAnsi="宋体"/>
                <w:color w:val="auto"/>
                <w:szCs w:val="21"/>
                <w:highlight w:val="none"/>
              </w:rPr>
              <w:t>______________________</w:t>
            </w:r>
          </w:p>
        </w:tc>
        <w:tc>
          <w:tcPr>
            <w:tcW w:w="4672" w:type="dxa"/>
          </w:tcPr>
          <w:p w14:paraId="122A02E9">
            <w:pPr>
              <w:pStyle w:val="168"/>
              <w:spacing w:line="360" w:lineRule="auto"/>
              <w:jc w:val="left"/>
              <w:rPr>
                <w:rFonts w:ascii="宋体" w:hAnsi="宋体"/>
                <w:color w:val="auto"/>
                <w:szCs w:val="21"/>
                <w:highlight w:val="none"/>
              </w:rPr>
            </w:pPr>
            <w:r>
              <w:rPr>
                <w:rFonts w:hint="eastAsia" w:ascii="宋体" w:hAnsi="宋体"/>
                <w:color w:val="auto"/>
                <w:szCs w:val="21"/>
                <w:highlight w:val="none"/>
              </w:rPr>
              <w:t>委托代理人（签字）：</w:t>
            </w:r>
            <w:r>
              <w:rPr>
                <w:rFonts w:ascii="宋体" w:hAnsi="宋体"/>
                <w:b/>
                <w:color w:val="auto"/>
                <w:szCs w:val="21"/>
                <w:highlight w:val="none"/>
              </w:rPr>
              <w:t>______________________</w:t>
            </w:r>
          </w:p>
        </w:tc>
      </w:tr>
      <w:tr w14:paraId="1178DB7D">
        <w:tblPrEx>
          <w:tblCellMar>
            <w:top w:w="0" w:type="dxa"/>
            <w:left w:w="108" w:type="dxa"/>
            <w:bottom w:w="0" w:type="dxa"/>
            <w:right w:w="108" w:type="dxa"/>
          </w:tblCellMar>
        </w:tblPrEx>
        <w:trPr>
          <w:trHeight w:val="1134" w:hRule="atLeast"/>
          <w:jc w:val="center"/>
        </w:trPr>
        <w:tc>
          <w:tcPr>
            <w:tcW w:w="4672" w:type="dxa"/>
          </w:tcPr>
          <w:p w14:paraId="0FDC1B6F">
            <w:pPr>
              <w:pStyle w:val="168"/>
              <w:spacing w:line="360" w:lineRule="auto"/>
              <w:jc w:val="left"/>
              <w:rPr>
                <w:rFonts w:ascii="宋体" w:hAnsi="宋体"/>
                <w:color w:val="auto"/>
                <w:szCs w:val="21"/>
                <w:highlight w:val="none"/>
              </w:rPr>
            </w:pPr>
            <w:r>
              <w:rPr>
                <w:rFonts w:hint="eastAsia" w:ascii="宋体" w:hAnsi="宋体"/>
                <w:color w:val="auto"/>
                <w:szCs w:val="21"/>
                <w:highlight w:val="none"/>
              </w:rPr>
              <w:t>电话：________________</w:t>
            </w:r>
          </w:p>
        </w:tc>
        <w:tc>
          <w:tcPr>
            <w:tcW w:w="4672" w:type="dxa"/>
          </w:tcPr>
          <w:p w14:paraId="721A9E29">
            <w:pPr>
              <w:pStyle w:val="168"/>
              <w:spacing w:line="360" w:lineRule="auto"/>
              <w:jc w:val="left"/>
              <w:rPr>
                <w:rFonts w:ascii="宋体" w:hAnsi="宋体"/>
                <w:color w:val="auto"/>
                <w:szCs w:val="21"/>
                <w:highlight w:val="none"/>
              </w:rPr>
            </w:pPr>
            <w:r>
              <w:rPr>
                <w:rFonts w:hint="eastAsia" w:ascii="宋体" w:hAnsi="宋体"/>
                <w:color w:val="auto"/>
                <w:szCs w:val="21"/>
                <w:highlight w:val="none"/>
              </w:rPr>
              <w:t>电话：________________</w:t>
            </w:r>
          </w:p>
        </w:tc>
      </w:tr>
      <w:tr w14:paraId="2D43D57F">
        <w:tblPrEx>
          <w:tblCellMar>
            <w:top w:w="0" w:type="dxa"/>
            <w:left w:w="108" w:type="dxa"/>
            <w:bottom w:w="0" w:type="dxa"/>
            <w:right w:w="108" w:type="dxa"/>
          </w:tblCellMar>
        </w:tblPrEx>
        <w:trPr>
          <w:trHeight w:val="1134" w:hRule="atLeast"/>
          <w:jc w:val="center"/>
        </w:trPr>
        <w:tc>
          <w:tcPr>
            <w:tcW w:w="4672" w:type="dxa"/>
          </w:tcPr>
          <w:p w14:paraId="5BFAB3A6">
            <w:pPr>
              <w:pStyle w:val="168"/>
              <w:spacing w:line="360" w:lineRule="auto"/>
              <w:jc w:val="left"/>
              <w:rPr>
                <w:rFonts w:ascii="宋体" w:hAnsi="宋体"/>
                <w:color w:val="auto"/>
                <w:szCs w:val="21"/>
                <w:highlight w:val="none"/>
              </w:rPr>
            </w:pPr>
            <w:r>
              <w:rPr>
                <w:rFonts w:hint="eastAsia" w:ascii="宋体" w:hAnsi="宋体"/>
                <w:color w:val="auto"/>
                <w:szCs w:val="21"/>
                <w:highlight w:val="none"/>
              </w:rPr>
              <w:t>传真：________________</w:t>
            </w:r>
          </w:p>
        </w:tc>
        <w:tc>
          <w:tcPr>
            <w:tcW w:w="4672" w:type="dxa"/>
          </w:tcPr>
          <w:p w14:paraId="29135779">
            <w:pPr>
              <w:pStyle w:val="168"/>
              <w:spacing w:line="360" w:lineRule="auto"/>
              <w:jc w:val="left"/>
              <w:rPr>
                <w:rFonts w:ascii="宋体" w:hAnsi="宋体"/>
                <w:color w:val="auto"/>
                <w:szCs w:val="21"/>
                <w:highlight w:val="none"/>
              </w:rPr>
            </w:pPr>
            <w:r>
              <w:rPr>
                <w:rFonts w:hint="eastAsia" w:ascii="宋体" w:hAnsi="宋体"/>
                <w:color w:val="auto"/>
                <w:szCs w:val="21"/>
                <w:highlight w:val="none"/>
              </w:rPr>
              <w:t>传真：________________</w:t>
            </w:r>
          </w:p>
        </w:tc>
      </w:tr>
      <w:tr w14:paraId="73EFEF6A">
        <w:tblPrEx>
          <w:tblCellMar>
            <w:top w:w="0" w:type="dxa"/>
            <w:left w:w="108" w:type="dxa"/>
            <w:bottom w:w="0" w:type="dxa"/>
            <w:right w:w="108" w:type="dxa"/>
          </w:tblCellMar>
        </w:tblPrEx>
        <w:trPr>
          <w:trHeight w:val="1134" w:hRule="atLeast"/>
          <w:jc w:val="center"/>
        </w:trPr>
        <w:tc>
          <w:tcPr>
            <w:tcW w:w="4672" w:type="dxa"/>
          </w:tcPr>
          <w:p w14:paraId="314F5744">
            <w:pPr>
              <w:pStyle w:val="168"/>
              <w:spacing w:line="360" w:lineRule="auto"/>
              <w:jc w:val="left"/>
              <w:rPr>
                <w:rFonts w:ascii="宋体" w:hAnsi="宋体"/>
                <w:color w:val="auto"/>
                <w:szCs w:val="21"/>
                <w:highlight w:val="none"/>
              </w:rPr>
            </w:pPr>
            <w:r>
              <w:rPr>
                <w:rFonts w:hint="eastAsia" w:ascii="宋体" w:hAnsi="宋体"/>
                <w:color w:val="auto"/>
                <w:szCs w:val="21"/>
                <w:highlight w:val="none"/>
              </w:rPr>
              <w:t>开户银行：________________</w:t>
            </w:r>
          </w:p>
        </w:tc>
        <w:tc>
          <w:tcPr>
            <w:tcW w:w="4672" w:type="dxa"/>
          </w:tcPr>
          <w:p w14:paraId="5391F5EF">
            <w:pPr>
              <w:pStyle w:val="168"/>
              <w:spacing w:line="360" w:lineRule="auto"/>
              <w:jc w:val="left"/>
              <w:rPr>
                <w:rFonts w:ascii="宋体" w:hAnsi="宋体"/>
                <w:color w:val="auto"/>
                <w:szCs w:val="21"/>
                <w:highlight w:val="none"/>
              </w:rPr>
            </w:pPr>
            <w:r>
              <w:rPr>
                <w:rFonts w:hint="eastAsia" w:ascii="宋体" w:hAnsi="宋体"/>
                <w:color w:val="auto"/>
                <w:szCs w:val="21"/>
                <w:highlight w:val="none"/>
              </w:rPr>
              <w:t>开户银行：________________</w:t>
            </w:r>
          </w:p>
        </w:tc>
      </w:tr>
      <w:tr w14:paraId="62B24505">
        <w:tblPrEx>
          <w:tblCellMar>
            <w:top w:w="0" w:type="dxa"/>
            <w:left w:w="108" w:type="dxa"/>
            <w:bottom w:w="0" w:type="dxa"/>
            <w:right w:w="108" w:type="dxa"/>
          </w:tblCellMar>
        </w:tblPrEx>
        <w:trPr>
          <w:trHeight w:val="1134" w:hRule="atLeast"/>
          <w:jc w:val="center"/>
        </w:trPr>
        <w:tc>
          <w:tcPr>
            <w:tcW w:w="4672" w:type="dxa"/>
          </w:tcPr>
          <w:p w14:paraId="26DCEF6B">
            <w:pPr>
              <w:pStyle w:val="168"/>
              <w:spacing w:line="360" w:lineRule="auto"/>
              <w:jc w:val="left"/>
              <w:rPr>
                <w:rFonts w:ascii="宋体" w:hAnsi="宋体"/>
                <w:color w:val="auto"/>
                <w:szCs w:val="21"/>
                <w:highlight w:val="none"/>
              </w:rPr>
            </w:pPr>
            <w:r>
              <w:rPr>
                <w:rFonts w:hint="eastAsia" w:ascii="宋体" w:hAnsi="宋体"/>
                <w:color w:val="auto"/>
                <w:szCs w:val="21"/>
                <w:highlight w:val="none"/>
              </w:rPr>
              <w:t>账号：________________</w:t>
            </w:r>
          </w:p>
        </w:tc>
        <w:tc>
          <w:tcPr>
            <w:tcW w:w="4672" w:type="dxa"/>
          </w:tcPr>
          <w:p w14:paraId="5121A0DF">
            <w:pPr>
              <w:pStyle w:val="168"/>
              <w:spacing w:line="360" w:lineRule="auto"/>
              <w:jc w:val="left"/>
              <w:rPr>
                <w:rFonts w:ascii="宋体" w:hAnsi="宋体"/>
                <w:color w:val="auto"/>
                <w:szCs w:val="21"/>
                <w:highlight w:val="none"/>
              </w:rPr>
            </w:pPr>
            <w:r>
              <w:rPr>
                <w:rFonts w:hint="eastAsia" w:ascii="宋体" w:hAnsi="宋体"/>
                <w:color w:val="auto"/>
                <w:szCs w:val="21"/>
                <w:highlight w:val="none"/>
              </w:rPr>
              <w:t>账号：________________</w:t>
            </w:r>
          </w:p>
        </w:tc>
      </w:tr>
      <w:tr w14:paraId="046168B6">
        <w:tblPrEx>
          <w:tblCellMar>
            <w:top w:w="0" w:type="dxa"/>
            <w:left w:w="108" w:type="dxa"/>
            <w:bottom w:w="0" w:type="dxa"/>
            <w:right w:w="108" w:type="dxa"/>
          </w:tblCellMar>
        </w:tblPrEx>
        <w:trPr>
          <w:trHeight w:val="1134" w:hRule="atLeast"/>
          <w:jc w:val="center"/>
        </w:trPr>
        <w:tc>
          <w:tcPr>
            <w:tcW w:w="4672" w:type="dxa"/>
          </w:tcPr>
          <w:p w14:paraId="347BF8F7">
            <w:pPr>
              <w:pStyle w:val="168"/>
              <w:spacing w:line="360" w:lineRule="auto"/>
              <w:jc w:val="left"/>
              <w:rPr>
                <w:rFonts w:ascii="宋体" w:hAnsi="宋体"/>
                <w:color w:val="auto"/>
                <w:szCs w:val="21"/>
                <w:highlight w:val="none"/>
              </w:rPr>
            </w:pPr>
            <w:r>
              <w:rPr>
                <w:rFonts w:hint="eastAsia" w:ascii="宋体" w:hAnsi="宋体"/>
                <w:color w:val="auto"/>
                <w:szCs w:val="21"/>
                <w:highlight w:val="none"/>
              </w:rPr>
              <w:t>邮政编码：________________</w:t>
            </w:r>
          </w:p>
        </w:tc>
        <w:tc>
          <w:tcPr>
            <w:tcW w:w="4672" w:type="dxa"/>
          </w:tcPr>
          <w:p w14:paraId="075DF9C9">
            <w:pPr>
              <w:pStyle w:val="168"/>
              <w:spacing w:line="360" w:lineRule="auto"/>
              <w:jc w:val="left"/>
              <w:rPr>
                <w:rFonts w:ascii="宋体" w:hAnsi="宋体"/>
                <w:color w:val="auto"/>
                <w:szCs w:val="21"/>
                <w:highlight w:val="none"/>
              </w:rPr>
            </w:pPr>
            <w:r>
              <w:rPr>
                <w:rFonts w:hint="eastAsia" w:ascii="宋体" w:hAnsi="宋体"/>
                <w:color w:val="auto"/>
                <w:szCs w:val="21"/>
                <w:highlight w:val="none"/>
              </w:rPr>
              <w:t>邮政编码：________________</w:t>
            </w:r>
          </w:p>
        </w:tc>
      </w:tr>
    </w:tbl>
    <w:p w14:paraId="0C497E05">
      <w:pPr>
        <w:pStyle w:val="168"/>
        <w:spacing w:line="360" w:lineRule="auto"/>
        <w:jc w:val="center"/>
        <w:rPr>
          <w:rFonts w:ascii="宋体" w:hAnsi="宋体"/>
          <w:color w:val="auto"/>
          <w:szCs w:val="21"/>
          <w:highlight w:val="none"/>
        </w:rPr>
      </w:pPr>
    </w:p>
    <w:p w14:paraId="2C309EEE">
      <w:pPr>
        <w:pStyle w:val="168"/>
        <w:spacing w:line="360" w:lineRule="auto"/>
        <w:rPr>
          <w:rFonts w:ascii="宋体" w:hAnsi="宋体"/>
          <w:color w:val="auto"/>
          <w:sz w:val="30"/>
          <w:szCs w:val="30"/>
          <w:highlight w:val="none"/>
        </w:rPr>
        <w:sectPr>
          <w:pgSz w:w="11906" w:h="16838"/>
          <w:pgMar w:top="1440" w:right="1134" w:bottom="1440" w:left="1418" w:header="851" w:footer="992" w:gutter="0"/>
          <w:cols w:space="425" w:num="1"/>
          <w:docGrid w:type="lines" w:linePitch="312" w:charSpace="0"/>
        </w:sectPr>
      </w:pPr>
    </w:p>
    <w:p w14:paraId="46934AD9">
      <w:pPr>
        <w:pStyle w:val="168"/>
        <w:spacing w:line="360" w:lineRule="auto"/>
        <w:rPr>
          <w:rFonts w:ascii="宋体" w:hAnsi="宋体"/>
          <w:color w:val="auto"/>
          <w:sz w:val="30"/>
          <w:szCs w:val="30"/>
          <w:highlight w:val="none"/>
        </w:rPr>
      </w:pPr>
      <w:r>
        <w:rPr>
          <w:rFonts w:hint="eastAsia" w:ascii="宋体" w:hAnsi="宋体"/>
          <w:color w:val="auto"/>
          <w:sz w:val="30"/>
          <w:szCs w:val="30"/>
          <w:highlight w:val="none"/>
        </w:rPr>
        <w:t>附件</w:t>
      </w:r>
      <w:r>
        <w:rPr>
          <w:rFonts w:ascii="宋体" w:hAnsi="宋体"/>
          <w:color w:val="auto"/>
          <w:sz w:val="30"/>
          <w:szCs w:val="30"/>
          <w:highlight w:val="none"/>
        </w:rPr>
        <w:t>2</w:t>
      </w:r>
      <w:r>
        <w:rPr>
          <w:rFonts w:hint="eastAsia" w:ascii="宋体" w:hAnsi="宋体"/>
          <w:color w:val="auto"/>
          <w:sz w:val="30"/>
          <w:szCs w:val="30"/>
          <w:highlight w:val="none"/>
        </w:rPr>
        <w:t>：</w:t>
      </w:r>
    </w:p>
    <w:p w14:paraId="7A476C59">
      <w:pPr>
        <w:pStyle w:val="168"/>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承包人用于本工程施工的机械设备表</w:t>
      </w:r>
    </w:p>
    <w:p w14:paraId="3163292C">
      <w:pPr>
        <w:pStyle w:val="168"/>
        <w:spacing w:line="360" w:lineRule="auto"/>
        <w:jc w:val="center"/>
        <w:rPr>
          <w:rFonts w:ascii="宋体" w:hAnsi="宋体"/>
          <w:color w:val="auto"/>
          <w:sz w:val="30"/>
          <w:szCs w:val="30"/>
          <w:highlight w:val="none"/>
        </w:rPr>
      </w:pPr>
    </w:p>
    <w:p w14:paraId="53F0EAFF">
      <w:pPr>
        <w:pStyle w:val="168"/>
        <w:spacing w:line="360" w:lineRule="auto"/>
        <w:rPr>
          <w:rFonts w:ascii="宋体" w:hAnsi="宋体"/>
          <w:color w:val="auto"/>
          <w:sz w:val="30"/>
          <w:szCs w:val="30"/>
          <w:highlight w:val="none"/>
        </w:rPr>
      </w:pPr>
    </w:p>
    <w:p w14:paraId="54CB3524">
      <w:pPr>
        <w:pStyle w:val="168"/>
        <w:spacing w:line="360" w:lineRule="auto"/>
        <w:rPr>
          <w:rFonts w:ascii="宋体" w:hAnsi="宋体"/>
          <w:color w:val="auto"/>
          <w:sz w:val="30"/>
          <w:szCs w:val="30"/>
          <w:highlight w:val="none"/>
        </w:rPr>
        <w:sectPr>
          <w:pgSz w:w="11906" w:h="16838"/>
          <w:pgMar w:top="1440" w:right="1134" w:bottom="1440" w:left="1418" w:header="851" w:footer="992" w:gutter="0"/>
          <w:cols w:space="425" w:num="1"/>
          <w:docGrid w:type="lines" w:linePitch="312" w:charSpace="0"/>
        </w:sectPr>
      </w:pPr>
    </w:p>
    <w:p w14:paraId="6BC629FA">
      <w:pPr>
        <w:pStyle w:val="168"/>
        <w:spacing w:line="360" w:lineRule="auto"/>
        <w:rPr>
          <w:rFonts w:ascii="宋体" w:hAnsi="宋体"/>
          <w:color w:val="auto"/>
          <w:sz w:val="30"/>
          <w:szCs w:val="30"/>
          <w:highlight w:val="none"/>
        </w:rPr>
      </w:pPr>
      <w:r>
        <w:rPr>
          <w:rFonts w:hint="eastAsia" w:ascii="宋体" w:hAnsi="宋体"/>
          <w:color w:val="auto"/>
          <w:sz w:val="30"/>
          <w:szCs w:val="30"/>
          <w:highlight w:val="none"/>
        </w:rPr>
        <w:t>附件</w:t>
      </w:r>
      <w:r>
        <w:rPr>
          <w:rFonts w:ascii="宋体" w:hAnsi="宋体"/>
          <w:color w:val="auto"/>
          <w:sz w:val="30"/>
          <w:szCs w:val="30"/>
          <w:highlight w:val="none"/>
        </w:rPr>
        <w:t>3</w:t>
      </w:r>
      <w:r>
        <w:rPr>
          <w:rFonts w:hint="eastAsia" w:ascii="宋体" w:hAnsi="宋体"/>
          <w:color w:val="auto"/>
          <w:sz w:val="30"/>
          <w:szCs w:val="30"/>
          <w:highlight w:val="none"/>
        </w:rPr>
        <w:t>：</w:t>
      </w:r>
    </w:p>
    <w:p w14:paraId="31DF6BDA">
      <w:pPr>
        <w:pStyle w:val="168"/>
        <w:spacing w:line="360" w:lineRule="auto"/>
        <w:jc w:val="center"/>
        <w:rPr>
          <w:rFonts w:ascii="黑体" w:hAnsi="黑体" w:eastAsia="黑体"/>
          <w:color w:val="auto"/>
          <w:sz w:val="30"/>
          <w:szCs w:val="30"/>
          <w:highlight w:val="none"/>
        </w:rPr>
      </w:pPr>
      <w:r>
        <w:rPr>
          <w:rFonts w:hint="eastAsia" w:ascii="黑体" w:hAnsi="黑体" w:eastAsia="黑体"/>
          <w:color w:val="auto"/>
          <w:sz w:val="30"/>
          <w:szCs w:val="30"/>
          <w:highlight w:val="none"/>
        </w:rPr>
        <w:t>承包人主要施工管理人员表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1417"/>
        <w:gridCol w:w="2268"/>
        <w:gridCol w:w="2126"/>
        <w:gridCol w:w="1978"/>
      </w:tblGrid>
      <w:tr w14:paraId="3A2B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4A06173F">
            <w:pPr>
              <w:pStyle w:val="168"/>
              <w:spacing w:line="360" w:lineRule="auto"/>
              <w:jc w:val="center"/>
              <w:rPr>
                <w:rFonts w:ascii="宋体" w:hAnsi="宋体"/>
                <w:color w:val="auto"/>
                <w:szCs w:val="21"/>
                <w:highlight w:val="none"/>
              </w:rPr>
            </w:pPr>
            <w:r>
              <w:rPr>
                <w:rFonts w:hint="eastAsia" w:ascii="宋体" w:hAnsi="宋体"/>
                <w:color w:val="auto"/>
                <w:szCs w:val="21"/>
                <w:highlight w:val="none"/>
              </w:rPr>
              <w:t>名称</w:t>
            </w:r>
          </w:p>
        </w:tc>
        <w:tc>
          <w:tcPr>
            <w:tcW w:w="1417" w:type="dxa"/>
            <w:vAlign w:val="center"/>
          </w:tcPr>
          <w:p w14:paraId="2F81C8DD">
            <w:pPr>
              <w:pStyle w:val="168"/>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2268" w:type="dxa"/>
            <w:vAlign w:val="center"/>
          </w:tcPr>
          <w:p w14:paraId="56AFB0D5">
            <w:pPr>
              <w:pStyle w:val="168"/>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126" w:type="dxa"/>
            <w:vAlign w:val="center"/>
          </w:tcPr>
          <w:p w14:paraId="0176BC2B">
            <w:pPr>
              <w:pStyle w:val="168"/>
              <w:spacing w:line="360" w:lineRule="auto"/>
              <w:jc w:val="center"/>
              <w:rPr>
                <w:rFonts w:ascii="宋体" w:hAnsi="宋体"/>
                <w:color w:val="auto"/>
                <w:szCs w:val="21"/>
                <w:highlight w:val="none"/>
              </w:rPr>
            </w:pPr>
            <w:r>
              <w:rPr>
                <w:rFonts w:hint="eastAsia" w:ascii="宋体" w:hAnsi="宋体"/>
                <w:color w:val="auto"/>
                <w:szCs w:val="21"/>
                <w:highlight w:val="none"/>
              </w:rPr>
              <w:t>职称</w:t>
            </w:r>
          </w:p>
        </w:tc>
        <w:tc>
          <w:tcPr>
            <w:tcW w:w="1978" w:type="dxa"/>
            <w:vAlign w:val="center"/>
          </w:tcPr>
          <w:p w14:paraId="74B3B270">
            <w:pPr>
              <w:pStyle w:val="168"/>
              <w:spacing w:line="360" w:lineRule="auto"/>
              <w:jc w:val="center"/>
              <w:rPr>
                <w:rFonts w:ascii="宋体" w:hAnsi="宋体"/>
                <w:color w:val="auto"/>
                <w:szCs w:val="21"/>
                <w:highlight w:val="none"/>
              </w:rPr>
            </w:pPr>
            <w:r>
              <w:rPr>
                <w:rFonts w:hint="eastAsia" w:ascii="宋体" w:hAnsi="宋体"/>
                <w:color w:val="auto"/>
                <w:szCs w:val="21"/>
                <w:highlight w:val="none"/>
              </w:rPr>
              <w:t>计划进场时间</w:t>
            </w:r>
          </w:p>
        </w:tc>
      </w:tr>
      <w:tr w14:paraId="5DE9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07FB52D7">
            <w:pPr>
              <w:pStyle w:val="168"/>
              <w:spacing w:line="360" w:lineRule="auto"/>
              <w:jc w:val="center"/>
              <w:rPr>
                <w:rFonts w:ascii="宋体" w:hAnsi="宋体"/>
                <w:color w:val="auto"/>
                <w:szCs w:val="21"/>
                <w:highlight w:val="none"/>
              </w:rPr>
            </w:pPr>
            <w:r>
              <w:rPr>
                <w:rFonts w:hint="eastAsia" w:ascii="宋体" w:hAnsi="宋体"/>
                <w:color w:val="auto"/>
                <w:szCs w:val="21"/>
                <w:highlight w:val="none"/>
              </w:rPr>
              <w:t>项目经理</w:t>
            </w:r>
          </w:p>
        </w:tc>
        <w:tc>
          <w:tcPr>
            <w:tcW w:w="1417" w:type="dxa"/>
            <w:vAlign w:val="center"/>
          </w:tcPr>
          <w:p w14:paraId="73F50361">
            <w:pPr>
              <w:pStyle w:val="168"/>
              <w:spacing w:line="360" w:lineRule="auto"/>
              <w:jc w:val="center"/>
              <w:rPr>
                <w:rFonts w:ascii="宋体" w:hAnsi="宋体"/>
                <w:color w:val="auto"/>
                <w:szCs w:val="21"/>
                <w:highlight w:val="none"/>
              </w:rPr>
            </w:pPr>
          </w:p>
        </w:tc>
        <w:tc>
          <w:tcPr>
            <w:tcW w:w="2268" w:type="dxa"/>
            <w:vAlign w:val="center"/>
          </w:tcPr>
          <w:p w14:paraId="7C997D3A">
            <w:pPr>
              <w:pStyle w:val="168"/>
              <w:spacing w:line="360" w:lineRule="auto"/>
              <w:jc w:val="center"/>
              <w:rPr>
                <w:rFonts w:ascii="宋体" w:hAnsi="宋体"/>
                <w:color w:val="auto"/>
                <w:szCs w:val="21"/>
                <w:highlight w:val="none"/>
              </w:rPr>
            </w:pPr>
          </w:p>
        </w:tc>
        <w:tc>
          <w:tcPr>
            <w:tcW w:w="2126" w:type="dxa"/>
            <w:vAlign w:val="center"/>
          </w:tcPr>
          <w:p w14:paraId="6FCFC3B6">
            <w:pPr>
              <w:pStyle w:val="168"/>
              <w:spacing w:line="360" w:lineRule="auto"/>
              <w:jc w:val="center"/>
              <w:rPr>
                <w:rFonts w:ascii="宋体" w:hAnsi="宋体"/>
                <w:color w:val="auto"/>
                <w:szCs w:val="21"/>
                <w:highlight w:val="none"/>
              </w:rPr>
            </w:pPr>
          </w:p>
        </w:tc>
        <w:tc>
          <w:tcPr>
            <w:tcW w:w="1978" w:type="dxa"/>
            <w:vAlign w:val="center"/>
          </w:tcPr>
          <w:p w14:paraId="07FB3DE9">
            <w:pPr>
              <w:pStyle w:val="168"/>
              <w:spacing w:line="360" w:lineRule="auto"/>
              <w:jc w:val="center"/>
              <w:rPr>
                <w:rFonts w:ascii="宋体" w:hAnsi="宋体"/>
                <w:color w:val="auto"/>
                <w:szCs w:val="21"/>
                <w:highlight w:val="none"/>
              </w:rPr>
            </w:pPr>
          </w:p>
        </w:tc>
      </w:tr>
      <w:tr w14:paraId="789B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70F3F32C">
            <w:pPr>
              <w:pStyle w:val="168"/>
              <w:spacing w:line="360" w:lineRule="auto"/>
              <w:jc w:val="center"/>
              <w:rPr>
                <w:rFonts w:ascii="宋体" w:hAnsi="宋体"/>
                <w:color w:val="auto"/>
                <w:szCs w:val="21"/>
                <w:highlight w:val="none"/>
              </w:rPr>
            </w:pPr>
            <w:r>
              <w:rPr>
                <w:rFonts w:hint="eastAsia" w:ascii="宋体" w:hAnsi="宋体"/>
                <w:color w:val="auto"/>
                <w:szCs w:val="21"/>
                <w:highlight w:val="none"/>
              </w:rPr>
              <w:t>项目副经理</w:t>
            </w:r>
          </w:p>
        </w:tc>
        <w:tc>
          <w:tcPr>
            <w:tcW w:w="1417" w:type="dxa"/>
            <w:vAlign w:val="center"/>
          </w:tcPr>
          <w:p w14:paraId="23F1EBD7">
            <w:pPr>
              <w:pStyle w:val="168"/>
              <w:spacing w:line="360" w:lineRule="auto"/>
              <w:jc w:val="center"/>
              <w:rPr>
                <w:rFonts w:ascii="宋体" w:hAnsi="宋体"/>
                <w:color w:val="auto"/>
                <w:szCs w:val="21"/>
                <w:highlight w:val="none"/>
              </w:rPr>
            </w:pPr>
          </w:p>
        </w:tc>
        <w:tc>
          <w:tcPr>
            <w:tcW w:w="2268" w:type="dxa"/>
            <w:vAlign w:val="center"/>
          </w:tcPr>
          <w:p w14:paraId="5E6F61CF">
            <w:pPr>
              <w:pStyle w:val="168"/>
              <w:spacing w:line="360" w:lineRule="auto"/>
              <w:jc w:val="center"/>
              <w:rPr>
                <w:rFonts w:ascii="宋体" w:hAnsi="宋体"/>
                <w:color w:val="auto"/>
                <w:szCs w:val="21"/>
                <w:highlight w:val="none"/>
              </w:rPr>
            </w:pPr>
          </w:p>
        </w:tc>
        <w:tc>
          <w:tcPr>
            <w:tcW w:w="2126" w:type="dxa"/>
            <w:vAlign w:val="center"/>
          </w:tcPr>
          <w:p w14:paraId="62565960">
            <w:pPr>
              <w:pStyle w:val="168"/>
              <w:spacing w:line="360" w:lineRule="auto"/>
              <w:jc w:val="center"/>
              <w:rPr>
                <w:rFonts w:ascii="宋体" w:hAnsi="宋体"/>
                <w:color w:val="auto"/>
                <w:szCs w:val="21"/>
                <w:highlight w:val="none"/>
              </w:rPr>
            </w:pPr>
          </w:p>
        </w:tc>
        <w:tc>
          <w:tcPr>
            <w:tcW w:w="1978" w:type="dxa"/>
            <w:vAlign w:val="center"/>
          </w:tcPr>
          <w:p w14:paraId="5B530897">
            <w:pPr>
              <w:pStyle w:val="168"/>
              <w:spacing w:line="360" w:lineRule="auto"/>
              <w:jc w:val="center"/>
              <w:rPr>
                <w:rFonts w:ascii="宋体" w:hAnsi="宋体"/>
                <w:color w:val="auto"/>
                <w:szCs w:val="21"/>
                <w:highlight w:val="none"/>
              </w:rPr>
            </w:pPr>
          </w:p>
        </w:tc>
      </w:tr>
      <w:tr w14:paraId="3496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24B5E011">
            <w:pPr>
              <w:pStyle w:val="168"/>
              <w:spacing w:line="360" w:lineRule="auto"/>
              <w:jc w:val="center"/>
              <w:rPr>
                <w:rFonts w:ascii="宋体" w:hAnsi="宋体"/>
                <w:color w:val="auto"/>
                <w:szCs w:val="21"/>
                <w:highlight w:val="none"/>
              </w:rPr>
            </w:pPr>
            <w:r>
              <w:rPr>
                <w:rFonts w:hint="eastAsia" w:ascii="宋体" w:hAnsi="宋体"/>
                <w:color w:val="auto"/>
                <w:szCs w:val="21"/>
                <w:highlight w:val="none"/>
              </w:rPr>
              <w:t>技术负责人</w:t>
            </w:r>
          </w:p>
        </w:tc>
        <w:tc>
          <w:tcPr>
            <w:tcW w:w="1417" w:type="dxa"/>
            <w:vAlign w:val="center"/>
          </w:tcPr>
          <w:p w14:paraId="6D8F09B3">
            <w:pPr>
              <w:pStyle w:val="168"/>
              <w:spacing w:line="360" w:lineRule="auto"/>
              <w:jc w:val="center"/>
              <w:rPr>
                <w:rFonts w:ascii="宋体" w:hAnsi="宋体"/>
                <w:color w:val="auto"/>
                <w:szCs w:val="21"/>
                <w:highlight w:val="none"/>
              </w:rPr>
            </w:pPr>
          </w:p>
        </w:tc>
        <w:tc>
          <w:tcPr>
            <w:tcW w:w="2268" w:type="dxa"/>
            <w:vAlign w:val="center"/>
          </w:tcPr>
          <w:p w14:paraId="59772BE1">
            <w:pPr>
              <w:pStyle w:val="168"/>
              <w:spacing w:line="360" w:lineRule="auto"/>
              <w:jc w:val="center"/>
              <w:rPr>
                <w:rFonts w:ascii="宋体" w:hAnsi="宋体"/>
                <w:color w:val="auto"/>
                <w:szCs w:val="21"/>
                <w:highlight w:val="none"/>
              </w:rPr>
            </w:pPr>
          </w:p>
        </w:tc>
        <w:tc>
          <w:tcPr>
            <w:tcW w:w="2126" w:type="dxa"/>
            <w:vAlign w:val="center"/>
          </w:tcPr>
          <w:p w14:paraId="7A7B73BE">
            <w:pPr>
              <w:pStyle w:val="168"/>
              <w:spacing w:line="360" w:lineRule="auto"/>
              <w:jc w:val="center"/>
              <w:rPr>
                <w:rFonts w:ascii="宋体" w:hAnsi="宋体"/>
                <w:color w:val="auto"/>
                <w:szCs w:val="21"/>
                <w:highlight w:val="none"/>
              </w:rPr>
            </w:pPr>
          </w:p>
        </w:tc>
        <w:tc>
          <w:tcPr>
            <w:tcW w:w="1978" w:type="dxa"/>
            <w:vAlign w:val="center"/>
          </w:tcPr>
          <w:p w14:paraId="07A0302C">
            <w:pPr>
              <w:pStyle w:val="168"/>
              <w:spacing w:line="360" w:lineRule="auto"/>
              <w:jc w:val="center"/>
              <w:rPr>
                <w:rFonts w:ascii="宋体" w:hAnsi="宋体"/>
                <w:color w:val="auto"/>
                <w:szCs w:val="21"/>
                <w:highlight w:val="none"/>
              </w:rPr>
            </w:pPr>
          </w:p>
        </w:tc>
      </w:tr>
      <w:tr w14:paraId="1F99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vAlign w:val="center"/>
          </w:tcPr>
          <w:p w14:paraId="76306DA0">
            <w:pPr>
              <w:pStyle w:val="168"/>
              <w:spacing w:line="360" w:lineRule="auto"/>
              <w:jc w:val="center"/>
              <w:rPr>
                <w:rFonts w:ascii="宋体" w:hAnsi="宋体"/>
                <w:color w:val="auto"/>
                <w:szCs w:val="21"/>
                <w:highlight w:val="none"/>
              </w:rPr>
            </w:pPr>
            <w:r>
              <w:rPr>
                <w:rFonts w:hint="eastAsia" w:ascii="宋体" w:hAnsi="宋体"/>
                <w:color w:val="auto"/>
                <w:szCs w:val="21"/>
                <w:highlight w:val="none"/>
              </w:rPr>
              <w:t>造价管理</w:t>
            </w:r>
          </w:p>
        </w:tc>
        <w:tc>
          <w:tcPr>
            <w:tcW w:w="1417" w:type="dxa"/>
            <w:vAlign w:val="center"/>
          </w:tcPr>
          <w:p w14:paraId="6A7AD918">
            <w:pPr>
              <w:pStyle w:val="168"/>
              <w:spacing w:line="360" w:lineRule="auto"/>
              <w:jc w:val="center"/>
              <w:rPr>
                <w:rFonts w:ascii="宋体" w:hAnsi="宋体"/>
                <w:color w:val="auto"/>
                <w:szCs w:val="21"/>
                <w:highlight w:val="none"/>
              </w:rPr>
            </w:pPr>
          </w:p>
        </w:tc>
        <w:tc>
          <w:tcPr>
            <w:tcW w:w="2268" w:type="dxa"/>
            <w:vAlign w:val="center"/>
          </w:tcPr>
          <w:p w14:paraId="1047CE26">
            <w:pPr>
              <w:pStyle w:val="168"/>
              <w:spacing w:line="360" w:lineRule="auto"/>
              <w:jc w:val="center"/>
              <w:rPr>
                <w:rFonts w:ascii="宋体" w:hAnsi="宋体"/>
                <w:color w:val="auto"/>
                <w:szCs w:val="21"/>
                <w:highlight w:val="none"/>
              </w:rPr>
            </w:pPr>
          </w:p>
        </w:tc>
        <w:tc>
          <w:tcPr>
            <w:tcW w:w="2126" w:type="dxa"/>
            <w:vAlign w:val="center"/>
          </w:tcPr>
          <w:p w14:paraId="0394AB1B">
            <w:pPr>
              <w:pStyle w:val="168"/>
              <w:spacing w:line="360" w:lineRule="auto"/>
              <w:jc w:val="center"/>
              <w:rPr>
                <w:rFonts w:ascii="宋体" w:hAnsi="宋体"/>
                <w:color w:val="auto"/>
                <w:szCs w:val="21"/>
                <w:highlight w:val="none"/>
              </w:rPr>
            </w:pPr>
          </w:p>
        </w:tc>
        <w:tc>
          <w:tcPr>
            <w:tcW w:w="1978" w:type="dxa"/>
            <w:vAlign w:val="center"/>
          </w:tcPr>
          <w:p w14:paraId="5ACC9E50">
            <w:pPr>
              <w:pStyle w:val="168"/>
              <w:spacing w:line="360" w:lineRule="auto"/>
              <w:jc w:val="center"/>
              <w:rPr>
                <w:rFonts w:ascii="宋体" w:hAnsi="宋体"/>
                <w:color w:val="auto"/>
                <w:szCs w:val="21"/>
                <w:highlight w:val="none"/>
              </w:rPr>
            </w:pPr>
          </w:p>
        </w:tc>
      </w:tr>
      <w:tr w14:paraId="44CB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1567C230">
            <w:pPr>
              <w:pStyle w:val="168"/>
              <w:spacing w:line="360" w:lineRule="auto"/>
              <w:jc w:val="center"/>
              <w:rPr>
                <w:rFonts w:ascii="宋体" w:hAnsi="宋体"/>
                <w:color w:val="auto"/>
                <w:szCs w:val="21"/>
                <w:highlight w:val="none"/>
              </w:rPr>
            </w:pPr>
          </w:p>
        </w:tc>
        <w:tc>
          <w:tcPr>
            <w:tcW w:w="1417" w:type="dxa"/>
            <w:vAlign w:val="center"/>
          </w:tcPr>
          <w:p w14:paraId="4474790E">
            <w:pPr>
              <w:pStyle w:val="168"/>
              <w:spacing w:line="360" w:lineRule="auto"/>
              <w:jc w:val="center"/>
              <w:rPr>
                <w:rFonts w:ascii="宋体" w:hAnsi="宋体"/>
                <w:color w:val="auto"/>
                <w:szCs w:val="21"/>
                <w:highlight w:val="none"/>
              </w:rPr>
            </w:pPr>
          </w:p>
        </w:tc>
        <w:tc>
          <w:tcPr>
            <w:tcW w:w="2268" w:type="dxa"/>
            <w:vAlign w:val="center"/>
          </w:tcPr>
          <w:p w14:paraId="3EFD3077">
            <w:pPr>
              <w:pStyle w:val="168"/>
              <w:spacing w:line="360" w:lineRule="auto"/>
              <w:jc w:val="center"/>
              <w:rPr>
                <w:rFonts w:ascii="宋体" w:hAnsi="宋体"/>
                <w:color w:val="auto"/>
                <w:szCs w:val="21"/>
                <w:highlight w:val="none"/>
              </w:rPr>
            </w:pPr>
          </w:p>
        </w:tc>
        <w:tc>
          <w:tcPr>
            <w:tcW w:w="2126" w:type="dxa"/>
            <w:vAlign w:val="center"/>
          </w:tcPr>
          <w:p w14:paraId="231B1FD8">
            <w:pPr>
              <w:pStyle w:val="168"/>
              <w:spacing w:line="360" w:lineRule="auto"/>
              <w:jc w:val="center"/>
              <w:rPr>
                <w:rFonts w:ascii="宋体" w:hAnsi="宋体"/>
                <w:color w:val="auto"/>
                <w:szCs w:val="21"/>
                <w:highlight w:val="none"/>
              </w:rPr>
            </w:pPr>
          </w:p>
        </w:tc>
        <w:tc>
          <w:tcPr>
            <w:tcW w:w="1978" w:type="dxa"/>
            <w:vAlign w:val="center"/>
          </w:tcPr>
          <w:p w14:paraId="7DAF64CE">
            <w:pPr>
              <w:pStyle w:val="168"/>
              <w:spacing w:line="360" w:lineRule="auto"/>
              <w:jc w:val="center"/>
              <w:rPr>
                <w:rFonts w:ascii="宋体" w:hAnsi="宋体"/>
                <w:color w:val="auto"/>
                <w:szCs w:val="21"/>
                <w:highlight w:val="none"/>
              </w:rPr>
            </w:pPr>
          </w:p>
        </w:tc>
      </w:tr>
      <w:tr w14:paraId="2722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vAlign w:val="center"/>
          </w:tcPr>
          <w:p w14:paraId="71F1EC3D">
            <w:pPr>
              <w:pStyle w:val="168"/>
              <w:spacing w:line="360" w:lineRule="auto"/>
              <w:jc w:val="center"/>
              <w:rPr>
                <w:rFonts w:ascii="宋体" w:hAnsi="宋体"/>
                <w:color w:val="auto"/>
                <w:szCs w:val="21"/>
                <w:highlight w:val="none"/>
              </w:rPr>
            </w:pPr>
            <w:r>
              <w:rPr>
                <w:rFonts w:hint="eastAsia" w:ascii="宋体" w:hAnsi="宋体"/>
                <w:color w:val="auto"/>
                <w:szCs w:val="21"/>
                <w:highlight w:val="none"/>
              </w:rPr>
              <w:t>质量管理</w:t>
            </w:r>
          </w:p>
        </w:tc>
        <w:tc>
          <w:tcPr>
            <w:tcW w:w="1417" w:type="dxa"/>
            <w:vAlign w:val="center"/>
          </w:tcPr>
          <w:p w14:paraId="0DE238C5">
            <w:pPr>
              <w:pStyle w:val="168"/>
              <w:spacing w:line="360" w:lineRule="auto"/>
              <w:jc w:val="center"/>
              <w:rPr>
                <w:rFonts w:ascii="宋体" w:hAnsi="宋体"/>
                <w:color w:val="auto"/>
                <w:szCs w:val="21"/>
                <w:highlight w:val="none"/>
              </w:rPr>
            </w:pPr>
          </w:p>
        </w:tc>
        <w:tc>
          <w:tcPr>
            <w:tcW w:w="2268" w:type="dxa"/>
            <w:vAlign w:val="center"/>
          </w:tcPr>
          <w:p w14:paraId="26E81852">
            <w:pPr>
              <w:pStyle w:val="168"/>
              <w:spacing w:line="360" w:lineRule="auto"/>
              <w:jc w:val="center"/>
              <w:rPr>
                <w:rFonts w:ascii="宋体" w:hAnsi="宋体"/>
                <w:color w:val="auto"/>
                <w:szCs w:val="21"/>
                <w:highlight w:val="none"/>
              </w:rPr>
            </w:pPr>
          </w:p>
        </w:tc>
        <w:tc>
          <w:tcPr>
            <w:tcW w:w="2126" w:type="dxa"/>
            <w:vAlign w:val="center"/>
          </w:tcPr>
          <w:p w14:paraId="69E8B815">
            <w:pPr>
              <w:pStyle w:val="168"/>
              <w:spacing w:line="360" w:lineRule="auto"/>
              <w:jc w:val="center"/>
              <w:rPr>
                <w:rFonts w:ascii="宋体" w:hAnsi="宋体"/>
                <w:color w:val="auto"/>
                <w:szCs w:val="21"/>
                <w:highlight w:val="none"/>
              </w:rPr>
            </w:pPr>
          </w:p>
        </w:tc>
        <w:tc>
          <w:tcPr>
            <w:tcW w:w="1978" w:type="dxa"/>
            <w:vAlign w:val="center"/>
          </w:tcPr>
          <w:p w14:paraId="41FCDDB8">
            <w:pPr>
              <w:pStyle w:val="168"/>
              <w:spacing w:line="360" w:lineRule="auto"/>
              <w:jc w:val="center"/>
              <w:rPr>
                <w:rFonts w:ascii="宋体" w:hAnsi="宋体"/>
                <w:color w:val="auto"/>
                <w:szCs w:val="21"/>
                <w:highlight w:val="none"/>
              </w:rPr>
            </w:pPr>
          </w:p>
        </w:tc>
      </w:tr>
      <w:tr w14:paraId="4133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423C60CF">
            <w:pPr>
              <w:pStyle w:val="168"/>
              <w:spacing w:line="360" w:lineRule="auto"/>
              <w:jc w:val="center"/>
              <w:rPr>
                <w:rFonts w:ascii="宋体" w:hAnsi="宋体"/>
                <w:color w:val="auto"/>
                <w:szCs w:val="21"/>
                <w:highlight w:val="none"/>
              </w:rPr>
            </w:pPr>
          </w:p>
        </w:tc>
        <w:tc>
          <w:tcPr>
            <w:tcW w:w="1417" w:type="dxa"/>
            <w:vAlign w:val="center"/>
          </w:tcPr>
          <w:p w14:paraId="49DAC952">
            <w:pPr>
              <w:pStyle w:val="168"/>
              <w:spacing w:line="360" w:lineRule="auto"/>
              <w:jc w:val="center"/>
              <w:rPr>
                <w:rFonts w:ascii="宋体" w:hAnsi="宋体"/>
                <w:color w:val="auto"/>
                <w:szCs w:val="21"/>
                <w:highlight w:val="none"/>
              </w:rPr>
            </w:pPr>
          </w:p>
        </w:tc>
        <w:tc>
          <w:tcPr>
            <w:tcW w:w="2268" w:type="dxa"/>
            <w:vAlign w:val="center"/>
          </w:tcPr>
          <w:p w14:paraId="5476511C">
            <w:pPr>
              <w:pStyle w:val="168"/>
              <w:spacing w:line="360" w:lineRule="auto"/>
              <w:jc w:val="center"/>
              <w:rPr>
                <w:rFonts w:ascii="宋体" w:hAnsi="宋体"/>
                <w:color w:val="auto"/>
                <w:szCs w:val="21"/>
                <w:highlight w:val="none"/>
              </w:rPr>
            </w:pPr>
          </w:p>
        </w:tc>
        <w:tc>
          <w:tcPr>
            <w:tcW w:w="2126" w:type="dxa"/>
            <w:vAlign w:val="center"/>
          </w:tcPr>
          <w:p w14:paraId="7A7F9D21">
            <w:pPr>
              <w:pStyle w:val="168"/>
              <w:spacing w:line="360" w:lineRule="auto"/>
              <w:jc w:val="center"/>
              <w:rPr>
                <w:rFonts w:ascii="宋体" w:hAnsi="宋体"/>
                <w:color w:val="auto"/>
                <w:szCs w:val="21"/>
                <w:highlight w:val="none"/>
              </w:rPr>
            </w:pPr>
          </w:p>
        </w:tc>
        <w:tc>
          <w:tcPr>
            <w:tcW w:w="1978" w:type="dxa"/>
            <w:vAlign w:val="center"/>
          </w:tcPr>
          <w:p w14:paraId="7F2870EA">
            <w:pPr>
              <w:pStyle w:val="168"/>
              <w:spacing w:line="360" w:lineRule="auto"/>
              <w:jc w:val="center"/>
              <w:rPr>
                <w:rFonts w:ascii="宋体" w:hAnsi="宋体"/>
                <w:color w:val="auto"/>
                <w:szCs w:val="21"/>
                <w:highlight w:val="none"/>
              </w:rPr>
            </w:pPr>
          </w:p>
        </w:tc>
      </w:tr>
      <w:tr w14:paraId="7003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706E3154">
            <w:pPr>
              <w:pStyle w:val="168"/>
              <w:spacing w:line="360" w:lineRule="auto"/>
              <w:jc w:val="center"/>
              <w:rPr>
                <w:rFonts w:ascii="宋体" w:hAnsi="宋体"/>
                <w:color w:val="auto"/>
                <w:szCs w:val="21"/>
                <w:highlight w:val="none"/>
              </w:rPr>
            </w:pPr>
          </w:p>
        </w:tc>
        <w:tc>
          <w:tcPr>
            <w:tcW w:w="1417" w:type="dxa"/>
            <w:vAlign w:val="center"/>
          </w:tcPr>
          <w:p w14:paraId="2482AE41">
            <w:pPr>
              <w:pStyle w:val="168"/>
              <w:spacing w:line="360" w:lineRule="auto"/>
              <w:jc w:val="center"/>
              <w:rPr>
                <w:rFonts w:ascii="宋体" w:hAnsi="宋体"/>
                <w:color w:val="auto"/>
                <w:szCs w:val="21"/>
                <w:highlight w:val="none"/>
              </w:rPr>
            </w:pPr>
          </w:p>
        </w:tc>
        <w:tc>
          <w:tcPr>
            <w:tcW w:w="2268" w:type="dxa"/>
            <w:vAlign w:val="center"/>
          </w:tcPr>
          <w:p w14:paraId="448E078C">
            <w:pPr>
              <w:pStyle w:val="168"/>
              <w:spacing w:line="360" w:lineRule="auto"/>
              <w:jc w:val="center"/>
              <w:rPr>
                <w:rFonts w:ascii="宋体" w:hAnsi="宋体"/>
                <w:color w:val="auto"/>
                <w:szCs w:val="21"/>
                <w:highlight w:val="none"/>
              </w:rPr>
            </w:pPr>
          </w:p>
        </w:tc>
        <w:tc>
          <w:tcPr>
            <w:tcW w:w="2126" w:type="dxa"/>
            <w:vAlign w:val="center"/>
          </w:tcPr>
          <w:p w14:paraId="720D6F79">
            <w:pPr>
              <w:pStyle w:val="168"/>
              <w:spacing w:line="360" w:lineRule="auto"/>
              <w:jc w:val="center"/>
              <w:rPr>
                <w:rFonts w:ascii="宋体" w:hAnsi="宋体"/>
                <w:color w:val="auto"/>
                <w:szCs w:val="21"/>
                <w:highlight w:val="none"/>
              </w:rPr>
            </w:pPr>
          </w:p>
        </w:tc>
        <w:tc>
          <w:tcPr>
            <w:tcW w:w="1978" w:type="dxa"/>
            <w:vAlign w:val="center"/>
          </w:tcPr>
          <w:p w14:paraId="7BE04C5A">
            <w:pPr>
              <w:pStyle w:val="168"/>
              <w:spacing w:line="360" w:lineRule="auto"/>
              <w:jc w:val="center"/>
              <w:rPr>
                <w:rFonts w:ascii="宋体" w:hAnsi="宋体"/>
                <w:color w:val="auto"/>
                <w:szCs w:val="21"/>
                <w:highlight w:val="none"/>
              </w:rPr>
            </w:pPr>
          </w:p>
        </w:tc>
      </w:tr>
      <w:tr w14:paraId="4A8B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240C9B48">
            <w:pPr>
              <w:pStyle w:val="168"/>
              <w:spacing w:line="360" w:lineRule="auto"/>
              <w:jc w:val="center"/>
              <w:rPr>
                <w:rFonts w:ascii="宋体" w:hAnsi="宋体"/>
                <w:color w:val="auto"/>
                <w:szCs w:val="21"/>
                <w:highlight w:val="none"/>
              </w:rPr>
            </w:pPr>
          </w:p>
        </w:tc>
        <w:tc>
          <w:tcPr>
            <w:tcW w:w="1417" w:type="dxa"/>
            <w:vAlign w:val="center"/>
          </w:tcPr>
          <w:p w14:paraId="194539D6">
            <w:pPr>
              <w:pStyle w:val="168"/>
              <w:spacing w:line="360" w:lineRule="auto"/>
              <w:jc w:val="center"/>
              <w:rPr>
                <w:rFonts w:ascii="宋体" w:hAnsi="宋体"/>
                <w:color w:val="auto"/>
                <w:szCs w:val="21"/>
                <w:highlight w:val="none"/>
              </w:rPr>
            </w:pPr>
          </w:p>
        </w:tc>
        <w:tc>
          <w:tcPr>
            <w:tcW w:w="2268" w:type="dxa"/>
            <w:vAlign w:val="center"/>
          </w:tcPr>
          <w:p w14:paraId="198DCAA7">
            <w:pPr>
              <w:pStyle w:val="168"/>
              <w:spacing w:line="360" w:lineRule="auto"/>
              <w:jc w:val="center"/>
              <w:rPr>
                <w:rFonts w:ascii="宋体" w:hAnsi="宋体"/>
                <w:color w:val="auto"/>
                <w:szCs w:val="21"/>
                <w:highlight w:val="none"/>
              </w:rPr>
            </w:pPr>
          </w:p>
        </w:tc>
        <w:tc>
          <w:tcPr>
            <w:tcW w:w="2126" w:type="dxa"/>
            <w:vAlign w:val="center"/>
          </w:tcPr>
          <w:p w14:paraId="0C06C061">
            <w:pPr>
              <w:pStyle w:val="168"/>
              <w:spacing w:line="360" w:lineRule="auto"/>
              <w:jc w:val="center"/>
              <w:rPr>
                <w:rFonts w:ascii="宋体" w:hAnsi="宋体"/>
                <w:color w:val="auto"/>
                <w:szCs w:val="21"/>
                <w:highlight w:val="none"/>
              </w:rPr>
            </w:pPr>
          </w:p>
        </w:tc>
        <w:tc>
          <w:tcPr>
            <w:tcW w:w="1978" w:type="dxa"/>
            <w:vAlign w:val="center"/>
          </w:tcPr>
          <w:p w14:paraId="5A222BA6">
            <w:pPr>
              <w:pStyle w:val="168"/>
              <w:spacing w:line="360" w:lineRule="auto"/>
              <w:jc w:val="center"/>
              <w:rPr>
                <w:rFonts w:ascii="宋体" w:hAnsi="宋体"/>
                <w:color w:val="auto"/>
                <w:szCs w:val="21"/>
                <w:highlight w:val="none"/>
              </w:rPr>
            </w:pPr>
          </w:p>
        </w:tc>
      </w:tr>
      <w:tr w14:paraId="2408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6C798B2B">
            <w:pPr>
              <w:pStyle w:val="168"/>
              <w:spacing w:line="360" w:lineRule="auto"/>
              <w:jc w:val="center"/>
              <w:rPr>
                <w:rFonts w:ascii="宋体" w:hAnsi="宋体"/>
                <w:color w:val="auto"/>
                <w:szCs w:val="21"/>
                <w:highlight w:val="none"/>
              </w:rPr>
            </w:pPr>
          </w:p>
        </w:tc>
        <w:tc>
          <w:tcPr>
            <w:tcW w:w="1417" w:type="dxa"/>
            <w:vAlign w:val="center"/>
          </w:tcPr>
          <w:p w14:paraId="58C78E36">
            <w:pPr>
              <w:pStyle w:val="168"/>
              <w:spacing w:line="360" w:lineRule="auto"/>
              <w:jc w:val="center"/>
              <w:rPr>
                <w:rFonts w:ascii="宋体" w:hAnsi="宋体"/>
                <w:color w:val="auto"/>
                <w:szCs w:val="21"/>
                <w:highlight w:val="none"/>
              </w:rPr>
            </w:pPr>
          </w:p>
        </w:tc>
        <w:tc>
          <w:tcPr>
            <w:tcW w:w="2268" w:type="dxa"/>
            <w:vAlign w:val="center"/>
          </w:tcPr>
          <w:p w14:paraId="4EA3544A">
            <w:pPr>
              <w:pStyle w:val="168"/>
              <w:spacing w:line="360" w:lineRule="auto"/>
              <w:jc w:val="center"/>
              <w:rPr>
                <w:rFonts w:ascii="宋体" w:hAnsi="宋体"/>
                <w:color w:val="auto"/>
                <w:szCs w:val="21"/>
                <w:highlight w:val="none"/>
              </w:rPr>
            </w:pPr>
          </w:p>
        </w:tc>
        <w:tc>
          <w:tcPr>
            <w:tcW w:w="2126" w:type="dxa"/>
            <w:vAlign w:val="center"/>
          </w:tcPr>
          <w:p w14:paraId="7EFA8DC6">
            <w:pPr>
              <w:pStyle w:val="168"/>
              <w:spacing w:line="360" w:lineRule="auto"/>
              <w:jc w:val="center"/>
              <w:rPr>
                <w:rFonts w:ascii="宋体" w:hAnsi="宋体"/>
                <w:color w:val="auto"/>
                <w:szCs w:val="21"/>
                <w:highlight w:val="none"/>
              </w:rPr>
            </w:pPr>
          </w:p>
        </w:tc>
        <w:tc>
          <w:tcPr>
            <w:tcW w:w="1978" w:type="dxa"/>
            <w:vAlign w:val="center"/>
          </w:tcPr>
          <w:p w14:paraId="71F99B30">
            <w:pPr>
              <w:pStyle w:val="168"/>
              <w:spacing w:line="360" w:lineRule="auto"/>
              <w:jc w:val="center"/>
              <w:rPr>
                <w:rFonts w:ascii="宋体" w:hAnsi="宋体"/>
                <w:color w:val="auto"/>
                <w:szCs w:val="21"/>
                <w:highlight w:val="none"/>
              </w:rPr>
            </w:pPr>
          </w:p>
        </w:tc>
      </w:tr>
      <w:tr w14:paraId="4FD6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56929954">
            <w:pPr>
              <w:pStyle w:val="168"/>
              <w:spacing w:line="360" w:lineRule="auto"/>
              <w:jc w:val="center"/>
              <w:rPr>
                <w:rFonts w:ascii="宋体" w:hAnsi="宋体"/>
                <w:color w:val="auto"/>
                <w:szCs w:val="21"/>
                <w:highlight w:val="none"/>
              </w:rPr>
            </w:pPr>
          </w:p>
        </w:tc>
        <w:tc>
          <w:tcPr>
            <w:tcW w:w="1417" w:type="dxa"/>
            <w:vAlign w:val="center"/>
          </w:tcPr>
          <w:p w14:paraId="6E31624D">
            <w:pPr>
              <w:pStyle w:val="168"/>
              <w:spacing w:line="360" w:lineRule="auto"/>
              <w:jc w:val="center"/>
              <w:rPr>
                <w:rFonts w:ascii="宋体" w:hAnsi="宋体"/>
                <w:color w:val="auto"/>
                <w:szCs w:val="21"/>
                <w:highlight w:val="none"/>
              </w:rPr>
            </w:pPr>
          </w:p>
        </w:tc>
        <w:tc>
          <w:tcPr>
            <w:tcW w:w="2268" w:type="dxa"/>
            <w:vAlign w:val="center"/>
          </w:tcPr>
          <w:p w14:paraId="364F8DAF">
            <w:pPr>
              <w:pStyle w:val="168"/>
              <w:spacing w:line="360" w:lineRule="auto"/>
              <w:jc w:val="center"/>
              <w:rPr>
                <w:rFonts w:ascii="宋体" w:hAnsi="宋体"/>
                <w:color w:val="auto"/>
                <w:szCs w:val="21"/>
                <w:highlight w:val="none"/>
              </w:rPr>
            </w:pPr>
          </w:p>
        </w:tc>
        <w:tc>
          <w:tcPr>
            <w:tcW w:w="2126" w:type="dxa"/>
            <w:vAlign w:val="center"/>
          </w:tcPr>
          <w:p w14:paraId="0C3FE96F">
            <w:pPr>
              <w:pStyle w:val="168"/>
              <w:spacing w:line="360" w:lineRule="auto"/>
              <w:jc w:val="center"/>
              <w:rPr>
                <w:rFonts w:ascii="宋体" w:hAnsi="宋体"/>
                <w:color w:val="auto"/>
                <w:szCs w:val="21"/>
                <w:highlight w:val="none"/>
              </w:rPr>
            </w:pPr>
          </w:p>
        </w:tc>
        <w:tc>
          <w:tcPr>
            <w:tcW w:w="1978" w:type="dxa"/>
            <w:vAlign w:val="center"/>
          </w:tcPr>
          <w:p w14:paraId="39BFD067">
            <w:pPr>
              <w:pStyle w:val="168"/>
              <w:spacing w:line="360" w:lineRule="auto"/>
              <w:jc w:val="center"/>
              <w:rPr>
                <w:rFonts w:ascii="宋体" w:hAnsi="宋体"/>
                <w:color w:val="auto"/>
                <w:szCs w:val="21"/>
                <w:highlight w:val="none"/>
              </w:rPr>
            </w:pPr>
          </w:p>
        </w:tc>
      </w:tr>
      <w:tr w14:paraId="22B4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588491C2">
            <w:pPr>
              <w:pStyle w:val="168"/>
              <w:spacing w:line="360" w:lineRule="auto"/>
              <w:jc w:val="center"/>
              <w:rPr>
                <w:rFonts w:ascii="宋体" w:hAnsi="宋体"/>
                <w:color w:val="auto"/>
                <w:szCs w:val="21"/>
                <w:highlight w:val="none"/>
              </w:rPr>
            </w:pPr>
          </w:p>
        </w:tc>
        <w:tc>
          <w:tcPr>
            <w:tcW w:w="1417" w:type="dxa"/>
            <w:vAlign w:val="center"/>
          </w:tcPr>
          <w:p w14:paraId="3246988F">
            <w:pPr>
              <w:pStyle w:val="168"/>
              <w:spacing w:line="360" w:lineRule="auto"/>
              <w:jc w:val="center"/>
              <w:rPr>
                <w:rFonts w:ascii="宋体" w:hAnsi="宋体"/>
                <w:color w:val="auto"/>
                <w:szCs w:val="21"/>
                <w:highlight w:val="none"/>
              </w:rPr>
            </w:pPr>
          </w:p>
        </w:tc>
        <w:tc>
          <w:tcPr>
            <w:tcW w:w="2268" w:type="dxa"/>
            <w:vAlign w:val="center"/>
          </w:tcPr>
          <w:p w14:paraId="4D52A67A">
            <w:pPr>
              <w:pStyle w:val="168"/>
              <w:spacing w:line="360" w:lineRule="auto"/>
              <w:jc w:val="center"/>
              <w:rPr>
                <w:rFonts w:ascii="宋体" w:hAnsi="宋体"/>
                <w:color w:val="auto"/>
                <w:szCs w:val="21"/>
                <w:highlight w:val="none"/>
              </w:rPr>
            </w:pPr>
          </w:p>
        </w:tc>
        <w:tc>
          <w:tcPr>
            <w:tcW w:w="2126" w:type="dxa"/>
            <w:vAlign w:val="center"/>
          </w:tcPr>
          <w:p w14:paraId="36364BA9">
            <w:pPr>
              <w:pStyle w:val="168"/>
              <w:spacing w:line="360" w:lineRule="auto"/>
              <w:jc w:val="center"/>
              <w:rPr>
                <w:rFonts w:ascii="宋体" w:hAnsi="宋体"/>
                <w:color w:val="auto"/>
                <w:szCs w:val="21"/>
                <w:highlight w:val="none"/>
              </w:rPr>
            </w:pPr>
          </w:p>
        </w:tc>
        <w:tc>
          <w:tcPr>
            <w:tcW w:w="1978" w:type="dxa"/>
            <w:vAlign w:val="center"/>
          </w:tcPr>
          <w:p w14:paraId="7C298C6F">
            <w:pPr>
              <w:pStyle w:val="168"/>
              <w:spacing w:line="360" w:lineRule="auto"/>
              <w:jc w:val="center"/>
              <w:rPr>
                <w:rFonts w:ascii="宋体" w:hAnsi="宋体"/>
                <w:color w:val="auto"/>
                <w:szCs w:val="21"/>
                <w:highlight w:val="none"/>
              </w:rPr>
            </w:pPr>
          </w:p>
        </w:tc>
      </w:tr>
      <w:tr w14:paraId="2BFB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47BF77B7">
            <w:pPr>
              <w:pStyle w:val="168"/>
              <w:spacing w:line="360" w:lineRule="auto"/>
              <w:jc w:val="center"/>
              <w:rPr>
                <w:rFonts w:ascii="宋体" w:hAnsi="宋体"/>
                <w:color w:val="auto"/>
                <w:szCs w:val="21"/>
                <w:highlight w:val="none"/>
              </w:rPr>
            </w:pPr>
          </w:p>
        </w:tc>
        <w:tc>
          <w:tcPr>
            <w:tcW w:w="1417" w:type="dxa"/>
            <w:vAlign w:val="center"/>
          </w:tcPr>
          <w:p w14:paraId="65097FA8">
            <w:pPr>
              <w:pStyle w:val="168"/>
              <w:spacing w:line="360" w:lineRule="auto"/>
              <w:jc w:val="center"/>
              <w:rPr>
                <w:rFonts w:ascii="宋体" w:hAnsi="宋体"/>
                <w:color w:val="auto"/>
                <w:szCs w:val="21"/>
                <w:highlight w:val="none"/>
              </w:rPr>
            </w:pPr>
          </w:p>
        </w:tc>
        <w:tc>
          <w:tcPr>
            <w:tcW w:w="2268" w:type="dxa"/>
            <w:vAlign w:val="center"/>
          </w:tcPr>
          <w:p w14:paraId="49643242">
            <w:pPr>
              <w:pStyle w:val="168"/>
              <w:spacing w:line="360" w:lineRule="auto"/>
              <w:jc w:val="center"/>
              <w:rPr>
                <w:rFonts w:ascii="宋体" w:hAnsi="宋体"/>
                <w:color w:val="auto"/>
                <w:szCs w:val="21"/>
                <w:highlight w:val="none"/>
              </w:rPr>
            </w:pPr>
          </w:p>
        </w:tc>
        <w:tc>
          <w:tcPr>
            <w:tcW w:w="2126" w:type="dxa"/>
            <w:vAlign w:val="center"/>
          </w:tcPr>
          <w:p w14:paraId="5B95CF85">
            <w:pPr>
              <w:pStyle w:val="168"/>
              <w:spacing w:line="360" w:lineRule="auto"/>
              <w:jc w:val="center"/>
              <w:rPr>
                <w:rFonts w:ascii="宋体" w:hAnsi="宋体"/>
                <w:color w:val="auto"/>
                <w:szCs w:val="21"/>
                <w:highlight w:val="none"/>
              </w:rPr>
            </w:pPr>
          </w:p>
        </w:tc>
        <w:tc>
          <w:tcPr>
            <w:tcW w:w="1978" w:type="dxa"/>
            <w:vAlign w:val="center"/>
          </w:tcPr>
          <w:p w14:paraId="37DF8DD0">
            <w:pPr>
              <w:pStyle w:val="168"/>
              <w:spacing w:line="360" w:lineRule="auto"/>
              <w:jc w:val="center"/>
              <w:rPr>
                <w:rFonts w:ascii="宋体" w:hAnsi="宋体"/>
                <w:color w:val="auto"/>
                <w:szCs w:val="21"/>
                <w:highlight w:val="none"/>
              </w:rPr>
            </w:pPr>
          </w:p>
        </w:tc>
      </w:tr>
      <w:tr w14:paraId="40DB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vAlign w:val="center"/>
          </w:tcPr>
          <w:p w14:paraId="7418CD63">
            <w:pPr>
              <w:pStyle w:val="168"/>
              <w:spacing w:line="360" w:lineRule="auto"/>
              <w:jc w:val="center"/>
              <w:rPr>
                <w:rFonts w:ascii="宋体" w:hAnsi="宋体"/>
                <w:color w:val="auto"/>
                <w:szCs w:val="21"/>
                <w:highlight w:val="none"/>
              </w:rPr>
            </w:pPr>
            <w:r>
              <w:rPr>
                <w:rFonts w:hint="eastAsia" w:ascii="宋体" w:hAnsi="宋体"/>
                <w:color w:val="auto"/>
                <w:szCs w:val="21"/>
                <w:highlight w:val="none"/>
              </w:rPr>
              <w:t>材料管理</w:t>
            </w:r>
          </w:p>
        </w:tc>
        <w:tc>
          <w:tcPr>
            <w:tcW w:w="1417" w:type="dxa"/>
            <w:vAlign w:val="center"/>
          </w:tcPr>
          <w:p w14:paraId="424AD147">
            <w:pPr>
              <w:pStyle w:val="168"/>
              <w:spacing w:line="360" w:lineRule="auto"/>
              <w:jc w:val="center"/>
              <w:rPr>
                <w:rFonts w:ascii="宋体" w:hAnsi="宋体"/>
                <w:color w:val="auto"/>
                <w:szCs w:val="21"/>
                <w:highlight w:val="none"/>
              </w:rPr>
            </w:pPr>
          </w:p>
        </w:tc>
        <w:tc>
          <w:tcPr>
            <w:tcW w:w="2268" w:type="dxa"/>
            <w:vAlign w:val="center"/>
          </w:tcPr>
          <w:p w14:paraId="66E34588">
            <w:pPr>
              <w:pStyle w:val="168"/>
              <w:spacing w:line="360" w:lineRule="auto"/>
              <w:jc w:val="center"/>
              <w:rPr>
                <w:rFonts w:ascii="宋体" w:hAnsi="宋体"/>
                <w:color w:val="auto"/>
                <w:szCs w:val="21"/>
                <w:highlight w:val="none"/>
              </w:rPr>
            </w:pPr>
          </w:p>
        </w:tc>
        <w:tc>
          <w:tcPr>
            <w:tcW w:w="2126" w:type="dxa"/>
            <w:vAlign w:val="center"/>
          </w:tcPr>
          <w:p w14:paraId="2AB4F45F">
            <w:pPr>
              <w:pStyle w:val="168"/>
              <w:spacing w:line="360" w:lineRule="auto"/>
              <w:jc w:val="center"/>
              <w:rPr>
                <w:rFonts w:ascii="宋体" w:hAnsi="宋体"/>
                <w:color w:val="auto"/>
                <w:szCs w:val="21"/>
                <w:highlight w:val="none"/>
              </w:rPr>
            </w:pPr>
          </w:p>
        </w:tc>
        <w:tc>
          <w:tcPr>
            <w:tcW w:w="1978" w:type="dxa"/>
            <w:vAlign w:val="center"/>
          </w:tcPr>
          <w:p w14:paraId="1BA15375">
            <w:pPr>
              <w:pStyle w:val="168"/>
              <w:spacing w:line="360" w:lineRule="auto"/>
              <w:jc w:val="center"/>
              <w:rPr>
                <w:rFonts w:ascii="宋体" w:hAnsi="宋体"/>
                <w:color w:val="auto"/>
                <w:szCs w:val="21"/>
                <w:highlight w:val="none"/>
              </w:rPr>
            </w:pPr>
          </w:p>
        </w:tc>
      </w:tr>
      <w:tr w14:paraId="676F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58E94362">
            <w:pPr>
              <w:pStyle w:val="168"/>
              <w:spacing w:line="360" w:lineRule="auto"/>
              <w:jc w:val="center"/>
              <w:rPr>
                <w:rFonts w:ascii="宋体" w:hAnsi="宋体"/>
                <w:color w:val="auto"/>
                <w:szCs w:val="21"/>
                <w:highlight w:val="none"/>
              </w:rPr>
            </w:pPr>
          </w:p>
        </w:tc>
        <w:tc>
          <w:tcPr>
            <w:tcW w:w="1417" w:type="dxa"/>
            <w:vAlign w:val="center"/>
          </w:tcPr>
          <w:p w14:paraId="50510AE0">
            <w:pPr>
              <w:pStyle w:val="168"/>
              <w:spacing w:line="360" w:lineRule="auto"/>
              <w:jc w:val="center"/>
              <w:rPr>
                <w:rFonts w:ascii="宋体" w:hAnsi="宋体"/>
                <w:color w:val="auto"/>
                <w:szCs w:val="21"/>
                <w:highlight w:val="none"/>
              </w:rPr>
            </w:pPr>
          </w:p>
        </w:tc>
        <w:tc>
          <w:tcPr>
            <w:tcW w:w="2268" w:type="dxa"/>
            <w:vAlign w:val="center"/>
          </w:tcPr>
          <w:p w14:paraId="6F798B71">
            <w:pPr>
              <w:pStyle w:val="168"/>
              <w:spacing w:line="360" w:lineRule="auto"/>
              <w:jc w:val="center"/>
              <w:rPr>
                <w:rFonts w:ascii="宋体" w:hAnsi="宋体"/>
                <w:color w:val="auto"/>
                <w:szCs w:val="21"/>
                <w:highlight w:val="none"/>
              </w:rPr>
            </w:pPr>
          </w:p>
        </w:tc>
        <w:tc>
          <w:tcPr>
            <w:tcW w:w="2126" w:type="dxa"/>
            <w:vAlign w:val="center"/>
          </w:tcPr>
          <w:p w14:paraId="69A4DC37">
            <w:pPr>
              <w:pStyle w:val="168"/>
              <w:spacing w:line="360" w:lineRule="auto"/>
              <w:jc w:val="center"/>
              <w:rPr>
                <w:rFonts w:ascii="宋体" w:hAnsi="宋体"/>
                <w:color w:val="auto"/>
                <w:szCs w:val="21"/>
                <w:highlight w:val="none"/>
              </w:rPr>
            </w:pPr>
          </w:p>
        </w:tc>
        <w:tc>
          <w:tcPr>
            <w:tcW w:w="1978" w:type="dxa"/>
            <w:vAlign w:val="center"/>
          </w:tcPr>
          <w:p w14:paraId="666F12F4">
            <w:pPr>
              <w:pStyle w:val="168"/>
              <w:spacing w:line="360" w:lineRule="auto"/>
              <w:jc w:val="center"/>
              <w:rPr>
                <w:rFonts w:ascii="宋体" w:hAnsi="宋体"/>
                <w:color w:val="auto"/>
                <w:szCs w:val="21"/>
                <w:highlight w:val="none"/>
              </w:rPr>
            </w:pPr>
          </w:p>
        </w:tc>
      </w:tr>
      <w:tr w14:paraId="6178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3631AB9B">
            <w:pPr>
              <w:pStyle w:val="168"/>
              <w:spacing w:line="360" w:lineRule="auto"/>
              <w:jc w:val="center"/>
              <w:rPr>
                <w:rFonts w:ascii="宋体" w:hAnsi="宋体"/>
                <w:color w:val="auto"/>
                <w:szCs w:val="21"/>
                <w:highlight w:val="none"/>
              </w:rPr>
            </w:pPr>
          </w:p>
        </w:tc>
        <w:tc>
          <w:tcPr>
            <w:tcW w:w="1417" w:type="dxa"/>
            <w:vAlign w:val="center"/>
          </w:tcPr>
          <w:p w14:paraId="1DB0DEDA">
            <w:pPr>
              <w:pStyle w:val="168"/>
              <w:spacing w:line="360" w:lineRule="auto"/>
              <w:jc w:val="center"/>
              <w:rPr>
                <w:rFonts w:ascii="宋体" w:hAnsi="宋体"/>
                <w:color w:val="auto"/>
                <w:szCs w:val="21"/>
                <w:highlight w:val="none"/>
              </w:rPr>
            </w:pPr>
          </w:p>
        </w:tc>
        <w:tc>
          <w:tcPr>
            <w:tcW w:w="2268" w:type="dxa"/>
            <w:vAlign w:val="center"/>
          </w:tcPr>
          <w:p w14:paraId="036F2AB5">
            <w:pPr>
              <w:pStyle w:val="168"/>
              <w:spacing w:line="360" w:lineRule="auto"/>
              <w:jc w:val="center"/>
              <w:rPr>
                <w:rFonts w:ascii="宋体" w:hAnsi="宋体"/>
                <w:color w:val="auto"/>
                <w:szCs w:val="21"/>
                <w:highlight w:val="none"/>
              </w:rPr>
            </w:pPr>
          </w:p>
        </w:tc>
        <w:tc>
          <w:tcPr>
            <w:tcW w:w="2126" w:type="dxa"/>
            <w:vAlign w:val="center"/>
          </w:tcPr>
          <w:p w14:paraId="19800ADD">
            <w:pPr>
              <w:pStyle w:val="168"/>
              <w:spacing w:line="360" w:lineRule="auto"/>
              <w:jc w:val="center"/>
              <w:rPr>
                <w:rFonts w:ascii="宋体" w:hAnsi="宋体"/>
                <w:color w:val="auto"/>
                <w:szCs w:val="21"/>
                <w:highlight w:val="none"/>
              </w:rPr>
            </w:pPr>
          </w:p>
        </w:tc>
        <w:tc>
          <w:tcPr>
            <w:tcW w:w="1978" w:type="dxa"/>
            <w:vAlign w:val="center"/>
          </w:tcPr>
          <w:p w14:paraId="0562D192">
            <w:pPr>
              <w:pStyle w:val="168"/>
              <w:spacing w:line="360" w:lineRule="auto"/>
              <w:jc w:val="center"/>
              <w:rPr>
                <w:rFonts w:ascii="宋体" w:hAnsi="宋体"/>
                <w:color w:val="auto"/>
                <w:szCs w:val="21"/>
                <w:highlight w:val="none"/>
              </w:rPr>
            </w:pPr>
          </w:p>
        </w:tc>
      </w:tr>
      <w:tr w14:paraId="271B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79CD5CC7">
            <w:pPr>
              <w:pStyle w:val="168"/>
              <w:spacing w:line="360" w:lineRule="auto"/>
              <w:jc w:val="center"/>
              <w:rPr>
                <w:rFonts w:ascii="宋体" w:hAnsi="宋体"/>
                <w:color w:val="auto"/>
                <w:szCs w:val="21"/>
                <w:highlight w:val="none"/>
              </w:rPr>
            </w:pPr>
          </w:p>
        </w:tc>
        <w:tc>
          <w:tcPr>
            <w:tcW w:w="1417" w:type="dxa"/>
            <w:vAlign w:val="center"/>
          </w:tcPr>
          <w:p w14:paraId="0FE5DD99">
            <w:pPr>
              <w:pStyle w:val="168"/>
              <w:spacing w:line="360" w:lineRule="auto"/>
              <w:jc w:val="center"/>
              <w:rPr>
                <w:rFonts w:ascii="宋体" w:hAnsi="宋体"/>
                <w:color w:val="auto"/>
                <w:szCs w:val="21"/>
                <w:highlight w:val="none"/>
              </w:rPr>
            </w:pPr>
          </w:p>
        </w:tc>
        <w:tc>
          <w:tcPr>
            <w:tcW w:w="2268" w:type="dxa"/>
            <w:vAlign w:val="center"/>
          </w:tcPr>
          <w:p w14:paraId="77DB6EFC">
            <w:pPr>
              <w:pStyle w:val="168"/>
              <w:spacing w:line="360" w:lineRule="auto"/>
              <w:jc w:val="center"/>
              <w:rPr>
                <w:rFonts w:ascii="宋体" w:hAnsi="宋体"/>
                <w:color w:val="auto"/>
                <w:szCs w:val="21"/>
                <w:highlight w:val="none"/>
              </w:rPr>
            </w:pPr>
          </w:p>
        </w:tc>
        <w:tc>
          <w:tcPr>
            <w:tcW w:w="2126" w:type="dxa"/>
            <w:vAlign w:val="center"/>
          </w:tcPr>
          <w:p w14:paraId="04289D43">
            <w:pPr>
              <w:pStyle w:val="168"/>
              <w:spacing w:line="360" w:lineRule="auto"/>
              <w:jc w:val="center"/>
              <w:rPr>
                <w:rFonts w:ascii="宋体" w:hAnsi="宋体"/>
                <w:color w:val="auto"/>
                <w:szCs w:val="21"/>
                <w:highlight w:val="none"/>
              </w:rPr>
            </w:pPr>
          </w:p>
        </w:tc>
        <w:tc>
          <w:tcPr>
            <w:tcW w:w="1978" w:type="dxa"/>
            <w:vAlign w:val="center"/>
          </w:tcPr>
          <w:p w14:paraId="177EB05D">
            <w:pPr>
              <w:pStyle w:val="168"/>
              <w:spacing w:line="360" w:lineRule="auto"/>
              <w:jc w:val="center"/>
              <w:rPr>
                <w:rFonts w:ascii="宋体" w:hAnsi="宋体"/>
                <w:color w:val="auto"/>
                <w:szCs w:val="21"/>
                <w:highlight w:val="none"/>
              </w:rPr>
            </w:pPr>
          </w:p>
        </w:tc>
      </w:tr>
      <w:tr w14:paraId="40BA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4D99E9D2">
            <w:pPr>
              <w:pStyle w:val="168"/>
              <w:spacing w:line="360" w:lineRule="auto"/>
              <w:jc w:val="center"/>
              <w:rPr>
                <w:rFonts w:ascii="宋体" w:hAnsi="宋体"/>
                <w:color w:val="auto"/>
                <w:szCs w:val="21"/>
                <w:highlight w:val="none"/>
              </w:rPr>
            </w:pPr>
          </w:p>
        </w:tc>
        <w:tc>
          <w:tcPr>
            <w:tcW w:w="1417" w:type="dxa"/>
            <w:vAlign w:val="center"/>
          </w:tcPr>
          <w:p w14:paraId="789DDC25">
            <w:pPr>
              <w:pStyle w:val="168"/>
              <w:spacing w:line="360" w:lineRule="auto"/>
              <w:jc w:val="center"/>
              <w:rPr>
                <w:rFonts w:ascii="宋体" w:hAnsi="宋体"/>
                <w:color w:val="auto"/>
                <w:szCs w:val="21"/>
                <w:highlight w:val="none"/>
              </w:rPr>
            </w:pPr>
          </w:p>
        </w:tc>
        <w:tc>
          <w:tcPr>
            <w:tcW w:w="2268" w:type="dxa"/>
            <w:vAlign w:val="center"/>
          </w:tcPr>
          <w:p w14:paraId="39459331">
            <w:pPr>
              <w:pStyle w:val="168"/>
              <w:spacing w:line="360" w:lineRule="auto"/>
              <w:jc w:val="center"/>
              <w:rPr>
                <w:rFonts w:ascii="宋体" w:hAnsi="宋体"/>
                <w:color w:val="auto"/>
                <w:szCs w:val="21"/>
                <w:highlight w:val="none"/>
              </w:rPr>
            </w:pPr>
          </w:p>
        </w:tc>
        <w:tc>
          <w:tcPr>
            <w:tcW w:w="2126" w:type="dxa"/>
            <w:vAlign w:val="center"/>
          </w:tcPr>
          <w:p w14:paraId="25A7762C">
            <w:pPr>
              <w:pStyle w:val="168"/>
              <w:spacing w:line="360" w:lineRule="auto"/>
              <w:jc w:val="center"/>
              <w:rPr>
                <w:rFonts w:ascii="宋体" w:hAnsi="宋体"/>
                <w:color w:val="auto"/>
                <w:szCs w:val="21"/>
                <w:highlight w:val="none"/>
              </w:rPr>
            </w:pPr>
          </w:p>
        </w:tc>
        <w:tc>
          <w:tcPr>
            <w:tcW w:w="1978" w:type="dxa"/>
            <w:vAlign w:val="center"/>
          </w:tcPr>
          <w:p w14:paraId="3B0D14BD">
            <w:pPr>
              <w:pStyle w:val="168"/>
              <w:spacing w:line="360" w:lineRule="auto"/>
              <w:jc w:val="center"/>
              <w:rPr>
                <w:rFonts w:ascii="宋体" w:hAnsi="宋体"/>
                <w:color w:val="auto"/>
                <w:szCs w:val="21"/>
                <w:highlight w:val="none"/>
              </w:rPr>
            </w:pPr>
          </w:p>
        </w:tc>
      </w:tr>
      <w:tr w14:paraId="6C80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712B5993">
            <w:pPr>
              <w:pStyle w:val="168"/>
              <w:spacing w:line="360" w:lineRule="auto"/>
              <w:jc w:val="center"/>
              <w:rPr>
                <w:rFonts w:ascii="宋体" w:hAnsi="宋体"/>
                <w:color w:val="auto"/>
                <w:szCs w:val="21"/>
                <w:highlight w:val="none"/>
              </w:rPr>
            </w:pPr>
            <w:r>
              <w:rPr>
                <w:rFonts w:hint="eastAsia" w:ascii="宋体" w:hAnsi="宋体"/>
                <w:color w:val="auto"/>
                <w:szCs w:val="21"/>
                <w:highlight w:val="none"/>
              </w:rPr>
              <w:t>计划管理</w:t>
            </w:r>
          </w:p>
        </w:tc>
        <w:tc>
          <w:tcPr>
            <w:tcW w:w="1417" w:type="dxa"/>
            <w:vAlign w:val="center"/>
          </w:tcPr>
          <w:p w14:paraId="660EE2B2">
            <w:pPr>
              <w:pStyle w:val="168"/>
              <w:spacing w:line="360" w:lineRule="auto"/>
              <w:jc w:val="center"/>
              <w:rPr>
                <w:rFonts w:ascii="宋体" w:hAnsi="宋体"/>
                <w:color w:val="auto"/>
                <w:szCs w:val="21"/>
                <w:highlight w:val="none"/>
              </w:rPr>
            </w:pPr>
          </w:p>
        </w:tc>
        <w:tc>
          <w:tcPr>
            <w:tcW w:w="2268" w:type="dxa"/>
            <w:vAlign w:val="center"/>
          </w:tcPr>
          <w:p w14:paraId="77CA8F1D">
            <w:pPr>
              <w:pStyle w:val="168"/>
              <w:spacing w:line="360" w:lineRule="auto"/>
              <w:jc w:val="center"/>
              <w:rPr>
                <w:rFonts w:ascii="宋体" w:hAnsi="宋体"/>
                <w:color w:val="auto"/>
                <w:szCs w:val="21"/>
                <w:highlight w:val="none"/>
              </w:rPr>
            </w:pPr>
          </w:p>
        </w:tc>
        <w:tc>
          <w:tcPr>
            <w:tcW w:w="2126" w:type="dxa"/>
            <w:vAlign w:val="center"/>
          </w:tcPr>
          <w:p w14:paraId="29764422">
            <w:pPr>
              <w:pStyle w:val="168"/>
              <w:spacing w:line="360" w:lineRule="auto"/>
              <w:jc w:val="center"/>
              <w:rPr>
                <w:rFonts w:ascii="宋体" w:hAnsi="宋体"/>
                <w:color w:val="auto"/>
                <w:szCs w:val="21"/>
                <w:highlight w:val="none"/>
              </w:rPr>
            </w:pPr>
          </w:p>
        </w:tc>
        <w:tc>
          <w:tcPr>
            <w:tcW w:w="1978" w:type="dxa"/>
            <w:vAlign w:val="center"/>
          </w:tcPr>
          <w:p w14:paraId="4A5A59EB">
            <w:pPr>
              <w:pStyle w:val="168"/>
              <w:spacing w:line="360" w:lineRule="auto"/>
              <w:jc w:val="center"/>
              <w:rPr>
                <w:rFonts w:ascii="宋体" w:hAnsi="宋体"/>
                <w:color w:val="auto"/>
                <w:szCs w:val="21"/>
                <w:highlight w:val="none"/>
              </w:rPr>
            </w:pPr>
          </w:p>
        </w:tc>
      </w:tr>
      <w:tr w14:paraId="39C1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vAlign w:val="center"/>
          </w:tcPr>
          <w:p w14:paraId="440E10CA">
            <w:pPr>
              <w:pStyle w:val="168"/>
              <w:spacing w:line="360" w:lineRule="auto"/>
              <w:jc w:val="center"/>
              <w:rPr>
                <w:rFonts w:ascii="宋体" w:hAnsi="宋体"/>
                <w:color w:val="auto"/>
                <w:szCs w:val="21"/>
                <w:highlight w:val="none"/>
              </w:rPr>
            </w:pPr>
            <w:r>
              <w:rPr>
                <w:rFonts w:hint="eastAsia" w:ascii="宋体" w:hAnsi="宋体"/>
                <w:color w:val="auto"/>
                <w:szCs w:val="21"/>
                <w:highlight w:val="none"/>
              </w:rPr>
              <w:t>安全管理</w:t>
            </w:r>
          </w:p>
        </w:tc>
        <w:tc>
          <w:tcPr>
            <w:tcW w:w="1417" w:type="dxa"/>
            <w:vAlign w:val="center"/>
          </w:tcPr>
          <w:p w14:paraId="0C3A5267">
            <w:pPr>
              <w:pStyle w:val="168"/>
              <w:spacing w:line="360" w:lineRule="auto"/>
              <w:jc w:val="center"/>
              <w:rPr>
                <w:rFonts w:ascii="宋体" w:hAnsi="宋体"/>
                <w:color w:val="auto"/>
                <w:szCs w:val="21"/>
                <w:highlight w:val="none"/>
              </w:rPr>
            </w:pPr>
          </w:p>
        </w:tc>
        <w:tc>
          <w:tcPr>
            <w:tcW w:w="2268" w:type="dxa"/>
            <w:vAlign w:val="center"/>
          </w:tcPr>
          <w:p w14:paraId="68FBB556">
            <w:pPr>
              <w:pStyle w:val="168"/>
              <w:spacing w:line="360" w:lineRule="auto"/>
              <w:jc w:val="center"/>
              <w:rPr>
                <w:rFonts w:ascii="宋体" w:hAnsi="宋体"/>
                <w:color w:val="auto"/>
                <w:szCs w:val="21"/>
                <w:highlight w:val="none"/>
              </w:rPr>
            </w:pPr>
          </w:p>
        </w:tc>
        <w:tc>
          <w:tcPr>
            <w:tcW w:w="2126" w:type="dxa"/>
            <w:vAlign w:val="center"/>
          </w:tcPr>
          <w:p w14:paraId="68780B15">
            <w:pPr>
              <w:pStyle w:val="168"/>
              <w:spacing w:line="360" w:lineRule="auto"/>
              <w:jc w:val="center"/>
              <w:rPr>
                <w:rFonts w:ascii="宋体" w:hAnsi="宋体"/>
                <w:color w:val="auto"/>
                <w:szCs w:val="21"/>
                <w:highlight w:val="none"/>
              </w:rPr>
            </w:pPr>
          </w:p>
        </w:tc>
        <w:tc>
          <w:tcPr>
            <w:tcW w:w="1978" w:type="dxa"/>
            <w:vAlign w:val="center"/>
          </w:tcPr>
          <w:p w14:paraId="42FCC976">
            <w:pPr>
              <w:pStyle w:val="168"/>
              <w:spacing w:line="360" w:lineRule="auto"/>
              <w:jc w:val="center"/>
              <w:rPr>
                <w:rFonts w:ascii="宋体" w:hAnsi="宋体"/>
                <w:color w:val="auto"/>
                <w:szCs w:val="21"/>
                <w:highlight w:val="none"/>
              </w:rPr>
            </w:pPr>
          </w:p>
        </w:tc>
      </w:tr>
      <w:tr w14:paraId="7410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2FCE73DF">
            <w:pPr>
              <w:pStyle w:val="168"/>
              <w:spacing w:line="360" w:lineRule="auto"/>
              <w:jc w:val="center"/>
              <w:rPr>
                <w:rFonts w:ascii="宋体" w:hAnsi="宋体"/>
                <w:color w:val="auto"/>
                <w:szCs w:val="21"/>
                <w:highlight w:val="none"/>
              </w:rPr>
            </w:pPr>
          </w:p>
        </w:tc>
        <w:tc>
          <w:tcPr>
            <w:tcW w:w="1417" w:type="dxa"/>
            <w:vAlign w:val="center"/>
          </w:tcPr>
          <w:p w14:paraId="6425D794">
            <w:pPr>
              <w:pStyle w:val="168"/>
              <w:spacing w:line="360" w:lineRule="auto"/>
              <w:jc w:val="center"/>
              <w:rPr>
                <w:rFonts w:ascii="宋体" w:hAnsi="宋体"/>
                <w:color w:val="auto"/>
                <w:szCs w:val="21"/>
                <w:highlight w:val="none"/>
              </w:rPr>
            </w:pPr>
          </w:p>
        </w:tc>
        <w:tc>
          <w:tcPr>
            <w:tcW w:w="2268" w:type="dxa"/>
            <w:vAlign w:val="center"/>
          </w:tcPr>
          <w:p w14:paraId="62803F1A">
            <w:pPr>
              <w:pStyle w:val="168"/>
              <w:spacing w:line="360" w:lineRule="auto"/>
              <w:jc w:val="center"/>
              <w:rPr>
                <w:rFonts w:ascii="宋体" w:hAnsi="宋体"/>
                <w:color w:val="auto"/>
                <w:szCs w:val="21"/>
                <w:highlight w:val="none"/>
              </w:rPr>
            </w:pPr>
          </w:p>
        </w:tc>
        <w:tc>
          <w:tcPr>
            <w:tcW w:w="2126" w:type="dxa"/>
            <w:vAlign w:val="center"/>
          </w:tcPr>
          <w:p w14:paraId="1001AE97">
            <w:pPr>
              <w:pStyle w:val="168"/>
              <w:spacing w:line="360" w:lineRule="auto"/>
              <w:jc w:val="center"/>
              <w:rPr>
                <w:rFonts w:ascii="宋体" w:hAnsi="宋体"/>
                <w:color w:val="auto"/>
                <w:szCs w:val="21"/>
                <w:highlight w:val="none"/>
              </w:rPr>
            </w:pPr>
          </w:p>
        </w:tc>
        <w:tc>
          <w:tcPr>
            <w:tcW w:w="1978" w:type="dxa"/>
            <w:vAlign w:val="center"/>
          </w:tcPr>
          <w:p w14:paraId="40630B1F">
            <w:pPr>
              <w:pStyle w:val="168"/>
              <w:spacing w:line="360" w:lineRule="auto"/>
              <w:jc w:val="center"/>
              <w:rPr>
                <w:rFonts w:ascii="宋体" w:hAnsi="宋体"/>
                <w:color w:val="auto"/>
                <w:szCs w:val="21"/>
                <w:highlight w:val="none"/>
              </w:rPr>
            </w:pPr>
          </w:p>
        </w:tc>
      </w:tr>
      <w:tr w14:paraId="3E1E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40CD40F2">
            <w:pPr>
              <w:pStyle w:val="168"/>
              <w:spacing w:line="360" w:lineRule="auto"/>
              <w:jc w:val="center"/>
              <w:rPr>
                <w:rFonts w:ascii="宋体" w:hAnsi="宋体"/>
                <w:color w:val="auto"/>
                <w:szCs w:val="21"/>
                <w:highlight w:val="none"/>
              </w:rPr>
            </w:pPr>
          </w:p>
        </w:tc>
        <w:tc>
          <w:tcPr>
            <w:tcW w:w="1417" w:type="dxa"/>
            <w:vAlign w:val="center"/>
          </w:tcPr>
          <w:p w14:paraId="62C0BF3C">
            <w:pPr>
              <w:pStyle w:val="168"/>
              <w:spacing w:line="360" w:lineRule="auto"/>
              <w:jc w:val="center"/>
              <w:rPr>
                <w:rFonts w:ascii="宋体" w:hAnsi="宋体"/>
                <w:color w:val="auto"/>
                <w:szCs w:val="21"/>
                <w:highlight w:val="none"/>
              </w:rPr>
            </w:pPr>
          </w:p>
        </w:tc>
        <w:tc>
          <w:tcPr>
            <w:tcW w:w="2268" w:type="dxa"/>
            <w:vAlign w:val="center"/>
          </w:tcPr>
          <w:p w14:paraId="1AAD377C">
            <w:pPr>
              <w:pStyle w:val="168"/>
              <w:spacing w:line="360" w:lineRule="auto"/>
              <w:jc w:val="center"/>
              <w:rPr>
                <w:rFonts w:ascii="宋体" w:hAnsi="宋体"/>
                <w:color w:val="auto"/>
                <w:szCs w:val="21"/>
                <w:highlight w:val="none"/>
              </w:rPr>
            </w:pPr>
          </w:p>
        </w:tc>
        <w:tc>
          <w:tcPr>
            <w:tcW w:w="2126" w:type="dxa"/>
            <w:vAlign w:val="center"/>
          </w:tcPr>
          <w:p w14:paraId="7EA9C3E2">
            <w:pPr>
              <w:pStyle w:val="168"/>
              <w:spacing w:line="360" w:lineRule="auto"/>
              <w:jc w:val="center"/>
              <w:rPr>
                <w:rFonts w:ascii="宋体" w:hAnsi="宋体"/>
                <w:color w:val="auto"/>
                <w:szCs w:val="21"/>
                <w:highlight w:val="none"/>
              </w:rPr>
            </w:pPr>
          </w:p>
        </w:tc>
        <w:tc>
          <w:tcPr>
            <w:tcW w:w="1978" w:type="dxa"/>
            <w:vAlign w:val="center"/>
          </w:tcPr>
          <w:p w14:paraId="7AE24D8C">
            <w:pPr>
              <w:pStyle w:val="168"/>
              <w:spacing w:line="360" w:lineRule="auto"/>
              <w:jc w:val="center"/>
              <w:rPr>
                <w:rFonts w:ascii="宋体" w:hAnsi="宋体"/>
                <w:color w:val="auto"/>
                <w:szCs w:val="21"/>
                <w:highlight w:val="none"/>
              </w:rPr>
            </w:pPr>
          </w:p>
        </w:tc>
      </w:tr>
      <w:tr w14:paraId="1B46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0CEC93DC">
            <w:pPr>
              <w:pStyle w:val="168"/>
              <w:spacing w:line="360" w:lineRule="auto"/>
              <w:jc w:val="center"/>
              <w:rPr>
                <w:rFonts w:ascii="宋体" w:hAnsi="宋体"/>
                <w:color w:val="auto"/>
                <w:szCs w:val="21"/>
                <w:highlight w:val="none"/>
              </w:rPr>
            </w:pPr>
          </w:p>
        </w:tc>
        <w:tc>
          <w:tcPr>
            <w:tcW w:w="1417" w:type="dxa"/>
            <w:vAlign w:val="center"/>
          </w:tcPr>
          <w:p w14:paraId="42FAFF9D">
            <w:pPr>
              <w:pStyle w:val="168"/>
              <w:spacing w:line="360" w:lineRule="auto"/>
              <w:jc w:val="center"/>
              <w:rPr>
                <w:rFonts w:ascii="宋体" w:hAnsi="宋体"/>
                <w:color w:val="auto"/>
                <w:szCs w:val="21"/>
                <w:highlight w:val="none"/>
              </w:rPr>
            </w:pPr>
          </w:p>
        </w:tc>
        <w:tc>
          <w:tcPr>
            <w:tcW w:w="2268" w:type="dxa"/>
            <w:vAlign w:val="center"/>
          </w:tcPr>
          <w:p w14:paraId="27DA49FA">
            <w:pPr>
              <w:pStyle w:val="168"/>
              <w:spacing w:line="360" w:lineRule="auto"/>
              <w:jc w:val="center"/>
              <w:rPr>
                <w:rFonts w:ascii="宋体" w:hAnsi="宋体"/>
                <w:color w:val="auto"/>
                <w:szCs w:val="21"/>
                <w:highlight w:val="none"/>
              </w:rPr>
            </w:pPr>
          </w:p>
        </w:tc>
        <w:tc>
          <w:tcPr>
            <w:tcW w:w="2126" w:type="dxa"/>
            <w:vAlign w:val="center"/>
          </w:tcPr>
          <w:p w14:paraId="4082DC44">
            <w:pPr>
              <w:pStyle w:val="168"/>
              <w:spacing w:line="360" w:lineRule="auto"/>
              <w:jc w:val="center"/>
              <w:rPr>
                <w:rFonts w:ascii="宋体" w:hAnsi="宋体"/>
                <w:color w:val="auto"/>
                <w:szCs w:val="21"/>
                <w:highlight w:val="none"/>
              </w:rPr>
            </w:pPr>
          </w:p>
        </w:tc>
        <w:tc>
          <w:tcPr>
            <w:tcW w:w="1978" w:type="dxa"/>
            <w:vAlign w:val="center"/>
          </w:tcPr>
          <w:p w14:paraId="1385CF3A">
            <w:pPr>
              <w:pStyle w:val="168"/>
              <w:spacing w:line="360" w:lineRule="auto"/>
              <w:jc w:val="center"/>
              <w:rPr>
                <w:rFonts w:ascii="宋体" w:hAnsi="宋体"/>
                <w:color w:val="auto"/>
                <w:szCs w:val="21"/>
                <w:highlight w:val="none"/>
              </w:rPr>
            </w:pPr>
          </w:p>
        </w:tc>
      </w:tr>
      <w:tr w14:paraId="7D22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2A0D29EE">
            <w:pPr>
              <w:pStyle w:val="168"/>
              <w:spacing w:line="360" w:lineRule="auto"/>
              <w:jc w:val="center"/>
              <w:rPr>
                <w:rFonts w:ascii="宋体" w:hAnsi="宋体"/>
                <w:color w:val="auto"/>
                <w:szCs w:val="21"/>
                <w:highlight w:val="none"/>
              </w:rPr>
            </w:pPr>
          </w:p>
        </w:tc>
        <w:tc>
          <w:tcPr>
            <w:tcW w:w="1417" w:type="dxa"/>
            <w:vAlign w:val="center"/>
          </w:tcPr>
          <w:p w14:paraId="7DC1F1E1">
            <w:pPr>
              <w:pStyle w:val="168"/>
              <w:spacing w:line="360" w:lineRule="auto"/>
              <w:jc w:val="center"/>
              <w:rPr>
                <w:rFonts w:ascii="宋体" w:hAnsi="宋体"/>
                <w:color w:val="auto"/>
                <w:szCs w:val="21"/>
                <w:highlight w:val="none"/>
              </w:rPr>
            </w:pPr>
          </w:p>
        </w:tc>
        <w:tc>
          <w:tcPr>
            <w:tcW w:w="2268" w:type="dxa"/>
            <w:vAlign w:val="center"/>
          </w:tcPr>
          <w:p w14:paraId="4AA80528">
            <w:pPr>
              <w:pStyle w:val="168"/>
              <w:spacing w:line="360" w:lineRule="auto"/>
              <w:jc w:val="center"/>
              <w:rPr>
                <w:rFonts w:ascii="宋体" w:hAnsi="宋体"/>
                <w:color w:val="auto"/>
                <w:szCs w:val="21"/>
                <w:highlight w:val="none"/>
              </w:rPr>
            </w:pPr>
          </w:p>
        </w:tc>
        <w:tc>
          <w:tcPr>
            <w:tcW w:w="2126" w:type="dxa"/>
            <w:vAlign w:val="center"/>
          </w:tcPr>
          <w:p w14:paraId="150AD4A2">
            <w:pPr>
              <w:pStyle w:val="168"/>
              <w:spacing w:line="360" w:lineRule="auto"/>
              <w:jc w:val="center"/>
              <w:rPr>
                <w:rFonts w:ascii="宋体" w:hAnsi="宋体"/>
                <w:color w:val="auto"/>
                <w:szCs w:val="21"/>
                <w:highlight w:val="none"/>
              </w:rPr>
            </w:pPr>
          </w:p>
        </w:tc>
        <w:tc>
          <w:tcPr>
            <w:tcW w:w="1978" w:type="dxa"/>
            <w:vAlign w:val="center"/>
          </w:tcPr>
          <w:p w14:paraId="1F6D46A4">
            <w:pPr>
              <w:pStyle w:val="168"/>
              <w:spacing w:line="360" w:lineRule="auto"/>
              <w:jc w:val="center"/>
              <w:rPr>
                <w:rFonts w:ascii="宋体" w:hAnsi="宋体"/>
                <w:color w:val="auto"/>
                <w:szCs w:val="21"/>
                <w:highlight w:val="none"/>
              </w:rPr>
            </w:pPr>
          </w:p>
        </w:tc>
      </w:tr>
      <w:tr w14:paraId="28B2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1CD12AF1">
            <w:pPr>
              <w:pStyle w:val="168"/>
              <w:spacing w:line="360" w:lineRule="auto"/>
              <w:jc w:val="center"/>
              <w:rPr>
                <w:rFonts w:ascii="宋体" w:hAnsi="宋体"/>
                <w:color w:val="auto"/>
                <w:szCs w:val="21"/>
                <w:highlight w:val="none"/>
              </w:rPr>
            </w:pPr>
          </w:p>
        </w:tc>
        <w:tc>
          <w:tcPr>
            <w:tcW w:w="1417" w:type="dxa"/>
            <w:vAlign w:val="center"/>
          </w:tcPr>
          <w:p w14:paraId="0FFF2E5E">
            <w:pPr>
              <w:pStyle w:val="168"/>
              <w:spacing w:line="360" w:lineRule="auto"/>
              <w:jc w:val="center"/>
              <w:rPr>
                <w:rFonts w:ascii="宋体" w:hAnsi="宋体"/>
                <w:color w:val="auto"/>
                <w:szCs w:val="21"/>
                <w:highlight w:val="none"/>
              </w:rPr>
            </w:pPr>
          </w:p>
        </w:tc>
        <w:tc>
          <w:tcPr>
            <w:tcW w:w="2268" w:type="dxa"/>
            <w:vAlign w:val="center"/>
          </w:tcPr>
          <w:p w14:paraId="6488E3CD">
            <w:pPr>
              <w:pStyle w:val="168"/>
              <w:spacing w:line="360" w:lineRule="auto"/>
              <w:jc w:val="center"/>
              <w:rPr>
                <w:rFonts w:ascii="宋体" w:hAnsi="宋体"/>
                <w:color w:val="auto"/>
                <w:szCs w:val="21"/>
                <w:highlight w:val="none"/>
              </w:rPr>
            </w:pPr>
          </w:p>
        </w:tc>
        <w:tc>
          <w:tcPr>
            <w:tcW w:w="2126" w:type="dxa"/>
            <w:vAlign w:val="center"/>
          </w:tcPr>
          <w:p w14:paraId="55AEE999">
            <w:pPr>
              <w:pStyle w:val="168"/>
              <w:spacing w:line="360" w:lineRule="auto"/>
              <w:jc w:val="center"/>
              <w:rPr>
                <w:rFonts w:ascii="宋体" w:hAnsi="宋体"/>
                <w:color w:val="auto"/>
                <w:szCs w:val="21"/>
                <w:highlight w:val="none"/>
              </w:rPr>
            </w:pPr>
          </w:p>
        </w:tc>
        <w:tc>
          <w:tcPr>
            <w:tcW w:w="1978" w:type="dxa"/>
            <w:vAlign w:val="center"/>
          </w:tcPr>
          <w:p w14:paraId="65870522">
            <w:pPr>
              <w:pStyle w:val="168"/>
              <w:spacing w:line="360" w:lineRule="auto"/>
              <w:jc w:val="center"/>
              <w:rPr>
                <w:rFonts w:ascii="宋体" w:hAnsi="宋体"/>
                <w:color w:val="auto"/>
                <w:szCs w:val="21"/>
                <w:highlight w:val="none"/>
              </w:rPr>
            </w:pPr>
          </w:p>
        </w:tc>
      </w:tr>
      <w:tr w14:paraId="0F82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vAlign w:val="center"/>
          </w:tcPr>
          <w:p w14:paraId="04AAFD20">
            <w:pPr>
              <w:pStyle w:val="168"/>
              <w:spacing w:line="360" w:lineRule="auto"/>
              <w:jc w:val="center"/>
              <w:rPr>
                <w:rFonts w:ascii="宋体" w:hAnsi="宋体"/>
                <w:color w:val="auto"/>
                <w:szCs w:val="21"/>
                <w:highlight w:val="none"/>
              </w:rPr>
            </w:pPr>
            <w:r>
              <w:rPr>
                <w:rFonts w:hint="eastAsia" w:ascii="宋体" w:hAnsi="宋体"/>
                <w:color w:val="auto"/>
                <w:szCs w:val="21"/>
                <w:highlight w:val="none"/>
              </w:rPr>
              <w:t>其他人员</w:t>
            </w:r>
          </w:p>
        </w:tc>
        <w:tc>
          <w:tcPr>
            <w:tcW w:w="1417" w:type="dxa"/>
            <w:vAlign w:val="center"/>
          </w:tcPr>
          <w:p w14:paraId="457B5012">
            <w:pPr>
              <w:pStyle w:val="168"/>
              <w:spacing w:line="360" w:lineRule="auto"/>
              <w:jc w:val="center"/>
              <w:rPr>
                <w:rFonts w:ascii="宋体" w:hAnsi="宋体"/>
                <w:color w:val="auto"/>
                <w:szCs w:val="21"/>
                <w:highlight w:val="none"/>
              </w:rPr>
            </w:pPr>
          </w:p>
        </w:tc>
        <w:tc>
          <w:tcPr>
            <w:tcW w:w="2268" w:type="dxa"/>
            <w:vAlign w:val="center"/>
          </w:tcPr>
          <w:p w14:paraId="771E4DA7">
            <w:pPr>
              <w:pStyle w:val="168"/>
              <w:spacing w:line="360" w:lineRule="auto"/>
              <w:jc w:val="center"/>
              <w:rPr>
                <w:rFonts w:ascii="宋体" w:hAnsi="宋体"/>
                <w:color w:val="auto"/>
                <w:szCs w:val="21"/>
                <w:highlight w:val="none"/>
              </w:rPr>
            </w:pPr>
          </w:p>
        </w:tc>
        <w:tc>
          <w:tcPr>
            <w:tcW w:w="2126" w:type="dxa"/>
            <w:vAlign w:val="center"/>
          </w:tcPr>
          <w:p w14:paraId="1D75195F">
            <w:pPr>
              <w:pStyle w:val="168"/>
              <w:spacing w:line="360" w:lineRule="auto"/>
              <w:jc w:val="center"/>
              <w:rPr>
                <w:rFonts w:ascii="宋体" w:hAnsi="宋体"/>
                <w:color w:val="auto"/>
                <w:szCs w:val="21"/>
                <w:highlight w:val="none"/>
              </w:rPr>
            </w:pPr>
          </w:p>
        </w:tc>
        <w:tc>
          <w:tcPr>
            <w:tcW w:w="1978" w:type="dxa"/>
            <w:vAlign w:val="center"/>
          </w:tcPr>
          <w:p w14:paraId="4392CE93">
            <w:pPr>
              <w:pStyle w:val="168"/>
              <w:spacing w:line="360" w:lineRule="auto"/>
              <w:jc w:val="center"/>
              <w:rPr>
                <w:rFonts w:ascii="宋体" w:hAnsi="宋体"/>
                <w:color w:val="auto"/>
                <w:szCs w:val="21"/>
                <w:highlight w:val="none"/>
              </w:rPr>
            </w:pPr>
          </w:p>
        </w:tc>
      </w:tr>
      <w:tr w14:paraId="7883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0FE8EE19">
            <w:pPr>
              <w:pStyle w:val="168"/>
              <w:spacing w:line="360" w:lineRule="auto"/>
              <w:jc w:val="center"/>
              <w:rPr>
                <w:rFonts w:ascii="宋体" w:hAnsi="宋体"/>
                <w:color w:val="auto"/>
                <w:szCs w:val="21"/>
                <w:highlight w:val="none"/>
              </w:rPr>
            </w:pPr>
          </w:p>
        </w:tc>
        <w:tc>
          <w:tcPr>
            <w:tcW w:w="1417" w:type="dxa"/>
            <w:vAlign w:val="center"/>
          </w:tcPr>
          <w:p w14:paraId="75F1E8AE">
            <w:pPr>
              <w:pStyle w:val="168"/>
              <w:spacing w:line="360" w:lineRule="auto"/>
              <w:jc w:val="center"/>
              <w:rPr>
                <w:rFonts w:ascii="宋体" w:hAnsi="宋体"/>
                <w:color w:val="auto"/>
                <w:szCs w:val="21"/>
                <w:highlight w:val="none"/>
              </w:rPr>
            </w:pPr>
          </w:p>
        </w:tc>
        <w:tc>
          <w:tcPr>
            <w:tcW w:w="2268" w:type="dxa"/>
            <w:vAlign w:val="center"/>
          </w:tcPr>
          <w:p w14:paraId="4AB3D5DD">
            <w:pPr>
              <w:pStyle w:val="168"/>
              <w:spacing w:line="360" w:lineRule="auto"/>
              <w:jc w:val="center"/>
              <w:rPr>
                <w:rFonts w:ascii="宋体" w:hAnsi="宋体"/>
                <w:color w:val="auto"/>
                <w:szCs w:val="21"/>
                <w:highlight w:val="none"/>
              </w:rPr>
            </w:pPr>
          </w:p>
        </w:tc>
        <w:tc>
          <w:tcPr>
            <w:tcW w:w="2126" w:type="dxa"/>
            <w:vAlign w:val="center"/>
          </w:tcPr>
          <w:p w14:paraId="2C439867">
            <w:pPr>
              <w:pStyle w:val="168"/>
              <w:spacing w:line="360" w:lineRule="auto"/>
              <w:jc w:val="center"/>
              <w:rPr>
                <w:rFonts w:ascii="宋体" w:hAnsi="宋体"/>
                <w:color w:val="auto"/>
                <w:szCs w:val="21"/>
                <w:highlight w:val="none"/>
              </w:rPr>
            </w:pPr>
          </w:p>
        </w:tc>
        <w:tc>
          <w:tcPr>
            <w:tcW w:w="1978" w:type="dxa"/>
            <w:vAlign w:val="center"/>
          </w:tcPr>
          <w:p w14:paraId="3803AD60">
            <w:pPr>
              <w:pStyle w:val="168"/>
              <w:spacing w:line="360" w:lineRule="auto"/>
              <w:jc w:val="center"/>
              <w:rPr>
                <w:rFonts w:ascii="宋体" w:hAnsi="宋体"/>
                <w:color w:val="auto"/>
                <w:szCs w:val="21"/>
                <w:highlight w:val="none"/>
              </w:rPr>
            </w:pPr>
          </w:p>
        </w:tc>
      </w:tr>
      <w:tr w14:paraId="3811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5075728D">
            <w:pPr>
              <w:pStyle w:val="168"/>
              <w:spacing w:line="360" w:lineRule="auto"/>
              <w:jc w:val="center"/>
              <w:rPr>
                <w:rFonts w:ascii="宋体" w:hAnsi="宋体"/>
                <w:color w:val="auto"/>
                <w:szCs w:val="21"/>
                <w:highlight w:val="none"/>
              </w:rPr>
            </w:pPr>
          </w:p>
        </w:tc>
        <w:tc>
          <w:tcPr>
            <w:tcW w:w="1417" w:type="dxa"/>
            <w:vAlign w:val="center"/>
          </w:tcPr>
          <w:p w14:paraId="54BF8373">
            <w:pPr>
              <w:pStyle w:val="168"/>
              <w:spacing w:line="360" w:lineRule="auto"/>
              <w:jc w:val="center"/>
              <w:rPr>
                <w:rFonts w:ascii="宋体" w:hAnsi="宋体"/>
                <w:color w:val="auto"/>
                <w:szCs w:val="21"/>
                <w:highlight w:val="none"/>
              </w:rPr>
            </w:pPr>
          </w:p>
        </w:tc>
        <w:tc>
          <w:tcPr>
            <w:tcW w:w="2268" w:type="dxa"/>
            <w:vAlign w:val="center"/>
          </w:tcPr>
          <w:p w14:paraId="4A5BA2C9">
            <w:pPr>
              <w:pStyle w:val="168"/>
              <w:spacing w:line="360" w:lineRule="auto"/>
              <w:jc w:val="center"/>
              <w:rPr>
                <w:rFonts w:ascii="宋体" w:hAnsi="宋体"/>
                <w:color w:val="auto"/>
                <w:szCs w:val="21"/>
                <w:highlight w:val="none"/>
              </w:rPr>
            </w:pPr>
          </w:p>
        </w:tc>
        <w:tc>
          <w:tcPr>
            <w:tcW w:w="2126" w:type="dxa"/>
            <w:vAlign w:val="center"/>
          </w:tcPr>
          <w:p w14:paraId="1B9ADC0E">
            <w:pPr>
              <w:pStyle w:val="168"/>
              <w:spacing w:line="360" w:lineRule="auto"/>
              <w:jc w:val="center"/>
              <w:rPr>
                <w:rFonts w:ascii="宋体" w:hAnsi="宋体"/>
                <w:color w:val="auto"/>
                <w:szCs w:val="21"/>
                <w:highlight w:val="none"/>
              </w:rPr>
            </w:pPr>
          </w:p>
        </w:tc>
        <w:tc>
          <w:tcPr>
            <w:tcW w:w="1978" w:type="dxa"/>
            <w:vAlign w:val="center"/>
          </w:tcPr>
          <w:p w14:paraId="445C5BE3">
            <w:pPr>
              <w:pStyle w:val="168"/>
              <w:spacing w:line="360" w:lineRule="auto"/>
              <w:jc w:val="center"/>
              <w:rPr>
                <w:rFonts w:ascii="宋体" w:hAnsi="宋体"/>
                <w:color w:val="auto"/>
                <w:szCs w:val="21"/>
                <w:highlight w:val="none"/>
              </w:rPr>
            </w:pPr>
          </w:p>
        </w:tc>
      </w:tr>
      <w:tr w14:paraId="3C18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16C8ED3F">
            <w:pPr>
              <w:pStyle w:val="168"/>
              <w:spacing w:line="360" w:lineRule="auto"/>
              <w:jc w:val="center"/>
              <w:rPr>
                <w:rFonts w:ascii="宋体" w:hAnsi="宋体"/>
                <w:color w:val="auto"/>
                <w:szCs w:val="21"/>
                <w:highlight w:val="none"/>
              </w:rPr>
            </w:pPr>
          </w:p>
        </w:tc>
        <w:tc>
          <w:tcPr>
            <w:tcW w:w="1417" w:type="dxa"/>
            <w:vAlign w:val="center"/>
          </w:tcPr>
          <w:p w14:paraId="1EE8B5F6">
            <w:pPr>
              <w:pStyle w:val="168"/>
              <w:spacing w:line="360" w:lineRule="auto"/>
              <w:jc w:val="center"/>
              <w:rPr>
                <w:rFonts w:ascii="宋体" w:hAnsi="宋体"/>
                <w:color w:val="auto"/>
                <w:szCs w:val="21"/>
                <w:highlight w:val="none"/>
              </w:rPr>
            </w:pPr>
          </w:p>
        </w:tc>
        <w:tc>
          <w:tcPr>
            <w:tcW w:w="2268" w:type="dxa"/>
            <w:vAlign w:val="center"/>
          </w:tcPr>
          <w:p w14:paraId="1F82BF08">
            <w:pPr>
              <w:pStyle w:val="168"/>
              <w:spacing w:line="360" w:lineRule="auto"/>
              <w:jc w:val="center"/>
              <w:rPr>
                <w:rFonts w:ascii="宋体" w:hAnsi="宋体"/>
                <w:color w:val="auto"/>
                <w:szCs w:val="21"/>
                <w:highlight w:val="none"/>
              </w:rPr>
            </w:pPr>
          </w:p>
        </w:tc>
        <w:tc>
          <w:tcPr>
            <w:tcW w:w="2126" w:type="dxa"/>
            <w:vAlign w:val="center"/>
          </w:tcPr>
          <w:p w14:paraId="2BCDD74D">
            <w:pPr>
              <w:pStyle w:val="168"/>
              <w:spacing w:line="360" w:lineRule="auto"/>
              <w:jc w:val="center"/>
              <w:rPr>
                <w:rFonts w:ascii="宋体" w:hAnsi="宋体"/>
                <w:color w:val="auto"/>
                <w:szCs w:val="21"/>
                <w:highlight w:val="none"/>
              </w:rPr>
            </w:pPr>
          </w:p>
        </w:tc>
        <w:tc>
          <w:tcPr>
            <w:tcW w:w="1978" w:type="dxa"/>
            <w:vAlign w:val="center"/>
          </w:tcPr>
          <w:p w14:paraId="58953272">
            <w:pPr>
              <w:pStyle w:val="168"/>
              <w:spacing w:line="360" w:lineRule="auto"/>
              <w:jc w:val="center"/>
              <w:rPr>
                <w:rFonts w:ascii="宋体" w:hAnsi="宋体"/>
                <w:color w:val="auto"/>
                <w:szCs w:val="21"/>
                <w:highlight w:val="none"/>
              </w:rPr>
            </w:pPr>
          </w:p>
        </w:tc>
      </w:tr>
      <w:tr w14:paraId="4D1E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6C5D97C4">
            <w:pPr>
              <w:pStyle w:val="168"/>
              <w:spacing w:line="360" w:lineRule="auto"/>
              <w:jc w:val="center"/>
              <w:rPr>
                <w:rFonts w:ascii="宋体" w:hAnsi="宋体"/>
                <w:color w:val="auto"/>
                <w:szCs w:val="21"/>
                <w:highlight w:val="none"/>
              </w:rPr>
            </w:pPr>
          </w:p>
        </w:tc>
        <w:tc>
          <w:tcPr>
            <w:tcW w:w="1417" w:type="dxa"/>
            <w:vAlign w:val="center"/>
          </w:tcPr>
          <w:p w14:paraId="08676516">
            <w:pPr>
              <w:pStyle w:val="168"/>
              <w:spacing w:line="360" w:lineRule="auto"/>
              <w:jc w:val="center"/>
              <w:rPr>
                <w:rFonts w:ascii="宋体" w:hAnsi="宋体"/>
                <w:color w:val="auto"/>
                <w:szCs w:val="21"/>
                <w:highlight w:val="none"/>
              </w:rPr>
            </w:pPr>
          </w:p>
        </w:tc>
        <w:tc>
          <w:tcPr>
            <w:tcW w:w="2268" w:type="dxa"/>
            <w:vAlign w:val="center"/>
          </w:tcPr>
          <w:p w14:paraId="5BC2BFDB">
            <w:pPr>
              <w:pStyle w:val="168"/>
              <w:spacing w:line="360" w:lineRule="auto"/>
              <w:jc w:val="center"/>
              <w:rPr>
                <w:rFonts w:ascii="宋体" w:hAnsi="宋体"/>
                <w:color w:val="auto"/>
                <w:szCs w:val="21"/>
                <w:highlight w:val="none"/>
              </w:rPr>
            </w:pPr>
          </w:p>
        </w:tc>
        <w:tc>
          <w:tcPr>
            <w:tcW w:w="2126" w:type="dxa"/>
            <w:vAlign w:val="center"/>
          </w:tcPr>
          <w:p w14:paraId="68C98EE3">
            <w:pPr>
              <w:pStyle w:val="168"/>
              <w:spacing w:line="360" w:lineRule="auto"/>
              <w:jc w:val="center"/>
              <w:rPr>
                <w:rFonts w:ascii="宋体" w:hAnsi="宋体"/>
                <w:color w:val="auto"/>
                <w:szCs w:val="21"/>
                <w:highlight w:val="none"/>
              </w:rPr>
            </w:pPr>
          </w:p>
        </w:tc>
        <w:tc>
          <w:tcPr>
            <w:tcW w:w="1978" w:type="dxa"/>
            <w:vAlign w:val="center"/>
          </w:tcPr>
          <w:p w14:paraId="2D70E3CF">
            <w:pPr>
              <w:pStyle w:val="168"/>
              <w:spacing w:line="360" w:lineRule="auto"/>
              <w:jc w:val="center"/>
              <w:rPr>
                <w:rFonts w:ascii="宋体" w:hAnsi="宋体"/>
                <w:color w:val="auto"/>
                <w:szCs w:val="21"/>
                <w:highlight w:val="none"/>
              </w:rPr>
            </w:pPr>
          </w:p>
        </w:tc>
      </w:tr>
      <w:tr w14:paraId="5EC6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0392DB48">
            <w:pPr>
              <w:pStyle w:val="168"/>
              <w:spacing w:line="360" w:lineRule="auto"/>
              <w:jc w:val="center"/>
              <w:rPr>
                <w:rFonts w:ascii="宋体" w:hAnsi="宋体"/>
                <w:color w:val="auto"/>
                <w:szCs w:val="21"/>
                <w:highlight w:val="none"/>
              </w:rPr>
            </w:pPr>
          </w:p>
        </w:tc>
        <w:tc>
          <w:tcPr>
            <w:tcW w:w="1417" w:type="dxa"/>
            <w:vAlign w:val="center"/>
          </w:tcPr>
          <w:p w14:paraId="278FE491">
            <w:pPr>
              <w:pStyle w:val="168"/>
              <w:spacing w:line="360" w:lineRule="auto"/>
              <w:jc w:val="center"/>
              <w:rPr>
                <w:rFonts w:ascii="宋体" w:hAnsi="宋体"/>
                <w:color w:val="auto"/>
                <w:szCs w:val="21"/>
                <w:highlight w:val="none"/>
              </w:rPr>
            </w:pPr>
          </w:p>
        </w:tc>
        <w:tc>
          <w:tcPr>
            <w:tcW w:w="2268" w:type="dxa"/>
            <w:vAlign w:val="center"/>
          </w:tcPr>
          <w:p w14:paraId="05CBA4D5">
            <w:pPr>
              <w:pStyle w:val="168"/>
              <w:spacing w:line="360" w:lineRule="auto"/>
              <w:jc w:val="center"/>
              <w:rPr>
                <w:rFonts w:ascii="宋体" w:hAnsi="宋体"/>
                <w:color w:val="auto"/>
                <w:szCs w:val="21"/>
                <w:highlight w:val="none"/>
              </w:rPr>
            </w:pPr>
          </w:p>
        </w:tc>
        <w:tc>
          <w:tcPr>
            <w:tcW w:w="2126" w:type="dxa"/>
            <w:vAlign w:val="center"/>
          </w:tcPr>
          <w:p w14:paraId="44358E65">
            <w:pPr>
              <w:pStyle w:val="168"/>
              <w:spacing w:line="360" w:lineRule="auto"/>
              <w:jc w:val="center"/>
              <w:rPr>
                <w:rFonts w:ascii="宋体" w:hAnsi="宋体"/>
                <w:color w:val="auto"/>
                <w:szCs w:val="21"/>
                <w:highlight w:val="none"/>
              </w:rPr>
            </w:pPr>
          </w:p>
        </w:tc>
        <w:tc>
          <w:tcPr>
            <w:tcW w:w="1978" w:type="dxa"/>
            <w:vAlign w:val="center"/>
          </w:tcPr>
          <w:p w14:paraId="4DE45A4E">
            <w:pPr>
              <w:pStyle w:val="168"/>
              <w:spacing w:line="360" w:lineRule="auto"/>
              <w:jc w:val="center"/>
              <w:rPr>
                <w:rFonts w:ascii="宋体" w:hAnsi="宋体"/>
                <w:color w:val="auto"/>
                <w:szCs w:val="21"/>
                <w:highlight w:val="none"/>
              </w:rPr>
            </w:pPr>
          </w:p>
        </w:tc>
      </w:tr>
      <w:tr w14:paraId="20F5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43136EAA">
            <w:pPr>
              <w:pStyle w:val="168"/>
              <w:spacing w:line="360" w:lineRule="auto"/>
              <w:jc w:val="center"/>
              <w:rPr>
                <w:rFonts w:ascii="宋体" w:hAnsi="宋体"/>
                <w:color w:val="auto"/>
                <w:szCs w:val="21"/>
                <w:highlight w:val="none"/>
              </w:rPr>
            </w:pPr>
          </w:p>
        </w:tc>
        <w:tc>
          <w:tcPr>
            <w:tcW w:w="1417" w:type="dxa"/>
            <w:vAlign w:val="center"/>
          </w:tcPr>
          <w:p w14:paraId="689C4FAB">
            <w:pPr>
              <w:pStyle w:val="168"/>
              <w:spacing w:line="360" w:lineRule="auto"/>
              <w:jc w:val="center"/>
              <w:rPr>
                <w:rFonts w:ascii="宋体" w:hAnsi="宋体"/>
                <w:color w:val="auto"/>
                <w:szCs w:val="21"/>
                <w:highlight w:val="none"/>
              </w:rPr>
            </w:pPr>
          </w:p>
        </w:tc>
        <w:tc>
          <w:tcPr>
            <w:tcW w:w="2268" w:type="dxa"/>
            <w:vAlign w:val="center"/>
          </w:tcPr>
          <w:p w14:paraId="7D8F4C6F">
            <w:pPr>
              <w:pStyle w:val="168"/>
              <w:spacing w:line="360" w:lineRule="auto"/>
              <w:jc w:val="center"/>
              <w:rPr>
                <w:rFonts w:ascii="宋体" w:hAnsi="宋体"/>
                <w:color w:val="auto"/>
                <w:szCs w:val="21"/>
                <w:highlight w:val="none"/>
              </w:rPr>
            </w:pPr>
          </w:p>
        </w:tc>
        <w:tc>
          <w:tcPr>
            <w:tcW w:w="2126" w:type="dxa"/>
            <w:vAlign w:val="center"/>
          </w:tcPr>
          <w:p w14:paraId="4165C1BF">
            <w:pPr>
              <w:pStyle w:val="168"/>
              <w:spacing w:line="360" w:lineRule="auto"/>
              <w:jc w:val="center"/>
              <w:rPr>
                <w:rFonts w:ascii="宋体" w:hAnsi="宋体"/>
                <w:color w:val="auto"/>
                <w:szCs w:val="21"/>
                <w:highlight w:val="none"/>
              </w:rPr>
            </w:pPr>
          </w:p>
        </w:tc>
        <w:tc>
          <w:tcPr>
            <w:tcW w:w="1978" w:type="dxa"/>
            <w:vAlign w:val="center"/>
          </w:tcPr>
          <w:p w14:paraId="365A9590">
            <w:pPr>
              <w:pStyle w:val="168"/>
              <w:spacing w:line="360" w:lineRule="auto"/>
              <w:jc w:val="center"/>
              <w:rPr>
                <w:rFonts w:ascii="宋体" w:hAnsi="宋体"/>
                <w:color w:val="auto"/>
                <w:szCs w:val="21"/>
                <w:highlight w:val="none"/>
              </w:rPr>
            </w:pPr>
          </w:p>
        </w:tc>
      </w:tr>
      <w:tr w14:paraId="0A9C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7F6208F2">
            <w:pPr>
              <w:pStyle w:val="168"/>
              <w:spacing w:line="360" w:lineRule="auto"/>
              <w:jc w:val="center"/>
              <w:rPr>
                <w:rFonts w:ascii="宋体" w:hAnsi="宋体"/>
                <w:color w:val="auto"/>
                <w:szCs w:val="21"/>
                <w:highlight w:val="none"/>
              </w:rPr>
            </w:pPr>
          </w:p>
        </w:tc>
        <w:tc>
          <w:tcPr>
            <w:tcW w:w="1417" w:type="dxa"/>
            <w:vAlign w:val="center"/>
          </w:tcPr>
          <w:p w14:paraId="6BE2F823">
            <w:pPr>
              <w:pStyle w:val="168"/>
              <w:spacing w:line="360" w:lineRule="auto"/>
              <w:jc w:val="center"/>
              <w:rPr>
                <w:rFonts w:ascii="宋体" w:hAnsi="宋体"/>
                <w:color w:val="auto"/>
                <w:szCs w:val="21"/>
                <w:highlight w:val="none"/>
              </w:rPr>
            </w:pPr>
          </w:p>
        </w:tc>
        <w:tc>
          <w:tcPr>
            <w:tcW w:w="2268" w:type="dxa"/>
            <w:vAlign w:val="center"/>
          </w:tcPr>
          <w:p w14:paraId="27F17BDE">
            <w:pPr>
              <w:pStyle w:val="168"/>
              <w:spacing w:line="360" w:lineRule="auto"/>
              <w:jc w:val="center"/>
              <w:rPr>
                <w:rFonts w:ascii="宋体" w:hAnsi="宋体"/>
                <w:color w:val="auto"/>
                <w:szCs w:val="21"/>
                <w:highlight w:val="none"/>
              </w:rPr>
            </w:pPr>
          </w:p>
        </w:tc>
        <w:tc>
          <w:tcPr>
            <w:tcW w:w="2126" w:type="dxa"/>
            <w:vAlign w:val="center"/>
          </w:tcPr>
          <w:p w14:paraId="40FAA36F">
            <w:pPr>
              <w:pStyle w:val="168"/>
              <w:spacing w:line="360" w:lineRule="auto"/>
              <w:jc w:val="center"/>
              <w:rPr>
                <w:rFonts w:ascii="宋体" w:hAnsi="宋体"/>
                <w:color w:val="auto"/>
                <w:szCs w:val="21"/>
                <w:highlight w:val="none"/>
              </w:rPr>
            </w:pPr>
          </w:p>
        </w:tc>
        <w:tc>
          <w:tcPr>
            <w:tcW w:w="1978" w:type="dxa"/>
            <w:vAlign w:val="center"/>
          </w:tcPr>
          <w:p w14:paraId="72B7138D">
            <w:pPr>
              <w:pStyle w:val="168"/>
              <w:spacing w:line="360" w:lineRule="auto"/>
              <w:jc w:val="center"/>
              <w:rPr>
                <w:rFonts w:ascii="宋体" w:hAnsi="宋体"/>
                <w:color w:val="auto"/>
                <w:szCs w:val="21"/>
                <w:highlight w:val="none"/>
              </w:rPr>
            </w:pPr>
          </w:p>
        </w:tc>
      </w:tr>
      <w:tr w14:paraId="6D17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4AFB6329">
            <w:pPr>
              <w:pStyle w:val="168"/>
              <w:spacing w:line="360" w:lineRule="auto"/>
              <w:jc w:val="center"/>
              <w:rPr>
                <w:rFonts w:ascii="宋体" w:hAnsi="宋体"/>
                <w:color w:val="auto"/>
                <w:szCs w:val="21"/>
                <w:highlight w:val="none"/>
              </w:rPr>
            </w:pPr>
          </w:p>
        </w:tc>
        <w:tc>
          <w:tcPr>
            <w:tcW w:w="1417" w:type="dxa"/>
            <w:vAlign w:val="center"/>
          </w:tcPr>
          <w:p w14:paraId="6B61ED93">
            <w:pPr>
              <w:pStyle w:val="168"/>
              <w:spacing w:line="360" w:lineRule="auto"/>
              <w:jc w:val="center"/>
              <w:rPr>
                <w:rFonts w:ascii="宋体" w:hAnsi="宋体"/>
                <w:color w:val="auto"/>
                <w:szCs w:val="21"/>
                <w:highlight w:val="none"/>
              </w:rPr>
            </w:pPr>
          </w:p>
        </w:tc>
        <w:tc>
          <w:tcPr>
            <w:tcW w:w="2268" w:type="dxa"/>
            <w:vAlign w:val="center"/>
          </w:tcPr>
          <w:p w14:paraId="04D41B42">
            <w:pPr>
              <w:pStyle w:val="168"/>
              <w:spacing w:line="360" w:lineRule="auto"/>
              <w:jc w:val="center"/>
              <w:rPr>
                <w:rFonts w:ascii="宋体" w:hAnsi="宋体"/>
                <w:color w:val="auto"/>
                <w:szCs w:val="21"/>
                <w:highlight w:val="none"/>
              </w:rPr>
            </w:pPr>
          </w:p>
        </w:tc>
        <w:tc>
          <w:tcPr>
            <w:tcW w:w="2126" w:type="dxa"/>
            <w:vAlign w:val="center"/>
          </w:tcPr>
          <w:p w14:paraId="1CEBA5BF">
            <w:pPr>
              <w:pStyle w:val="168"/>
              <w:spacing w:line="360" w:lineRule="auto"/>
              <w:jc w:val="center"/>
              <w:rPr>
                <w:rFonts w:ascii="宋体" w:hAnsi="宋体"/>
                <w:color w:val="auto"/>
                <w:szCs w:val="21"/>
                <w:highlight w:val="none"/>
              </w:rPr>
            </w:pPr>
          </w:p>
        </w:tc>
        <w:tc>
          <w:tcPr>
            <w:tcW w:w="1978" w:type="dxa"/>
            <w:vAlign w:val="center"/>
          </w:tcPr>
          <w:p w14:paraId="41A20D8A">
            <w:pPr>
              <w:pStyle w:val="168"/>
              <w:spacing w:line="360" w:lineRule="auto"/>
              <w:jc w:val="center"/>
              <w:rPr>
                <w:rFonts w:ascii="宋体" w:hAnsi="宋体"/>
                <w:color w:val="auto"/>
                <w:szCs w:val="21"/>
                <w:highlight w:val="none"/>
              </w:rPr>
            </w:pPr>
          </w:p>
        </w:tc>
      </w:tr>
      <w:tr w14:paraId="395F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5933724D">
            <w:pPr>
              <w:pStyle w:val="168"/>
              <w:spacing w:line="360" w:lineRule="auto"/>
              <w:jc w:val="center"/>
              <w:rPr>
                <w:rFonts w:ascii="宋体" w:hAnsi="宋体"/>
                <w:color w:val="auto"/>
                <w:szCs w:val="21"/>
                <w:highlight w:val="none"/>
              </w:rPr>
            </w:pPr>
          </w:p>
        </w:tc>
        <w:tc>
          <w:tcPr>
            <w:tcW w:w="1417" w:type="dxa"/>
            <w:vAlign w:val="center"/>
          </w:tcPr>
          <w:p w14:paraId="5D6CE650">
            <w:pPr>
              <w:pStyle w:val="168"/>
              <w:spacing w:line="360" w:lineRule="auto"/>
              <w:jc w:val="center"/>
              <w:rPr>
                <w:rFonts w:ascii="宋体" w:hAnsi="宋体"/>
                <w:color w:val="auto"/>
                <w:szCs w:val="21"/>
                <w:highlight w:val="none"/>
              </w:rPr>
            </w:pPr>
          </w:p>
        </w:tc>
        <w:tc>
          <w:tcPr>
            <w:tcW w:w="2268" w:type="dxa"/>
            <w:vAlign w:val="center"/>
          </w:tcPr>
          <w:p w14:paraId="41DBA922">
            <w:pPr>
              <w:pStyle w:val="168"/>
              <w:spacing w:line="360" w:lineRule="auto"/>
              <w:jc w:val="center"/>
              <w:rPr>
                <w:rFonts w:ascii="宋体" w:hAnsi="宋体"/>
                <w:color w:val="auto"/>
                <w:szCs w:val="21"/>
                <w:highlight w:val="none"/>
              </w:rPr>
            </w:pPr>
          </w:p>
        </w:tc>
        <w:tc>
          <w:tcPr>
            <w:tcW w:w="2126" w:type="dxa"/>
            <w:vAlign w:val="center"/>
          </w:tcPr>
          <w:p w14:paraId="08ED3A3D">
            <w:pPr>
              <w:pStyle w:val="168"/>
              <w:spacing w:line="360" w:lineRule="auto"/>
              <w:jc w:val="center"/>
              <w:rPr>
                <w:rFonts w:ascii="宋体" w:hAnsi="宋体"/>
                <w:color w:val="auto"/>
                <w:szCs w:val="21"/>
                <w:highlight w:val="none"/>
              </w:rPr>
            </w:pPr>
          </w:p>
        </w:tc>
        <w:tc>
          <w:tcPr>
            <w:tcW w:w="1978" w:type="dxa"/>
            <w:vAlign w:val="center"/>
          </w:tcPr>
          <w:p w14:paraId="6ACFDB3C">
            <w:pPr>
              <w:pStyle w:val="168"/>
              <w:spacing w:line="360" w:lineRule="auto"/>
              <w:jc w:val="center"/>
              <w:rPr>
                <w:rFonts w:ascii="宋体" w:hAnsi="宋体"/>
                <w:color w:val="auto"/>
                <w:szCs w:val="21"/>
                <w:highlight w:val="none"/>
              </w:rPr>
            </w:pPr>
          </w:p>
        </w:tc>
      </w:tr>
      <w:tr w14:paraId="0057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49ADA75B">
            <w:pPr>
              <w:pStyle w:val="168"/>
              <w:spacing w:line="360" w:lineRule="auto"/>
              <w:jc w:val="center"/>
              <w:rPr>
                <w:rFonts w:ascii="宋体" w:hAnsi="宋体"/>
                <w:color w:val="auto"/>
                <w:szCs w:val="21"/>
                <w:highlight w:val="none"/>
              </w:rPr>
            </w:pPr>
          </w:p>
        </w:tc>
        <w:tc>
          <w:tcPr>
            <w:tcW w:w="1417" w:type="dxa"/>
            <w:vAlign w:val="center"/>
          </w:tcPr>
          <w:p w14:paraId="417E5646">
            <w:pPr>
              <w:pStyle w:val="168"/>
              <w:spacing w:line="360" w:lineRule="auto"/>
              <w:jc w:val="center"/>
              <w:rPr>
                <w:rFonts w:ascii="宋体" w:hAnsi="宋体"/>
                <w:color w:val="auto"/>
                <w:szCs w:val="21"/>
                <w:highlight w:val="none"/>
              </w:rPr>
            </w:pPr>
          </w:p>
        </w:tc>
        <w:tc>
          <w:tcPr>
            <w:tcW w:w="2268" w:type="dxa"/>
            <w:vAlign w:val="center"/>
          </w:tcPr>
          <w:p w14:paraId="77F0DA10">
            <w:pPr>
              <w:pStyle w:val="168"/>
              <w:spacing w:line="360" w:lineRule="auto"/>
              <w:jc w:val="center"/>
              <w:rPr>
                <w:rFonts w:ascii="宋体" w:hAnsi="宋体"/>
                <w:color w:val="auto"/>
                <w:szCs w:val="21"/>
                <w:highlight w:val="none"/>
              </w:rPr>
            </w:pPr>
          </w:p>
        </w:tc>
        <w:tc>
          <w:tcPr>
            <w:tcW w:w="2126" w:type="dxa"/>
            <w:vAlign w:val="center"/>
          </w:tcPr>
          <w:p w14:paraId="6718A3F2">
            <w:pPr>
              <w:pStyle w:val="168"/>
              <w:spacing w:line="360" w:lineRule="auto"/>
              <w:jc w:val="center"/>
              <w:rPr>
                <w:rFonts w:ascii="宋体" w:hAnsi="宋体"/>
                <w:color w:val="auto"/>
                <w:szCs w:val="21"/>
                <w:highlight w:val="none"/>
              </w:rPr>
            </w:pPr>
          </w:p>
        </w:tc>
        <w:tc>
          <w:tcPr>
            <w:tcW w:w="1978" w:type="dxa"/>
            <w:vAlign w:val="center"/>
          </w:tcPr>
          <w:p w14:paraId="05E49DE4">
            <w:pPr>
              <w:pStyle w:val="168"/>
              <w:spacing w:line="360" w:lineRule="auto"/>
              <w:jc w:val="center"/>
              <w:rPr>
                <w:rFonts w:ascii="宋体" w:hAnsi="宋体"/>
                <w:color w:val="auto"/>
                <w:szCs w:val="21"/>
                <w:highlight w:val="none"/>
              </w:rPr>
            </w:pPr>
          </w:p>
        </w:tc>
      </w:tr>
      <w:tr w14:paraId="0618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255E420D">
            <w:pPr>
              <w:pStyle w:val="168"/>
              <w:spacing w:line="360" w:lineRule="auto"/>
              <w:jc w:val="center"/>
              <w:rPr>
                <w:rFonts w:ascii="宋体" w:hAnsi="宋体"/>
                <w:color w:val="auto"/>
                <w:szCs w:val="21"/>
                <w:highlight w:val="none"/>
              </w:rPr>
            </w:pPr>
          </w:p>
        </w:tc>
        <w:tc>
          <w:tcPr>
            <w:tcW w:w="1417" w:type="dxa"/>
            <w:vAlign w:val="center"/>
          </w:tcPr>
          <w:p w14:paraId="38E85DBA">
            <w:pPr>
              <w:pStyle w:val="168"/>
              <w:spacing w:line="360" w:lineRule="auto"/>
              <w:jc w:val="center"/>
              <w:rPr>
                <w:rFonts w:ascii="宋体" w:hAnsi="宋体"/>
                <w:color w:val="auto"/>
                <w:szCs w:val="21"/>
                <w:highlight w:val="none"/>
              </w:rPr>
            </w:pPr>
          </w:p>
        </w:tc>
        <w:tc>
          <w:tcPr>
            <w:tcW w:w="2268" w:type="dxa"/>
            <w:vAlign w:val="center"/>
          </w:tcPr>
          <w:p w14:paraId="5A03F490">
            <w:pPr>
              <w:pStyle w:val="168"/>
              <w:spacing w:line="360" w:lineRule="auto"/>
              <w:jc w:val="center"/>
              <w:rPr>
                <w:rFonts w:ascii="宋体" w:hAnsi="宋体"/>
                <w:color w:val="auto"/>
                <w:szCs w:val="21"/>
                <w:highlight w:val="none"/>
              </w:rPr>
            </w:pPr>
          </w:p>
        </w:tc>
        <w:tc>
          <w:tcPr>
            <w:tcW w:w="2126" w:type="dxa"/>
            <w:vAlign w:val="center"/>
          </w:tcPr>
          <w:p w14:paraId="22C1B5EC">
            <w:pPr>
              <w:pStyle w:val="168"/>
              <w:spacing w:line="360" w:lineRule="auto"/>
              <w:jc w:val="center"/>
              <w:rPr>
                <w:rFonts w:ascii="宋体" w:hAnsi="宋体"/>
                <w:color w:val="auto"/>
                <w:szCs w:val="21"/>
                <w:highlight w:val="none"/>
              </w:rPr>
            </w:pPr>
          </w:p>
        </w:tc>
        <w:tc>
          <w:tcPr>
            <w:tcW w:w="1978" w:type="dxa"/>
            <w:vAlign w:val="center"/>
          </w:tcPr>
          <w:p w14:paraId="62597A26">
            <w:pPr>
              <w:pStyle w:val="168"/>
              <w:spacing w:line="360" w:lineRule="auto"/>
              <w:jc w:val="center"/>
              <w:rPr>
                <w:rFonts w:ascii="宋体" w:hAnsi="宋体"/>
                <w:color w:val="auto"/>
                <w:szCs w:val="21"/>
                <w:highlight w:val="none"/>
              </w:rPr>
            </w:pPr>
          </w:p>
        </w:tc>
      </w:tr>
      <w:tr w14:paraId="4076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7BCC820D">
            <w:pPr>
              <w:pStyle w:val="168"/>
              <w:spacing w:line="360" w:lineRule="auto"/>
              <w:jc w:val="center"/>
              <w:rPr>
                <w:rFonts w:ascii="宋体" w:hAnsi="宋体"/>
                <w:color w:val="auto"/>
                <w:szCs w:val="21"/>
                <w:highlight w:val="none"/>
              </w:rPr>
            </w:pPr>
          </w:p>
        </w:tc>
        <w:tc>
          <w:tcPr>
            <w:tcW w:w="1417" w:type="dxa"/>
            <w:vAlign w:val="center"/>
          </w:tcPr>
          <w:p w14:paraId="3C200271">
            <w:pPr>
              <w:pStyle w:val="168"/>
              <w:spacing w:line="360" w:lineRule="auto"/>
              <w:jc w:val="center"/>
              <w:rPr>
                <w:rFonts w:ascii="宋体" w:hAnsi="宋体"/>
                <w:color w:val="auto"/>
                <w:szCs w:val="21"/>
                <w:highlight w:val="none"/>
              </w:rPr>
            </w:pPr>
          </w:p>
        </w:tc>
        <w:tc>
          <w:tcPr>
            <w:tcW w:w="2268" w:type="dxa"/>
            <w:vAlign w:val="center"/>
          </w:tcPr>
          <w:p w14:paraId="44ACEB8D">
            <w:pPr>
              <w:pStyle w:val="168"/>
              <w:spacing w:line="360" w:lineRule="auto"/>
              <w:jc w:val="center"/>
              <w:rPr>
                <w:rFonts w:ascii="宋体" w:hAnsi="宋体"/>
                <w:color w:val="auto"/>
                <w:szCs w:val="21"/>
                <w:highlight w:val="none"/>
              </w:rPr>
            </w:pPr>
          </w:p>
        </w:tc>
        <w:tc>
          <w:tcPr>
            <w:tcW w:w="2126" w:type="dxa"/>
            <w:vAlign w:val="center"/>
          </w:tcPr>
          <w:p w14:paraId="0E378C6B">
            <w:pPr>
              <w:pStyle w:val="168"/>
              <w:spacing w:line="360" w:lineRule="auto"/>
              <w:jc w:val="center"/>
              <w:rPr>
                <w:rFonts w:ascii="宋体" w:hAnsi="宋体"/>
                <w:color w:val="auto"/>
                <w:szCs w:val="21"/>
                <w:highlight w:val="none"/>
              </w:rPr>
            </w:pPr>
          </w:p>
        </w:tc>
        <w:tc>
          <w:tcPr>
            <w:tcW w:w="1978" w:type="dxa"/>
            <w:vAlign w:val="center"/>
          </w:tcPr>
          <w:p w14:paraId="368C7F16">
            <w:pPr>
              <w:pStyle w:val="168"/>
              <w:spacing w:line="360" w:lineRule="auto"/>
              <w:jc w:val="center"/>
              <w:rPr>
                <w:rFonts w:ascii="宋体" w:hAnsi="宋体"/>
                <w:color w:val="auto"/>
                <w:szCs w:val="21"/>
                <w:highlight w:val="none"/>
              </w:rPr>
            </w:pPr>
          </w:p>
        </w:tc>
      </w:tr>
      <w:tr w14:paraId="54E1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1E75A146">
            <w:pPr>
              <w:pStyle w:val="168"/>
              <w:spacing w:line="360" w:lineRule="auto"/>
              <w:jc w:val="center"/>
              <w:rPr>
                <w:rFonts w:ascii="宋体" w:hAnsi="宋体"/>
                <w:color w:val="auto"/>
                <w:szCs w:val="21"/>
                <w:highlight w:val="none"/>
              </w:rPr>
            </w:pPr>
          </w:p>
        </w:tc>
        <w:tc>
          <w:tcPr>
            <w:tcW w:w="1417" w:type="dxa"/>
            <w:vAlign w:val="center"/>
          </w:tcPr>
          <w:p w14:paraId="1825C01B">
            <w:pPr>
              <w:pStyle w:val="168"/>
              <w:spacing w:line="360" w:lineRule="auto"/>
              <w:jc w:val="center"/>
              <w:rPr>
                <w:rFonts w:ascii="宋体" w:hAnsi="宋体"/>
                <w:color w:val="auto"/>
                <w:szCs w:val="21"/>
                <w:highlight w:val="none"/>
              </w:rPr>
            </w:pPr>
          </w:p>
        </w:tc>
        <w:tc>
          <w:tcPr>
            <w:tcW w:w="2268" w:type="dxa"/>
            <w:vAlign w:val="center"/>
          </w:tcPr>
          <w:p w14:paraId="170F3C16">
            <w:pPr>
              <w:pStyle w:val="168"/>
              <w:spacing w:line="360" w:lineRule="auto"/>
              <w:jc w:val="center"/>
              <w:rPr>
                <w:rFonts w:ascii="宋体" w:hAnsi="宋体"/>
                <w:color w:val="auto"/>
                <w:szCs w:val="21"/>
                <w:highlight w:val="none"/>
              </w:rPr>
            </w:pPr>
          </w:p>
        </w:tc>
        <w:tc>
          <w:tcPr>
            <w:tcW w:w="2126" w:type="dxa"/>
            <w:vAlign w:val="center"/>
          </w:tcPr>
          <w:p w14:paraId="7162B3F0">
            <w:pPr>
              <w:pStyle w:val="168"/>
              <w:spacing w:line="360" w:lineRule="auto"/>
              <w:jc w:val="center"/>
              <w:rPr>
                <w:rFonts w:ascii="宋体" w:hAnsi="宋体"/>
                <w:color w:val="auto"/>
                <w:szCs w:val="21"/>
                <w:highlight w:val="none"/>
              </w:rPr>
            </w:pPr>
          </w:p>
        </w:tc>
        <w:tc>
          <w:tcPr>
            <w:tcW w:w="1978" w:type="dxa"/>
            <w:vAlign w:val="center"/>
          </w:tcPr>
          <w:p w14:paraId="0C99754C">
            <w:pPr>
              <w:pStyle w:val="168"/>
              <w:spacing w:line="360" w:lineRule="auto"/>
              <w:jc w:val="center"/>
              <w:rPr>
                <w:rFonts w:ascii="宋体" w:hAnsi="宋体"/>
                <w:color w:val="auto"/>
                <w:szCs w:val="21"/>
                <w:highlight w:val="none"/>
              </w:rPr>
            </w:pPr>
          </w:p>
        </w:tc>
      </w:tr>
      <w:tr w14:paraId="074B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3BD4D3CC">
            <w:pPr>
              <w:pStyle w:val="168"/>
              <w:spacing w:line="360" w:lineRule="auto"/>
              <w:jc w:val="center"/>
              <w:rPr>
                <w:rFonts w:ascii="宋体" w:hAnsi="宋体"/>
                <w:color w:val="auto"/>
                <w:szCs w:val="21"/>
                <w:highlight w:val="none"/>
              </w:rPr>
            </w:pPr>
          </w:p>
        </w:tc>
        <w:tc>
          <w:tcPr>
            <w:tcW w:w="1417" w:type="dxa"/>
            <w:vAlign w:val="center"/>
          </w:tcPr>
          <w:p w14:paraId="22A74D0C">
            <w:pPr>
              <w:pStyle w:val="168"/>
              <w:spacing w:line="360" w:lineRule="auto"/>
              <w:jc w:val="center"/>
              <w:rPr>
                <w:rFonts w:ascii="宋体" w:hAnsi="宋体"/>
                <w:color w:val="auto"/>
                <w:szCs w:val="21"/>
                <w:highlight w:val="none"/>
              </w:rPr>
            </w:pPr>
          </w:p>
        </w:tc>
        <w:tc>
          <w:tcPr>
            <w:tcW w:w="2268" w:type="dxa"/>
            <w:vAlign w:val="center"/>
          </w:tcPr>
          <w:p w14:paraId="4E26E1FD">
            <w:pPr>
              <w:pStyle w:val="168"/>
              <w:spacing w:line="360" w:lineRule="auto"/>
              <w:jc w:val="center"/>
              <w:rPr>
                <w:rFonts w:ascii="宋体" w:hAnsi="宋体"/>
                <w:color w:val="auto"/>
                <w:szCs w:val="21"/>
                <w:highlight w:val="none"/>
              </w:rPr>
            </w:pPr>
          </w:p>
        </w:tc>
        <w:tc>
          <w:tcPr>
            <w:tcW w:w="2126" w:type="dxa"/>
            <w:vAlign w:val="center"/>
          </w:tcPr>
          <w:p w14:paraId="278ADBE2">
            <w:pPr>
              <w:pStyle w:val="168"/>
              <w:spacing w:line="360" w:lineRule="auto"/>
              <w:jc w:val="center"/>
              <w:rPr>
                <w:rFonts w:ascii="宋体" w:hAnsi="宋体"/>
                <w:color w:val="auto"/>
                <w:szCs w:val="21"/>
                <w:highlight w:val="none"/>
              </w:rPr>
            </w:pPr>
          </w:p>
        </w:tc>
        <w:tc>
          <w:tcPr>
            <w:tcW w:w="1978" w:type="dxa"/>
            <w:vAlign w:val="center"/>
          </w:tcPr>
          <w:p w14:paraId="01E18714">
            <w:pPr>
              <w:pStyle w:val="168"/>
              <w:spacing w:line="360" w:lineRule="auto"/>
              <w:jc w:val="center"/>
              <w:rPr>
                <w:rFonts w:ascii="宋体" w:hAnsi="宋体"/>
                <w:color w:val="auto"/>
                <w:szCs w:val="21"/>
                <w:highlight w:val="none"/>
              </w:rPr>
            </w:pPr>
          </w:p>
        </w:tc>
      </w:tr>
      <w:tr w14:paraId="4855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2932AA1C">
            <w:pPr>
              <w:pStyle w:val="168"/>
              <w:spacing w:line="360" w:lineRule="auto"/>
              <w:jc w:val="center"/>
              <w:rPr>
                <w:rFonts w:ascii="宋体" w:hAnsi="宋体"/>
                <w:color w:val="auto"/>
                <w:szCs w:val="21"/>
                <w:highlight w:val="none"/>
              </w:rPr>
            </w:pPr>
          </w:p>
        </w:tc>
        <w:tc>
          <w:tcPr>
            <w:tcW w:w="1417" w:type="dxa"/>
            <w:vAlign w:val="center"/>
          </w:tcPr>
          <w:p w14:paraId="117934DA">
            <w:pPr>
              <w:pStyle w:val="168"/>
              <w:spacing w:line="360" w:lineRule="auto"/>
              <w:jc w:val="center"/>
              <w:rPr>
                <w:rFonts w:ascii="宋体" w:hAnsi="宋体"/>
                <w:color w:val="auto"/>
                <w:szCs w:val="21"/>
                <w:highlight w:val="none"/>
              </w:rPr>
            </w:pPr>
          </w:p>
        </w:tc>
        <w:tc>
          <w:tcPr>
            <w:tcW w:w="2268" w:type="dxa"/>
            <w:vAlign w:val="center"/>
          </w:tcPr>
          <w:p w14:paraId="4B2CDAA6">
            <w:pPr>
              <w:pStyle w:val="168"/>
              <w:spacing w:line="360" w:lineRule="auto"/>
              <w:jc w:val="center"/>
              <w:rPr>
                <w:rFonts w:ascii="宋体" w:hAnsi="宋体"/>
                <w:color w:val="auto"/>
                <w:szCs w:val="21"/>
                <w:highlight w:val="none"/>
              </w:rPr>
            </w:pPr>
          </w:p>
        </w:tc>
        <w:tc>
          <w:tcPr>
            <w:tcW w:w="2126" w:type="dxa"/>
            <w:vAlign w:val="center"/>
          </w:tcPr>
          <w:p w14:paraId="435A5836">
            <w:pPr>
              <w:pStyle w:val="168"/>
              <w:spacing w:line="360" w:lineRule="auto"/>
              <w:jc w:val="center"/>
              <w:rPr>
                <w:rFonts w:ascii="宋体" w:hAnsi="宋体"/>
                <w:color w:val="auto"/>
                <w:szCs w:val="21"/>
                <w:highlight w:val="none"/>
              </w:rPr>
            </w:pPr>
          </w:p>
        </w:tc>
        <w:tc>
          <w:tcPr>
            <w:tcW w:w="1978" w:type="dxa"/>
            <w:vAlign w:val="center"/>
          </w:tcPr>
          <w:p w14:paraId="012FD5F6">
            <w:pPr>
              <w:pStyle w:val="168"/>
              <w:spacing w:line="360" w:lineRule="auto"/>
              <w:jc w:val="center"/>
              <w:rPr>
                <w:rFonts w:ascii="宋体" w:hAnsi="宋体"/>
                <w:color w:val="auto"/>
                <w:szCs w:val="21"/>
                <w:highlight w:val="none"/>
              </w:rPr>
            </w:pPr>
          </w:p>
        </w:tc>
      </w:tr>
      <w:tr w14:paraId="111B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40302D57">
            <w:pPr>
              <w:pStyle w:val="168"/>
              <w:spacing w:line="360" w:lineRule="auto"/>
              <w:jc w:val="center"/>
              <w:rPr>
                <w:rFonts w:ascii="宋体" w:hAnsi="宋体"/>
                <w:color w:val="auto"/>
                <w:szCs w:val="21"/>
                <w:highlight w:val="none"/>
              </w:rPr>
            </w:pPr>
          </w:p>
        </w:tc>
        <w:tc>
          <w:tcPr>
            <w:tcW w:w="1417" w:type="dxa"/>
            <w:vAlign w:val="center"/>
          </w:tcPr>
          <w:p w14:paraId="18CE5DE7">
            <w:pPr>
              <w:pStyle w:val="168"/>
              <w:spacing w:line="360" w:lineRule="auto"/>
              <w:jc w:val="center"/>
              <w:rPr>
                <w:rFonts w:ascii="宋体" w:hAnsi="宋体"/>
                <w:color w:val="auto"/>
                <w:szCs w:val="21"/>
                <w:highlight w:val="none"/>
              </w:rPr>
            </w:pPr>
          </w:p>
        </w:tc>
        <w:tc>
          <w:tcPr>
            <w:tcW w:w="2268" w:type="dxa"/>
            <w:vAlign w:val="center"/>
          </w:tcPr>
          <w:p w14:paraId="62B1ADB6">
            <w:pPr>
              <w:pStyle w:val="168"/>
              <w:spacing w:line="360" w:lineRule="auto"/>
              <w:jc w:val="center"/>
              <w:rPr>
                <w:rFonts w:ascii="宋体" w:hAnsi="宋体"/>
                <w:color w:val="auto"/>
                <w:szCs w:val="21"/>
                <w:highlight w:val="none"/>
              </w:rPr>
            </w:pPr>
          </w:p>
        </w:tc>
        <w:tc>
          <w:tcPr>
            <w:tcW w:w="2126" w:type="dxa"/>
            <w:vAlign w:val="center"/>
          </w:tcPr>
          <w:p w14:paraId="0B138661">
            <w:pPr>
              <w:pStyle w:val="168"/>
              <w:spacing w:line="360" w:lineRule="auto"/>
              <w:jc w:val="center"/>
              <w:rPr>
                <w:rFonts w:ascii="宋体" w:hAnsi="宋体"/>
                <w:color w:val="auto"/>
                <w:szCs w:val="21"/>
                <w:highlight w:val="none"/>
              </w:rPr>
            </w:pPr>
          </w:p>
        </w:tc>
        <w:tc>
          <w:tcPr>
            <w:tcW w:w="1978" w:type="dxa"/>
            <w:vAlign w:val="center"/>
          </w:tcPr>
          <w:p w14:paraId="1AFB5F01">
            <w:pPr>
              <w:pStyle w:val="168"/>
              <w:spacing w:line="360" w:lineRule="auto"/>
              <w:jc w:val="center"/>
              <w:rPr>
                <w:rFonts w:ascii="宋体" w:hAnsi="宋体"/>
                <w:color w:val="auto"/>
                <w:szCs w:val="21"/>
                <w:highlight w:val="none"/>
              </w:rPr>
            </w:pPr>
          </w:p>
        </w:tc>
      </w:tr>
      <w:tr w14:paraId="16AA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185B8729">
            <w:pPr>
              <w:pStyle w:val="168"/>
              <w:spacing w:line="360" w:lineRule="auto"/>
              <w:jc w:val="center"/>
              <w:rPr>
                <w:rFonts w:ascii="宋体" w:hAnsi="宋体"/>
                <w:color w:val="auto"/>
                <w:szCs w:val="21"/>
                <w:highlight w:val="none"/>
              </w:rPr>
            </w:pPr>
          </w:p>
        </w:tc>
        <w:tc>
          <w:tcPr>
            <w:tcW w:w="1417" w:type="dxa"/>
            <w:vAlign w:val="center"/>
          </w:tcPr>
          <w:p w14:paraId="1932CE2B">
            <w:pPr>
              <w:pStyle w:val="168"/>
              <w:spacing w:line="360" w:lineRule="auto"/>
              <w:jc w:val="center"/>
              <w:rPr>
                <w:rFonts w:ascii="宋体" w:hAnsi="宋体"/>
                <w:color w:val="auto"/>
                <w:szCs w:val="21"/>
                <w:highlight w:val="none"/>
              </w:rPr>
            </w:pPr>
          </w:p>
        </w:tc>
        <w:tc>
          <w:tcPr>
            <w:tcW w:w="2268" w:type="dxa"/>
            <w:vAlign w:val="center"/>
          </w:tcPr>
          <w:p w14:paraId="1D08C69E">
            <w:pPr>
              <w:pStyle w:val="168"/>
              <w:spacing w:line="360" w:lineRule="auto"/>
              <w:jc w:val="center"/>
              <w:rPr>
                <w:rFonts w:ascii="宋体" w:hAnsi="宋体"/>
                <w:color w:val="auto"/>
                <w:szCs w:val="21"/>
                <w:highlight w:val="none"/>
              </w:rPr>
            </w:pPr>
          </w:p>
        </w:tc>
        <w:tc>
          <w:tcPr>
            <w:tcW w:w="2126" w:type="dxa"/>
            <w:vAlign w:val="center"/>
          </w:tcPr>
          <w:p w14:paraId="7DC41EB9">
            <w:pPr>
              <w:pStyle w:val="168"/>
              <w:spacing w:line="360" w:lineRule="auto"/>
              <w:jc w:val="center"/>
              <w:rPr>
                <w:rFonts w:ascii="宋体" w:hAnsi="宋体"/>
                <w:color w:val="auto"/>
                <w:szCs w:val="21"/>
                <w:highlight w:val="none"/>
              </w:rPr>
            </w:pPr>
          </w:p>
        </w:tc>
        <w:tc>
          <w:tcPr>
            <w:tcW w:w="1978" w:type="dxa"/>
            <w:vAlign w:val="center"/>
          </w:tcPr>
          <w:p w14:paraId="5DB850E6">
            <w:pPr>
              <w:pStyle w:val="168"/>
              <w:spacing w:line="360" w:lineRule="auto"/>
              <w:jc w:val="center"/>
              <w:rPr>
                <w:rFonts w:ascii="宋体" w:hAnsi="宋体"/>
                <w:color w:val="auto"/>
                <w:szCs w:val="21"/>
                <w:highlight w:val="none"/>
              </w:rPr>
            </w:pPr>
          </w:p>
        </w:tc>
      </w:tr>
      <w:tr w14:paraId="08F8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17CCA605">
            <w:pPr>
              <w:pStyle w:val="168"/>
              <w:spacing w:line="360" w:lineRule="auto"/>
              <w:jc w:val="center"/>
              <w:rPr>
                <w:rFonts w:ascii="宋体" w:hAnsi="宋体"/>
                <w:color w:val="auto"/>
                <w:szCs w:val="21"/>
                <w:highlight w:val="none"/>
              </w:rPr>
            </w:pPr>
          </w:p>
        </w:tc>
        <w:tc>
          <w:tcPr>
            <w:tcW w:w="1417" w:type="dxa"/>
            <w:vAlign w:val="center"/>
          </w:tcPr>
          <w:p w14:paraId="0E59C8F4">
            <w:pPr>
              <w:pStyle w:val="168"/>
              <w:spacing w:line="360" w:lineRule="auto"/>
              <w:jc w:val="center"/>
              <w:rPr>
                <w:rFonts w:ascii="宋体" w:hAnsi="宋体"/>
                <w:color w:val="auto"/>
                <w:szCs w:val="21"/>
                <w:highlight w:val="none"/>
              </w:rPr>
            </w:pPr>
          </w:p>
        </w:tc>
        <w:tc>
          <w:tcPr>
            <w:tcW w:w="2268" w:type="dxa"/>
            <w:vAlign w:val="center"/>
          </w:tcPr>
          <w:p w14:paraId="495A9D59">
            <w:pPr>
              <w:pStyle w:val="168"/>
              <w:spacing w:line="360" w:lineRule="auto"/>
              <w:jc w:val="center"/>
              <w:rPr>
                <w:rFonts w:ascii="宋体" w:hAnsi="宋体"/>
                <w:color w:val="auto"/>
                <w:szCs w:val="21"/>
                <w:highlight w:val="none"/>
              </w:rPr>
            </w:pPr>
          </w:p>
        </w:tc>
        <w:tc>
          <w:tcPr>
            <w:tcW w:w="2126" w:type="dxa"/>
            <w:vAlign w:val="center"/>
          </w:tcPr>
          <w:p w14:paraId="1578D80D">
            <w:pPr>
              <w:pStyle w:val="168"/>
              <w:spacing w:line="360" w:lineRule="auto"/>
              <w:jc w:val="center"/>
              <w:rPr>
                <w:rFonts w:ascii="宋体" w:hAnsi="宋体"/>
                <w:color w:val="auto"/>
                <w:szCs w:val="21"/>
                <w:highlight w:val="none"/>
              </w:rPr>
            </w:pPr>
          </w:p>
        </w:tc>
        <w:tc>
          <w:tcPr>
            <w:tcW w:w="1978" w:type="dxa"/>
            <w:vAlign w:val="center"/>
          </w:tcPr>
          <w:p w14:paraId="59CD4795">
            <w:pPr>
              <w:pStyle w:val="168"/>
              <w:spacing w:line="360" w:lineRule="auto"/>
              <w:jc w:val="center"/>
              <w:rPr>
                <w:rFonts w:ascii="宋体" w:hAnsi="宋体"/>
                <w:color w:val="auto"/>
                <w:szCs w:val="21"/>
                <w:highlight w:val="none"/>
              </w:rPr>
            </w:pPr>
          </w:p>
        </w:tc>
      </w:tr>
      <w:tr w14:paraId="106E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668AE2B6">
            <w:pPr>
              <w:pStyle w:val="168"/>
              <w:spacing w:line="360" w:lineRule="auto"/>
              <w:jc w:val="center"/>
              <w:rPr>
                <w:rFonts w:ascii="宋体" w:hAnsi="宋体"/>
                <w:color w:val="auto"/>
                <w:szCs w:val="21"/>
                <w:highlight w:val="none"/>
              </w:rPr>
            </w:pPr>
          </w:p>
        </w:tc>
        <w:tc>
          <w:tcPr>
            <w:tcW w:w="1417" w:type="dxa"/>
            <w:vAlign w:val="center"/>
          </w:tcPr>
          <w:p w14:paraId="59BEC886">
            <w:pPr>
              <w:pStyle w:val="168"/>
              <w:spacing w:line="360" w:lineRule="auto"/>
              <w:jc w:val="center"/>
              <w:rPr>
                <w:rFonts w:ascii="宋体" w:hAnsi="宋体"/>
                <w:color w:val="auto"/>
                <w:szCs w:val="21"/>
                <w:highlight w:val="none"/>
              </w:rPr>
            </w:pPr>
          </w:p>
        </w:tc>
        <w:tc>
          <w:tcPr>
            <w:tcW w:w="2268" w:type="dxa"/>
            <w:vAlign w:val="center"/>
          </w:tcPr>
          <w:p w14:paraId="5977E8F2">
            <w:pPr>
              <w:pStyle w:val="168"/>
              <w:spacing w:line="360" w:lineRule="auto"/>
              <w:jc w:val="center"/>
              <w:rPr>
                <w:rFonts w:ascii="宋体" w:hAnsi="宋体"/>
                <w:color w:val="auto"/>
                <w:szCs w:val="21"/>
                <w:highlight w:val="none"/>
              </w:rPr>
            </w:pPr>
          </w:p>
        </w:tc>
        <w:tc>
          <w:tcPr>
            <w:tcW w:w="2126" w:type="dxa"/>
            <w:vAlign w:val="center"/>
          </w:tcPr>
          <w:p w14:paraId="6DBA1005">
            <w:pPr>
              <w:pStyle w:val="168"/>
              <w:spacing w:line="360" w:lineRule="auto"/>
              <w:jc w:val="center"/>
              <w:rPr>
                <w:rFonts w:ascii="宋体" w:hAnsi="宋体"/>
                <w:color w:val="auto"/>
                <w:szCs w:val="21"/>
                <w:highlight w:val="none"/>
              </w:rPr>
            </w:pPr>
          </w:p>
        </w:tc>
        <w:tc>
          <w:tcPr>
            <w:tcW w:w="1978" w:type="dxa"/>
            <w:vAlign w:val="center"/>
          </w:tcPr>
          <w:p w14:paraId="089B346D">
            <w:pPr>
              <w:pStyle w:val="168"/>
              <w:spacing w:line="360" w:lineRule="auto"/>
              <w:jc w:val="center"/>
              <w:rPr>
                <w:rFonts w:ascii="宋体" w:hAnsi="宋体"/>
                <w:color w:val="auto"/>
                <w:szCs w:val="21"/>
                <w:highlight w:val="none"/>
              </w:rPr>
            </w:pPr>
          </w:p>
        </w:tc>
      </w:tr>
      <w:tr w14:paraId="35DE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vAlign w:val="center"/>
          </w:tcPr>
          <w:p w14:paraId="6D0504B9">
            <w:pPr>
              <w:pStyle w:val="168"/>
              <w:spacing w:line="360" w:lineRule="auto"/>
              <w:jc w:val="center"/>
              <w:rPr>
                <w:rFonts w:ascii="宋体" w:hAnsi="宋体"/>
                <w:color w:val="auto"/>
                <w:szCs w:val="21"/>
                <w:highlight w:val="none"/>
              </w:rPr>
            </w:pPr>
          </w:p>
        </w:tc>
        <w:tc>
          <w:tcPr>
            <w:tcW w:w="1417" w:type="dxa"/>
            <w:vAlign w:val="center"/>
          </w:tcPr>
          <w:p w14:paraId="03634952">
            <w:pPr>
              <w:pStyle w:val="168"/>
              <w:spacing w:line="360" w:lineRule="auto"/>
              <w:jc w:val="center"/>
              <w:rPr>
                <w:rFonts w:ascii="宋体" w:hAnsi="宋体"/>
                <w:color w:val="auto"/>
                <w:szCs w:val="21"/>
                <w:highlight w:val="none"/>
              </w:rPr>
            </w:pPr>
          </w:p>
        </w:tc>
        <w:tc>
          <w:tcPr>
            <w:tcW w:w="2268" w:type="dxa"/>
            <w:vAlign w:val="center"/>
          </w:tcPr>
          <w:p w14:paraId="6D232D49">
            <w:pPr>
              <w:pStyle w:val="168"/>
              <w:spacing w:line="360" w:lineRule="auto"/>
              <w:jc w:val="center"/>
              <w:rPr>
                <w:rFonts w:ascii="宋体" w:hAnsi="宋体"/>
                <w:color w:val="auto"/>
                <w:szCs w:val="21"/>
                <w:highlight w:val="none"/>
              </w:rPr>
            </w:pPr>
          </w:p>
        </w:tc>
        <w:tc>
          <w:tcPr>
            <w:tcW w:w="2126" w:type="dxa"/>
            <w:vAlign w:val="center"/>
          </w:tcPr>
          <w:p w14:paraId="215F3D0F">
            <w:pPr>
              <w:pStyle w:val="168"/>
              <w:spacing w:line="360" w:lineRule="auto"/>
              <w:jc w:val="center"/>
              <w:rPr>
                <w:rFonts w:ascii="宋体" w:hAnsi="宋体"/>
                <w:color w:val="auto"/>
                <w:szCs w:val="21"/>
                <w:highlight w:val="none"/>
              </w:rPr>
            </w:pPr>
          </w:p>
        </w:tc>
        <w:tc>
          <w:tcPr>
            <w:tcW w:w="1978" w:type="dxa"/>
            <w:vAlign w:val="center"/>
          </w:tcPr>
          <w:p w14:paraId="2F7A0D1F">
            <w:pPr>
              <w:pStyle w:val="168"/>
              <w:spacing w:line="360" w:lineRule="auto"/>
              <w:jc w:val="center"/>
              <w:rPr>
                <w:rFonts w:ascii="宋体" w:hAnsi="宋体"/>
                <w:color w:val="auto"/>
                <w:szCs w:val="21"/>
                <w:highlight w:val="none"/>
              </w:rPr>
            </w:pPr>
          </w:p>
        </w:tc>
      </w:tr>
    </w:tbl>
    <w:p w14:paraId="090F70C9">
      <w:pPr>
        <w:pStyle w:val="168"/>
        <w:spacing w:line="360" w:lineRule="auto"/>
        <w:rPr>
          <w:rFonts w:ascii="宋体" w:hAnsi="宋体"/>
          <w:color w:val="auto"/>
          <w:sz w:val="30"/>
          <w:szCs w:val="30"/>
          <w:highlight w:val="none"/>
        </w:rPr>
      </w:pPr>
    </w:p>
    <w:p w14:paraId="13B04BA7">
      <w:pPr>
        <w:pStyle w:val="168"/>
        <w:spacing w:line="360" w:lineRule="auto"/>
        <w:rPr>
          <w:rFonts w:ascii="宋体" w:hAnsi="宋体"/>
          <w:color w:val="auto"/>
          <w:sz w:val="30"/>
          <w:szCs w:val="30"/>
          <w:highlight w:val="none"/>
        </w:rPr>
        <w:sectPr>
          <w:pgSz w:w="11906" w:h="16838"/>
          <w:pgMar w:top="1440" w:right="1134" w:bottom="1440" w:left="1418" w:header="851" w:footer="992" w:gutter="0"/>
          <w:cols w:space="425" w:num="1"/>
          <w:docGrid w:type="lines" w:linePitch="312" w:charSpace="0"/>
        </w:sectPr>
      </w:pPr>
    </w:p>
    <w:p w14:paraId="679E2CE4">
      <w:pPr>
        <w:pStyle w:val="168"/>
        <w:spacing w:line="360" w:lineRule="auto"/>
        <w:rPr>
          <w:rFonts w:ascii="宋体" w:hAnsi="宋体"/>
          <w:color w:val="auto"/>
          <w:sz w:val="30"/>
          <w:szCs w:val="30"/>
          <w:highlight w:val="none"/>
        </w:rPr>
      </w:pPr>
      <w:r>
        <w:rPr>
          <w:rFonts w:hint="eastAsia" w:ascii="宋体" w:hAnsi="宋体"/>
          <w:color w:val="auto"/>
          <w:sz w:val="30"/>
          <w:szCs w:val="30"/>
          <w:highlight w:val="none"/>
        </w:rPr>
        <w:t>附件</w:t>
      </w:r>
      <w:r>
        <w:rPr>
          <w:rFonts w:ascii="宋体" w:hAnsi="宋体"/>
          <w:color w:val="auto"/>
          <w:sz w:val="30"/>
          <w:szCs w:val="30"/>
          <w:highlight w:val="none"/>
        </w:rPr>
        <w:t>4</w:t>
      </w:r>
      <w:r>
        <w:rPr>
          <w:rFonts w:hint="eastAsia" w:ascii="宋体" w:hAnsi="宋体"/>
          <w:color w:val="auto"/>
          <w:sz w:val="30"/>
          <w:szCs w:val="30"/>
          <w:highlight w:val="none"/>
        </w:rPr>
        <w:t>：</w:t>
      </w:r>
    </w:p>
    <w:p w14:paraId="348E1B73">
      <w:pPr>
        <w:pStyle w:val="168"/>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施工安全生产责任书</w:t>
      </w:r>
    </w:p>
    <w:p w14:paraId="0A6620C3">
      <w:pPr>
        <w:pStyle w:val="168"/>
        <w:spacing w:line="360" w:lineRule="auto"/>
        <w:rPr>
          <w:rFonts w:ascii="宋体" w:hAnsi="宋体"/>
          <w:color w:val="auto"/>
          <w:szCs w:val="21"/>
          <w:highlight w:val="none"/>
        </w:rPr>
      </w:pPr>
    </w:p>
    <w:p w14:paraId="1AFCD00F">
      <w:pPr>
        <w:pStyle w:val="168"/>
        <w:spacing w:line="360" w:lineRule="auto"/>
        <w:rPr>
          <w:rFonts w:ascii="宋体" w:hAnsi="宋体"/>
          <w:color w:val="auto"/>
          <w:szCs w:val="21"/>
          <w:highlight w:val="none"/>
        </w:rPr>
      </w:pPr>
      <w:r>
        <w:rPr>
          <w:rFonts w:hint="eastAsia" w:ascii="宋体" w:hAnsi="宋体"/>
          <w:color w:val="auto"/>
          <w:szCs w:val="21"/>
          <w:highlight w:val="none"/>
        </w:rPr>
        <w:t>发包人（全称）：                       （以下简称甲方）</w:t>
      </w:r>
    </w:p>
    <w:p w14:paraId="01D9DF8A">
      <w:pPr>
        <w:pStyle w:val="168"/>
        <w:spacing w:line="360" w:lineRule="auto"/>
        <w:rPr>
          <w:rFonts w:ascii="宋体" w:hAnsi="宋体"/>
          <w:color w:val="auto"/>
          <w:szCs w:val="21"/>
          <w:highlight w:val="none"/>
        </w:rPr>
      </w:pPr>
      <w:r>
        <w:rPr>
          <w:rFonts w:hint="eastAsia" w:ascii="宋体" w:hAnsi="宋体"/>
          <w:color w:val="auto"/>
          <w:szCs w:val="21"/>
          <w:highlight w:val="none"/>
        </w:rPr>
        <w:t>承包人（全称）：                       （以下简称乙方）</w:t>
      </w:r>
    </w:p>
    <w:p w14:paraId="5982EBAC">
      <w:pPr>
        <w:pStyle w:val="168"/>
        <w:spacing w:line="360" w:lineRule="auto"/>
        <w:ind w:firstLine="420" w:firstLineChars="200"/>
        <w:rPr>
          <w:rFonts w:ascii="宋体" w:hAnsi="宋体"/>
          <w:color w:val="auto"/>
          <w:szCs w:val="21"/>
          <w:highlight w:val="none"/>
        </w:rPr>
      </w:pPr>
    </w:p>
    <w:p w14:paraId="0237FB3D">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根据甲方乙方双方的约定，乙方承建甲方            工程施工任务，经协商一致就      （工程全称）签订施工安全生产责任书。</w:t>
      </w:r>
    </w:p>
    <w:p w14:paraId="7376FAD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施工准备阶段和施工过程中，甲方和乙方都应贯彻执行《中华人民共和国建筑法》、《中华人民共和国安全生产法》等国家法律法规，以及有关建筑施工安全和文明施工，现场管理方面的法律、法规及行业安全操作、规范、标准，并确定履行法、法规所赋予双方各自的安全职责。以确保建筑工程施工始终在安全文明的前提下进行。现经甲方乙方商定，进一步确认，同意就施工过程中的安全责任事宜明确如下，并就有关安全管理事项制定以下协议内容，以供双方共同遵守。</w:t>
      </w:r>
    </w:p>
    <w:p w14:paraId="7DF9082E">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乙方进场后应遵守国家和南宁市对安全及文明施工的有关文件规定，包括行业安全操作规程、规范及标准，以及甲方规定的各项规章制度和管理规定。乙方对施工现场的安全管理负全责，凡在施工现场内（含生产现场和生活区）因违章指挥、违章操作导致发生高空坠落、物体打击、机械事故、触电土方坍塌事故及管线折断、破裂、泄漏事故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5845721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0D78DB2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乙方项目经理为安全生产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挥违章指挥、  违章操作的行为要及时指出、坚决制止。</w:t>
      </w:r>
    </w:p>
    <w:p w14:paraId="5F78D96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四、乙方须严格按照相关法律、法规和操作规程、规范及标准进行施工，并做到：</w:t>
      </w:r>
    </w:p>
    <w:p w14:paraId="0B3A6556">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1、土方作业应根据基坑、基槽等和开挖深度、土质类别选择开挖方案，明确边坡或采取相应护坡支撑和护堤桩以防塌方。边坡周围施加静载（土堆等）或动载（泵车浇筑等）应符合相应安全规定。</w:t>
      </w:r>
    </w:p>
    <w:p w14:paraId="7C5CEF1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2、根据甲方提供的资料对施工现场及其影响的区域内地下的障碍物清理或采取相应的措施，对周围道路管线采取保护措施。</w:t>
      </w:r>
    </w:p>
    <w:p w14:paraId="38CE5C8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施工作业前需对机械、设备、仪器、仪表、工具器材等进行检查，确认完好无误后方可使用。电气设备、电源线路必须绝缘良好，不得与金属物浸水位置（导电物品）搭接捆绑在一起，各种临时电源线，绝缘皮要防止摩擦破损和被重物埋压。电动机、配电箱应按规定安装防护设置、漏电保护器及接地、接零和设备专一电闸等有效控制。当临时停电或停工休息时必须拉闸、上锁。</w:t>
      </w:r>
    </w:p>
    <w:p w14:paraId="2D976BE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在施工中动用明火（如进行电气焊作业）或高处作业等必须实行《动火证》审批制度和安全防护措施，现场（含生活区）的消防设备、器材按有关规定配置，对易燃易爆的危险品运输、储存、保管要符合安全规定要求。</w:t>
      </w:r>
    </w:p>
    <w:p w14:paraId="5E9799D7">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督促施工人员做好下班后清理检查工作，对作业区域存在的危险因素（如管道沟、槽，管道井及高低压线路、变电、配电设施）要采取防护措施，设置防护围栏，设置警示标识（含晚间设置警示灯）。要严加防范、重点监控。在管道井下或密闭容器作业应严守操作规程并注意通风、照明和保持通讯联络，并有两个以上人员作业，以防因缺氧造成的事故。</w:t>
      </w:r>
    </w:p>
    <w:p w14:paraId="208216B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6、实施挖土作业和拆除工程中发现管道、电缆及其它埋设物应及时报告，不得擅自处理。</w:t>
      </w:r>
    </w:p>
    <w:p w14:paraId="62AEA8D2">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7、按规范要求及现场实际情况布置现场消防通道、消防栓、灭火器、消防水龙带、消防专职安全员。</w:t>
      </w:r>
    </w:p>
    <w:p w14:paraId="65AC404E">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8、禁止将火种带入施工现场，禁止将烟卷带入施工区域。</w:t>
      </w:r>
    </w:p>
    <w:p w14:paraId="178741F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五、乙方应按规定要求制定劳保技术措施，保证操作人员劳保用品和用工规范要求。</w:t>
      </w:r>
    </w:p>
    <w:p w14:paraId="305DEB69">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乙方应按施工现场安全文明和环保、环卫的有关规定设置宿舍、食堂、饮用水及其他卫生设施。对施工现场的环境（如现场废水、尘雾、噪声、振动、坠落物等）进行有效地控制，为防止职业危害提供良好的作业环境。</w:t>
      </w:r>
    </w:p>
    <w:p w14:paraId="569D1193">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七、关心职工及外地施工队伍的生活，及时了解思想动态，最大可能满足他们的合理要求，帮助他们克服工作、生活上的困难，确保其思想稳定生产安全。</w:t>
      </w:r>
    </w:p>
    <w:p w14:paraId="55809980">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八、保证责任区内符合安全、环保、环卫要求，做到：不起尘无遗洒、进出车辆保洁，路面有人清扫，落实门前三包。</w:t>
      </w:r>
    </w:p>
    <w:p w14:paraId="53AC3DF8">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九、甲方有权对乙方施工全过程的安全进行监督，对各种不安全因素、隐患有权提出整改意见。对甲方提出的不安全问题及隐患乙方应立即整改，对当时难以解决的问题应采取临时可靠措施加以控制，对经指出不予整改的或乙方失职失误造成的事故案件的，甲方有权按违约给予承包人相应处罚。</w:t>
      </w:r>
    </w:p>
    <w:p w14:paraId="2DCCBFBC">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十、施工安全生产责任书由发包人、承包人在工程开工前共同签署，作为施工合同附件，其有效期限至保修期满。</w:t>
      </w:r>
    </w:p>
    <w:p w14:paraId="4CAAEE74">
      <w:pPr>
        <w:pStyle w:val="168"/>
        <w:spacing w:line="360" w:lineRule="auto"/>
        <w:ind w:firstLine="420" w:firstLineChars="200"/>
        <w:rPr>
          <w:rFonts w:ascii="宋体" w:hAnsi="宋体"/>
          <w:color w:val="auto"/>
          <w:szCs w:val="21"/>
          <w:highlight w:val="none"/>
        </w:rPr>
      </w:pPr>
    </w:p>
    <w:p w14:paraId="1DB7347F">
      <w:pPr>
        <w:pStyle w:val="168"/>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14:paraId="4CFB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14:paraId="4BB1E391">
            <w:pPr>
              <w:pStyle w:val="168"/>
              <w:spacing w:line="360" w:lineRule="auto"/>
              <w:jc w:val="left"/>
              <w:rPr>
                <w:rFonts w:ascii="宋体" w:hAnsi="宋体"/>
                <w:color w:val="auto"/>
                <w:szCs w:val="21"/>
                <w:highlight w:val="none"/>
              </w:rPr>
            </w:pPr>
            <w:r>
              <w:rPr>
                <w:rFonts w:hint="eastAsia" w:ascii="宋体" w:hAnsi="宋体"/>
                <w:color w:val="auto"/>
                <w:szCs w:val="21"/>
                <w:highlight w:val="none"/>
              </w:rPr>
              <w:t>发包人（公章）：</w:t>
            </w:r>
          </w:p>
        </w:tc>
        <w:tc>
          <w:tcPr>
            <w:tcW w:w="4814" w:type="dxa"/>
          </w:tcPr>
          <w:p w14:paraId="4A45685A">
            <w:pPr>
              <w:pStyle w:val="168"/>
              <w:spacing w:line="360" w:lineRule="auto"/>
              <w:jc w:val="left"/>
              <w:rPr>
                <w:rFonts w:ascii="宋体" w:hAnsi="宋体"/>
                <w:color w:val="auto"/>
                <w:szCs w:val="21"/>
                <w:highlight w:val="none"/>
              </w:rPr>
            </w:pPr>
            <w:r>
              <w:rPr>
                <w:rFonts w:hint="eastAsia" w:ascii="宋体" w:hAnsi="宋体"/>
                <w:color w:val="auto"/>
                <w:szCs w:val="21"/>
                <w:highlight w:val="none"/>
              </w:rPr>
              <w:t>承包人（公章）：</w:t>
            </w:r>
          </w:p>
        </w:tc>
      </w:tr>
      <w:tr w14:paraId="340F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14:paraId="3E2E4A09">
            <w:pPr>
              <w:pStyle w:val="168"/>
              <w:spacing w:line="360" w:lineRule="auto"/>
              <w:jc w:val="left"/>
              <w:rPr>
                <w:rFonts w:ascii="宋体" w:hAnsi="宋体"/>
                <w:color w:val="auto"/>
                <w:szCs w:val="21"/>
                <w:highlight w:val="none"/>
              </w:rPr>
            </w:pPr>
            <w:r>
              <w:rPr>
                <w:rFonts w:hint="eastAsia" w:ascii="宋体" w:hAnsi="宋体"/>
                <w:color w:val="auto"/>
                <w:szCs w:val="21"/>
                <w:highlight w:val="none"/>
              </w:rPr>
              <w:t>法定代表人（签字）：</w:t>
            </w:r>
          </w:p>
        </w:tc>
        <w:tc>
          <w:tcPr>
            <w:tcW w:w="4814" w:type="dxa"/>
          </w:tcPr>
          <w:p w14:paraId="6EA3A46C">
            <w:pPr>
              <w:pStyle w:val="168"/>
              <w:spacing w:line="360" w:lineRule="auto"/>
              <w:jc w:val="left"/>
              <w:rPr>
                <w:rFonts w:ascii="宋体" w:hAnsi="宋体"/>
                <w:color w:val="auto"/>
                <w:szCs w:val="21"/>
                <w:highlight w:val="none"/>
              </w:rPr>
            </w:pPr>
            <w:r>
              <w:rPr>
                <w:rFonts w:hint="eastAsia" w:ascii="宋体" w:hAnsi="宋体"/>
                <w:color w:val="auto"/>
                <w:szCs w:val="21"/>
                <w:highlight w:val="none"/>
              </w:rPr>
              <w:t>法定代表人（签字）：</w:t>
            </w:r>
          </w:p>
        </w:tc>
      </w:tr>
      <w:tr w14:paraId="70C8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14:paraId="663B6385">
            <w:pPr>
              <w:pStyle w:val="168"/>
              <w:spacing w:line="360" w:lineRule="auto"/>
              <w:jc w:val="left"/>
              <w:rPr>
                <w:rFonts w:ascii="宋体" w:hAnsi="宋体"/>
                <w:color w:val="auto"/>
                <w:szCs w:val="21"/>
                <w:highlight w:val="none"/>
              </w:rPr>
            </w:pPr>
            <w:r>
              <w:rPr>
                <w:rFonts w:hint="eastAsia" w:ascii="宋体" w:hAnsi="宋体"/>
                <w:color w:val="auto"/>
                <w:szCs w:val="21"/>
                <w:highlight w:val="none"/>
              </w:rPr>
              <w:t>或委托代理人（签字）：</w:t>
            </w:r>
          </w:p>
        </w:tc>
        <w:tc>
          <w:tcPr>
            <w:tcW w:w="4814" w:type="dxa"/>
          </w:tcPr>
          <w:p w14:paraId="0F5B63D7">
            <w:pPr>
              <w:pStyle w:val="168"/>
              <w:spacing w:line="360" w:lineRule="auto"/>
              <w:jc w:val="left"/>
              <w:rPr>
                <w:rFonts w:ascii="宋体" w:hAnsi="宋体"/>
                <w:color w:val="auto"/>
                <w:szCs w:val="21"/>
                <w:highlight w:val="none"/>
              </w:rPr>
            </w:pPr>
            <w:r>
              <w:rPr>
                <w:rFonts w:hint="eastAsia" w:ascii="宋体" w:hAnsi="宋体"/>
                <w:color w:val="auto"/>
                <w:szCs w:val="21"/>
                <w:highlight w:val="none"/>
              </w:rPr>
              <w:t>或委托代理人（签字）：</w:t>
            </w:r>
          </w:p>
        </w:tc>
      </w:tr>
      <w:tr w14:paraId="259A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14:paraId="0F35973E">
            <w:pPr>
              <w:pStyle w:val="168"/>
              <w:spacing w:line="360" w:lineRule="auto"/>
              <w:jc w:val="left"/>
              <w:rPr>
                <w:rFonts w:ascii="宋体" w:hAnsi="宋体"/>
                <w:color w:val="auto"/>
                <w:szCs w:val="21"/>
                <w:highlight w:val="none"/>
              </w:rPr>
            </w:pPr>
            <w:r>
              <w:rPr>
                <w:rFonts w:hint="eastAsia" w:ascii="宋体" w:hAnsi="宋体"/>
                <w:color w:val="auto"/>
                <w:szCs w:val="21"/>
                <w:highlight w:val="none"/>
              </w:rPr>
              <w:t>签订日期：</w:t>
            </w:r>
            <w:r>
              <w:rPr>
                <w:rFonts w:ascii="宋体" w:hAnsi="宋体"/>
                <w:color w:val="auto"/>
                <w:szCs w:val="21"/>
                <w:highlight w:val="none"/>
              </w:rPr>
              <w:t xml:space="preserve">      </w:t>
            </w:r>
            <w:r>
              <w:rPr>
                <w:rFonts w:hint="eastAsia" w:ascii="宋体" w:hAnsi="宋体"/>
                <w:color w:val="auto"/>
                <w:szCs w:val="21"/>
                <w:highlight w:val="none"/>
              </w:rPr>
              <w:t>年   月   日</w:t>
            </w:r>
          </w:p>
        </w:tc>
        <w:tc>
          <w:tcPr>
            <w:tcW w:w="4814" w:type="dxa"/>
          </w:tcPr>
          <w:p w14:paraId="026E4737">
            <w:pPr>
              <w:pStyle w:val="168"/>
              <w:spacing w:line="360" w:lineRule="auto"/>
              <w:jc w:val="left"/>
              <w:rPr>
                <w:rFonts w:ascii="宋体" w:hAnsi="宋体"/>
                <w:color w:val="auto"/>
                <w:szCs w:val="21"/>
                <w:highlight w:val="none"/>
              </w:rPr>
            </w:pPr>
            <w:r>
              <w:rPr>
                <w:rFonts w:hint="eastAsia" w:ascii="宋体" w:hAnsi="宋体"/>
                <w:color w:val="auto"/>
                <w:szCs w:val="21"/>
                <w:highlight w:val="none"/>
              </w:rPr>
              <w:t>签订日期：</w:t>
            </w:r>
            <w:r>
              <w:rPr>
                <w:rFonts w:ascii="宋体" w:hAnsi="宋体"/>
                <w:color w:val="auto"/>
                <w:szCs w:val="21"/>
                <w:highlight w:val="none"/>
              </w:rPr>
              <w:t xml:space="preserve">      </w:t>
            </w:r>
            <w:r>
              <w:rPr>
                <w:rFonts w:hint="eastAsia" w:ascii="宋体" w:hAnsi="宋体"/>
                <w:color w:val="auto"/>
                <w:szCs w:val="21"/>
                <w:highlight w:val="none"/>
              </w:rPr>
              <w:t>年   月   日</w:t>
            </w:r>
          </w:p>
        </w:tc>
      </w:tr>
    </w:tbl>
    <w:p w14:paraId="1706ED37">
      <w:pPr>
        <w:spacing w:line="360" w:lineRule="auto"/>
        <w:ind w:firstLine="420" w:firstLineChars="200"/>
        <w:jc w:val="right"/>
        <w:rPr>
          <w:rFonts w:ascii="宋体" w:hAnsi="宋体" w:eastAsia="宋体"/>
          <w:color w:val="auto"/>
          <w:szCs w:val="21"/>
          <w:highlight w:val="none"/>
        </w:rPr>
      </w:pPr>
    </w:p>
    <w:p w14:paraId="3D205972">
      <w:pPr>
        <w:spacing w:line="360" w:lineRule="auto"/>
        <w:ind w:firstLine="420" w:firstLineChars="200"/>
        <w:rPr>
          <w:rFonts w:ascii="宋体" w:hAnsi="宋体" w:eastAsia="宋体"/>
          <w:color w:val="auto"/>
          <w:szCs w:val="21"/>
          <w:highlight w:val="none"/>
        </w:rPr>
        <w:sectPr>
          <w:pgSz w:w="11906" w:h="16838"/>
          <w:pgMar w:top="1134" w:right="1134" w:bottom="1134" w:left="1134" w:header="851" w:footer="680" w:gutter="0"/>
          <w:cols w:space="425" w:num="1"/>
          <w:docGrid w:type="lines" w:linePitch="312" w:charSpace="0"/>
        </w:sectPr>
      </w:pPr>
    </w:p>
    <w:p w14:paraId="24C02543">
      <w:pPr>
        <w:spacing w:line="360" w:lineRule="auto"/>
        <w:ind w:firstLine="420" w:firstLineChars="200"/>
        <w:rPr>
          <w:rFonts w:ascii="宋体" w:hAnsi="宋体" w:eastAsia="宋体"/>
          <w:color w:val="auto"/>
          <w:szCs w:val="21"/>
          <w:highlight w:val="none"/>
        </w:rPr>
      </w:pPr>
    </w:p>
    <w:p w14:paraId="5F1EB590">
      <w:pPr>
        <w:spacing w:line="360" w:lineRule="auto"/>
        <w:ind w:firstLine="420" w:firstLineChars="200"/>
        <w:rPr>
          <w:rFonts w:ascii="宋体" w:hAnsi="宋体" w:eastAsia="宋体"/>
          <w:color w:val="auto"/>
          <w:szCs w:val="21"/>
          <w:highlight w:val="none"/>
        </w:rPr>
      </w:pPr>
    </w:p>
    <w:p w14:paraId="2DBD0B66">
      <w:pPr>
        <w:spacing w:line="360" w:lineRule="auto"/>
        <w:ind w:firstLine="420" w:firstLineChars="200"/>
        <w:rPr>
          <w:rFonts w:ascii="宋体" w:hAnsi="宋体" w:eastAsia="宋体"/>
          <w:color w:val="auto"/>
          <w:szCs w:val="21"/>
          <w:highlight w:val="none"/>
        </w:rPr>
      </w:pPr>
    </w:p>
    <w:p w14:paraId="08678AF5">
      <w:pPr>
        <w:spacing w:line="360" w:lineRule="auto"/>
        <w:ind w:firstLine="420" w:firstLineChars="200"/>
        <w:rPr>
          <w:rFonts w:ascii="宋体" w:hAnsi="宋体" w:eastAsia="宋体"/>
          <w:color w:val="auto"/>
          <w:szCs w:val="21"/>
          <w:highlight w:val="none"/>
        </w:rPr>
      </w:pPr>
    </w:p>
    <w:p w14:paraId="60FEF79B">
      <w:pPr>
        <w:spacing w:line="360" w:lineRule="auto"/>
        <w:ind w:firstLine="420" w:firstLineChars="200"/>
        <w:rPr>
          <w:rFonts w:ascii="宋体" w:hAnsi="宋体" w:eastAsia="宋体"/>
          <w:color w:val="auto"/>
          <w:szCs w:val="21"/>
          <w:highlight w:val="none"/>
        </w:rPr>
      </w:pPr>
    </w:p>
    <w:p w14:paraId="00BBE167">
      <w:pPr>
        <w:spacing w:line="360" w:lineRule="auto"/>
        <w:ind w:firstLine="420" w:firstLineChars="200"/>
        <w:rPr>
          <w:rFonts w:ascii="宋体" w:hAnsi="宋体" w:eastAsia="宋体"/>
          <w:color w:val="auto"/>
          <w:szCs w:val="21"/>
          <w:highlight w:val="none"/>
        </w:rPr>
      </w:pPr>
    </w:p>
    <w:p w14:paraId="308A7389">
      <w:pPr>
        <w:spacing w:line="360" w:lineRule="auto"/>
        <w:ind w:firstLine="420" w:firstLineChars="200"/>
        <w:rPr>
          <w:rFonts w:ascii="宋体" w:hAnsi="宋体" w:eastAsia="宋体"/>
          <w:color w:val="auto"/>
          <w:szCs w:val="21"/>
          <w:highlight w:val="none"/>
        </w:rPr>
      </w:pPr>
    </w:p>
    <w:p w14:paraId="12C326F7">
      <w:pPr>
        <w:spacing w:line="360" w:lineRule="auto"/>
        <w:ind w:firstLine="420" w:firstLineChars="200"/>
        <w:rPr>
          <w:rFonts w:ascii="宋体" w:hAnsi="宋体" w:eastAsia="宋体"/>
          <w:color w:val="auto"/>
          <w:szCs w:val="21"/>
          <w:highlight w:val="none"/>
        </w:rPr>
      </w:pPr>
    </w:p>
    <w:p w14:paraId="19BDDE86">
      <w:pPr>
        <w:spacing w:line="360" w:lineRule="auto"/>
        <w:ind w:firstLine="420" w:firstLineChars="200"/>
        <w:rPr>
          <w:rFonts w:ascii="宋体" w:hAnsi="宋体" w:eastAsia="宋体"/>
          <w:color w:val="auto"/>
          <w:szCs w:val="21"/>
          <w:highlight w:val="none"/>
        </w:rPr>
      </w:pPr>
    </w:p>
    <w:p w14:paraId="31CF1C55">
      <w:pPr>
        <w:spacing w:line="360" w:lineRule="auto"/>
        <w:ind w:firstLine="420" w:firstLineChars="200"/>
        <w:rPr>
          <w:rFonts w:ascii="宋体" w:hAnsi="宋体" w:eastAsia="宋体"/>
          <w:color w:val="auto"/>
          <w:szCs w:val="21"/>
          <w:highlight w:val="none"/>
        </w:rPr>
      </w:pPr>
    </w:p>
    <w:p w14:paraId="0AB597EB">
      <w:pPr>
        <w:spacing w:line="360" w:lineRule="auto"/>
        <w:ind w:firstLine="420" w:firstLineChars="200"/>
        <w:rPr>
          <w:rFonts w:ascii="宋体" w:hAnsi="宋体" w:eastAsia="宋体"/>
          <w:color w:val="auto"/>
          <w:szCs w:val="21"/>
          <w:highlight w:val="none"/>
        </w:rPr>
      </w:pPr>
    </w:p>
    <w:p w14:paraId="11714467">
      <w:pPr>
        <w:spacing w:line="360" w:lineRule="auto"/>
        <w:ind w:firstLine="420" w:firstLineChars="200"/>
        <w:rPr>
          <w:rFonts w:ascii="宋体" w:hAnsi="宋体" w:eastAsia="宋体"/>
          <w:color w:val="auto"/>
          <w:szCs w:val="21"/>
          <w:highlight w:val="none"/>
        </w:rPr>
      </w:pPr>
    </w:p>
    <w:p w14:paraId="379F55B5">
      <w:pPr>
        <w:pStyle w:val="2"/>
        <w:jc w:val="center"/>
        <w:rPr>
          <w:color w:val="auto"/>
          <w:highlight w:val="none"/>
        </w:rPr>
      </w:pPr>
      <w:bookmarkStart w:id="365" w:name="_Toc217642382"/>
      <w:bookmarkStart w:id="366" w:name="_Toc27135"/>
      <w:r>
        <w:rPr>
          <w:rFonts w:hint="eastAsia"/>
          <w:color w:val="auto"/>
          <w:highlight w:val="none"/>
        </w:rPr>
        <w:t>第七</w:t>
      </w:r>
      <w:r>
        <w:rPr>
          <w:rFonts w:hint="eastAsia" w:ascii="宋体" w:hAnsi="宋体" w:eastAsia="宋体"/>
          <w:color w:val="auto"/>
          <w:spacing w:val="120"/>
          <w:highlight w:val="none"/>
        </w:rPr>
        <w:t>章</w:t>
      </w:r>
      <w:r>
        <w:rPr>
          <w:rFonts w:hint="eastAsia"/>
          <w:color w:val="auto"/>
          <w:highlight w:val="none"/>
        </w:rPr>
        <w:t>质疑、投诉材料格式</w:t>
      </w:r>
      <w:bookmarkEnd w:id="365"/>
      <w:bookmarkEnd w:id="366"/>
    </w:p>
    <w:p w14:paraId="152311F5">
      <w:pPr>
        <w:rPr>
          <w:color w:val="auto"/>
          <w:highlight w:val="none"/>
        </w:rPr>
        <w:sectPr>
          <w:pgSz w:w="11906" w:h="16838"/>
          <w:pgMar w:top="1134" w:right="1134" w:bottom="1134" w:left="1134" w:header="851" w:footer="680" w:gutter="0"/>
          <w:cols w:space="425" w:num="1"/>
          <w:docGrid w:type="lines" w:linePitch="312" w:charSpace="0"/>
        </w:sectPr>
      </w:pPr>
    </w:p>
    <w:p w14:paraId="441594EA">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质疑函（格式）</w:t>
      </w:r>
    </w:p>
    <w:p w14:paraId="33811203">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一、质疑供应商基本信息：</w:t>
      </w:r>
    </w:p>
    <w:p w14:paraId="7078F73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质疑供应商：</w:t>
      </w:r>
      <w:r>
        <w:rPr>
          <w:rFonts w:ascii="Times New Roman" w:hAnsi="Times New Roman" w:eastAsia="宋体" w:cs="Times New Roman"/>
          <w:color w:val="auto"/>
          <w:szCs w:val="21"/>
          <w:highlight w:val="none"/>
        </w:rPr>
        <w:t>____________________________________________________________________________</w:t>
      </w:r>
    </w:p>
    <w:p w14:paraId="5AF1711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rPr>
        <w:t>______________________________________</w:t>
      </w:r>
      <w:r>
        <w:rPr>
          <w:rFonts w:hint="eastAsia" w:ascii="宋体" w:hAnsi="宋体" w:eastAsia="宋体"/>
          <w:color w:val="auto"/>
          <w:szCs w:val="21"/>
          <w:highlight w:val="none"/>
        </w:rPr>
        <w:t>邮编：</w:t>
      </w:r>
      <w:r>
        <w:rPr>
          <w:rFonts w:ascii="Times New Roman" w:hAnsi="Times New Roman" w:eastAsia="宋体" w:cs="Times New Roman"/>
          <w:color w:val="auto"/>
          <w:szCs w:val="21"/>
          <w:highlight w:val="none"/>
        </w:rPr>
        <w:t>_______________________________________</w:t>
      </w:r>
    </w:p>
    <w:p w14:paraId="439F1C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联系人：</w:t>
      </w:r>
      <w:r>
        <w:rPr>
          <w:rFonts w:ascii="Times New Roman" w:hAnsi="Times New Roman" w:eastAsia="宋体" w:cs="Times New Roman"/>
          <w:color w:val="auto"/>
          <w:szCs w:val="21"/>
          <w:highlight w:val="none"/>
        </w:rPr>
        <w:t>____________________________________</w:t>
      </w:r>
      <w:r>
        <w:rPr>
          <w:rFonts w:hint="eastAsia" w:ascii="宋体" w:hAnsi="宋体" w:eastAsia="宋体"/>
          <w:color w:val="auto"/>
          <w:szCs w:val="21"/>
          <w:highlight w:val="none"/>
        </w:rPr>
        <w:t>联系电话：</w:t>
      </w:r>
      <w:r>
        <w:rPr>
          <w:rFonts w:ascii="Times New Roman" w:hAnsi="Times New Roman" w:eastAsia="宋体" w:cs="Times New Roman"/>
          <w:color w:val="auto"/>
          <w:szCs w:val="21"/>
          <w:highlight w:val="none"/>
        </w:rPr>
        <w:t>__________________________________</w:t>
      </w:r>
    </w:p>
    <w:p w14:paraId="4612CD0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授权代表：</w:t>
      </w:r>
      <w:r>
        <w:rPr>
          <w:rFonts w:ascii="Times New Roman" w:hAnsi="Times New Roman" w:eastAsia="宋体" w:cs="Times New Roman"/>
          <w:color w:val="auto"/>
          <w:szCs w:val="21"/>
          <w:highlight w:val="none"/>
        </w:rPr>
        <w:t>______________________________________________________________________________</w:t>
      </w:r>
    </w:p>
    <w:p w14:paraId="3415C34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联系电话：</w:t>
      </w:r>
      <w:r>
        <w:rPr>
          <w:rFonts w:ascii="Times New Roman" w:hAnsi="Times New Roman" w:eastAsia="宋体" w:cs="Times New Roman"/>
          <w:color w:val="auto"/>
          <w:szCs w:val="21"/>
          <w:highlight w:val="none"/>
        </w:rPr>
        <w:t>______________________________________________________________________________</w:t>
      </w:r>
    </w:p>
    <w:p w14:paraId="4B2EFF8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rPr>
        <w:t>______________________________________</w:t>
      </w:r>
      <w:r>
        <w:rPr>
          <w:rFonts w:hint="eastAsia" w:ascii="宋体" w:hAnsi="宋体" w:eastAsia="宋体"/>
          <w:color w:val="auto"/>
          <w:szCs w:val="21"/>
          <w:highlight w:val="none"/>
        </w:rPr>
        <w:t>邮编：</w:t>
      </w:r>
      <w:r>
        <w:rPr>
          <w:rFonts w:ascii="Times New Roman" w:hAnsi="Times New Roman" w:eastAsia="宋体" w:cs="Times New Roman"/>
          <w:color w:val="auto"/>
          <w:szCs w:val="21"/>
          <w:highlight w:val="none"/>
        </w:rPr>
        <w:t>______________________________________</w:t>
      </w:r>
    </w:p>
    <w:p w14:paraId="31C44325">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二、质疑项目基本情况：</w:t>
      </w:r>
    </w:p>
    <w:p w14:paraId="097C9B5B">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质疑项目的名称：</w:t>
      </w:r>
      <w:r>
        <w:rPr>
          <w:rFonts w:hint="eastAsia" w:ascii="宋体" w:hAnsi="宋体" w:eastAsia="宋体"/>
          <w:color w:val="auto"/>
          <w:szCs w:val="21"/>
          <w:highlight w:val="none"/>
          <w:u w:val="single"/>
        </w:rPr>
        <w:t>[项目采购-项目名称]</w:t>
      </w:r>
    </w:p>
    <w:p w14:paraId="1998F291">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质疑项目的编号：</w:t>
      </w:r>
      <w:r>
        <w:rPr>
          <w:rFonts w:hint="eastAsia" w:ascii="宋体" w:hAnsi="宋体" w:eastAsia="宋体"/>
          <w:color w:val="auto"/>
          <w:szCs w:val="21"/>
          <w:highlight w:val="none"/>
          <w:u w:val="single"/>
        </w:rPr>
        <w:t>[项目采购-项目编号]</w:t>
      </w:r>
    </w:p>
    <w:p w14:paraId="0E6FFB9B">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采购人名称：</w:t>
      </w:r>
      <w:r>
        <w:rPr>
          <w:rFonts w:hint="eastAsia" w:ascii="宋体" w:hAnsi="宋体" w:eastAsia="宋体"/>
          <w:color w:val="auto"/>
          <w:szCs w:val="21"/>
          <w:highlight w:val="none"/>
          <w:u w:val="single"/>
        </w:rPr>
        <w:t>[项目采购-采购人]</w:t>
      </w:r>
    </w:p>
    <w:p w14:paraId="6979D12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质疑事项：</w:t>
      </w:r>
    </w:p>
    <w:p w14:paraId="5C17BEB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□采购文件，采购文件获取日期：</w:t>
      </w:r>
      <w:r>
        <w:rPr>
          <w:rFonts w:ascii="Times New Roman" w:hAnsi="Times New Roman" w:eastAsia="宋体" w:cs="Times New Roman"/>
          <w:color w:val="auto"/>
          <w:szCs w:val="21"/>
          <w:highlight w:val="none"/>
        </w:rPr>
        <w:t>__________________________________________________________</w:t>
      </w:r>
    </w:p>
    <w:p w14:paraId="0744F9E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□采购过程</w:t>
      </w:r>
    </w:p>
    <w:p w14:paraId="08F5DA7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□成交结果</w:t>
      </w:r>
    </w:p>
    <w:p w14:paraId="207F19D9">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三、质疑事项具体内容</w:t>
      </w:r>
    </w:p>
    <w:p w14:paraId="38A37ED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质疑事项1：</w:t>
      </w:r>
      <w:r>
        <w:rPr>
          <w:rFonts w:ascii="Times New Roman" w:hAnsi="Times New Roman" w:eastAsia="宋体" w:cs="Times New Roman"/>
          <w:color w:val="auto"/>
          <w:szCs w:val="21"/>
          <w:highlight w:val="none"/>
        </w:rPr>
        <w:t>____________________________________________________________________________</w:t>
      </w:r>
    </w:p>
    <w:p w14:paraId="665E369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事实依据：</w:t>
      </w:r>
      <w:r>
        <w:rPr>
          <w:rFonts w:ascii="Times New Roman" w:hAnsi="Times New Roman" w:eastAsia="宋体" w:cs="Times New Roman"/>
          <w:color w:val="auto"/>
          <w:szCs w:val="21"/>
          <w:highlight w:val="none"/>
        </w:rPr>
        <w:t>______________________________________________________________________________</w:t>
      </w:r>
    </w:p>
    <w:p w14:paraId="5EAB8BF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法律依据：</w:t>
      </w:r>
      <w:r>
        <w:rPr>
          <w:rFonts w:ascii="Times New Roman" w:hAnsi="Times New Roman" w:eastAsia="宋体" w:cs="Times New Roman"/>
          <w:color w:val="auto"/>
          <w:szCs w:val="21"/>
          <w:highlight w:val="none"/>
        </w:rPr>
        <w:t>______________________________________________________________________________</w:t>
      </w:r>
    </w:p>
    <w:p w14:paraId="56FA3C4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质疑事项2：</w:t>
      </w:r>
      <w:r>
        <w:rPr>
          <w:rFonts w:ascii="Times New Roman" w:hAnsi="Times New Roman" w:eastAsia="宋体" w:cs="Times New Roman"/>
          <w:color w:val="auto"/>
          <w:szCs w:val="21"/>
          <w:highlight w:val="none"/>
        </w:rPr>
        <w:t>____________________________________________________________________________</w:t>
      </w:r>
    </w:p>
    <w:p w14:paraId="3C5DED8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p>
    <w:p w14:paraId="0211815D">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四、与质疑事项相关的质疑请求：</w:t>
      </w:r>
    </w:p>
    <w:p w14:paraId="63F2B45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请求：</w:t>
      </w:r>
      <w:r>
        <w:rPr>
          <w:rFonts w:ascii="Times New Roman" w:hAnsi="Times New Roman" w:eastAsia="宋体" w:cs="Times New Roman"/>
          <w:color w:val="auto"/>
          <w:szCs w:val="21"/>
          <w:highlight w:val="none"/>
        </w:rPr>
        <w:t>__________________________________________________________________________________</w:t>
      </w:r>
    </w:p>
    <w:p w14:paraId="056860C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签字（签章）：</w:t>
      </w:r>
      <w:r>
        <w:rPr>
          <w:rFonts w:ascii="Times New Roman" w:hAnsi="Times New Roman" w:eastAsia="宋体" w:cs="Times New Roman"/>
          <w:color w:val="auto"/>
          <w:szCs w:val="21"/>
          <w:highlight w:val="none"/>
        </w:rPr>
        <w:t>____________________________________</w:t>
      </w:r>
      <w:r>
        <w:rPr>
          <w:rFonts w:hint="eastAsia" w:ascii="宋体" w:hAnsi="宋体" w:eastAsia="宋体"/>
          <w:color w:val="auto"/>
          <w:szCs w:val="21"/>
          <w:highlight w:val="none"/>
        </w:rPr>
        <w:t>公章：</w:t>
      </w:r>
      <w:r>
        <w:rPr>
          <w:rFonts w:ascii="Times New Roman" w:hAnsi="Times New Roman" w:eastAsia="宋体" w:cs="Times New Roman"/>
          <w:color w:val="auto"/>
          <w:szCs w:val="21"/>
          <w:highlight w:val="none"/>
        </w:rPr>
        <w:t>___________________________________</w:t>
      </w:r>
    </w:p>
    <w:p w14:paraId="45F918F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日期：</w:t>
      </w:r>
    </w:p>
    <w:p w14:paraId="790E98C8">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说明：</w:t>
      </w:r>
    </w:p>
    <w:p w14:paraId="2EC8BB2D">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1.供应商提出质疑时，应提交质疑函和必要的证明材料。</w:t>
      </w:r>
    </w:p>
    <w:p w14:paraId="3BD5BF57">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476BC70">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3.质疑函的质疑事项应具体、明确，并有必要的事实依据和法律依据。</w:t>
      </w:r>
    </w:p>
    <w:p w14:paraId="4EBFC6F6">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4.质疑函的质疑请求应与质疑事项相关。</w:t>
      </w:r>
    </w:p>
    <w:p w14:paraId="17B5A5AB">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5.质疑供应商为法人或者其他组织的，质疑函应由法定代表人、主要负责人，或者其授权代表签字或者盖章，并加盖公章。</w:t>
      </w:r>
    </w:p>
    <w:p w14:paraId="6EA7EAFA">
      <w:pPr>
        <w:spacing w:line="360" w:lineRule="auto"/>
        <w:ind w:firstLine="422" w:firstLineChars="200"/>
        <w:rPr>
          <w:rFonts w:ascii="宋体" w:hAnsi="宋体" w:eastAsia="宋体"/>
          <w:b/>
          <w:color w:val="auto"/>
          <w:szCs w:val="21"/>
          <w:highlight w:val="none"/>
        </w:rPr>
        <w:sectPr>
          <w:pgSz w:w="11906" w:h="16838"/>
          <w:pgMar w:top="1134" w:right="1134" w:bottom="1134" w:left="1134" w:header="851" w:footer="680" w:gutter="0"/>
          <w:cols w:space="425" w:num="1"/>
          <w:docGrid w:type="lines" w:linePitch="312" w:charSpace="0"/>
        </w:sectPr>
      </w:pPr>
    </w:p>
    <w:p w14:paraId="4DA4E81F">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投诉书（格式）</w:t>
      </w:r>
    </w:p>
    <w:p w14:paraId="3D9D0736">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一、投诉相关主体基本情况：</w:t>
      </w:r>
    </w:p>
    <w:p w14:paraId="5E4982C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供应商：</w:t>
      </w:r>
      <w:r>
        <w:rPr>
          <w:rFonts w:ascii="Times New Roman" w:hAnsi="Times New Roman" w:eastAsia="宋体" w:cs="Times New Roman"/>
          <w:color w:val="auto"/>
          <w:szCs w:val="21"/>
          <w:highlight w:val="none"/>
        </w:rPr>
        <w:t>________________________________________________________________________________</w:t>
      </w:r>
    </w:p>
    <w:p w14:paraId="33242D7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rPr>
        <w:t>______________________________________</w:t>
      </w:r>
      <w:r>
        <w:rPr>
          <w:rFonts w:hint="eastAsia" w:ascii="宋体" w:hAnsi="宋体" w:eastAsia="宋体"/>
          <w:color w:val="auto"/>
          <w:szCs w:val="21"/>
          <w:highlight w:val="none"/>
        </w:rPr>
        <w:t>邮编：</w:t>
      </w:r>
      <w:r>
        <w:rPr>
          <w:rFonts w:ascii="Times New Roman" w:hAnsi="Times New Roman" w:eastAsia="宋体" w:cs="Times New Roman"/>
          <w:color w:val="auto"/>
          <w:szCs w:val="21"/>
          <w:highlight w:val="none"/>
        </w:rPr>
        <w:t>______________________________________</w:t>
      </w:r>
    </w:p>
    <w:p w14:paraId="1D572F4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法定代表人/主要负责人：</w:t>
      </w:r>
      <w:r>
        <w:rPr>
          <w:rFonts w:ascii="Times New Roman" w:hAnsi="Times New Roman" w:eastAsia="宋体" w:cs="Times New Roman"/>
          <w:color w:val="auto"/>
          <w:szCs w:val="21"/>
          <w:highlight w:val="none"/>
        </w:rPr>
        <w:t>_________________________________________________________________</w:t>
      </w:r>
    </w:p>
    <w:p w14:paraId="6C06E53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联系电话：</w:t>
      </w:r>
      <w:r>
        <w:rPr>
          <w:rFonts w:ascii="Times New Roman" w:hAnsi="Times New Roman" w:eastAsia="宋体" w:cs="Times New Roman"/>
          <w:color w:val="auto"/>
          <w:szCs w:val="21"/>
          <w:highlight w:val="none"/>
        </w:rPr>
        <w:t>______________________________________________________________________________</w:t>
      </w:r>
    </w:p>
    <w:p w14:paraId="0B0820B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授权代表：</w:t>
      </w:r>
      <w:r>
        <w:rPr>
          <w:rFonts w:ascii="Times New Roman" w:hAnsi="Times New Roman" w:eastAsia="宋体" w:cs="Times New Roman"/>
          <w:color w:val="auto"/>
          <w:szCs w:val="21"/>
          <w:highlight w:val="none"/>
        </w:rPr>
        <w:t>__________________________________</w:t>
      </w:r>
      <w:r>
        <w:rPr>
          <w:rFonts w:hint="eastAsia" w:ascii="宋体" w:hAnsi="宋体" w:eastAsia="宋体"/>
          <w:color w:val="auto"/>
          <w:szCs w:val="21"/>
          <w:highlight w:val="none"/>
        </w:rPr>
        <w:t>联系电话：</w:t>
      </w:r>
      <w:r>
        <w:rPr>
          <w:rFonts w:ascii="Times New Roman" w:hAnsi="Times New Roman" w:eastAsia="宋体" w:cs="Times New Roman"/>
          <w:color w:val="auto"/>
          <w:szCs w:val="21"/>
          <w:highlight w:val="none"/>
        </w:rPr>
        <w:t>__________________________________</w:t>
      </w:r>
    </w:p>
    <w:p w14:paraId="5A6EE71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rPr>
        <w:t>__________________________________________________________________________________</w:t>
      </w:r>
    </w:p>
    <w:p w14:paraId="2C54DD7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邮编：</w:t>
      </w:r>
      <w:r>
        <w:rPr>
          <w:rFonts w:ascii="Times New Roman" w:hAnsi="Times New Roman" w:eastAsia="宋体" w:cs="Times New Roman"/>
          <w:color w:val="auto"/>
          <w:szCs w:val="21"/>
          <w:highlight w:val="none"/>
        </w:rPr>
        <w:t>__________________________________________________________________________________</w:t>
      </w:r>
    </w:p>
    <w:p w14:paraId="1194414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被投诉人1：</w:t>
      </w:r>
      <w:r>
        <w:rPr>
          <w:rFonts w:ascii="Times New Roman" w:hAnsi="Times New Roman" w:eastAsia="宋体" w:cs="Times New Roman"/>
          <w:color w:val="auto"/>
          <w:szCs w:val="21"/>
          <w:highlight w:val="none"/>
        </w:rPr>
        <w:t>_____________________________________________________________________________</w:t>
      </w:r>
    </w:p>
    <w:p w14:paraId="5C7862A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rPr>
        <w:t>__________________________________________________________________________________</w:t>
      </w:r>
    </w:p>
    <w:p w14:paraId="23BECDB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邮编：</w:t>
      </w:r>
      <w:r>
        <w:rPr>
          <w:rFonts w:ascii="Times New Roman" w:hAnsi="Times New Roman" w:eastAsia="宋体" w:cs="Times New Roman"/>
          <w:color w:val="auto"/>
          <w:szCs w:val="21"/>
          <w:highlight w:val="none"/>
        </w:rPr>
        <w:t>__________________________________________________________________________________</w:t>
      </w:r>
    </w:p>
    <w:p w14:paraId="4B2F677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联系人：</w:t>
      </w:r>
      <w:r>
        <w:rPr>
          <w:rFonts w:ascii="Times New Roman" w:hAnsi="Times New Roman" w:eastAsia="宋体" w:cs="Times New Roman"/>
          <w:color w:val="auto"/>
          <w:szCs w:val="21"/>
          <w:highlight w:val="none"/>
        </w:rPr>
        <w:t>___________________________________</w:t>
      </w:r>
      <w:r>
        <w:rPr>
          <w:rFonts w:hint="eastAsia" w:ascii="宋体" w:hAnsi="宋体" w:eastAsia="宋体"/>
          <w:color w:val="auto"/>
          <w:szCs w:val="21"/>
          <w:highlight w:val="none"/>
        </w:rPr>
        <w:t>联系电话：</w:t>
      </w:r>
      <w:r>
        <w:rPr>
          <w:rFonts w:ascii="Times New Roman" w:hAnsi="Times New Roman" w:eastAsia="宋体" w:cs="Times New Roman"/>
          <w:color w:val="auto"/>
          <w:szCs w:val="21"/>
          <w:highlight w:val="none"/>
        </w:rPr>
        <w:t>___________________________________</w:t>
      </w:r>
    </w:p>
    <w:p w14:paraId="24A031B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被投诉人2：</w:t>
      </w:r>
      <w:r>
        <w:rPr>
          <w:rFonts w:ascii="Times New Roman" w:hAnsi="Times New Roman" w:eastAsia="宋体" w:cs="Times New Roman"/>
          <w:color w:val="auto"/>
          <w:szCs w:val="21"/>
          <w:highlight w:val="none"/>
        </w:rPr>
        <w:t>_____________________________________________________________________________</w:t>
      </w:r>
    </w:p>
    <w:p w14:paraId="1B82A88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p>
    <w:p w14:paraId="590B3FF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相关供应商：</w:t>
      </w:r>
      <w:r>
        <w:rPr>
          <w:rFonts w:ascii="Times New Roman" w:hAnsi="Times New Roman" w:eastAsia="宋体" w:cs="Times New Roman"/>
          <w:color w:val="auto"/>
          <w:szCs w:val="21"/>
          <w:highlight w:val="none"/>
        </w:rPr>
        <w:t>____________________________________________________________________________</w:t>
      </w:r>
    </w:p>
    <w:p w14:paraId="4417D5D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地址：</w:t>
      </w:r>
      <w:r>
        <w:rPr>
          <w:rFonts w:ascii="Times New Roman" w:hAnsi="Times New Roman" w:eastAsia="宋体" w:cs="Times New Roman"/>
          <w:color w:val="auto"/>
          <w:szCs w:val="21"/>
          <w:highlight w:val="none"/>
        </w:rPr>
        <w:t>______________________________________</w:t>
      </w:r>
      <w:r>
        <w:rPr>
          <w:rFonts w:hint="eastAsia" w:ascii="宋体" w:hAnsi="宋体" w:eastAsia="宋体"/>
          <w:color w:val="auto"/>
          <w:szCs w:val="21"/>
          <w:highlight w:val="none"/>
        </w:rPr>
        <w:t>邮编：</w:t>
      </w:r>
      <w:r>
        <w:rPr>
          <w:rFonts w:ascii="Times New Roman" w:hAnsi="Times New Roman" w:eastAsia="宋体" w:cs="Times New Roman"/>
          <w:color w:val="auto"/>
          <w:szCs w:val="21"/>
          <w:highlight w:val="none"/>
        </w:rPr>
        <w:t>______________________________________</w:t>
      </w:r>
    </w:p>
    <w:p w14:paraId="3263EEA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联系人：</w:t>
      </w:r>
      <w:r>
        <w:rPr>
          <w:rFonts w:ascii="Times New Roman" w:hAnsi="Times New Roman" w:eastAsia="宋体" w:cs="Times New Roman"/>
          <w:color w:val="auto"/>
          <w:szCs w:val="21"/>
          <w:highlight w:val="none"/>
        </w:rPr>
        <w:t>____________________________________</w:t>
      </w:r>
      <w:r>
        <w:rPr>
          <w:rFonts w:hint="eastAsia" w:ascii="宋体" w:hAnsi="宋体" w:eastAsia="宋体"/>
          <w:color w:val="auto"/>
          <w:szCs w:val="21"/>
          <w:highlight w:val="none"/>
        </w:rPr>
        <w:t>联系电话：</w:t>
      </w:r>
      <w:r>
        <w:rPr>
          <w:rFonts w:ascii="Times New Roman" w:hAnsi="Times New Roman" w:eastAsia="宋体" w:cs="Times New Roman"/>
          <w:color w:val="auto"/>
          <w:szCs w:val="21"/>
          <w:highlight w:val="none"/>
        </w:rPr>
        <w:t>___________________________________</w:t>
      </w:r>
    </w:p>
    <w:p w14:paraId="4B3C69A6">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二、投诉项目基本情况：</w:t>
      </w:r>
    </w:p>
    <w:p w14:paraId="795B2377">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采购项目的名称：</w:t>
      </w:r>
      <w:r>
        <w:rPr>
          <w:rFonts w:hint="eastAsia" w:ascii="宋体" w:hAnsi="宋体" w:eastAsia="宋体"/>
          <w:color w:val="auto"/>
          <w:szCs w:val="21"/>
          <w:highlight w:val="none"/>
          <w:u w:val="single"/>
        </w:rPr>
        <w:t>[项目采购-项目名称]</w:t>
      </w:r>
    </w:p>
    <w:p w14:paraId="1A5C8C32">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采购项目的编号：</w:t>
      </w:r>
      <w:r>
        <w:rPr>
          <w:rFonts w:hint="eastAsia" w:ascii="宋体" w:hAnsi="宋体" w:eastAsia="宋体"/>
          <w:color w:val="auto"/>
          <w:szCs w:val="21"/>
          <w:highlight w:val="none"/>
          <w:u w:val="single"/>
        </w:rPr>
        <w:t>[项目采购-项目编号_]</w:t>
      </w:r>
    </w:p>
    <w:p w14:paraId="412EB6A2">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采购人名称：</w:t>
      </w:r>
      <w:r>
        <w:rPr>
          <w:rFonts w:hint="eastAsia" w:ascii="宋体" w:hAnsi="宋体" w:eastAsia="宋体"/>
          <w:color w:val="auto"/>
          <w:szCs w:val="21"/>
          <w:highlight w:val="none"/>
          <w:u w:val="single"/>
        </w:rPr>
        <w:t>[项目采购-采购人]</w:t>
      </w:r>
    </w:p>
    <w:p w14:paraId="4B738337">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代理机构名称：</w:t>
      </w:r>
      <w:r>
        <w:rPr>
          <w:rFonts w:hint="eastAsia" w:ascii="宋体" w:hAnsi="宋体" w:eastAsia="宋体"/>
          <w:color w:val="auto"/>
          <w:szCs w:val="21"/>
          <w:highlight w:val="none"/>
          <w:u w:val="single"/>
        </w:rPr>
        <w:t>[项目采购-采购组织机构]</w:t>
      </w:r>
    </w:p>
    <w:p w14:paraId="072461C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招标文件公告：</w:t>
      </w:r>
      <w:r>
        <w:rPr>
          <w:rFonts w:hint="eastAsia" w:ascii="宋体" w:hAnsi="宋体" w:eastAsia="宋体"/>
          <w:color w:val="auto"/>
          <w:szCs w:val="21"/>
          <w:highlight w:val="none"/>
          <w:u w:val="single"/>
        </w:rPr>
        <w:t>是/否</w:t>
      </w:r>
      <w:r>
        <w:rPr>
          <w:rFonts w:hint="eastAsia" w:ascii="宋体" w:hAnsi="宋体" w:eastAsia="宋体"/>
          <w:color w:val="auto"/>
          <w:szCs w:val="21"/>
          <w:highlight w:val="none"/>
        </w:rPr>
        <w:t>公告期限：</w:t>
      </w:r>
      <w:r>
        <w:rPr>
          <w:rFonts w:ascii="Times New Roman" w:hAnsi="Times New Roman" w:eastAsia="宋体" w:cs="Times New Roman"/>
          <w:color w:val="auto"/>
          <w:szCs w:val="21"/>
          <w:highlight w:val="none"/>
        </w:rPr>
        <w:t>__________________________________________________________</w:t>
      </w:r>
    </w:p>
    <w:p w14:paraId="68A2FE2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采购结果公告：是/否公告期限：</w:t>
      </w:r>
      <w:r>
        <w:rPr>
          <w:rFonts w:ascii="Times New Roman" w:hAnsi="Times New Roman" w:eastAsia="宋体" w:cs="Times New Roman"/>
          <w:color w:val="auto"/>
          <w:szCs w:val="21"/>
          <w:highlight w:val="none"/>
        </w:rPr>
        <w:t>__________________________________________________________</w:t>
      </w:r>
    </w:p>
    <w:p w14:paraId="56AB389C">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三、质疑基本情况</w:t>
      </w:r>
    </w:p>
    <w:p w14:paraId="3FB710B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投诉人于</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日，向</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提出质疑，质疑事项为：</w:t>
      </w:r>
      <w:r>
        <w:rPr>
          <w:rFonts w:ascii="Times New Roman" w:hAnsi="Times New Roman" w:eastAsia="宋体" w:cs="Times New Roman"/>
          <w:color w:val="auto"/>
          <w:szCs w:val="21"/>
          <w:highlight w:val="none"/>
        </w:rPr>
        <w:t>_______________________</w:t>
      </w:r>
    </w:p>
    <w:p w14:paraId="6AB4097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u w:val="single"/>
        </w:rPr>
        <w:t>采购人/代理机构</w:t>
      </w:r>
      <w:r>
        <w:rPr>
          <w:rFonts w:hint="eastAsia" w:ascii="宋体" w:hAnsi="宋体" w:eastAsia="宋体"/>
          <w:color w:val="auto"/>
          <w:szCs w:val="21"/>
          <w:highlight w:val="none"/>
        </w:rPr>
        <w:t>于</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年</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月</w:t>
      </w:r>
      <w:r>
        <w:rPr>
          <w:rFonts w:ascii="Times New Roman" w:hAnsi="Times New Roman" w:eastAsia="宋体" w:cs="Times New Roman"/>
          <w:color w:val="auto"/>
          <w:szCs w:val="21"/>
          <w:highlight w:val="none"/>
        </w:rPr>
        <w:t>______</w:t>
      </w:r>
      <w:r>
        <w:rPr>
          <w:rFonts w:hint="eastAsia" w:ascii="宋体" w:hAnsi="宋体" w:eastAsia="宋体"/>
          <w:color w:val="auto"/>
          <w:szCs w:val="21"/>
          <w:highlight w:val="none"/>
        </w:rPr>
        <w:t>日，就质疑事项作出了答复/没有在法定期限内作出答复。</w:t>
      </w:r>
    </w:p>
    <w:p w14:paraId="6A5C895D">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四、投诉事项具体内容</w:t>
      </w:r>
    </w:p>
    <w:p w14:paraId="7E61707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投诉事项1：</w:t>
      </w:r>
      <w:r>
        <w:rPr>
          <w:rFonts w:ascii="Times New Roman" w:hAnsi="Times New Roman" w:eastAsia="宋体" w:cs="Times New Roman"/>
          <w:color w:val="auto"/>
          <w:szCs w:val="21"/>
          <w:highlight w:val="none"/>
        </w:rPr>
        <w:t>_____________________________________________________________________________</w:t>
      </w:r>
    </w:p>
    <w:p w14:paraId="37F1499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事实依据：</w:t>
      </w:r>
      <w:r>
        <w:rPr>
          <w:rFonts w:ascii="Times New Roman" w:hAnsi="Times New Roman" w:eastAsia="宋体" w:cs="Times New Roman"/>
          <w:color w:val="auto"/>
          <w:szCs w:val="21"/>
          <w:highlight w:val="none"/>
        </w:rPr>
        <w:t>______________________________________________________________________________</w:t>
      </w:r>
    </w:p>
    <w:p w14:paraId="34CEC02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法律依据：</w:t>
      </w:r>
      <w:r>
        <w:rPr>
          <w:rFonts w:ascii="Times New Roman" w:hAnsi="Times New Roman" w:eastAsia="宋体" w:cs="Times New Roman"/>
          <w:color w:val="auto"/>
          <w:szCs w:val="21"/>
          <w:highlight w:val="none"/>
        </w:rPr>
        <w:t>______________________________________________________________________________</w:t>
      </w:r>
    </w:p>
    <w:p w14:paraId="274B92F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投诉事项2：</w:t>
      </w:r>
      <w:r>
        <w:rPr>
          <w:rFonts w:ascii="Times New Roman" w:hAnsi="Times New Roman" w:eastAsia="宋体" w:cs="Times New Roman"/>
          <w:color w:val="auto"/>
          <w:szCs w:val="21"/>
          <w:highlight w:val="none"/>
        </w:rPr>
        <w:t>_____________________________________________________________________________</w:t>
      </w:r>
    </w:p>
    <w:p w14:paraId="5B4B1A2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p>
    <w:p w14:paraId="544D4148">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五、与投诉事项相关的投诉请求：</w:t>
      </w:r>
    </w:p>
    <w:p w14:paraId="0506EB3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请求：</w:t>
      </w:r>
      <w:r>
        <w:rPr>
          <w:rFonts w:ascii="Times New Roman" w:hAnsi="Times New Roman" w:eastAsia="宋体" w:cs="Times New Roman"/>
          <w:color w:val="auto"/>
          <w:szCs w:val="21"/>
          <w:highlight w:val="none"/>
        </w:rPr>
        <w:t>__________________________________________________________________________________</w:t>
      </w:r>
    </w:p>
    <w:p w14:paraId="7433FBE9">
      <w:pPr>
        <w:spacing w:line="360" w:lineRule="auto"/>
        <w:ind w:firstLine="420" w:firstLineChars="200"/>
        <w:rPr>
          <w:rFonts w:ascii="宋体" w:hAnsi="宋体" w:eastAsia="宋体"/>
          <w:color w:val="auto"/>
          <w:szCs w:val="21"/>
          <w:highlight w:val="none"/>
        </w:rPr>
      </w:pPr>
    </w:p>
    <w:p w14:paraId="0E6B655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签字（签章）：</w:t>
      </w:r>
      <w:r>
        <w:rPr>
          <w:rFonts w:ascii="Times New Roman" w:hAnsi="Times New Roman" w:eastAsia="宋体" w:cs="Times New Roman"/>
          <w:color w:val="auto"/>
          <w:szCs w:val="21"/>
          <w:highlight w:val="none"/>
        </w:rPr>
        <w:t>____________________________________</w:t>
      </w:r>
      <w:r>
        <w:rPr>
          <w:rFonts w:hint="eastAsia" w:ascii="宋体" w:hAnsi="宋体" w:eastAsia="宋体"/>
          <w:color w:val="auto"/>
          <w:szCs w:val="21"/>
          <w:highlight w:val="none"/>
        </w:rPr>
        <w:t>公章：</w:t>
      </w:r>
      <w:r>
        <w:rPr>
          <w:rFonts w:ascii="Times New Roman" w:hAnsi="Times New Roman" w:eastAsia="宋体" w:cs="Times New Roman"/>
          <w:color w:val="auto"/>
          <w:szCs w:val="21"/>
          <w:highlight w:val="none"/>
        </w:rPr>
        <w:t>___________________________________</w:t>
      </w:r>
    </w:p>
    <w:p w14:paraId="4427586D">
      <w:pPr>
        <w:spacing w:line="360" w:lineRule="auto"/>
        <w:ind w:firstLine="420" w:firstLineChars="200"/>
        <w:rPr>
          <w:rFonts w:ascii="宋体" w:hAnsi="宋体" w:eastAsia="宋体"/>
          <w:color w:val="auto"/>
          <w:szCs w:val="21"/>
          <w:highlight w:val="none"/>
        </w:rPr>
      </w:pPr>
    </w:p>
    <w:p w14:paraId="678D0B0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日期：</w:t>
      </w:r>
    </w:p>
    <w:p w14:paraId="36FD5DD3">
      <w:pPr>
        <w:spacing w:line="360" w:lineRule="auto"/>
        <w:ind w:firstLine="420" w:firstLineChars="200"/>
        <w:rPr>
          <w:rFonts w:ascii="宋体" w:hAnsi="宋体" w:eastAsia="宋体"/>
          <w:color w:val="auto"/>
          <w:szCs w:val="21"/>
          <w:highlight w:val="none"/>
        </w:rPr>
      </w:pPr>
    </w:p>
    <w:p w14:paraId="129F66F4">
      <w:pPr>
        <w:spacing w:line="360" w:lineRule="auto"/>
        <w:ind w:firstLine="420" w:firstLineChars="200"/>
        <w:rPr>
          <w:rFonts w:ascii="宋体" w:hAnsi="宋体" w:eastAsia="宋体"/>
          <w:color w:val="auto"/>
          <w:szCs w:val="21"/>
          <w:highlight w:val="none"/>
        </w:rPr>
      </w:pPr>
    </w:p>
    <w:p w14:paraId="699D5B2E">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说明：</w:t>
      </w:r>
    </w:p>
    <w:p w14:paraId="09DE494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1.投诉人提起投诉时，应当提交投诉书和必要的证明材料，并按照被投诉人和与投诉事项有关的供应商数量提供投诉书副本。</w:t>
      </w:r>
    </w:p>
    <w:p w14:paraId="225B7E3A">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CFEA50E">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3.投诉书应简要列明质疑事项，质疑函、质疑答复等作为附件材料提供。</w:t>
      </w:r>
    </w:p>
    <w:p w14:paraId="0755E780">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4.投诉书的投诉事项应具体、明确，并有必要的事实依据和法律依据。</w:t>
      </w:r>
    </w:p>
    <w:p w14:paraId="7E41ACC7">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5.投诉书的投诉请求应与投诉事项相关。</w:t>
      </w:r>
    </w:p>
    <w:p w14:paraId="627A65F2">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6.投诉人为法人或者其他组织的，投诉书应由法定代表人、主要负责人，或者其授权代表签字或者盖章，并加盖公章。</w:t>
      </w:r>
    </w:p>
    <w:p w14:paraId="09C17749">
      <w:pPr>
        <w:spacing w:line="360" w:lineRule="auto"/>
        <w:ind w:firstLine="420" w:firstLineChars="200"/>
        <w:rPr>
          <w:rFonts w:ascii="宋体" w:hAnsi="宋体" w:eastAsia="宋体"/>
          <w:color w:val="auto"/>
          <w:szCs w:val="21"/>
          <w:highlight w:val="none"/>
        </w:rPr>
      </w:pPr>
    </w:p>
    <w:sectPr>
      <w:pgSz w:w="11906" w:h="16838"/>
      <w:pgMar w:top="1134" w:right="1134" w:bottom="1134" w:left="1134"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Cambria">
    <w:panose1 w:val="02040503050406030204"/>
    <w:charset w:val="00"/>
    <w:family w:val="roman"/>
    <w:pitch w:val="default"/>
    <w:sig w:usb0="E00002FF" w:usb1="400004FF" w:usb2="0000000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7743984"/>
      <w:docPartObj>
        <w:docPartGallery w:val="autotext"/>
      </w:docPartObj>
    </w:sdtPr>
    <w:sdtContent>
      <w:p w14:paraId="36F76FA5">
        <w:pPr>
          <w:pStyle w:val="26"/>
          <w:jc w:val="center"/>
        </w:pPr>
        <w:r>
          <w:fldChar w:fldCharType="begin"/>
        </w:r>
        <w:r>
          <w:instrText xml:space="preserve">PAGE   \* MERGEFORMAT</w:instrText>
        </w:r>
        <w:r>
          <w:fldChar w:fldCharType="separate"/>
        </w:r>
        <w:r>
          <w:rPr>
            <w:lang w:val="zh-CN"/>
          </w:rPr>
          <w:t>6</w:t>
        </w:r>
        <w:r>
          <w:fldChar w:fldCharType="end"/>
        </w:r>
      </w:p>
    </w:sdtContent>
  </w:sdt>
  <w:p w14:paraId="40E77C47">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081195"/>
      <w:docPartObj>
        <w:docPartGallery w:val="autotext"/>
      </w:docPartObj>
    </w:sdtPr>
    <w:sdtContent>
      <w:p w14:paraId="70EB0CB5">
        <w:pPr>
          <w:pStyle w:val="26"/>
          <w:jc w:val="center"/>
        </w:pPr>
        <w:r>
          <w:fldChar w:fldCharType="begin"/>
        </w:r>
        <w:r>
          <w:instrText xml:space="preserve">PAGE   \* MERGEFORMAT</w:instrText>
        </w:r>
        <w:r>
          <w:fldChar w:fldCharType="separate"/>
        </w:r>
        <w:r>
          <w:rPr>
            <w:lang w:val="zh-CN"/>
          </w:rPr>
          <w:t>14</w:t>
        </w:r>
        <w:r>
          <w:fldChar w:fldCharType="end"/>
        </w:r>
      </w:p>
    </w:sdtContent>
  </w:sdt>
  <w:p w14:paraId="09C49702">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C463F">
    <w:pPr>
      <w:pStyle w:val="27"/>
      <w:rPr>
        <w:color w:val="000000" w:themeColor="text1"/>
        <w14:textFill>
          <w14:solidFill>
            <w14:schemeClr w14:val="tx1"/>
          </w14:solidFill>
        </w14:textFill>
      </w:rPr>
    </w:pPr>
    <w:r>
      <w:rPr>
        <w:rFonts w:hint="eastAsia"/>
        <w:color w:val="000000" w:themeColor="text1"/>
        <w14:textFill>
          <w14:solidFill>
            <w14:schemeClr w14:val="tx1"/>
          </w14:solidFill>
        </w14:textFill>
      </w:rPr>
      <w:t>南宁市政府采购竞争性磋商采购文件（项目编号：</w:t>
    </w:r>
    <w:r>
      <w:rPr>
        <w:rFonts w:hint="eastAsia"/>
        <w:color w:val="000000" w:themeColor="text1"/>
        <w:lang w:eastAsia="zh-CN"/>
        <w14:textFill>
          <w14:solidFill>
            <w14:schemeClr w14:val="tx1"/>
          </w14:solidFill>
        </w14:textFill>
      </w:rPr>
      <w:t>NNZC2026-C2-990098-ZKGS</w:t>
    </w:r>
    <w:r>
      <w:rPr>
        <w:rFonts w:hint="eastAsia"/>
        <w:color w:val="000000" w:themeColor="text1"/>
        <w14:textFill>
          <w14:solidFill>
            <w14:schemeClr w14:val="tx1"/>
          </w14:solidFill>
        </w14:textFil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lMjNkYzVmMGNkZjZiZmZjMGVkOTkzZWJjZTljMmYifQ=="/>
  </w:docVars>
  <w:rsids>
    <w:rsidRoot w:val="00306465"/>
    <w:rsid w:val="00001FDC"/>
    <w:rsid w:val="000031BD"/>
    <w:rsid w:val="00005799"/>
    <w:rsid w:val="00007066"/>
    <w:rsid w:val="00010729"/>
    <w:rsid w:val="00011175"/>
    <w:rsid w:val="00012660"/>
    <w:rsid w:val="000208DE"/>
    <w:rsid w:val="00024A10"/>
    <w:rsid w:val="00025CA4"/>
    <w:rsid w:val="00033F04"/>
    <w:rsid w:val="00041ABD"/>
    <w:rsid w:val="00044A00"/>
    <w:rsid w:val="00045756"/>
    <w:rsid w:val="000505BC"/>
    <w:rsid w:val="00051FBE"/>
    <w:rsid w:val="000560FC"/>
    <w:rsid w:val="00062E4C"/>
    <w:rsid w:val="00090E55"/>
    <w:rsid w:val="00091972"/>
    <w:rsid w:val="00091B03"/>
    <w:rsid w:val="00096042"/>
    <w:rsid w:val="000979E1"/>
    <w:rsid w:val="000A0E58"/>
    <w:rsid w:val="000A12F3"/>
    <w:rsid w:val="000A72D1"/>
    <w:rsid w:val="000B4CC9"/>
    <w:rsid w:val="000C3DBC"/>
    <w:rsid w:val="000C476B"/>
    <w:rsid w:val="000C65C1"/>
    <w:rsid w:val="000C6CF3"/>
    <w:rsid w:val="000D0D0B"/>
    <w:rsid w:val="000D6D47"/>
    <w:rsid w:val="000E03CC"/>
    <w:rsid w:val="000E2AE1"/>
    <w:rsid w:val="000E6224"/>
    <w:rsid w:val="000E7A63"/>
    <w:rsid w:val="000F182D"/>
    <w:rsid w:val="000F5609"/>
    <w:rsid w:val="000F5915"/>
    <w:rsid w:val="000F59D9"/>
    <w:rsid w:val="000F64B3"/>
    <w:rsid w:val="000F6BD8"/>
    <w:rsid w:val="001020C0"/>
    <w:rsid w:val="00111A3B"/>
    <w:rsid w:val="0011380E"/>
    <w:rsid w:val="001149E1"/>
    <w:rsid w:val="00114EFF"/>
    <w:rsid w:val="00127B1D"/>
    <w:rsid w:val="00127E08"/>
    <w:rsid w:val="001308B5"/>
    <w:rsid w:val="00130A49"/>
    <w:rsid w:val="00132A41"/>
    <w:rsid w:val="00135F89"/>
    <w:rsid w:val="00141FA1"/>
    <w:rsid w:val="00144255"/>
    <w:rsid w:val="00146BFE"/>
    <w:rsid w:val="00150718"/>
    <w:rsid w:val="00150987"/>
    <w:rsid w:val="0015294C"/>
    <w:rsid w:val="001531B8"/>
    <w:rsid w:val="00153830"/>
    <w:rsid w:val="0015750F"/>
    <w:rsid w:val="00161410"/>
    <w:rsid w:val="001643D3"/>
    <w:rsid w:val="00166B5C"/>
    <w:rsid w:val="0017074F"/>
    <w:rsid w:val="001725A7"/>
    <w:rsid w:val="001852DA"/>
    <w:rsid w:val="00185E30"/>
    <w:rsid w:val="0018727A"/>
    <w:rsid w:val="00194D68"/>
    <w:rsid w:val="00194F4E"/>
    <w:rsid w:val="00195083"/>
    <w:rsid w:val="00197714"/>
    <w:rsid w:val="001A01D1"/>
    <w:rsid w:val="001A469C"/>
    <w:rsid w:val="001A508B"/>
    <w:rsid w:val="001A7490"/>
    <w:rsid w:val="001B0C34"/>
    <w:rsid w:val="001B0D63"/>
    <w:rsid w:val="001B26DC"/>
    <w:rsid w:val="001B6E37"/>
    <w:rsid w:val="001C352C"/>
    <w:rsid w:val="001C4EA7"/>
    <w:rsid w:val="001C5CCC"/>
    <w:rsid w:val="001D021E"/>
    <w:rsid w:val="001D2E1D"/>
    <w:rsid w:val="001E272A"/>
    <w:rsid w:val="001F1886"/>
    <w:rsid w:val="001F4EC4"/>
    <w:rsid w:val="001F7BAD"/>
    <w:rsid w:val="00200771"/>
    <w:rsid w:val="0022001B"/>
    <w:rsid w:val="002223E5"/>
    <w:rsid w:val="00223CD3"/>
    <w:rsid w:val="0023382A"/>
    <w:rsid w:val="00233A27"/>
    <w:rsid w:val="00236B94"/>
    <w:rsid w:val="00237729"/>
    <w:rsid w:val="002451DF"/>
    <w:rsid w:val="002456C0"/>
    <w:rsid w:val="002473EF"/>
    <w:rsid w:val="00250EE0"/>
    <w:rsid w:val="002526F1"/>
    <w:rsid w:val="002554B8"/>
    <w:rsid w:val="00256094"/>
    <w:rsid w:val="00256D97"/>
    <w:rsid w:val="00260455"/>
    <w:rsid w:val="00260D5B"/>
    <w:rsid w:val="002669E3"/>
    <w:rsid w:val="00266D78"/>
    <w:rsid w:val="00270716"/>
    <w:rsid w:val="00277AB4"/>
    <w:rsid w:val="002814B2"/>
    <w:rsid w:val="00282F03"/>
    <w:rsid w:val="002856E4"/>
    <w:rsid w:val="00286259"/>
    <w:rsid w:val="0029377A"/>
    <w:rsid w:val="00294000"/>
    <w:rsid w:val="002967F8"/>
    <w:rsid w:val="002A311B"/>
    <w:rsid w:val="002B3488"/>
    <w:rsid w:val="002B5C01"/>
    <w:rsid w:val="002B744F"/>
    <w:rsid w:val="002D1EB0"/>
    <w:rsid w:val="002D3273"/>
    <w:rsid w:val="002E04F7"/>
    <w:rsid w:val="002E5E8E"/>
    <w:rsid w:val="002E639D"/>
    <w:rsid w:val="00302F4F"/>
    <w:rsid w:val="00304E67"/>
    <w:rsid w:val="0030617B"/>
    <w:rsid w:val="00306465"/>
    <w:rsid w:val="00306B58"/>
    <w:rsid w:val="003072FF"/>
    <w:rsid w:val="00312869"/>
    <w:rsid w:val="003138E3"/>
    <w:rsid w:val="00320447"/>
    <w:rsid w:val="00323EDD"/>
    <w:rsid w:val="00325CB6"/>
    <w:rsid w:val="00326A71"/>
    <w:rsid w:val="00327213"/>
    <w:rsid w:val="00327490"/>
    <w:rsid w:val="00332E18"/>
    <w:rsid w:val="00335A0F"/>
    <w:rsid w:val="0033782A"/>
    <w:rsid w:val="003473DD"/>
    <w:rsid w:val="00354B96"/>
    <w:rsid w:val="00361D1A"/>
    <w:rsid w:val="00363868"/>
    <w:rsid w:val="003654FA"/>
    <w:rsid w:val="003704EA"/>
    <w:rsid w:val="00376A39"/>
    <w:rsid w:val="00387995"/>
    <w:rsid w:val="00390137"/>
    <w:rsid w:val="00394FF4"/>
    <w:rsid w:val="00397AF9"/>
    <w:rsid w:val="003A0741"/>
    <w:rsid w:val="003A2154"/>
    <w:rsid w:val="003A5F96"/>
    <w:rsid w:val="003B0963"/>
    <w:rsid w:val="003B1F1F"/>
    <w:rsid w:val="003B7341"/>
    <w:rsid w:val="003C026F"/>
    <w:rsid w:val="003C28F0"/>
    <w:rsid w:val="003C6980"/>
    <w:rsid w:val="003D3E0C"/>
    <w:rsid w:val="003D425C"/>
    <w:rsid w:val="003D6716"/>
    <w:rsid w:val="003E0936"/>
    <w:rsid w:val="003E246F"/>
    <w:rsid w:val="003E3867"/>
    <w:rsid w:val="003E7BE8"/>
    <w:rsid w:val="003F0087"/>
    <w:rsid w:val="003F095F"/>
    <w:rsid w:val="003F140C"/>
    <w:rsid w:val="003F1E51"/>
    <w:rsid w:val="003F3FDA"/>
    <w:rsid w:val="003F6215"/>
    <w:rsid w:val="00401DC5"/>
    <w:rsid w:val="004050D7"/>
    <w:rsid w:val="00407400"/>
    <w:rsid w:val="00416183"/>
    <w:rsid w:val="0042350C"/>
    <w:rsid w:val="00431117"/>
    <w:rsid w:val="00431225"/>
    <w:rsid w:val="004360F4"/>
    <w:rsid w:val="00437812"/>
    <w:rsid w:val="00443C01"/>
    <w:rsid w:val="004468E3"/>
    <w:rsid w:val="00447FF0"/>
    <w:rsid w:val="004532F3"/>
    <w:rsid w:val="004541E0"/>
    <w:rsid w:val="00457AEF"/>
    <w:rsid w:val="004739FC"/>
    <w:rsid w:val="00473A6E"/>
    <w:rsid w:val="00473BA3"/>
    <w:rsid w:val="0048026C"/>
    <w:rsid w:val="0048051A"/>
    <w:rsid w:val="00480F5C"/>
    <w:rsid w:val="004861FE"/>
    <w:rsid w:val="0049037B"/>
    <w:rsid w:val="004A1B29"/>
    <w:rsid w:val="004A25C7"/>
    <w:rsid w:val="004A6293"/>
    <w:rsid w:val="004B1769"/>
    <w:rsid w:val="004C34EA"/>
    <w:rsid w:val="004D1827"/>
    <w:rsid w:val="004D401F"/>
    <w:rsid w:val="004D5703"/>
    <w:rsid w:val="004E672E"/>
    <w:rsid w:val="004E6BEE"/>
    <w:rsid w:val="004E735F"/>
    <w:rsid w:val="004F0571"/>
    <w:rsid w:val="004F20FC"/>
    <w:rsid w:val="004F3C0B"/>
    <w:rsid w:val="004F70A7"/>
    <w:rsid w:val="0050380C"/>
    <w:rsid w:val="005057B6"/>
    <w:rsid w:val="00505B35"/>
    <w:rsid w:val="00511C56"/>
    <w:rsid w:val="005135C1"/>
    <w:rsid w:val="005156D2"/>
    <w:rsid w:val="00516136"/>
    <w:rsid w:val="00520932"/>
    <w:rsid w:val="00520C5B"/>
    <w:rsid w:val="00522DCD"/>
    <w:rsid w:val="00524C0E"/>
    <w:rsid w:val="00526B96"/>
    <w:rsid w:val="005270B3"/>
    <w:rsid w:val="00527C1C"/>
    <w:rsid w:val="00542B2D"/>
    <w:rsid w:val="00551A94"/>
    <w:rsid w:val="0055298A"/>
    <w:rsid w:val="00552B9B"/>
    <w:rsid w:val="005574ED"/>
    <w:rsid w:val="00560E4D"/>
    <w:rsid w:val="00563750"/>
    <w:rsid w:val="00572AB7"/>
    <w:rsid w:val="00581497"/>
    <w:rsid w:val="0058371D"/>
    <w:rsid w:val="00583A12"/>
    <w:rsid w:val="00583B80"/>
    <w:rsid w:val="00584802"/>
    <w:rsid w:val="005878D3"/>
    <w:rsid w:val="005910C8"/>
    <w:rsid w:val="00592828"/>
    <w:rsid w:val="00592948"/>
    <w:rsid w:val="005A1A75"/>
    <w:rsid w:val="005A2CBD"/>
    <w:rsid w:val="005A53E7"/>
    <w:rsid w:val="005A670E"/>
    <w:rsid w:val="005A72FC"/>
    <w:rsid w:val="005B5622"/>
    <w:rsid w:val="005B5D5E"/>
    <w:rsid w:val="005C092B"/>
    <w:rsid w:val="005D056A"/>
    <w:rsid w:val="005D065D"/>
    <w:rsid w:val="005D22FC"/>
    <w:rsid w:val="005D5063"/>
    <w:rsid w:val="005E123E"/>
    <w:rsid w:val="005F0303"/>
    <w:rsid w:val="005F0CC4"/>
    <w:rsid w:val="005F2531"/>
    <w:rsid w:val="005F742B"/>
    <w:rsid w:val="00600071"/>
    <w:rsid w:val="006017ED"/>
    <w:rsid w:val="00603063"/>
    <w:rsid w:val="00610F05"/>
    <w:rsid w:val="00611DD1"/>
    <w:rsid w:val="00611F53"/>
    <w:rsid w:val="006252FC"/>
    <w:rsid w:val="00632897"/>
    <w:rsid w:val="00642001"/>
    <w:rsid w:val="00642428"/>
    <w:rsid w:val="00643488"/>
    <w:rsid w:val="00656549"/>
    <w:rsid w:val="00656758"/>
    <w:rsid w:val="0066087D"/>
    <w:rsid w:val="006778F9"/>
    <w:rsid w:val="00691560"/>
    <w:rsid w:val="006931AB"/>
    <w:rsid w:val="00694F96"/>
    <w:rsid w:val="00696EBA"/>
    <w:rsid w:val="006A00AA"/>
    <w:rsid w:val="006B12A3"/>
    <w:rsid w:val="006B278C"/>
    <w:rsid w:val="006B3AF8"/>
    <w:rsid w:val="006B4B61"/>
    <w:rsid w:val="006C42F0"/>
    <w:rsid w:val="006C72E6"/>
    <w:rsid w:val="006C7BFE"/>
    <w:rsid w:val="006C7ECF"/>
    <w:rsid w:val="006D49EA"/>
    <w:rsid w:val="006D4B35"/>
    <w:rsid w:val="006D55C8"/>
    <w:rsid w:val="006E1099"/>
    <w:rsid w:val="006E17F6"/>
    <w:rsid w:val="006E6746"/>
    <w:rsid w:val="006F150E"/>
    <w:rsid w:val="006F5669"/>
    <w:rsid w:val="00714F10"/>
    <w:rsid w:val="007160E3"/>
    <w:rsid w:val="00717ED0"/>
    <w:rsid w:val="0072230B"/>
    <w:rsid w:val="00722F6E"/>
    <w:rsid w:val="00723992"/>
    <w:rsid w:val="007241CB"/>
    <w:rsid w:val="007257C2"/>
    <w:rsid w:val="00732597"/>
    <w:rsid w:val="00733428"/>
    <w:rsid w:val="007360AA"/>
    <w:rsid w:val="0074002E"/>
    <w:rsid w:val="007447A6"/>
    <w:rsid w:val="007508A3"/>
    <w:rsid w:val="0075100E"/>
    <w:rsid w:val="00753392"/>
    <w:rsid w:val="00753C9D"/>
    <w:rsid w:val="00754D0D"/>
    <w:rsid w:val="00755372"/>
    <w:rsid w:val="00756F99"/>
    <w:rsid w:val="00760E3D"/>
    <w:rsid w:val="00763294"/>
    <w:rsid w:val="00763CEA"/>
    <w:rsid w:val="007654A6"/>
    <w:rsid w:val="007655A2"/>
    <w:rsid w:val="00770CE0"/>
    <w:rsid w:val="00770F8E"/>
    <w:rsid w:val="00771A75"/>
    <w:rsid w:val="00771AA7"/>
    <w:rsid w:val="00772759"/>
    <w:rsid w:val="007728DB"/>
    <w:rsid w:val="00774C08"/>
    <w:rsid w:val="00774FD2"/>
    <w:rsid w:val="00776E2A"/>
    <w:rsid w:val="00784CE4"/>
    <w:rsid w:val="007905AF"/>
    <w:rsid w:val="0079165A"/>
    <w:rsid w:val="00796DAC"/>
    <w:rsid w:val="007A58F7"/>
    <w:rsid w:val="007A61F9"/>
    <w:rsid w:val="007B332B"/>
    <w:rsid w:val="007C1414"/>
    <w:rsid w:val="007C7E0B"/>
    <w:rsid w:val="007E3699"/>
    <w:rsid w:val="007E532B"/>
    <w:rsid w:val="007F4955"/>
    <w:rsid w:val="008010EE"/>
    <w:rsid w:val="008052CF"/>
    <w:rsid w:val="00806313"/>
    <w:rsid w:val="008124DA"/>
    <w:rsid w:val="00812B9D"/>
    <w:rsid w:val="0081488B"/>
    <w:rsid w:val="00820F03"/>
    <w:rsid w:val="0082635A"/>
    <w:rsid w:val="008263EE"/>
    <w:rsid w:val="00826C3E"/>
    <w:rsid w:val="00827D91"/>
    <w:rsid w:val="008405D9"/>
    <w:rsid w:val="008409B8"/>
    <w:rsid w:val="00844E15"/>
    <w:rsid w:val="008468AF"/>
    <w:rsid w:val="008639EC"/>
    <w:rsid w:val="00872953"/>
    <w:rsid w:val="008833BC"/>
    <w:rsid w:val="008848CF"/>
    <w:rsid w:val="00892A1E"/>
    <w:rsid w:val="00896168"/>
    <w:rsid w:val="008975FA"/>
    <w:rsid w:val="008A4870"/>
    <w:rsid w:val="008A4BC3"/>
    <w:rsid w:val="008A52D1"/>
    <w:rsid w:val="008A560B"/>
    <w:rsid w:val="008A566D"/>
    <w:rsid w:val="008B2327"/>
    <w:rsid w:val="008B304B"/>
    <w:rsid w:val="008B681F"/>
    <w:rsid w:val="008B7FEE"/>
    <w:rsid w:val="008C5744"/>
    <w:rsid w:val="008E3323"/>
    <w:rsid w:val="008E35C3"/>
    <w:rsid w:val="008E56E1"/>
    <w:rsid w:val="008E634F"/>
    <w:rsid w:val="008F2778"/>
    <w:rsid w:val="008F3AA8"/>
    <w:rsid w:val="00900BF5"/>
    <w:rsid w:val="00904864"/>
    <w:rsid w:val="009048CF"/>
    <w:rsid w:val="00905602"/>
    <w:rsid w:val="0091150C"/>
    <w:rsid w:val="0091672E"/>
    <w:rsid w:val="00916AE0"/>
    <w:rsid w:val="0092383E"/>
    <w:rsid w:val="009301D6"/>
    <w:rsid w:val="009336E4"/>
    <w:rsid w:val="009343D8"/>
    <w:rsid w:val="009361F5"/>
    <w:rsid w:val="00955D51"/>
    <w:rsid w:val="00955E6E"/>
    <w:rsid w:val="009605B1"/>
    <w:rsid w:val="00965514"/>
    <w:rsid w:val="00967040"/>
    <w:rsid w:val="00972CC3"/>
    <w:rsid w:val="00974EE4"/>
    <w:rsid w:val="0098166C"/>
    <w:rsid w:val="0098785A"/>
    <w:rsid w:val="00991338"/>
    <w:rsid w:val="00991F4F"/>
    <w:rsid w:val="00992668"/>
    <w:rsid w:val="0099441A"/>
    <w:rsid w:val="009A05C2"/>
    <w:rsid w:val="009A1664"/>
    <w:rsid w:val="009A181F"/>
    <w:rsid w:val="009A3C64"/>
    <w:rsid w:val="009B70E6"/>
    <w:rsid w:val="009C14B3"/>
    <w:rsid w:val="009C5C92"/>
    <w:rsid w:val="009D5CBF"/>
    <w:rsid w:val="009D7FB9"/>
    <w:rsid w:val="009E3693"/>
    <w:rsid w:val="009E4A3B"/>
    <w:rsid w:val="009F108B"/>
    <w:rsid w:val="009F2211"/>
    <w:rsid w:val="009F4C47"/>
    <w:rsid w:val="00A06CAC"/>
    <w:rsid w:val="00A117BD"/>
    <w:rsid w:val="00A14178"/>
    <w:rsid w:val="00A16A3D"/>
    <w:rsid w:val="00A24464"/>
    <w:rsid w:val="00A265E2"/>
    <w:rsid w:val="00A30E13"/>
    <w:rsid w:val="00A35B48"/>
    <w:rsid w:val="00A40416"/>
    <w:rsid w:val="00A570BC"/>
    <w:rsid w:val="00A671D4"/>
    <w:rsid w:val="00A71942"/>
    <w:rsid w:val="00A7305C"/>
    <w:rsid w:val="00A75301"/>
    <w:rsid w:val="00A75426"/>
    <w:rsid w:val="00A777FC"/>
    <w:rsid w:val="00A82603"/>
    <w:rsid w:val="00A830C2"/>
    <w:rsid w:val="00A84FC0"/>
    <w:rsid w:val="00A874F7"/>
    <w:rsid w:val="00AA18D4"/>
    <w:rsid w:val="00AA2050"/>
    <w:rsid w:val="00AA6749"/>
    <w:rsid w:val="00AA7DD2"/>
    <w:rsid w:val="00AB2919"/>
    <w:rsid w:val="00AB2B3C"/>
    <w:rsid w:val="00AB7CAD"/>
    <w:rsid w:val="00AC6856"/>
    <w:rsid w:val="00AC6A1D"/>
    <w:rsid w:val="00AD1D7D"/>
    <w:rsid w:val="00AD2D3B"/>
    <w:rsid w:val="00AF1294"/>
    <w:rsid w:val="00AF30B4"/>
    <w:rsid w:val="00AF3C59"/>
    <w:rsid w:val="00B05197"/>
    <w:rsid w:val="00B16EB9"/>
    <w:rsid w:val="00B2033D"/>
    <w:rsid w:val="00B205BE"/>
    <w:rsid w:val="00B2293A"/>
    <w:rsid w:val="00B23F99"/>
    <w:rsid w:val="00B24FC4"/>
    <w:rsid w:val="00B258F0"/>
    <w:rsid w:val="00B25AD6"/>
    <w:rsid w:val="00B27101"/>
    <w:rsid w:val="00B40A68"/>
    <w:rsid w:val="00B46D04"/>
    <w:rsid w:val="00B472D7"/>
    <w:rsid w:val="00B5039C"/>
    <w:rsid w:val="00B5326C"/>
    <w:rsid w:val="00B564CC"/>
    <w:rsid w:val="00B618A7"/>
    <w:rsid w:val="00B6234D"/>
    <w:rsid w:val="00B62B42"/>
    <w:rsid w:val="00B7230F"/>
    <w:rsid w:val="00B75E06"/>
    <w:rsid w:val="00B768C1"/>
    <w:rsid w:val="00B77C5A"/>
    <w:rsid w:val="00B8022E"/>
    <w:rsid w:val="00B80838"/>
    <w:rsid w:val="00B84593"/>
    <w:rsid w:val="00B86CD5"/>
    <w:rsid w:val="00B94EDE"/>
    <w:rsid w:val="00B95269"/>
    <w:rsid w:val="00BA3D5B"/>
    <w:rsid w:val="00BA5A52"/>
    <w:rsid w:val="00BA79BD"/>
    <w:rsid w:val="00BB3078"/>
    <w:rsid w:val="00BB7163"/>
    <w:rsid w:val="00BB73F9"/>
    <w:rsid w:val="00BC0782"/>
    <w:rsid w:val="00BC55A6"/>
    <w:rsid w:val="00BC6AF9"/>
    <w:rsid w:val="00BC7CBF"/>
    <w:rsid w:val="00BD294D"/>
    <w:rsid w:val="00BD6902"/>
    <w:rsid w:val="00BD70DA"/>
    <w:rsid w:val="00BD797F"/>
    <w:rsid w:val="00BD7ACD"/>
    <w:rsid w:val="00BE431C"/>
    <w:rsid w:val="00BF20E6"/>
    <w:rsid w:val="00BF621F"/>
    <w:rsid w:val="00C01095"/>
    <w:rsid w:val="00C049AC"/>
    <w:rsid w:val="00C131D4"/>
    <w:rsid w:val="00C1332F"/>
    <w:rsid w:val="00C1431F"/>
    <w:rsid w:val="00C15D93"/>
    <w:rsid w:val="00C16BCE"/>
    <w:rsid w:val="00C24494"/>
    <w:rsid w:val="00C26BEC"/>
    <w:rsid w:val="00C27190"/>
    <w:rsid w:val="00C30D1C"/>
    <w:rsid w:val="00C32DE6"/>
    <w:rsid w:val="00C37131"/>
    <w:rsid w:val="00C37E4D"/>
    <w:rsid w:val="00C37FCA"/>
    <w:rsid w:val="00C46E6F"/>
    <w:rsid w:val="00C50B87"/>
    <w:rsid w:val="00C52465"/>
    <w:rsid w:val="00C55F3C"/>
    <w:rsid w:val="00C57B8E"/>
    <w:rsid w:val="00C82FB3"/>
    <w:rsid w:val="00C86D49"/>
    <w:rsid w:val="00C90F84"/>
    <w:rsid w:val="00C92413"/>
    <w:rsid w:val="00C93068"/>
    <w:rsid w:val="00C97D90"/>
    <w:rsid w:val="00CA09FC"/>
    <w:rsid w:val="00CB28F8"/>
    <w:rsid w:val="00CB5549"/>
    <w:rsid w:val="00CC4DB1"/>
    <w:rsid w:val="00CC6CFA"/>
    <w:rsid w:val="00CD3548"/>
    <w:rsid w:val="00CD59A9"/>
    <w:rsid w:val="00CF16DC"/>
    <w:rsid w:val="00CF1D9A"/>
    <w:rsid w:val="00CF2B63"/>
    <w:rsid w:val="00CF4D30"/>
    <w:rsid w:val="00D04ED8"/>
    <w:rsid w:val="00D06D9E"/>
    <w:rsid w:val="00D06EA5"/>
    <w:rsid w:val="00D1333A"/>
    <w:rsid w:val="00D176A4"/>
    <w:rsid w:val="00D206A5"/>
    <w:rsid w:val="00D210A0"/>
    <w:rsid w:val="00D22208"/>
    <w:rsid w:val="00D30458"/>
    <w:rsid w:val="00D32344"/>
    <w:rsid w:val="00D37750"/>
    <w:rsid w:val="00D61BFD"/>
    <w:rsid w:val="00D63873"/>
    <w:rsid w:val="00D65C0A"/>
    <w:rsid w:val="00D72987"/>
    <w:rsid w:val="00D8108E"/>
    <w:rsid w:val="00D811DF"/>
    <w:rsid w:val="00D81D82"/>
    <w:rsid w:val="00D8582C"/>
    <w:rsid w:val="00D86F0E"/>
    <w:rsid w:val="00D87320"/>
    <w:rsid w:val="00D878AF"/>
    <w:rsid w:val="00D878BE"/>
    <w:rsid w:val="00D97E87"/>
    <w:rsid w:val="00DA202A"/>
    <w:rsid w:val="00DA2098"/>
    <w:rsid w:val="00DA223D"/>
    <w:rsid w:val="00DA6E6E"/>
    <w:rsid w:val="00DB4A65"/>
    <w:rsid w:val="00DB54F7"/>
    <w:rsid w:val="00DC13D2"/>
    <w:rsid w:val="00DD181E"/>
    <w:rsid w:val="00DD5D87"/>
    <w:rsid w:val="00DD75D2"/>
    <w:rsid w:val="00DD78EB"/>
    <w:rsid w:val="00DD7B0F"/>
    <w:rsid w:val="00DF1F54"/>
    <w:rsid w:val="00DF4ADA"/>
    <w:rsid w:val="00DF6642"/>
    <w:rsid w:val="00E02C9E"/>
    <w:rsid w:val="00E10B14"/>
    <w:rsid w:val="00E15C2C"/>
    <w:rsid w:val="00E16434"/>
    <w:rsid w:val="00E26E03"/>
    <w:rsid w:val="00E27D7A"/>
    <w:rsid w:val="00E3598F"/>
    <w:rsid w:val="00E37AAE"/>
    <w:rsid w:val="00E43644"/>
    <w:rsid w:val="00E45C36"/>
    <w:rsid w:val="00E510B2"/>
    <w:rsid w:val="00E522A7"/>
    <w:rsid w:val="00E60246"/>
    <w:rsid w:val="00E64286"/>
    <w:rsid w:val="00E64841"/>
    <w:rsid w:val="00E661B5"/>
    <w:rsid w:val="00E67FBC"/>
    <w:rsid w:val="00E71518"/>
    <w:rsid w:val="00E7218F"/>
    <w:rsid w:val="00E72DB1"/>
    <w:rsid w:val="00E764C2"/>
    <w:rsid w:val="00E77F48"/>
    <w:rsid w:val="00E80037"/>
    <w:rsid w:val="00E83AF7"/>
    <w:rsid w:val="00E9430C"/>
    <w:rsid w:val="00E94908"/>
    <w:rsid w:val="00E9697B"/>
    <w:rsid w:val="00EA01D2"/>
    <w:rsid w:val="00EA0759"/>
    <w:rsid w:val="00EB06DB"/>
    <w:rsid w:val="00EC1640"/>
    <w:rsid w:val="00ED0EBC"/>
    <w:rsid w:val="00ED3A87"/>
    <w:rsid w:val="00ED4132"/>
    <w:rsid w:val="00ED61B4"/>
    <w:rsid w:val="00ED77D6"/>
    <w:rsid w:val="00EE201E"/>
    <w:rsid w:val="00EE3A1E"/>
    <w:rsid w:val="00EF03B1"/>
    <w:rsid w:val="00EF19F1"/>
    <w:rsid w:val="00EF1C30"/>
    <w:rsid w:val="00EF771B"/>
    <w:rsid w:val="00F02286"/>
    <w:rsid w:val="00F06C5D"/>
    <w:rsid w:val="00F10CD1"/>
    <w:rsid w:val="00F11A27"/>
    <w:rsid w:val="00F16382"/>
    <w:rsid w:val="00F17553"/>
    <w:rsid w:val="00F22E2B"/>
    <w:rsid w:val="00F2382E"/>
    <w:rsid w:val="00F25749"/>
    <w:rsid w:val="00F3069D"/>
    <w:rsid w:val="00F323C8"/>
    <w:rsid w:val="00F411DE"/>
    <w:rsid w:val="00F431A5"/>
    <w:rsid w:val="00F43752"/>
    <w:rsid w:val="00F46965"/>
    <w:rsid w:val="00F522FB"/>
    <w:rsid w:val="00F56EC4"/>
    <w:rsid w:val="00F61DE8"/>
    <w:rsid w:val="00F632FA"/>
    <w:rsid w:val="00F64239"/>
    <w:rsid w:val="00F66C50"/>
    <w:rsid w:val="00F703BE"/>
    <w:rsid w:val="00F751A3"/>
    <w:rsid w:val="00F77A64"/>
    <w:rsid w:val="00F80010"/>
    <w:rsid w:val="00F827F8"/>
    <w:rsid w:val="00F85138"/>
    <w:rsid w:val="00F87024"/>
    <w:rsid w:val="00F92A83"/>
    <w:rsid w:val="00FA3F58"/>
    <w:rsid w:val="00FA63E6"/>
    <w:rsid w:val="00FA72D4"/>
    <w:rsid w:val="00FB125E"/>
    <w:rsid w:val="00FB5AB4"/>
    <w:rsid w:val="00FB734C"/>
    <w:rsid w:val="00FB7CFC"/>
    <w:rsid w:val="00FB7FC3"/>
    <w:rsid w:val="00FC2E24"/>
    <w:rsid w:val="00FD04CD"/>
    <w:rsid w:val="00FD2326"/>
    <w:rsid w:val="00FD363D"/>
    <w:rsid w:val="00FD3DB5"/>
    <w:rsid w:val="00FD693E"/>
    <w:rsid w:val="00FE3028"/>
    <w:rsid w:val="00FE322E"/>
    <w:rsid w:val="00FF0150"/>
    <w:rsid w:val="00FF2470"/>
    <w:rsid w:val="00FF7B62"/>
    <w:rsid w:val="01BD700C"/>
    <w:rsid w:val="04393922"/>
    <w:rsid w:val="0FB21FB0"/>
    <w:rsid w:val="12F73E27"/>
    <w:rsid w:val="17143AE8"/>
    <w:rsid w:val="1826226D"/>
    <w:rsid w:val="1E0F2115"/>
    <w:rsid w:val="2BCC0EE2"/>
    <w:rsid w:val="31436F34"/>
    <w:rsid w:val="33BE61BB"/>
    <w:rsid w:val="3F140E1B"/>
    <w:rsid w:val="466F6AC0"/>
    <w:rsid w:val="49445DE1"/>
    <w:rsid w:val="4BE478F9"/>
    <w:rsid w:val="4FDA3A09"/>
    <w:rsid w:val="50096110"/>
    <w:rsid w:val="50342257"/>
    <w:rsid w:val="542A6188"/>
    <w:rsid w:val="54426974"/>
    <w:rsid w:val="57560D05"/>
    <w:rsid w:val="65797DF2"/>
    <w:rsid w:val="6C8B0FF9"/>
    <w:rsid w:val="6D3A6B10"/>
    <w:rsid w:val="727B390E"/>
    <w:rsid w:val="72DD0136"/>
    <w:rsid w:val="74030572"/>
    <w:rsid w:val="74A378BB"/>
    <w:rsid w:val="7C365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qFormat/>
    <w:uiPriority w:val="99"/>
    <w:pPr>
      <w:keepNext/>
      <w:keepLines/>
      <w:spacing w:line="360" w:lineRule="auto"/>
      <w:outlineLvl w:val="3"/>
    </w:pPr>
    <w:rPr>
      <w:rFonts w:ascii="Arial" w:hAnsi="Arial" w:eastAsia="宋体" w:cs="Times New Roman"/>
      <w:b/>
      <w:bCs/>
      <w:sz w:val="28"/>
      <w:szCs w:val="28"/>
    </w:rPr>
  </w:style>
  <w:style w:type="paragraph" w:styleId="6">
    <w:name w:val="heading 5"/>
    <w:basedOn w:val="1"/>
    <w:next w:val="1"/>
    <w:link w:val="51"/>
    <w:qFormat/>
    <w:uiPriority w:val="99"/>
    <w:pPr>
      <w:keepNext/>
      <w:keepLines/>
      <w:spacing w:before="280" w:after="290" w:line="376" w:lineRule="auto"/>
      <w:outlineLvl w:val="4"/>
    </w:pPr>
    <w:rPr>
      <w:rFonts w:ascii="Calibri" w:hAnsi="Calibri" w:eastAsia="宋体" w:cs="Times New Roman"/>
      <w:b/>
      <w:bCs/>
      <w:sz w:val="28"/>
      <w:szCs w:val="28"/>
    </w:rPr>
  </w:style>
  <w:style w:type="paragraph" w:styleId="7">
    <w:name w:val="heading 6"/>
    <w:basedOn w:val="1"/>
    <w:next w:val="1"/>
    <w:link w:val="52"/>
    <w:qFormat/>
    <w:uiPriority w:val="9"/>
    <w:pPr>
      <w:keepNext/>
      <w:keepLines/>
      <w:spacing w:before="240" w:after="64" w:line="317" w:lineRule="auto"/>
      <w:outlineLvl w:val="5"/>
    </w:pPr>
    <w:rPr>
      <w:rFonts w:ascii="Cambria" w:hAnsi="Cambria" w:eastAsia="宋体" w:cs="Times New Roman"/>
      <w:b/>
      <w:bCs/>
      <w:kern w:val="0"/>
      <w:sz w:val="24"/>
      <w:szCs w:val="24"/>
      <w:lang w:val="zh-CN"/>
    </w:rPr>
  </w:style>
  <w:style w:type="paragraph" w:styleId="8">
    <w:name w:val="heading 7"/>
    <w:basedOn w:val="1"/>
    <w:next w:val="1"/>
    <w:link w:val="53"/>
    <w:qFormat/>
    <w:uiPriority w:val="9"/>
    <w:pPr>
      <w:keepNext/>
      <w:keepLines/>
      <w:spacing w:before="240" w:after="64" w:line="317" w:lineRule="auto"/>
      <w:outlineLvl w:val="6"/>
    </w:pPr>
    <w:rPr>
      <w:rFonts w:ascii="Calibri" w:hAnsi="Calibri" w:eastAsia="宋体" w:cs="Times New Roman"/>
      <w:b/>
      <w:bCs/>
      <w:kern w:val="0"/>
      <w:sz w:val="24"/>
      <w:szCs w:val="24"/>
      <w:lang w:val="zh-CN"/>
    </w:rPr>
  </w:style>
  <w:style w:type="paragraph" w:styleId="9">
    <w:name w:val="heading 8"/>
    <w:basedOn w:val="1"/>
    <w:next w:val="1"/>
    <w:link w:val="54"/>
    <w:qFormat/>
    <w:uiPriority w:val="9"/>
    <w:pPr>
      <w:keepNext/>
      <w:keepLines/>
      <w:spacing w:before="240" w:after="64" w:line="317" w:lineRule="auto"/>
      <w:outlineLvl w:val="7"/>
    </w:pPr>
    <w:rPr>
      <w:rFonts w:ascii="Cambria" w:hAnsi="Cambria" w:eastAsia="宋体" w:cs="Times New Roman"/>
      <w:kern w:val="0"/>
      <w:sz w:val="24"/>
      <w:szCs w:val="24"/>
      <w:lang w:val="zh-CN"/>
    </w:rPr>
  </w:style>
  <w:style w:type="paragraph" w:styleId="10">
    <w:name w:val="heading 9"/>
    <w:basedOn w:val="1"/>
    <w:next w:val="1"/>
    <w:link w:val="55"/>
    <w:qFormat/>
    <w:uiPriority w:val="9"/>
    <w:pPr>
      <w:keepNext/>
      <w:keepLines/>
      <w:spacing w:before="240" w:after="64" w:line="317" w:lineRule="auto"/>
      <w:outlineLvl w:val="8"/>
    </w:pPr>
    <w:rPr>
      <w:rFonts w:ascii="Cambria" w:hAnsi="Cambria" w:eastAsia="宋体" w:cs="Times New Roman"/>
      <w:kern w:val="0"/>
      <w:sz w:val="20"/>
      <w:lang w:val="zh-CN"/>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eastAsia="宋体" w:cs="Calibri"/>
    </w:rPr>
  </w:style>
  <w:style w:type="paragraph" w:styleId="12">
    <w:name w:val="Normal Indent"/>
    <w:basedOn w:val="1"/>
    <w:qFormat/>
    <w:uiPriority w:val="99"/>
    <w:pPr>
      <w:widowControl/>
      <w:ind w:firstLine="420"/>
      <w:jc w:val="left"/>
    </w:pPr>
    <w:rPr>
      <w:rFonts w:ascii="Calibri" w:hAnsi="Calibri" w:eastAsia="宋体" w:cs="Times New Roman"/>
      <w:sz w:val="20"/>
      <w:szCs w:val="20"/>
    </w:rPr>
  </w:style>
  <w:style w:type="paragraph" w:styleId="13">
    <w:name w:val="caption"/>
    <w:basedOn w:val="1"/>
    <w:next w:val="1"/>
    <w:qFormat/>
    <w:uiPriority w:val="99"/>
    <w:rPr>
      <w:rFonts w:ascii="Cambria" w:hAnsi="Cambria" w:eastAsia="黑体" w:cs="Cambria"/>
      <w:sz w:val="20"/>
      <w:szCs w:val="20"/>
    </w:rPr>
  </w:style>
  <w:style w:type="paragraph" w:styleId="14">
    <w:name w:val="Document Map"/>
    <w:basedOn w:val="1"/>
    <w:link w:val="66"/>
    <w:semiHidden/>
    <w:qFormat/>
    <w:uiPriority w:val="99"/>
    <w:pPr>
      <w:shd w:val="clear" w:color="auto" w:fill="000080"/>
    </w:pPr>
    <w:rPr>
      <w:sz w:val="24"/>
      <w:szCs w:val="24"/>
      <w:shd w:val="clear" w:color="auto" w:fill="000080"/>
    </w:rPr>
  </w:style>
  <w:style w:type="paragraph" w:styleId="15">
    <w:name w:val="annotation text"/>
    <w:basedOn w:val="1"/>
    <w:link w:val="58"/>
    <w:unhideWhenUsed/>
    <w:qFormat/>
    <w:uiPriority w:val="99"/>
    <w:pPr>
      <w:jc w:val="left"/>
    </w:pPr>
  </w:style>
  <w:style w:type="paragraph" w:styleId="16">
    <w:name w:val="Body Text"/>
    <w:basedOn w:val="1"/>
    <w:link w:val="92"/>
    <w:qFormat/>
    <w:uiPriority w:val="99"/>
    <w:pPr>
      <w:adjustRightInd w:val="0"/>
      <w:spacing w:after="60" w:line="360" w:lineRule="atLeast"/>
      <w:ind w:left="72" w:leftChars="30" w:right="30" w:rightChars="30"/>
      <w:jc w:val="center"/>
      <w:textAlignment w:val="baseline"/>
    </w:pPr>
    <w:rPr>
      <w:rFonts w:eastAsia="宋体"/>
      <w:sz w:val="22"/>
    </w:rPr>
  </w:style>
  <w:style w:type="paragraph" w:styleId="17">
    <w:name w:val="Body Text Indent"/>
    <w:basedOn w:val="1"/>
    <w:link w:val="128"/>
    <w:qFormat/>
    <w:uiPriority w:val="99"/>
    <w:pPr>
      <w:spacing w:before="240" w:line="360" w:lineRule="auto"/>
      <w:ind w:firstLine="552" w:firstLineChars="263"/>
    </w:pPr>
    <w:rPr>
      <w:rFonts w:ascii="宋体" w:eastAsia="宋体" w:cs="宋体"/>
      <w:szCs w:val="21"/>
    </w:rPr>
  </w:style>
  <w:style w:type="paragraph" w:styleId="18">
    <w:name w:val="index 4"/>
    <w:basedOn w:val="1"/>
    <w:next w:val="1"/>
    <w:semiHidden/>
    <w:qFormat/>
    <w:uiPriority w:val="99"/>
    <w:pPr>
      <w:ind w:left="600" w:leftChars="600"/>
    </w:pPr>
    <w:rPr>
      <w:rFonts w:ascii="Calibri" w:hAnsi="Calibri" w:eastAsia="宋体" w:cs="Times New Roman"/>
    </w:rPr>
  </w:style>
  <w:style w:type="paragraph" w:styleId="19">
    <w:name w:val="toc 5"/>
    <w:basedOn w:val="1"/>
    <w:next w:val="1"/>
    <w:qFormat/>
    <w:uiPriority w:val="39"/>
    <w:pPr>
      <w:ind w:left="1680" w:leftChars="800"/>
    </w:pPr>
    <w:rPr>
      <w:rFonts w:ascii="Calibri" w:hAnsi="Calibri" w:eastAsia="宋体" w:cs="Calibri"/>
    </w:rPr>
  </w:style>
  <w:style w:type="paragraph" w:styleId="20">
    <w:name w:val="toc 3"/>
    <w:basedOn w:val="1"/>
    <w:next w:val="1"/>
    <w:unhideWhenUsed/>
    <w:qFormat/>
    <w:uiPriority w:val="39"/>
    <w:pPr>
      <w:ind w:left="840" w:leftChars="400"/>
    </w:pPr>
  </w:style>
  <w:style w:type="paragraph" w:styleId="21">
    <w:name w:val="Plain Text"/>
    <w:basedOn w:val="1"/>
    <w:link w:val="119"/>
    <w:qFormat/>
    <w:uiPriority w:val="0"/>
    <w:rPr>
      <w:rFonts w:ascii="宋体" w:hAnsi="Courier New" w:eastAsia="宋体" w:cs="宋体"/>
      <w:sz w:val="24"/>
      <w:szCs w:val="24"/>
    </w:rPr>
  </w:style>
  <w:style w:type="paragraph" w:styleId="22">
    <w:name w:val="toc 8"/>
    <w:basedOn w:val="1"/>
    <w:next w:val="1"/>
    <w:qFormat/>
    <w:uiPriority w:val="39"/>
    <w:pPr>
      <w:ind w:left="2940" w:leftChars="1400"/>
    </w:pPr>
    <w:rPr>
      <w:rFonts w:ascii="Calibri" w:hAnsi="Calibri" w:eastAsia="宋体" w:cs="Calibri"/>
    </w:rPr>
  </w:style>
  <w:style w:type="paragraph" w:styleId="23">
    <w:name w:val="Date"/>
    <w:basedOn w:val="1"/>
    <w:next w:val="1"/>
    <w:link w:val="132"/>
    <w:qFormat/>
    <w:uiPriority w:val="99"/>
    <w:pPr>
      <w:ind w:left="100" w:leftChars="2500"/>
    </w:pPr>
    <w:rPr>
      <w:sz w:val="24"/>
      <w:szCs w:val="24"/>
    </w:rPr>
  </w:style>
  <w:style w:type="paragraph" w:styleId="24">
    <w:name w:val="Body Text Indent 2"/>
    <w:basedOn w:val="1"/>
    <w:link w:val="124"/>
    <w:qFormat/>
    <w:uiPriority w:val="99"/>
    <w:pPr>
      <w:spacing w:after="120" w:line="480" w:lineRule="auto"/>
      <w:ind w:left="420" w:leftChars="200"/>
    </w:pPr>
    <w:rPr>
      <w:sz w:val="24"/>
      <w:szCs w:val="24"/>
    </w:rPr>
  </w:style>
  <w:style w:type="paragraph" w:styleId="25">
    <w:name w:val="Balloon Text"/>
    <w:basedOn w:val="1"/>
    <w:link w:val="60"/>
    <w:semiHidden/>
    <w:unhideWhenUsed/>
    <w:qFormat/>
    <w:uiPriority w:val="99"/>
    <w:rPr>
      <w:sz w:val="18"/>
      <w:szCs w:val="18"/>
    </w:rPr>
  </w:style>
  <w:style w:type="paragraph" w:styleId="26">
    <w:name w:val="footer"/>
    <w:basedOn w:val="1"/>
    <w:link w:val="57"/>
    <w:unhideWhenUsed/>
    <w:qFormat/>
    <w:uiPriority w:val="99"/>
    <w:pPr>
      <w:tabs>
        <w:tab w:val="center" w:pos="4153"/>
        <w:tab w:val="right" w:pos="8306"/>
      </w:tabs>
      <w:snapToGrid w:val="0"/>
      <w:jc w:val="left"/>
    </w:pPr>
    <w:rPr>
      <w:sz w:val="18"/>
      <w:szCs w:val="18"/>
    </w:rPr>
  </w:style>
  <w:style w:type="paragraph" w:styleId="27">
    <w:name w:val="header"/>
    <w:basedOn w:val="1"/>
    <w:link w:val="56"/>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style>
  <w:style w:type="paragraph" w:styleId="29">
    <w:name w:val="toc 4"/>
    <w:basedOn w:val="1"/>
    <w:next w:val="1"/>
    <w:qFormat/>
    <w:uiPriority w:val="39"/>
    <w:pPr>
      <w:ind w:left="1260" w:leftChars="600"/>
    </w:pPr>
    <w:rPr>
      <w:rFonts w:ascii="Calibri" w:hAnsi="Calibri" w:eastAsia="宋体" w:cs="Calibri"/>
    </w:rPr>
  </w:style>
  <w:style w:type="paragraph" w:styleId="30">
    <w:name w:val="Subtitle"/>
    <w:basedOn w:val="1"/>
    <w:next w:val="1"/>
    <w:link w:val="96"/>
    <w:qFormat/>
    <w:uiPriority w:val="11"/>
    <w:pPr>
      <w:spacing w:before="240" w:after="60" w:line="312" w:lineRule="auto"/>
      <w:jc w:val="center"/>
      <w:outlineLvl w:val="1"/>
    </w:pPr>
    <w:rPr>
      <w:rFonts w:ascii="Cambria" w:hAnsi="Cambria" w:cs="Times New Roman"/>
      <w:b/>
      <w:bCs/>
      <w:kern w:val="28"/>
      <w:sz w:val="32"/>
      <w:szCs w:val="32"/>
    </w:rPr>
  </w:style>
  <w:style w:type="paragraph" w:styleId="31">
    <w:name w:val="footnote text"/>
    <w:basedOn w:val="1"/>
    <w:link w:val="122"/>
    <w:semiHidden/>
    <w:qFormat/>
    <w:uiPriority w:val="99"/>
    <w:pPr>
      <w:adjustRightInd w:val="0"/>
      <w:spacing w:line="312" w:lineRule="atLeast"/>
      <w:jc w:val="left"/>
      <w:textAlignment w:val="baseline"/>
    </w:pPr>
    <w:rPr>
      <w:sz w:val="18"/>
      <w:szCs w:val="18"/>
    </w:rPr>
  </w:style>
  <w:style w:type="paragraph" w:styleId="32">
    <w:name w:val="toc 6"/>
    <w:basedOn w:val="1"/>
    <w:next w:val="1"/>
    <w:qFormat/>
    <w:uiPriority w:val="39"/>
    <w:pPr>
      <w:ind w:left="2100" w:leftChars="1000"/>
    </w:pPr>
    <w:rPr>
      <w:rFonts w:ascii="Calibri" w:hAnsi="Calibri" w:eastAsia="宋体" w:cs="Calibri"/>
    </w:rPr>
  </w:style>
  <w:style w:type="paragraph" w:styleId="33">
    <w:name w:val="toc 2"/>
    <w:basedOn w:val="1"/>
    <w:next w:val="1"/>
    <w:unhideWhenUsed/>
    <w:qFormat/>
    <w:uiPriority w:val="39"/>
    <w:pPr>
      <w:ind w:left="420" w:leftChars="200"/>
    </w:pPr>
  </w:style>
  <w:style w:type="paragraph" w:styleId="34">
    <w:name w:val="toc 9"/>
    <w:basedOn w:val="1"/>
    <w:next w:val="1"/>
    <w:qFormat/>
    <w:uiPriority w:val="39"/>
    <w:pPr>
      <w:ind w:left="3360" w:leftChars="1600"/>
    </w:pPr>
    <w:rPr>
      <w:rFonts w:ascii="Calibri" w:hAnsi="Calibri" w:eastAsia="宋体" w:cs="Calibri"/>
    </w:rPr>
  </w:style>
  <w:style w:type="paragraph" w:styleId="3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6">
    <w:name w:val="Title"/>
    <w:basedOn w:val="1"/>
    <w:next w:val="1"/>
    <w:link w:val="78"/>
    <w:qFormat/>
    <w:uiPriority w:val="99"/>
    <w:pPr>
      <w:spacing w:before="240" w:after="60"/>
      <w:jc w:val="center"/>
      <w:outlineLvl w:val="0"/>
    </w:pPr>
    <w:rPr>
      <w:rFonts w:ascii="Cambria" w:hAnsi="Cambria" w:cs="Cambria"/>
      <w:b/>
      <w:bCs/>
      <w:sz w:val="32"/>
      <w:szCs w:val="32"/>
    </w:rPr>
  </w:style>
  <w:style w:type="paragraph" w:styleId="37">
    <w:name w:val="annotation subject"/>
    <w:basedOn w:val="15"/>
    <w:next w:val="15"/>
    <w:link w:val="59"/>
    <w:semiHidden/>
    <w:unhideWhenUsed/>
    <w:qFormat/>
    <w:uiPriority w:val="99"/>
    <w:rPr>
      <w:b/>
      <w:bCs/>
    </w:rPr>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22"/>
    <w:rPr>
      <w:b/>
      <w:bCs/>
    </w:rPr>
  </w:style>
  <w:style w:type="character" w:styleId="42">
    <w:name w:val="page number"/>
    <w:basedOn w:val="40"/>
    <w:qFormat/>
    <w:uiPriority w:val="99"/>
  </w:style>
  <w:style w:type="character" w:styleId="43">
    <w:name w:val="FollowedHyperlink"/>
    <w:qFormat/>
    <w:uiPriority w:val="99"/>
    <w:rPr>
      <w:color w:val="800080"/>
      <w:u w:val="single"/>
    </w:rPr>
  </w:style>
  <w:style w:type="character" w:styleId="44">
    <w:name w:val="Emphasis"/>
    <w:qFormat/>
    <w:uiPriority w:val="99"/>
    <w:rPr>
      <w:i/>
      <w:iCs/>
    </w:rPr>
  </w:style>
  <w:style w:type="character" w:styleId="45">
    <w:name w:val="Hyperlink"/>
    <w:qFormat/>
    <w:uiPriority w:val="99"/>
    <w:rPr>
      <w:color w:val="0000FF"/>
      <w:u w:val="single"/>
    </w:rPr>
  </w:style>
  <w:style w:type="character" w:styleId="46">
    <w:name w:val="annotation reference"/>
    <w:basedOn w:val="40"/>
    <w:unhideWhenUsed/>
    <w:qFormat/>
    <w:uiPriority w:val="99"/>
    <w:rPr>
      <w:sz w:val="21"/>
      <w:szCs w:val="21"/>
    </w:rPr>
  </w:style>
  <w:style w:type="character" w:customStyle="1" w:styleId="47">
    <w:name w:val="标题 1 Char"/>
    <w:basedOn w:val="40"/>
    <w:link w:val="2"/>
    <w:qFormat/>
    <w:uiPriority w:val="9"/>
    <w:rPr>
      <w:b/>
      <w:bCs/>
      <w:kern w:val="44"/>
      <w:sz w:val="44"/>
      <w:szCs w:val="44"/>
    </w:rPr>
  </w:style>
  <w:style w:type="character" w:customStyle="1" w:styleId="48">
    <w:name w:val="标题 2 Char"/>
    <w:basedOn w:val="40"/>
    <w:link w:val="3"/>
    <w:qFormat/>
    <w:uiPriority w:val="9"/>
    <w:rPr>
      <w:rFonts w:asciiTheme="majorHAnsi" w:hAnsiTheme="majorHAnsi" w:eastAsiaTheme="majorEastAsia" w:cstheme="majorBidi"/>
      <w:b/>
      <w:bCs/>
      <w:sz w:val="32"/>
      <w:szCs w:val="32"/>
    </w:rPr>
  </w:style>
  <w:style w:type="character" w:customStyle="1" w:styleId="49">
    <w:name w:val="标题 3 Char"/>
    <w:basedOn w:val="40"/>
    <w:link w:val="4"/>
    <w:qFormat/>
    <w:uiPriority w:val="9"/>
    <w:rPr>
      <w:b/>
      <w:bCs/>
      <w:sz w:val="32"/>
      <w:szCs w:val="32"/>
    </w:rPr>
  </w:style>
  <w:style w:type="character" w:customStyle="1" w:styleId="50">
    <w:name w:val="标题 4 Char"/>
    <w:basedOn w:val="40"/>
    <w:link w:val="5"/>
    <w:qFormat/>
    <w:uiPriority w:val="99"/>
    <w:rPr>
      <w:rFonts w:ascii="Arial" w:hAnsi="Arial" w:eastAsia="宋体" w:cs="Times New Roman"/>
      <w:b/>
      <w:bCs/>
      <w:sz w:val="28"/>
      <w:szCs w:val="28"/>
    </w:rPr>
  </w:style>
  <w:style w:type="character" w:customStyle="1" w:styleId="51">
    <w:name w:val="标题 5 Char"/>
    <w:basedOn w:val="40"/>
    <w:link w:val="6"/>
    <w:qFormat/>
    <w:uiPriority w:val="99"/>
    <w:rPr>
      <w:rFonts w:ascii="Calibri" w:hAnsi="Calibri" w:eastAsia="宋体" w:cs="Times New Roman"/>
      <w:b/>
      <w:bCs/>
      <w:sz w:val="28"/>
      <w:szCs w:val="28"/>
    </w:rPr>
  </w:style>
  <w:style w:type="character" w:customStyle="1" w:styleId="52">
    <w:name w:val="标题 6 Char"/>
    <w:basedOn w:val="40"/>
    <w:link w:val="7"/>
    <w:qFormat/>
    <w:uiPriority w:val="9"/>
    <w:rPr>
      <w:rFonts w:ascii="Cambria" w:hAnsi="Cambria" w:eastAsia="宋体" w:cs="Times New Roman"/>
      <w:b/>
      <w:bCs/>
      <w:kern w:val="0"/>
      <w:sz w:val="24"/>
      <w:szCs w:val="24"/>
      <w:lang w:val="zh-CN" w:eastAsia="zh-CN"/>
    </w:rPr>
  </w:style>
  <w:style w:type="character" w:customStyle="1" w:styleId="53">
    <w:name w:val="标题 7 Char"/>
    <w:basedOn w:val="40"/>
    <w:link w:val="8"/>
    <w:qFormat/>
    <w:uiPriority w:val="9"/>
    <w:rPr>
      <w:rFonts w:ascii="Calibri" w:hAnsi="Calibri" w:eastAsia="宋体" w:cs="Times New Roman"/>
      <w:b/>
      <w:bCs/>
      <w:kern w:val="0"/>
      <w:sz w:val="24"/>
      <w:szCs w:val="24"/>
      <w:lang w:val="zh-CN" w:eastAsia="zh-CN"/>
    </w:rPr>
  </w:style>
  <w:style w:type="character" w:customStyle="1" w:styleId="54">
    <w:name w:val="标题 8 Char"/>
    <w:basedOn w:val="40"/>
    <w:link w:val="9"/>
    <w:qFormat/>
    <w:uiPriority w:val="9"/>
    <w:rPr>
      <w:rFonts w:ascii="Cambria" w:hAnsi="Cambria" w:eastAsia="宋体" w:cs="Times New Roman"/>
      <w:kern w:val="0"/>
      <w:sz w:val="24"/>
      <w:szCs w:val="24"/>
      <w:lang w:val="zh-CN" w:eastAsia="zh-CN"/>
    </w:rPr>
  </w:style>
  <w:style w:type="character" w:customStyle="1" w:styleId="55">
    <w:name w:val="标题 9 Char"/>
    <w:basedOn w:val="40"/>
    <w:link w:val="10"/>
    <w:qFormat/>
    <w:uiPriority w:val="9"/>
    <w:rPr>
      <w:rFonts w:ascii="Cambria" w:hAnsi="Cambria" w:eastAsia="宋体" w:cs="Times New Roman"/>
      <w:kern w:val="0"/>
      <w:sz w:val="20"/>
      <w:lang w:val="zh-CN" w:eastAsia="zh-CN"/>
    </w:rPr>
  </w:style>
  <w:style w:type="character" w:customStyle="1" w:styleId="56">
    <w:name w:val="页眉 Char"/>
    <w:basedOn w:val="40"/>
    <w:link w:val="27"/>
    <w:qFormat/>
    <w:uiPriority w:val="99"/>
    <w:rPr>
      <w:sz w:val="18"/>
      <w:szCs w:val="18"/>
    </w:rPr>
  </w:style>
  <w:style w:type="character" w:customStyle="1" w:styleId="57">
    <w:name w:val="页脚 Char"/>
    <w:basedOn w:val="40"/>
    <w:link w:val="26"/>
    <w:qFormat/>
    <w:uiPriority w:val="99"/>
    <w:rPr>
      <w:sz w:val="18"/>
      <w:szCs w:val="18"/>
    </w:rPr>
  </w:style>
  <w:style w:type="character" w:customStyle="1" w:styleId="58">
    <w:name w:val="批注文字 Char"/>
    <w:basedOn w:val="40"/>
    <w:link w:val="15"/>
    <w:qFormat/>
    <w:uiPriority w:val="99"/>
  </w:style>
  <w:style w:type="character" w:customStyle="1" w:styleId="59">
    <w:name w:val="批注主题 Char"/>
    <w:basedOn w:val="58"/>
    <w:link w:val="37"/>
    <w:semiHidden/>
    <w:qFormat/>
    <w:uiPriority w:val="99"/>
    <w:rPr>
      <w:b/>
      <w:bCs/>
    </w:rPr>
  </w:style>
  <w:style w:type="character" w:customStyle="1" w:styleId="60">
    <w:name w:val="批注框文本 Char"/>
    <w:basedOn w:val="40"/>
    <w:link w:val="25"/>
    <w:semiHidden/>
    <w:qFormat/>
    <w:uiPriority w:val="99"/>
    <w:rPr>
      <w:sz w:val="18"/>
      <w:szCs w:val="18"/>
    </w:rPr>
  </w:style>
  <w:style w:type="character" w:customStyle="1" w:styleId="61">
    <w:name w:val="批注文字 Char Char"/>
    <w:qFormat/>
    <w:uiPriority w:val="99"/>
    <w:rPr>
      <w:rFonts w:ascii="宋体" w:hAnsi="Times New Roman" w:eastAsia="宋体" w:cs="宋体"/>
      <w:sz w:val="20"/>
      <w:szCs w:val="20"/>
    </w:rPr>
  </w:style>
  <w:style w:type="character" w:customStyle="1" w:styleId="62">
    <w:name w:val="Heading 3 Char"/>
    <w:qFormat/>
    <w:uiPriority w:val="99"/>
    <w:rPr>
      <w:b/>
      <w:bCs/>
      <w:kern w:val="2"/>
      <w:sz w:val="32"/>
      <w:szCs w:val="32"/>
    </w:rPr>
  </w:style>
  <w:style w:type="character" w:customStyle="1" w:styleId="63">
    <w:name w:val="Heading 2 Char"/>
    <w:qFormat/>
    <w:uiPriority w:val="99"/>
    <w:rPr>
      <w:rFonts w:ascii="Arial" w:hAnsi="Arial" w:eastAsia="黑体" w:cs="Arial"/>
      <w:b/>
      <w:bCs/>
      <w:kern w:val="2"/>
      <w:sz w:val="32"/>
      <w:szCs w:val="32"/>
      <w:lang w:val="en-US" w:eastAsia="zh-CN"/>
    </w:rPr>
  </w:style>
  <w:style w:type="character" w:customStyle="1" w:styleId="64">
    <w:name w:val="Balloon Text Char"/>
    <w:qFormat/>
    <w:uiPriority w:val="99"/>
    <w:rPr>
      <w:sz w:val="18"/>
      <w:szCs w:val="18"/>
    </w:rPr>
  </w:style>
  <w:style w:type="character" w:customStyle="1" w:styleId="65">
    <w:name w:val="文档结构图 Char1"/>
    <w:qFormat/>
    <w:uiPriority w:val="99"/>
    <w:rPr>
      <w:rFonts w:ascii="宋体" w:hAnsi="Times New Roman" w:eastAsia="宋体" w:cs="宋体"/>
      <w:sz w:val="18"/>
      <w:szCs w:val="18"/>
    </w:rPr>
  </w:style>
  <w:style w:type="character" w:customStyle="1" w:styleId="66">
    <w:name w:val="文档结构图 Char"/>
    <w:link w:val="14"/>
    <w:semiHidden/>
    <w:qFormat/>
    <w:locked/>
    <w:uiPriority w:val="99"/>
    <w:rPr>
      <w:sz w:val="24"/>
      <w:szCs w:val="24"/>
      <w:shd w:val="clear" w:color="auto" w:fill="000080"/>
    </w:rPr>
  </w:style>
  <w:style w:type="character" w:customStyle="1" w:styleId="67">
    <w:name w:val="文档结构图 Char2"/>
    <w:basedOn w:val="40"/>
    <w:semiHidden/>
    <w:qFormat/>
    <w:uiPriority w:val="99"/>
    <w:rPr>
      <w:rFonts w:ascii="Microsoft YaHei UI" w:eastAsia="Microsoft YaHei UI"/>
      <w:sz w:val="18"/>
      <w:szCs w:val="18"/>
    </w:rPr>
  </w:style>
  <w:style w:type="character" w:customStyle="1" w:styleId="68">
    <w:name w:val="Footnote Text Char"/>
    <w:qFormat/>
    <w:uiPriority w:val="99"/>
    <w:rPr>
      <w:rFonts w:eastAsia="宋体"/>
      <w:sz w:val="18"/>
      <w:szCs w:val="18"/>
      <w:lang w:val="en-US" w:eastAsia="zh-CN"/>
    </w:rPr>
  </w:style>
  <w:style w:type="character" w:customStyle="1" w:styleId="69">
    <w:name w:val="Char Char21"/>
    <w:qFormat/>
    <w:uiPriority w:val="99"/>
    <w:rPr>
      <w:rFonts w:ascii="Arial" w:hAnsi="Arial" w:eastAsia="黑体" w:cs="Arial"/>
      <w:b/>
      <w:bCs/>
      <w:sz w:val="32"/>
      <w:szCs w:val="32"/>
    </w:rPr>
  </w:style>
  <w:style w:type="character" w:customStyle="1" w:styleId="70">
    <w:name w:val="批注文字 Char1"/>
    <w:qFormat/>
    <w:uiPriority w:val="99"/>
    <w:rPr>
      <w:rFonts w:ascii="Times New Roman" w:hAnsi="Times New Roman" w:eastAsia="宋体" w:cs="Times New Roman"/>
      <w:sz w:val="24"/>
      <w:szCs w:val="24"/>
    </w:rPr>
  </w:style>
  <w:style w:type="character" w:customStyle="1" w:styleId="71">
    <w:name w:val="Body Text Indent Char"/>
    <w:qFormat/>
    <w:uiPriority w:val="99"/>
    <w:rPr>
      <w:rFonts w:ascii="宋体" w:hAnsi="宋体" w:eastAsia="宋体" w:cs="宋体"/>
      <w:kern w:val="2"/>
      <w:sz w:val="21"/>
      <w:szCs w:val="21"/>
      <w:lang w:val="en-US" w:eastAsia="zh-CN"/>
    </w:rPr>
  </w:style>
  <w:style w:type="character" w:customStyle="1" w:styleId="72">
    <w:name w:val="不明显参考1"/>
    <w:qFormat/>
    <w:uiPriority w:val="99"/>
    <w:rPr>
      <w:smallCaps/>
      <w:color w:val="auto"/>
      <w:u w:val="single"/>
    </w:rPr>
  </w:style>
  <w:style w:type="character" w:customStyle="1" w:styleId="73">
    <w:name w:val="Heading 4 Char"/>
    <w:qFormat/>
    <w:uiPriority w:val="99"/>
    <w:rPr>
      <w:rFonts w:ascii="Arial" w:hAnsi="Arial" w:eastAsia="宋体" w:cs="Arial"/>
      <w:b/>
      <w:bCs/>
      <w:kern w:val="2"/>
      <w:sz w:val="28"/>
      <w:szCs w:val="28"/>
      <w:lang w:val="en-US" w:eastAsia="zh-CN"/>
    </w:rPr>
  </w:style>
  <w:style w:type="character" w:customStyle="1" w:styleId="74">
    <w:name w:val="Char Char20"/>
    <w:qFormat/>
    <w:uiPriority w:val="99"/>
    <w:rPr>
      <w:rFonts w:ascii="Times New Roman" w:hAnsi="Times New Roman" w:eastAsia="宋体" w:cs="Times New Roman"/>
      <w:b/>
      <w:bCs/>
      <w:sz w:val="32"/>
      <w:szCs w:val="32"/>
    </w:rPr>
  </w:style>
  <w:style w:type="character" w:customStyle="1" w:styleId="75">
    <w:name w:val="Comment Subject Char"/>
    <w:qFormat/>
    <w:uiPriority w:val="99"/>
    <w:rPr>
      <w:b/>
      <w:bCs/>
      <w:sz w:val="24"/>
      <w:szCs w:val="24"/>
    </w:rPr>
  </w:style>
  <w:style w:type="character" w:customStyle="1" w:styleId="76">
    <w:name w:val="Heading 1 Char"/>
    <w:qFormat/>
    <w:uiPriority w:val="99"/>
    <w:rPr>
      <w:rFonts w:eastAsia="宋体"/>
      <w:b/>
      <w:bCs/>
      <w:kern w:val="44"/>
      <w:sz w:val="44"/>
      <w:szCs w:val="44"/>
      <w:lang w:val="en-US" w:eastAsia="zh-CN"/>
    </w:rPr>
  </w:style>
  <w:style w:type="character" w:customStyle="1" w:styleId="77">
    <w:name w:val="批注框文本 Char1"/>
    <w:qFormat/>
    <w:uiPriority w:val="99"/>
    <w:rPr>
      <w:rFonts w:ascii="Times New Roman" w:hAnsi="Times New Roman" w:eastAsia="宋体" w:cs="Times New Roman"/>
      <w:sz w:val="18"/>
      <w:szCs w:val="18"/>
    </w:rPr>
  </w:style>
  <w:style w:type="character" w:customStyle="1" w:styleId="78">
    <w:name w:val="标题 Char"/>
    <w:link w:val="36"/>
    <w:qFormat/>
    <w:locked/>
    <w:uiPriority w:val="99"/>
    <w:rPr>
      <w:rFonts w:ascii="Cambria" w:hAnsi="Cambria" w:cs="Cambria"/>
      <w:b/>
      <w:bCs/>
      <w:sz w:val="32"/>
      <w:szCs w:val="32"/>
    </w:rPr>
  </w:style>
  <w:style w:type="character" w:customStyle="1" w:styleId="79">
    <w:name w:val="标题 Char1"/>
    <w:basedOn w:val="40"/>
    <w:qFormat/>
    <w:uiPriority w:val="99"/>
    <w:rPr>
      <w:rFonts w:eastAsia="宋体" w:asciiTheme="majorHAnsi" w:hAnsiTheme="majorHAnsi" w:cstheme="majorBidi"/>
      <w:b/>
      <w:bCs/>
      <w:sz w:val="32"/>
      <w:szCs w:val="32"/>
    </w:rPr>
  </w:style>
  <w:style w:type="character" w:customStyle="1" w:styleId="80">
    <w:name w:val="Char Char6"/>
    <w:qFormat/>
    <w:uiPriority w:val="99"/>
    <w:rPr>
      <w:rFonts w:eastAsia="宋体"/>
      <w:b/>
      <w:bCs/>
      <w:kern w:val="44"/>
      <w:sz w:val="44"/>
      <w:szCs w:val="44"/>
      <w:lang w:val="en-US" w:eastAsia="zh-CN"/>
    </w:rPr>
  </w:style>
  <w:style w:type="character" w:customStyle="1" w:styleId="81">
    <w:name w:val="Char Char18"/>
    <w:qFormat/>
    <w:uiPriority w:val="99"/>
    <w:rPr>
      <w:rFonts w:ascii="Times New Roman" w:hAnsi="Times New Roman" w:eastAsia="宋体" w:cs="Times New Roman"/>
      <w:b/>
      <w:bCs/>
      <w:sz w:val="28"/>
      <w:szCs w:val="28"/>
    </w:rPr>
  </w:style>
  <w:style w:type="character" w:customStyle="1" w:styleId="82">
    <w:name w:val="Body Text Indent 2 Char"/>
    <w:qFormat/>
    <w:uiPriority w:val="99"/>
    <w:rPr>
      <w:rFonts w:eastAsia="宋体"/>
      <w:kern w:val="2"/>
      <w:sz w:val="24"/>
      <w:szCs w:val="24"/>
      <w:lang w:val="en-US" w:eastAsia="zh-CN"/>
    </w:rPr>
  </w:style>
  <w:style w:type="character" w:customStyle="1" w:styleId="83">
    <w:name w:val="Comment Text Char1"/>
    <w:qFormat/>
    <w:uiPriority w:val="99"/>
    <w:rPr>
      <w:sz w:val="24"/>
      <w:szCs w:val="24"/>
    </w:rPr>
  </w:style>
  <w:style w:type="character" w:customStyle="1" w:styleId="84">
    <w:name w:val="批注文字 Char2"/>
    <w:qFormat/>
    <w:locked/>
    <w:uiPriority w:val="0"/>
    <w:rPr>
      <w:rFonts w:eastAsia="宋体"/>
      <w:kern w:val="2"/>
      <w:sz w:val="24"/>
      <w:szCs w:val="24"/>
      <w:lang w:val="en-US" w:eastAsia="zh-CN"/>
    </w:rPr>
  </w:style>
  <w:style w:type="character" w:customStyle="1" w:styleId="85">
    <w:name w:val="正文文本 Char1"/>
    <w:qFormat/>
    <w:uiPriority w:val="99"/>
    <w:rPr>
      <w:kern w:val="2"/>
      <w:sz w:val="22"/>
      <w:szCs w:val="22"/>
    </w:rPr>
  </w:style>
  <w:style w:type="character" w:customStyle="1" w:styleId="86">
    <w:name w:val="标题5 Char Char"/>
    <w:link w:val="87"/>
    <w:qFormat/>
    <w:locked/>
    <w:uiPriority w:val="99"/>
    <w:rPr>
      <w:rFonts w:ascii="Arial" w:hAnsi="Arial" w:cs="Arial"/>
      <w:b/>
      <w:bCs/>
      <w:sz w:val="32"/>
      <w:szCs w:val="32"/>
    </w:rPr>
  </w:style>
  <w:style w:type="paragraph" w:customStyle="1" w:styleId="87">
    <w:name w:val="标题5"/>
    <w:basedOn w:val="4"/>
    <w:link w:val="86"/>
    <w:qFormat/>
    <w:uiPriority w:val="99"/>
    <w:pPr>
      <w:spacing w:line="413" w:lineRule="auto"/>
    </w:pPr>
    <w:rPr>
      <w:rFonts w:ascii="Arial" w:hAnsi="Arial" w:cs="Arial"/>
    </w:rPr>
  </w:style>
  <w:style w:type="character" w:customStyle="1" w:styleId="88">
    <w:name w:val="批注主题 Char1"/>
    <w:qFormat/>
    <w:uiPriority w:val="99"/>
    <w:rPr>
      <w:rFonts w:ascii="Times New Roman" w:hAnsi="Times New Roman" w:eastAsia="宋体" w:cs="Times New Roman"/>
      <w:b/>
      <w:bCs/>
      <w:sz w:val="24"/>
      <w:szCs w:val="24"/>
    </w:rPr>
  </w:style>
  <w:style w:type="character" w:customStyle="1" w:styleId="89">
    <w:name w:val="Char Char24"/>
    <w:qFormat/>
    <w:uiPriority w:val="99"/>
    <w:rPr>
      <w:rFonts w:eastAsia="宋体"/>
      <w:b/>
      <w:bCs/>
      <w:kern w:val="44"/>
      <w:sz w:val="44"/>
      <w:szCs w:val="44"/>
      <w:lang w:val="en-US" w:eastAsia="zh-CN"/>
    </w:rPr>
  </w:style>
  <w:style w:type="character" w:customStyle="1" w:styleId="90">
    <w:name w:val="Footer Char"/>
    <w:qFormat/>
    <w:uiPriority w:val="99"/>
    <w:rPr>
      <w:rFonts w:eastAsia="宋体"/>
      <w:kern w:val="2"/>
      <w:sz w:val="18"/>
      <w:szCs w:val="18"/>
      <w:lang w:val="en-US" w:eastAsia="zh-CN"/>
    </w:rPr>
  </w:style>
  <w:style w:type="character" w:customStyle="1" w:styleId="91">
    <w:name w:val="Char Char9"/>
    <w:qFormat/>
    <w:uiPriority w:val="99"/>
    <w:rPr>
      <w:rFonts w:eastAsia="宋体"/>
      <w:b/>
      <w:bCs/>
      <w:kern w:val="44"/>
      <w:sz w:val="44"/>
      <w:szCs w:val="44"/>
      <w:lang w:val="en-US" w:eastAsia="zh-CN"/>
    </w:rPr>
  </w:style>
  <w:style w:type="character" w:customStyle="1" w:styleId="92">
    <w:name w:val="正文文本 Char"/>
    <w:link w:val="16"/>
    <w:qFormat/>
    <w:locked/>
    <w:uiPriority w:val="99"/>
    <w:rPr>
      <w:rFonts w:eastAsia="宋体"/>
      <w:sz w:val="22"/>
    </w:rPr>
  </w:style>
  <w:style w:type="character" w:customStyle="1" w:styleId="93">
    <w:name w:val="正文文本 Char2"/>
    <w:basedOn w:val="40"/>
    <w:semiHidden/>
    <w:qFormat/>
    <w:uiPriority w:val="99"/>
  </w:style>
  <w:style w:type="character" w:customStyle="1" w:styleId="94">
    <w:name w:val="Heading 3 Char1"/>
    <w:qFormat/>
    <w:uiPriority w:val="99"/>
    <w:rPr>
      <w:rFonts w:eastAsia="宋体"/>
      <w:b/>
      <w:bCs/>
      <w:kern w:val="2"/>
      <w:sz w:val="32"/>
      <w:szCs w:val="32"/>
      <w:lang w:val="en-US" w:eastAsia="zh-CN"/>
    </w:rPr>
  </w:style>
  <w:style w:type="character" w:customStyle="1" w:styleId="95">
    <w:name w:val="Document Map Char"/>
    <w:qFormat/>
    <w:uiPriority w:val="99"/>
    <w:rPr>
      <w:rFonts w:eastAsia="宋体"/>
      <w:kern w:val="2"/>
      <w:sz w:val="24"/>
      <w:szCs w:val="24"/>
      <w:lang w:val="en-US" w:eastAsia="zh-CN"/>
    </w:rPr>
  </w:style>
  <w:style w:type="character" w:customStyle="1" w:styleId="96">
    <w:name w:val="副标题 Char"/>
    <w:link w:val="30"/>
    <w:qFormat/>
    <w:uiPriority w:val="11"/>
    <w:rPr>
      <w:rFonts w:ascii="Cambria" w:hAnsi="Cambria" w:cs="Times New Roman"/>
      <w:b/>
      <w:bCs/>
      <w:kern w:val="28"/>
      <w:sz w:val="32"/>
      <w:szCs w:val="32"/>
    </w:rPr>
  </w:style>
  <w:style w:type="character" w:customStyle="1" w:styleId="97">
    <w:name w:val="副标题 Char1"/>
    <w:basedOn w:val="40"/>
    <w:qFormat/>
    <w:uiPriority w:val="11"/>
    <w:rPr>
      <w:rFonts w:eastAsia="宋体" w:asciiTheme="majorHAnsi" w:hAnsiTheme="majorHAnsi" w:cstheme="majorBidi"/>
      <w:b/>
      <w:bCs/>
      <w:kern w:val="28"/>
      <w:sz w:val="32"/>
      <w:szCs w:val="32"/>
    </w:rPr>
  </w:style>
  <w:style w:type="character" w:customStyle="1" w:styleId="98">
    <w:name w:val="Char Char22"/>
    <w:qFormat/>
    <w:uiPriority w:val="99"/>
    <w:rPr>
      <w:rFonts w:ascii="Times New Roman" w:hAnsi="Times New Roman" w:eastAsia="宋体" w:cs="Times New Roman"/>
      <w:b/>
      <w:bCs/>
      <w:kern w:val="44"/>
      <w:sz w:val="44"/>
      <w:szCs w:val="44"/>
    </w:rPr>
  </w:style>
  <w:style w:type="character" w:customStyle="1" w:styleId="99">
    <w:name w:val="明显引用 Char"/>
    <w:link w:val="100"/>
    <w:qFormat/>
    <w:locked/>
    <w:uiPriority w:val="99"/>
    <w:rPr>
      <w:b/>
      <w:bCs/>
      <w:i/>
      <w:iCs/>
      <w:color w:val="4F81BD"/>
    </w:rPr>
  </w:style>
  <w:style w:type="paragraph" w:customStyle="1" w:styleId="100">
    <w:name w:val="明显引用1"/>
    <w:basedOn w:val="1"/>
    <w:next w:val="1"/>
    <w:link w:val="99"/>
    <w:qFormat/>
    <w:uiPriority w:val="99"/>
    <w:pPr>
      <w:pBdr>
        <w:bottom w:val="single" w:color="4F81BD" w:sz="4" w:space="4"/>
      </w:pBdr>
      <w:spacing w:before="200" w:after="280"/>
      <w:ind w:left="936" w:right="936"/>
    </w:pPr>
    <w:rPr>
      <w:b/>
      <w:bCs/>
      <w:i/>
      <w:iCs/>
      <w:color w:val="4F81BD"/>
    </w:rPr>
  </w:style>
  <w:style w:type="character" w:customStyle="1" w:styleId="101">
    <w:name w:val="标题4 Char Char"/>
    <w:link w:val="102"/>
    <w:qFormat/>
    <w:locked/>
    <w:uiPriority w:val="99"/>
    <w:rPr>
      <w:rFonts w:ascii="Arial" w:hAnsi="Arial" w:cs="Arial"/>
      <w:b/>
      <w:bCs/>
      <w:sz w:val="32"/>
      <w:szCs w:val="32"/>
    </w:rPr>
  </w:style>
  <w:style w:type="paragraph" w:customStyle="1" w:styleId="102">
    <w:name w:val="标题4"/>
    <w:basedOn w:val="3"/>
    <w:next w:val="18"/>
    <w:link w:val="101"/>
    <w:qFormat/>
    <w:uiPriority w:val="99"/>
    <w:pPr>
      <w:spacing w:before="60" w:after="60" w:line="413" w:lineRule="auto"/>
    </w:pPr>
    <w:rPr>
      <w:rFonts w:ascii="Arial" w:hAnsi="Arial" w:cs="Arial" w:eastAsiaTheme="minorEastAsia"/>
    </w:rPr>
  </w:style>
  <w:style w:type="character" w:customStyle="1" w:styleId="103">
    <w:name w:val="Header Char"/>
    <w:qFormat/>
    <w:uiPriority w:val="99"/>
    <w:rPr>
      <w:rFonts w:eastAsia="宋体"/>
      <w:kern w:val="2"/>
      <w:sz w:val="18"/>
      <w:szCs w:val="18"/>
      <w:lang w:val="en-US" w:eastAsia="zh-CN"/>
    </w:rPr>
  </w:style>
  <w:style w:type="character" w:customStyle="1" w:styleId="104">
    <w:name w:val="明显引用 Char1"/>
    <w:qFormat/>
    <w:uiPriority w:val="99"/>
    <w:rPr>
      <w:rFonts w:ascii="Times New Roman" w:hAnsi="Times New Roman" w:eastAsia="宋体" w:cs="Times New Roman"/>
      <w:b/>
      <w:bCs/>
      <w:i/>
      <w:iCs/>
      <w:color w:val="4F81BD"/>
      <w:sz w:val="24"/>
      <w:szCs w:val="24"/>
    </w:rPr>
  </w:style>
  <w:style w:type="character" w:customStyle="1" w:styleId="105">
    <w:name w:val="Comment Text Char"/>
    <w:qFormat/>
    <w:uiPriority w:val="99"/>
    <w:rPr>
      <w:sz w:val="24"/>
      <w:szCs w:val="24"/>
    </w:rPr>
  </w:style>
  <w:style w:type="character" w:customStyle="1" w:styleId="106">
    <w:name w:val="明显参考1"/>
    <w:qFormat/>
    <w:uiPriority w:val="99"/>
    <w:rPr>
      <w:b/>
      <w:bCs/>
      <w:smallCaps/>
      <w:color w:val="auto"/>
      <w:spacing w:val="5"/>
      <w:u w:val="single"/>
    </w:rPr>
  </w:style>
  <w:style w:type="character" w:customStyle="1" w:styleId="107">
    <w:name w:val="明显强调1"/>
    <w:qFormat/>
    <w:uiPriority w:val="99"/>
    <w:rPr>
      <w:b/>
      <w:bCs/>
      <w:i/>
      <w:iCs/>
      <w:color w:val="4F81BD"/>
    </w:rPr>
  </w:style>
  <w:style w:type="character" w:customStyle="1" w:styleId="108">
    <w:name w:val="引用 Char1"/>
    <w:qFormat/>
    <w:uiPriority w:val="99"/>
    <w:rPr>
      <w:rFonts w:ascii="Times New Roman" w:hAnsi="Times New Roman" w:eastAsia="宋体" w:cs="Times New Roman"/>
      <w:i/>
      <w:iCs/>
      <w:color w:val="000000"/>
      <w:sz w:val="24"/>
      <w:szCs w:val="24"/>
    </w:rPr>
  </w:style>
  <w:style w:type="character" w:customStyle="1" w:styleId="109">
    <w:name w:val="引用 Char"/>
    <w:link w:val="110"/>
    <w:qFormat/>
    <w:locked/>
    <w:uiPriority w:val="99"/>
    <w:rPr>
      <w:i/>
      <w:iCs/>
      <w:color w:val="000000"/>
    </w:rPr>
  </w:style>
  <w:style w:type="paragraph" w:customStyle="1" w:styleId="110">
    <w:name w:val="引用1"/>
    <w:basedOn w:val="1"/>
    <w:next w:val="1"/>
    <w:link w:val="109"/>
    <w:qFormat/>
    <w:uiPriority w:val="99"/>
    <w:rPr>
      <w:i/>
      <w:iCs/>
      <w:color w:val="000000"/>
    </w:rPr>
  </w:style>
  <w:style w:type="character" w:customStyle="1" w:styleId="111">
    <w:name w:val="标题 Char2"/>
    <w:qFormat/>
    <w:uiPriority w:val="99"/>
    <w:rPr>
      <w:rFonts w:ascii="Cambria" w:hAnsi="Cambria" w:eastAsia="宋体" w:cs="Cambria"/>
      <w:b/>
      <w:bCs/>
      <w:sz w:val="32"/>
      <w:szCs w:val="32"/>
    </w:rPr>
  </w:style>
  <w:style w:type="character" w:customStyle="1" w:styleId="112">
    <w:name w:val="Char Char23"/>
    <w:qFormat/>
    <w:uiPriority w:val="99"/>
    <w:rPr>
      <w:rFonts w:eastAsia="宋体"/>
      <w:b/>
      <w:bCs/>
      <w:kern w:val="44"/>
      <w:sz w:val="44"/>
      <w:szCs w:val="44"/>
      <w:lang w:val="en-US" w:eastAsia="zh-CN"/>
    </w:rPr>
  </w:style>
  <w:style w:type="character" w:customStyle="1" w:styleId="113">
    <w:name w:val="Plain Text Char"/>
    <w:qFormat/>
    <w:uiPriority w:val="99"/>
    <w:rPr>
      <w:rFonts w:ascii="宋体" w:hAnsi="Courier New" w:eastAsia="宋体" w:cs="宋体"/>
      <w:sz w:val="24"/>
      <w:szCs w:val="24"/>
    </w:rPr>
  </w:style>
  <w:style w:type="character" w:customStyle="1" w:styleId="114">
    <w:name w:val="Char Char91"/>
    <w:qFormat/>
    <w:uiPriority w:val="99"/>
    <w:rPr>
      <w:rFonts w:eastAsia="宋体"/>
      <w:b/>
      <w:bCs/>
      <w:kern w:val="44"/>
      <w:sz w:val="44"/>
      <w:szCs w:val="44"/>
      <w:lang w:val="en-US" w:eastAsia="zh-CN"/>
    </w:rPr>
  </w:style>
  <w:style w:type="character" w:customStyle="1" w:styleId="115">
    <w:name w:val="纯文本 Char1"/>
    <w:qFormat/>
    <w:uiPriority w:val="99"/>
    <w:rPr>
      <w:rFonts w:ascii="宋体" w:hAnsi="Courier New" w:eastAsia="宋体" w:cs="宋体"/>
      <w:sz w:val="21"/>
      <w:szCs w:val="21"/>
    </w:rPr>
  </w:style>
  <w:style w:type="character" w:customStyle="1" w:styleId="116">
    <w:name w:val="Char Char181"/>
    <w:qFormat/>
    <w:uiPriority w:val="99"/>
    <w:rPr>
      <w:b/>
      <w:bCs/>
      <w:kern w:val="44"/>
      <w:sz w:val="44"/>
      <w:szCs w:val="44"/>
    </w:rPr>
  </w:style>
  <w:style w:type="character" w:customStyle="1" w:styleId="117">
    <w:name w:val="Heading 5 Char"/>
    <w:qFormat/>
    <w:uiPriority w:val="99"/>
    <w:rPr>
      <w:rFonts w:eastAsia="宋体"/>
      <w:b/>
      <w:bCs/>
      <w:kern w:val="2"/>
      <w:sz w:val="28"/>
      <w:szCs w:val="28"/>
      <w:lang w:val="en-US" w:eastAsia="zh-CN"/>
    </w:rPr>
  </w:style>
  <w:style w:type="character" w:customStyle="1" w:styleId="118">
    <w:name w:val="Char Char19"/>
    <w:qFormat/>
    <w:uiPriority w:val="99"/>
    <w:rPr>
      <w:rFonts w:ascii="Arial" w:hAnsi="Arial" w:eastAsia="宋体" w:cs="Arial"/>
      <w:b/>
      <w:bCs/>
      <w:sz w:val="28"/>
      <w:szCs w:val="28"/>
    </w:rPr>
  </w:style>
  <w:style w:type="character" w:customStyle="1" w:styleId="119">
    <w:name w:val="纯文本 Char"/>
    <w:link w:val="21"/>
    <w:qFormat/>
    <w:locked/>
    <w:uiPriority w:val="0"/>
    <w:rPr>
      <w:rFonts w:ascii="宋体" w:hAnsi="Courier New" w:eastAsia="宋体" w:cs="宋体"/>
      <w:sz w:val="24"/>
      <w:szCs w:val="24"/>
    </w:rPr>
  </w:style>
  <w:style w:type="character" w:customStyle="1" w:styleId="120">
    <w:name w:val="纯文本 Char2"/>
    <w:basedOn w:val="40"/>
    <w:semiHidden/>
    <w:qFormat/>
    <w:uiPriority w:val="0"/>
    <w:rPr>
      <w:rFonts w:ascii="宋体" w:hAnsi="Courier New" w:eastAsia="宋体" w:cs="Courier New"/>
      <w:szCs w:val="21"/>
    </w:rPr>
  </w:style>
  <w:style w:type="character" w:customStyle="1" w:styleId="121">
    <w:name w:val="日期 Char1"/>
    <w:qFormat/>
    <w:uiPriority w:val="99"/>
    <w:rPr>
      <w:rFonts w:ascii="Times New Roman" w:hAnsi="Times New Roman" w:eastAsia="宋体" w:cs="Times New Roman"/>
      <w:sz w:val="24"/>
      <w:szCs w:val="24"/>
    </w:rPr>
  </w:style>
  <w:style w:type="character" w:customStyle="1" w:styleId="122">
    <w:name w:val="脚注文本 Char"/>
    <w:link w:val="31"/>
    <w:semiHidden/>
    <w:qFormat/>
    <w:locked/>
    <w:uiPriority w:val="99"/>
    <w:rPr>
      <w:sz w:val="18"/>
      <w:szCs w:val="18"/>
    </w:rPr>
  </w:style>
  <w:style w:type="character" w:customStyle="1" w:styleId="123">
    <w:name w:val="脚注文本 Char1"/>
    <w:basedOn w:val="40"/>
    <w:semiHidden/>
    <w:qFormat/>
    <w:uiPriority w:val="99"/>
    <w:rPr>
      <w:sz w:val="18"/>
      <w:szCs w:val="18"/>
    </w:rPr>
  </w:style>
  <w:style w:type="character" w:customStyle="1" w:styleId="124">
    <w:name w:val="正文文本缩进 2 Char"/>
    <w:link w:val="24"/>
    <w:qFormat/>
    <w:locked/>
    <w:uiPriority w:val="99"/>
    <w:rPr>
      <w:sz w:val="24"/>
      <w:szCs w:val="24"/>
    </w:rPr>
  </w:style>
  <w:style w:type="character" w:customStyle="1" w:styleId="125">
    <w:name w:val="正文文本缩进 2 Char1"/>
    <w:basedOn w:val="40"/>
    <w:semiHidden/>
    <w:qFormat/>
    <w:uiPriority w:val="99"/>
  </w:style>
  <w:style w:type="character" w:customStyle="1" w:styleId="126">
    <w:name w:val="Date Char"/>
    <w:qFormat/>
    <w:uiPriority w:val="99"/>
    <w:rPr>
      <w:rFonts w:eastAsia="宋体"/>
      <w:kern w:val="2"/>
      <w:sz w:val="24"/>
      <w:szCs w:val="24"/>
      <w:lang w:val="en-US" w:eastAsia="zh-CN"/>
    </w:rPr>
  </w:style>
  <w:style w:type="character" w:customStyle="1" w:styleId="127">
    <w:name w:val="Title Char"/>
    <w:qFormat/>
    <w:uiPriority w:val="99"/>
    <w:rPr>
      <w:rFonts w:ascii="Cambria" w:hAnsi="Cambria" w:cs="Cambria"/>
      <w:b/>
      <w:bCs/>
      <w:sz w:val="32"/>
      <w:szCs w:val="32"/>
    </w:rPr>
  </w:style>
  <w:style w:type="character" w:customStyle="1" w:styleId="128">
    <w:name w:val="正文文本缩进 Char"/>
    <w:link w:val="17"/>
    <w:qFormat/>
    <w:locked/>
    <w:uiPriority w:val="99"/>
    <w:rPr>
      <w:rFonts w:ascii="宋体" w:eastAsia="宋体" w:cs="宋体"/>
      <w:szCs w:val="21"/>
    </w:rPr>
  </w:style>
  <w:style w:type="character" w:customStyle="1" w:styleId="129">
    <w:name w:val="正文文本缩进 Char1"/>
    <w:basedOn w:val="40"/>
    <w:semiHidden/>
    <w:qFormat/>
    <w:uiPriority w:val="99"/>
  </w:style>
  <w:style w:type="character" w:customStyle="1" w:styleId="130">
    <w:name w:val="书籍标题1"/>
    <w:qFormat/>
    <w:uiPriority w:val="99"/>
    <w:rPr>
      <w:b/>
      <w:bCs/>
      <w:smallCaps/>
      <w:spacing w:val="5"/>
    </w:rPr>
  </w:style>
  <w:style w:type="character" w:customStyle="1" w:styleId="131">
    <w:name w:val="不明显强调1"/>
    <w:qFormat/>
    <w:uiPriority w:val="99"/>
    <w:rPr>
      <w:i/>
      <w:iCs/>
      <w:color w:val="808080"/>
    </w:rPr>
  </w:style>
  <w:style w:type="character" w:customStyle="1" w:styleId="132">
    <w:name w:val="日期 Char"/>
    <w:link w:val="23"/>
    <w:qFormat/>
    <w:locked/>
    <w:uiPriority w:val="99"/>
    <w:rPr>
      <w:sz w:val="24"/>
      <w:szCs w:val="24"/>
    </w:rPr>
  </w:style>
  <w:style w:type="character" w:customStyle="1" w:styleId="133">
    <w:name w:val="日期 Char2"/>
    <w:basedOn w:val="40"/>
    <w:semiHidden/>
    <w:qFormat/>
    <w:uiPriority w:val="99"/>
  </w:style>
  <w:style w:type="character" w:customStyle="1" w:styleId="134">
    <w:name w:val="textcontents"/>
    <w:qFormat/>
    <w:uiPriority w:val="99"/>
  </w:style>
  <w:style w:type="paragraph" w:customStyle="1" w:styleId="135">
    <w:name w:val="样式1"/>
    <w:basedOn w:val="1"/>
    <w:next w:val="5"/>
    <w:qFormat/>
    <w:uiPriority w:val="99"/>
    <w:pPr>
      <w:spacing w:line="360" w:lineRule="auto"/>
      <w:ind w:firstLine="420" w:firstLineChars="200"/>
    </w:pPr>
    <w:rPr>
      <w:rFonts w:ascii="宋体" w:hAnsi="宋体" w:eastAsia="宋体" w:cs="宋体"/>
    </w:rPr>
  </w:style>
  <w:style w:type="paragraph" w:customStyle="1" w:styleId="136">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37">
    <w:name w:val="Char Char Char Char Char Char Char"/>
    <w:basedOn w:val="1"/>
    <w:qFormat/>
    <w:uiPriority w:val="99"/>
    <w:pPr>
      <w:widowControl/>
      <w:spacing w:after="160" w:line="240" w:lineRule="exact"/>
      <w:jc w:val="left"/>
    </w:pPr>
    <w:rPr>
      <w:rFonts w:ascii="Calibri" w:hAnsi="Calibri" w:eastAsia="宋体" w:cs="Times New Roman"/>
    </w:rPr>
  </w:style>
  <w:style w:type="paragraph" w:customStyle="1" w:styleId="138">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39">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0">
    <w:name w:val="TOC 标题1"/>
    <w:basedOn w:val="2"/>
    <w:next w:val="1"/>
    <w:qFormat/>
    <w:uiPriority w:val="99"/>
    <w:pPr>
      <w:spacing w:line="576" w:lineRule="auto"/>
      <w:outlineLvl w:val="9"/>
    </w:pPr>
    <w:rPr>
      <w:rFonts w:ascii="Calibri" w:hAnsi="Calibri" w:eastAsia="黑体" w:cs="Calibri"/>
      <w:lang w:val="zh-CN"/>
    </w:rPr>
  </w:style>
  <w:style w:type="paragraph" w:customStyle="1" w:styleId="141">
    <w:name w:val="空半行"/>
    <w:basedOn w:val="1"/>
    <w:qFormat/>
    <w:uiPriority w:val="99"/>
    <w:pPr>
      <w:adjustRightInd w:val="0"/>
      <w:spacing w:line="120" w:lineRule="exact"/>
      <w:textAlignment w:val="baseline"/>
    </w:pPr>
    <w:rPr>
      <w:rFonts w:ascii="Calibri" w:hAnsi="Calibri" w:eastAsia="仿宋_GB2312" w:cs="Times New Roman"/>
      <w:color w:val="FFFFFF"/>
      <w:kern w:val="0"/>
      <w:sz w:val="30"/>
      <w:szCs w:val="30"/>
    </w:rPr>
  </w:style>
  <w:style w:type="paragraph" w:customStyle="1" w:styleId="142">
    <w:name w:val="p0"/>
    <w:basedOn w:val="1"/>
    <w:qFormat/>
    <w:uiPriority w:val="99"/>
    <w:pPr>
      <w:widowControl/>
    </w:pPr>
    <w:rPr>
      <w:rFonts w:ascii="Calibri" w:hAnsi="Calibri" w:eastAsia="宋体" w:cs="Calibri"/>
      <w:kern w:val="0"/>
    </w:rPr>
  </w:style>
  <w:style w:type="paragraph" w:customStyle="1" w:styleId="143">
    <w:name w:val="Char"/>
    <w:basedOn w:val="1"/>
    <w:qFormat/>
    <w:uiPriority w:val="99"/>
    <w:pPr>
      <w:widowControl/>
      <w:spacing w:after="160" w:line="240" w:lineRule="exact"/>
      <w:jc w:val="left"/>
    </w:pPr>
    <w:rPr>
      <w:rFonts w:ascii="Calibri" w:hAnsi="Calibri" w:eastAsia="宋体" w:cs="Times New Roman"/>
    </w:rPr>
  </w:style>
  <w:style w:type="paragraph" w:customStyle="1" w:styleId="144">
    <w:name w:val="1"/>
    <w:basedOn w:val="1"/>
    <w:next w:val="1"/>
    <w:qFormat/>
    <w:uiPriority w:val="99"/>
    <w:rPr>
      <w:rFonts w:ascii="Calibri" w:hAnsi="Calibri" w:eastAsia="宋体" w:cs="Times New Roman"/>
    </w:rPr>
  </w:style>
  <w:style w:type="paragraph" w:customStyle="1" w:styleId="145">
    <w:name w:val="列出段落2"/>
    <w:basedOn w:val="1"/>
    <w:qFormat/>
    <w:uiPriority w:val="99"/>
    <w:pPr>
      <w:ind w:firstLine="420" w:firstLineChars="200"/>
    </w:pPr>
    <w:rPr>
      <w:rFonts w:ascii="Calibri" w:hAnsi="Calibri" w:eastAsia="宋体" w:cs="Calibri"/>
    </w:rPr>
  </w:style>
  <w:style w:type="paragraph" w:customStyle="1" w:styleId="146">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7">
    <w:name w:val="修订1"/>
    <w:qFormat/>
    <w:uiPriority w:val="99"/>
    <w:rPr>
      <w:rFonts w:ascii="Times New Roman" w:hAnsi="Times New Roman" w:eastAsia="宋体" w:cs="Times New Roman"/>
      <w:kern w:val="2"/>
      <w:sz w:val="21"/>
      <w:szCs w:val="21"/>
      <w:lang w:val="en-US" w:eastAsia="zh-CN" w:bidi="ar-SA"/>
    </w:rPr>
  </w:style>
  <w:style w:type="paragraph" w:customStyle="1" w:styleId="148">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cs="Times New Roman"/>
      <w:b w:val="0"/>
      <w:bCs w:val="0"/>
      <w:kern w:val="0"/>
      <w:sz w:val="28"/>
      <w:szCs w:val="28"/>
      <w:lang w:val="zh-CN"/>
    </w:rPr>
  </w:style>
  <w:style w:type="paragraph" w:customStyle="1" w:styleId="149">
    <w:name w:val="2-2ji"/>
    <w:basedOn w:val="3"/>
    <w:qFormat/>
    <w:uiPriority w:val="99"/>
    <w:pPr>
      <w:spacing w:before="0" w:after="0" w:line="360" w:lineRule="auto"/>
      <w:jc w:val="center"/>
    </w:pPr>
    <w:rPr>
      <w:rFonts w:ascii="宋体" w:hAnsi="宋体" w:eastAsia="宋体" w:cs="宋体"/>
      <w:sz w:val="36"/>
      <w:szCs w:val="36"/>
      <w:lang w:val="zh-CN"/>
    </w:rPr>
  </w:style>
  <w:style w:type="paragraph" w:customStyle="1" w:styleId="150">
    <w:name w:val="reader-word-layer"/>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51">
    <w:name w:val="标题 Char3"/>
    <w:basedOn w:val="40"/>
    <w:qFormat/>
    <w:uiPriority w:val="99"/>
    <w:rPr>
      <w:rFonts w:eastAsia="宋体" w:asciiTheme="majorHAnsi" w:hAnsiTheme="majorHAnsi" w:cstheme="majorBidi"/>
      <w:b/>
      <w:bCs/>
      <w:sz w:val="32"/>
      <w:szCs w:val="32"/>
    </w:rPr>
  </w:style>
  <w:style w:type="paragraph" w:customStyle="1" w:styleId="152">
    <w:name w:val="flNote"/>
    <w:basedOn w:val="1"/>
    <w:qFormat/>
    <w:uiPriority w:val="99"/>
    <w:pPr>
      <w:adjustRightInd w:val="0"/>
      <w:spacing w:before="320" w:after="160" w:line="360" w:lineRule="atLeast"/>
      <w:jc w:val="center"/>
      <w:textAlignment w:val="baseline"/>
    </w:pPr>
    <w:rPr>
      <w:rFonts w:ascii="Arial" w:hAnsi="Calibri" w:eastAsia="黑体" w:cs="Arial"/>
      <w:kern w:val="0"/>
      <w:sz w:val="30"/>
      <w:szCs w:val="30"/>
    </w:rPr>
  </w:style>
  <w:style w:type="paragraph" w:styleId="153">
    <w:name w:val="List Paragraph"/>
    <w:basedOn w:val="1"/>
    <w:qFormat/>
    <w:uiPriority w:val="34"/>
    <w:pPr>
      <w:ind w:firstLine="420" w:firstLineChars="200"/>
    </w:pPr>
    <w:rPr>
      <w:rFonts w:ascii="Calibri" w:hAnsi="Calibri" w:eastAsia="宋体" w:cs="Times New Roman"/>
    </w:rPr>
  </w:style>
  <w:style w:type="paragraph" w:customStyle="1" w:styleId="154">
    <w:name w:val="列出段落1"/>
    <w:basedOn w:val="1"/>
    <w:qFormat/>
    <w:uiPriority w:val="99"/>
    <w:pPr>
      <w:ind w:firstLine="420" w:firstLineChars="200"/>
    </w:pPr>
    <w:rPr>
      <w:rFonts w:ascii="Calibri" w:hAnsi="Calibri" w:eastAsia="宋体" w:cs="Calibri"/>
    </w:rPr>
  </w:style>
  <w:style w:type="paragraph" w:customStyle="1" w:styleId="155">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56">
    <w:name w:val="Char1"/>
    <w:basedOn w:val="1"/>
    <w:qFormat/>
    <w:uiPriority w:val="99"/>
    <w:pPr>
      <w:widowControl/>
      <w:spacing w:after="160" w:line="240" w:lineRule="exact"/>
      <w:jc w:val="left"/>
    </w:pPr>
    <w:rPr>
      <w:rFonts w:ascii="Calibri" w:hAnsi="Calibri" w:eastAsia="宋体" w:cs="Times New Roman"/>
    </w:rPr>
  </w:style>
  <w:style w:type="paragraph" w:customStyle="1" w:styleId="157">
    <w:name w:val="_Style 37"/>
    <w:basedOn w:val="1"/>
    <w:next w:val="1"/>
    <w:qFormat/>
    <w:uiPriority w:val="99"/>
    <w:rPr>
      <w:rFonts w:ascii="Calibri" w:hAnsi="Calibri" w:eastAsia="宋体" w:cs="Times New Roman"/>
    </w:rPr>
  </w:style>
  <w:style w:type="paragraph" w:customStyle="1" w:styleId="158">
    <w:name w:val="样式 标题 3 + (中文) 黑体 小四 非加粗 段前: 7.8 磅 段后: 0 磅 行距: 固定值 20 磅"/>
    <w:basedOn w:val="4"/>
    <w:qFormat/>
    <w:uiPriority w:val="99"/>
    <w:pPr>
      <w:spacing w:before="0" w:after="0" w:line="400" w:lineRule="exact"/>
    </w:pPr>
    <w:rPr>
      <w:rFonts w:ascii="Calibri" w:hAnsi="Calibri" w:eastAsia="黑体" w:cs="Times New Roman"/>
      <w:b w:val="0"/>
      <w:bCs w:val="0"/>
      <w:lang w:val="zh-CN"/>
    </w:rPr>
  </w:style>
  <w:style w:type="character" w:customStyle="1" w:styleId="159">
    <w:name w:val="fontstyle01"/>
    <w:qFormat/>
    <w:uiPriority w:val="0"/>
    <w:rPr>
      <w:rFonts w:hint="eastAsia" w:ascii="宋体" w:hAnsi="宋体" w:eastAsia="宋体"/>
      <w:color w:val="000000"/>
      <w:sz w:val="22"/>
      <w:szCs w:val="22"/>
    </w:rPr>
  </w:style>
  <w:style w:type="character" w:customStyle="1" w:styleId="160">
    <w:name w:val="fontstyle21"/>
    <w:qFormat/>
    <w:uiPriority w:val="0"/>
    <w:rPr>
      <w:rFonts w:hint="default" w:ascii="Times New Roman" w:hAnsi="Times New Roman" w:cs="Times New Roman"/>
      <w:b/>
      <w:bCs/>
      <w:color w:val="000000"/>
      <w:sz w:val="22"/>
      <w:szCs w:val="22"/>
    </w:rPr>
  </w:style>
  <w:style w:type="character" w:customStyle="1" w:styleId="161">
    <w:name w:val="fontstyle31"/>
    <w:qFormat/>
    <w:uiPriority w:val="0"/>
    <w:rPr>
      <w:rFonts w:hint="eastAsia" w:ascii="黑体" w:hAnsi="黑体" w:eastAsia="黑体"/>
      <w:color w:val="000000"/>
      <w:sz w:val="28"/>
      <w:szCs w:val="28"/>
    </w:rPr>
  </w:style>
  <w:style w:type="character" w:customStyle="1" w:styleId="162">
    <w:name w:val="fontstyle41"/>
    <w:qFormat/>
    <w:uiPriority w:val="0"/>
    <w:rPr>
      <w:rFonts w:hint="default" w:ascii="Times New Roman" w:hAnsi="Times New Roman" w:cs="Times New Roman"/>
      <w:color w:val="000000"/>
      <w:sz w:val="18"/>
      <w:szCs w:val="18"/>
    </w:rPr>
  </w:style>
  <w:style w:type="character" w:customStyle="1" w:styleId="163">
    <w:name w:val="fontstyle51"/>
    <w:qFormat/>
    <w:uiPriority w:val="0"/>
    <w:rPr>
      <w:rFonts w:hint="eastAsia" w:ascii="楷体" w:hAnsi="楷体" w:eastAsia="楷体"/>
      <w:color w:val="000000"/>
      <w:sz w:val="22"/>
      <w:szCs w:val="22"/>
    </w:rPr>
  </w:style>
  <w:style w:type="paragraph" w:styleId="16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6">
    <w:name w:val="超链接_0"/>
    <w:qFormat/>
    <w:uiPriority w:val="99"/>
    <w:rPr>
      <w:rFonts w:ascii="Calibri" w:hAnsi="Calibri"/>
      <w:color w:val="0000FF"/>
      <w:u w:val="single"/>
    </w:rPr>
  </w:style>
  <w:style w:type="paragraph" w:customStyle="1" w:styleId="167">
    <w:name w:val="标题 2_0"/>
    <w:basedOn w:val="168"/>
    <w:next w:val="168"/>
    <w:link w:val="169"/>
    <w:qFormat/>
    <w:uiPriority w:val="9"/>
    <w:pPr>
      <w:keepNext/>
      <w:keepLines/>
      <w:spacing w:before="260" w:after="260" w:line="412" w:lineRule="auto"/>
      <w:outlineLvl w:val="1"/>
    </w:pPr>
    <w:rPr>
      <w:rFonts w:ascii="Arial" w:hAnsi="Arial" w:eastAsia="黑体"/>
      <w:b/>
      <w:sz w:val="32"/>
      <w:szCs w:val="20"/>
    </w:rPr>
  </w:style>
  <w:style w:type="paragraph" w:customStyle="1" w:styleId="168">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9">
    <w:name w:val="标题 2 Char_0"/>
    <w:link w:val="167"/>
    <w:qFormat/>
    <w:uiPriority w:val="9"/>
    <w:rPr>
      <w:rFonts w:ascii="Arial" w:hAnsi="Arial" w:eastAsia="黑体" w:cs="Times New Roman"/>
      <w:b/>
      <w:sz w:val="32"/>
      <w:szCs w:val="20"/>
    </w:rPr>
  </w:style>
  <w:style w:type="paragraph" w:customStyle="1" w:styleId="170">
    <w:name w:val="标题 3_0"/>
    <w:basedOn w:val="168"/>
    <w:next w:val="168"/>
    <w:link w:val="171"/>
    <w:unhideWhenUsed/>
    <w:qFormat/>
    <w:uiPriority w:val="9"/>
    <w:pPr>
      <w:keepNext/>
      <w:keepLines/>
      <w:spacing w:before="260" w:after="260" w:line="416" w:lineRule="auto"/>
      <w:outlineLvl w:val="2"/>
    </w:pPr>
    <w:rPr>
      <w:b/>
      <w:bCs/>
      <w:sz w:val="32"/>
      <w:szCs w:val="32"/>
    </w:rPr>
  </w:style>
  <w:style w:type="character" w:customStyle="1" w:styleId="171">
    <w:name w:val="标题 3 Char_0"/>
    <w:link w:val="170"/>
    <w:qFormat/>
    <w:uiPriority w:val="9"/>
    <w:rPr>
      <w:rFonts w:ascii="Calibri" w:hAnsi="Calibri" w:eastAsia="宋体" w:cs="Times New Roman"/>
      <w:b/>
      <w:bCs/>
      <w:sz w:val="32"/>
      <w:szCs w:val="32"/>
    </w:rPr>
  </w:style>
  <w:style w:type="paragraph" w:customStyle="1" w:styleId="17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10781-B88D-49DD-9D73-3B331F66F20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190</Pages>
  <Words>2597</Words>
  <Characters>3673</Characters>
  <Lines>1027</Lines>
  <Paragraphs>289</Paragraphs>
  <TotalTime>2</TotalTime>
  <ScaleCrop>false</ScaleCrop>
  <LinksUpToDate>false</LinksUpToDate>
  <CharactersWithSpaces>3945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2026-01-12T00:54:00Z</dcterms:created>
  <dc:creator>刘</dc:creator>
  <cp:lastModifiedBy>飘</cp:lastModifiedBy>
  <cp:lastPrinted>2026-03-24T08:28:00Z</cp:lastPrinted>
  <dcterms:modified xsi:type="dcterms:W3CDTF">2026-03-25T10:38:30Z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26211444DDF54235B2754E516C2A69B3_13</vt:lpwstr>
  </property>
  <property fmtid="{D5CDD505-2E9C-101B-9397-08002B2CF9AE}" pid="4" name="KSOTemplateDocerSaveRecord">
    <vt:lpwstr>eyJoZGlkIjoiZWQ1ZTY2NGEyMDkwM2E5NzQzNDIyMTVlYmE1YmM1ZGQiLCJ1c2VySWQiOiIzMzkyMzMxNzgifQ==</vt:lpwstr>
  </property>
</Properties>
</file>