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采购需求</w:t>
      </w:r>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20、每件救生衣配备细索系牢的示位灯1只。</w:t>
            </w:r>
          </w:p>
          <w:p>
            <w:pPr>
              <w:pStyle w:val="2"/>
              <w:rPr>
                <w:rFonts w:hint="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w:t>
            </w:r>
            <w:r>
              <w:rPr>
                <w:rFonts w:hint="default" w:asciiTheme="minorHAnsi" w:hAnsiTheme="minorHAnsi" w:eastAsiaTheme="minorEastAsia" w:cstheme="minorBidi"/>
                <w:color w:val="auto"/>
                <w:kern w:val="2"/>
                <w:sz w:val="21"/>
                <w:szCs w:val="22"/>
                <w:lang w:val="en" w:eastAsia="zh-CN" w:bidi="ar-SA"/>
              </w:rPr>
              <w:t>21</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bookmarkStart w:id="0" w:name="OLE_LINK1"/>
            <w:r>
              <w:rPr>
                <w:rFonts w:hint="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2、应用空气动力学设计≥11个透气孔，头盔内腔气流通畅，大温差环境中，具有高舒适度。</w:t>
            </w:r>
          </w:p>
          <w:bookmarkEnd w:id="0"/>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▲13、冲击吸收性能：头模受到最大冲击力最大值≤ 3668.5N。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▲15、顶部抗冲击最大加速度：≥141</w:t>
            </w:r>
            <w:r>
              <w:rPr>
                <w:rFonts w:hint="default"/>
                <w:color w:val="auto"/>
                <w:lang w:val="en" w:eastAsia="zh-CN"/>
              </w:rPr>
              <w:t>gn</w:t>
            </w:r>
            <w:r>
              <w:rPr>
                <w:rFonts w:hint="eastAsia"/>
                <w:color w:val="auto"/>
                <w:lang w:val="en" w:eastAsia="zh-CN"/>
              </w:rPr>
              <w:t>，加速度超过</w:t>
            </w:r>
            <w:r>
              <w:rPr>
                <w:rFonts w:hint="eastAsia"/>
                <w:color w:val="auto"/>
                <w:lang w:val="en-US" w:eastAsia="zh-CN"/>
              </w:rPr>
              <w:t>150</w:t>
            </w:r>
            <w:r>
              <w:rPr>
                <w:rFonts w:hint="default"/>
                <w:color w:val="auto"/>
                <w:lang w:val="en" w:eastAsia="zh-CN"/>
              </w:rPr>
              <w:t>g</w:t>
            </w:r>
            <w:r>
              <w:rPr>
                <w:rFonts w:hint="eastAsia"/>
                <w:color w:val="auto"/>
                <w:lang w:val="en" w:eastAsia="zh-CN"/>
              </w:rPr>
              <w:t>的作用时间</w:t>
            </w:r>
            <w:r>
              <w:rPr>
                <w:rFonts w:hint="eastAsia"/>
                <w:color w:val="auto"/>
                <w:lang w:val="en-US" w:eastAsia="zh-CN"/>
              </w:rPr>
              <w:t>≤5</w:t>
            </w:r>
            <w:r>
              <w:rPr>
                <w:rFonts w:hint="default"/>
                <w:color w:val="auto"/>
                <w:lang w:val="en" w:eastAsia="zh-CN"/>
              </w:rPr>
              <w:t>ms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1" w:name="OLE_LINK30"/>
            <w:r>
              <w:rPr>
                <w:rFonts w:hint="eastAsia"/>
                <w:color w:val="auto"/>
                <w:sz w:val="21"/>
                <w:szCs w:val="21"/>
                <w:lang w:val="en-US" w:eastAsia="zh-CN"/>
              </w:rPr>
              <w:t>约</w:t>
            </w:r>
            <w:bookmarkEnd w:id="1"/>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bl>
    <w:p>
      <w:pPr>
        <w:pStyle w:val="2"/>
        <w:rPr>
          <w:rFonts w:hint="default"/>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A67A7"/>
    <w:rsid w:val="038A6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3">
    <w:name w:val="Body Text"/>
    <w:basedOn w:val="1"/>
    <w:next w:val="4"/>
    <w:unhideWhenUsed/>
    <w:qFormat/>
    <w:uiPriority w:val="0"/>
    <w:pPr>
      <w:spacing w:after="120"/>
    </w:pPr>
    <w:rPr>
      <w:rFonts w:ascii="Times New Roman" w:hAnsi="Times New Roman" w:eastAsia="宋体" w:cs="Times New Roman"/>
      <w:szCs w:val="24"/>
      <w:lang w:val="zh-CN"/>
    </w:rPr>
  </w:style>
  <w:style w:type="paragraph" w:styleId="4">
    <w:name w:val="Body Text First Indent 2"/>
    <w:basedOn w:val="1"/>
    <w:semiHidden/>
    <w:unhideWhenUsed/>
    <w:qFormat/>
    <w:uiPriority w:val="99"/>
    <w:pPr>
      <w:spacing w:after="120"/>
      <w:ind w:left="420" w:leftChars="200" w:firstLine="420" w:firstLineChars="200"/>
    </w:pPr>
    <w:rPr>
      <w:rFonts w:ascii="Times New Roman"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2026-01-30T09:17:00Z</dcterms:created>
  <dc:creator>Administrator</dc:creator>
  <cp:lastModifiedBy>Administrator</cp:lastModifiedBy>
  <dcterms:modified xsi:type="dcterms:W3CDTF">2026-01-30T09:18:11Z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