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9AE4C">
      <w:pPr>
        <w:tabs>
          <w:tab w:val="left" w:pos="5460"/>
        </w:tabs>
        <w:spacing w:line="360" w:lineRule="auto"/>
        <w:jc w:val="center"/>
        <w:rPr>
          <w:rFonts w:hint="eastAsia" w:ascii="方正小标宋简体" w:hAnsi="方正小标宋简体" w:eastAsia="方正小标宋简体" w:cs="方正小标宋简体"/>
          <w:b/>
          <w:color w:val="auto"/>
          <w:sz w:val="44"/>
          <w:szCs w:val="44"/>
          <w:highlight w:val="none"/>
        </w:rPr>
      </w:pPr>
      <w:bookmarkStart w:id="192" w:name="_GoBack"/>
      <w:bookmarkEnd w:id="192"/>
      <w:r>
        <w:rPr>
          <w:rFonts w:hint="eastAsia" w:ascii="方正小标宋简体" w:hAnsi="方正小标宋简体" w:eastAsia="方正小标宋简体" w:cs="方正小标宋简体"/>
          <w:b/>
          <w:color w:val="auto"/>
          <w:sz w:val="44"/>
          <w:szCs w:val="44"/>
          <w:highlight w:val="none"/>
        </w:rPr>
        <w:drawing>
          <wp:inline distT="0" distB="0" distL="114300" distR="114300">
            <wp:extent cx="5635625" cy="1050290"/>
            <wp:effectExtent l="0" t="0" r="0" b="0"/>
            <wp:docPr id="1" name="图片 1" descr="900b284d9d752616ddbde50079fc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00b284d9d752616ddbde50079fced2"/>
                    <pic:cNvPicPr>
                      <a:picLocks noChangeAspect="1"/>
                    </pic:cNvPicPr>
                  </pic:nvPicPr>
                  <pic:blipFill>
                    <a:blip r:embed="rId17"/>
                    <a:stretch>
                      <a:fillRect/>
                    </a:stretch>
                  </pic:blipFill>
                  <pic:spPr>
                    <a:xfrm>
                      <a:off x="0" y="0"/>
                      <a:ext cx="5635625" cy="1050290"/>
                    </a:xfrm>
                    <a:prstGeom prst="rect">
                      <a:avLst/>
                    </a:prstGeom>
                    <a:noFill/>
                    <a:ln>
                      <a:noFill/>
                    </a:ln>
                  </pic:spPr>
                </pic:pic>
              </a:graphicData>
            </a:graphic>
          </wp:inline>
        </w:drawing>
      </w:r>
    </w:p>
    <w:p w14:paraId="6540ADA8">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168C9CB1">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7D539C9E">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2BC2D504">
      <w:pPr>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公开招标采购文件</w:t>
      </w:r>
    </w:p>
    <w:p w14:paraId="530CD93D">
      <w:pPr>
        <w:pStyle w:val="50"/>
        <w:spacing w:line="360" w:lineRule="auto"/>
        <w:jc w:val="center"/>
        <w:rPr>
          <w:rFonts w:hint="eastAsia" w:hAnsi="宋体" w:cs="宋体"/>
          <w:color w:val="auto"/>
          <w:sz w:val="28"/>
          <w:szCs w:val="28"/>
          <w:highlight w:val="none"/>
          <w:lang w:eastAsia="zh-CN"/>
        </w:rPr>
      </w:pPr>
      <w:r>
        <w:rPr>
          <w:rFonts w:hint="eastAsia" w:hAnsi="宋体" w:cs="宋体"/>
          <w:color w:val="auto"/>
          <w:sz w:val="28"/>
          <w:szCs w:val="28"/>
          <w:highlight w:val="none"/>
        </w:rPr>
        <w:t>项目</w:t>
      </w:r>
      <w:r>
        <w:rPr>
          <w:rFonts w:hint="eastAsia" w:hAnsi="宋体" w:cs="宋体"/>
          <w:color w:val="auto"/>
          <w:w w:val="95"/>
          <w:sz w:val="28"/>
          <w:szCs w:val="28"/>
          <w:highlight w:val="none"/>
        </w:rPr>
        <w:t>名称</w:t>
      </w:r>
      <w:r>
        <w:rPr>
          <w:rFonts w:hint="eastAsia" w:hAnsi="宋体" w:cs="宋体"/>
          <w:color w:val="auto"/>
          <w:sz w:val="28"/>
          <w:szCs w:val="28"/>
          <w:highlight w:val="none"/>
        </w:rPr>
        <w:t>：</w:t>
      </w:r>
      <w:r>
        <w:rPr>
          <w:rFonts w:hint="eastAsia" w:hAnsi="宋体" w:cs="宋体"/>
          <w:color w:val="auto"/>
          <w:sz w:val="28"/>
          <w:szCs w:val="28"/>
          <w:highlight w:val="none"/>
          <w:lang w:eastAsia="zh-CN"/>
        </w:rPr>
        <w:t>天等县农业农村局2026年项目管理费（2026年度衔接资金建设项目监理服务）</w:t>
      </w:r>
    </w:p>
    <w:p w14:paraId="1F22BD08">
      <w:pPr>
        <w:spacing w:line="360" w:lineRule="auto"/>
        <w:jc w:val="both"/>
        <w:rPr>
          <w:rFonts w:hint="eastAsia" w:ascii="宋体" w:hAnsi="宋体" w:eastAsia="宋体" w:cs="宋体"/>
          <w:b/>
          <w:color w:val="auto"/>
          <w:sz w:val="48"/>
          <w:szCs w:val="48"/>
          <w:highlight w:val="none"/>
          <w:lang w:eastAsia="zh-CN"/>
        </w:rPr>
      </w:pPr>
      <w:r>
        <w:rPr>
          <w:rFonts w:hint="eastAsia" w:ascii="宋体" w:hAnsi="宋体" w:cs="宋体"/>
          <w:color w:val="auto"/>
          <w:w w:val="95"/>
          <w:sz w:val="28"/>
          <w:szCs w:val="28"/>
          <w:highlight w:val="none"/>
        </w:rPr>
        <w:t>项目</w:t>
      </w:r>
      <w:r>
        <w:rPr>
          <w:rFonts w:hint="eastAsia" w:ascii="宋体" w:hAnsi="宋体" w:cs="宋体"/>
          <w:color w:val="auto"/>
          <w:sz w:val="28"/>
          <w:szCs w:val="28"/>
          <w:highlight w:val="none"/>
        </w:rPr>
        <w:t>编号</w:t>
      </w:r>
      <w:r>
        <w:rPr>
          <w:rFonts w:hint="eastAsia" w:ascii="宋体" w:hAnsi="宋体" w:cs="宋体"/>
          <w:color w:val="auto"/>
          <w:w w:val="95"/>
          <w:sz w:val="28"/>
          <w:szCs w:val="28"/>
          <w:highlight w:val="none"/>
        </w:rPr>
        <w:t>：</w:t>
      </w:r>
      <w:r>
        <w:rPr>
          <w:rFonts w:hint="eastAsia" w:ascii="宋体" w:hAnsi="宋体" w:cs="宋体"/>
          <w:color w:val="auto"/>
          <w:w w:val="95"/>
          <w:sz w:val="28"/>
          <w:szCs w:val="28"/>
          <w:highlight w:val="none"/>
          <w:lang w:eastAsia="zh-CN"/>
        </w:rPr>
        <w:t>CZZC2026-G3-250004-GXCS</w:t>
      </w:r>
    </w:p>
    <w:p w14:paraId="02BCEF74">
      <w:pPr>
        <w:pStyle w:val="50"/>
        <w:spacing w:line="360" w:lineRule="auto"/>
        <w:ind w:firstLine="1832" w:firstLineChars="600"/>
        <w:rPr>
          <w:rFonts w:hint="eastAsia" w:hAnsi="宋体" w:cs="宋体"/>
          <w:b/>
          <w:bCs/>
          <w:color w:val="auto"/>
          <w:w w:val="95"/>
          <w:sz w:val="32"/>
          <w:szCs w:val="32"/>
          <w:highlight w:val="none"/>
        </w:rPr>
      </w:pPr>
    </w:p>
    <w:p w14:paraId="36F595E1">
      <w:pPr>
        <w:pStyle w:val="50"/>
        <w:spacing w:line="360" w:lineRule="auto"/>
        <w:ind w:firstLine="1832" w:firstLineChars="600"/>
        <w:rPr>
          <w:rFonts w:hint="eastAsia" w:hAnsi="宋体" w:cs="宋体"/>
          <w:b/>
          <w:bCs/>
          <w:color w:val="auto"/>
          <w:w w:val="95"/>
          <w:sz w:val="32"/>
          <w:szCs w:val="32"/>
          <w:highlight w:val="none"/>
        </w:rPr>
      </w:pPr>
    </w:p>
    <w:p w14:paraId="1A0C26B0">
      <w:pPr>
        <w:pStyle w:val="50"/>
        <w:spacing w:line="360" w:lineRule="auto"/>
        <w:ind w:firstLine="1832" w:firstLineChars="600"/>
        <w:rPr>
          <w:rFonts w:hint="eastAsia" w:hAnsi="宋体" w:cs="宋体"/>
          <w:b/>
          <w:bCs/>
          <w:color w:val="auto"/>
          <w:w w:val="95"/>
          <w:sz w:val="32"/>
          <w:szCs w:val="32"/>
          <w:highlight w:val="none"/>
        </w:rPr>
      </w:pPr>
    </w:p>
    <w:p w14:paraId="2C3E0D77">
      <w:pPr>
        <w:pStyle w:val="51"/>
        <w:rPr>
          <w:rFonts w:hint="eastAsia" w:hAnsi="宋体" w:cs="宋体"/>
          <w:b/>
          <w:bCs/>
          <w:color w:val="auto"/>
          <w:w w:val="95"/>
          <w:sz w:val="32"/>
          <w:szCs w:val="32"/>
          <w:highlight w:val="none"/>
        </w:rPr>
      </w:pPr>
    </w:p>
    <w:p w14:paraId="1EC15849">
      <w:pPr>
        <w:rPr>
          <w:rFonts w:hint="eastAsia" w:hAnsi="宋体" w:cs="宋体"/>
          <w:b/>
          <w:bCs/>
          <w:color w:val="auto"/>
          <w:w w:val="95"/>
          <w:sz w:val="32"/>
          <w:szCs w:val="32"/>
          <w:highlight w:val="none"/>
        </w:rPr>
      </w:pPr>
    </w:p>
    <w:p w14:paraId="28C03CD5">
      <w:pPr>
        <w:pStyle w:val="2"/>
        <w:rPr>
          <w:rFonts w:hint="eastAsia"/>
          <w:color w:val="auto"/>
        </w:rPr>
      </w:pPr>
    </w:p>
    <w:p w14:paraId="48DBCD1A">
      <w:pPr>
        <w:pStyle w:val="50"/>
        <w:spacing w:line="360" w:lineRule="auto"/>
        <w:ind w:firstLine="1832" w:firstLineChars="600"/>
        <w:rPr>
          <w:rFonts w:hint="eastAsia" w:hAnsi="宋体" w:cs="宋体"/>
          <w:b/>
          <w:bCs/>
          <w:color w:val="auto"/>
          <w:w w:val="95"/>
          <w:sz w:val="32"/>
          <w:szCs w:val="32"/>
          <w:highlight w:val="none"/>
        </w:rPr>
      </w:pPr>
    </w:p>
    <w:p w14:paraId="4D1B16A7">
      <w:pPr>
        <w:pStyle w:val="50"/>
        <w:spacing w:line="360" w:lineRule="auto"/>
        <w:ind w:firstLine="1832" w:firstLineChars="600"/>
        <w:rPr>
          <w:rFonts w:hint="eastAsia" w:hAnsi="宋体" w:cs="宋体"/>
          <w:b/>
          <w:bCs/>
          <w:color w:val="auto"/>
          <w:w w:val="95"/>
          <w:sz w:val="32"/>
          <w:szCs w:val="32"/>
          <w:highlight w:val="none"/>
          <w:lang w:eastAsia="zh-CN"/>
        </w:rPr>
      </w:pPr>
      <w:r>
        <w:rPr>
          <w:rFonts w:hint="eastAsia" w:hAnsi="宋体" w:cs="宋体"/>
          <w:b/>
          <w:bCs/>
          <w:color w:val="auto"/>
          <w:w w:val="95"/>
          <w:sz w:val="32"/>
          <w:szCs w:val="32"/>
          <w:highlight w:val="none"/>
        </w:rPr>
        <w:t>采购单位：</w:t>
      </w:r>
      <w:r>
        <w:rPr>
          <w:rFonts w:hint="eastAsia" w:hAnsi="宋体" w:cs="宋体"/>
          <w:b/>
          <w:bCs/>
          <w:color w:val="auto"/>
          <w:w w:val="95"/>
          <w:sz w:val="32"/>
          <w:szCs w:val="32"/>
          <w:highlight w:val="none"/>
          <w:lang w:eastAsia="zh-CN"/>
        </w:rPr>
        <w:t>天等县农业农村局</w:t>
      </w:r>
    </w:p>
    <w:p w14:paraId="114DABBE">
      <w:pPr>
        <w:pStyle w:val="50"/>
        <w:spacing w:line="360" w:lineRule="auto"/>
        <w:jc w:val="center"/>
        <w:rPr>
          <w:rFonts w:hint="eastAsia" w:hAnsi="宋体" w:cs="宋体"/>
          <w:b/>
          <w:bCs/>
          <w:color w:val="auto"/>
          <w:w w:val="95"/>
          <w:sz w:val="32"/>
          <w:szCs w:val="32"/>
          <w:highlight w:val="none"/>
          <w:lang w:eastAsia="zh-CN"/>
        </w:rPr>
      </w:pPr>
      <w:r>
        <w:rPr>
          <w:rFonts w:hint="eastAsia" w:hAnsi="宋体" w:cs="宋体"/>
          <w:b/>
          <w:bCs/>
          <w:color w:val="auto"/>
          <w:w w:val="95"/>
          <w:sz w:val="32"/>
          <w:szCs w:val="32"/>
          <w:highlight w:val="none"/>
        </w:rPr>
        <w:t>采购代理机构：</w:t>
      </w:r>
      <w:r>
        <w:rPr>
          <w:rFonts w:hint="eastAsia" w:hAnsi="宋体" w:cs="宋体"/>
          <w:b/>
          <w:bCs/>
          <w:color w:val="auto"/>
          <w:w w:val="95"/>
          <w:sz w:val="32"/>
          <w:szCs w:val="32"/>
          <w:highlight w:val="none"/>
          <w:lang w:eastAsia="zh-CN"/>
        </w:rPr>
        <w:t>广西崇善项目咨询有限公司</w:t>
      </w:r>
    </w:p>
    <w:p w14:paraId="2971852B">
      <w:pPr>
        <w:pStyle w:val="50"/>
        <w:spacing w:line="360" w:lineRule="auto"/>
        <w:jc w:val="center"/>
        <w:rPr>
          <w:rFonts w:hint="eastAsia" w:hAnsi="宋体" w:eastAsia="宋体" w:cs="宋体"/>
          <w:color w:val="auto"/>
          <w:sz w:val="36"/>
          <w:szCs w:val="36"/>
          <w:highlight w:val="none"/>
          <w:lang w:eastAsia="zh-CN"/>
        </w:rPr>
      </w:pPr>
      <w:r>
        <w:rPr>
          <w:rFonts w:hint="eastAsia" w:hAnsi="宋体" w:cs="宋体"/>
          <w:b/>
          <w:bCs/>
          <w:color w:val="auto"/>
          <w:w w:val="95"/>
          <w:sz w:val="32"/>
          <w:szCs w:val="32"/>
          <w:highlight w:val="none"/>
          <w:lang w:eastAsia="zh-CN"/>
        </w:rPr>
        <w:t>202</w:t>
      </w:r>
      <w:r>
        <w:rPr>
          <w:rFonts w:hint="eastAsia" w:hAnsi="宋体" w:cs="宋体"/>
          <w:b/>
          <w:bCs/>
          <w:color w:val="auto"/>
          <w:w w:val="95"/>
          <w:sz w:val="32"/>
          <w:szCs w:val="32"/>
          <w:highlight w:val="none"/>
          <w:lang w:val="en-US" w:eastAsia="zh-CN"/>
        </w:rPr>
        <w:t>6</w:t>
      </w:r>
      <w:r>
        <w:rPr>
          <w:rFonts w:hint="eastAsia" w:hAnsi="宋体" w:cs="宋体"/>
          <w:b/>
          <w:bCs/>
          <w:color w:val="auto"/>
          <w:w w:val="95"/>
          <w:sz w:val="32"/>
          <w:szCs w:val="32"/>
          <w:highlight w:val="none"/>
          <w:lang w:eastAsia="zh-CN"/>
        </w:rPr>
        <w:t>年</w:t>
      </w:r>
      <w:r>
        <w:rPr>
          <w:rFonts w:hint="eastAsia" w:hAnsi="宋体" w:cs="宋体"/>
          <w:b/>
          <w:bCs/>
          <w:color w:val="auto"/>
          <w:w w:val="95"/>
          <w:sz w:val="32"/>
          <w:szCs w:val="32"/>
          <w:highlight w:val="none"/>
          <w:lang w:val="en-US" w:eastAsia="zh-CN"/>
        </w:rPr>
        <w:t>3月</w:t>
      </w:r>
    </w:p>
    <w:p w14:paraId="7EE084FE">
      <w:pPr>
        <w:pStyle w:val="50"/>
        <w:spacing w:line="360" w:lineRule="auto"/>
        <w:jc w:val="center"/>
        <w:rPr>
          <w:rFonts w:hint="eastAsia" w:hAnsi="宋体" w:cs="宋体"/>
          <w:b/>
          <w:bCs/>
          <w:color w:val="auto"/>
          <w:sz w:val="36"/>
          <w:szCs w:val="36"/>
          <w:highlight w:val="none"/>
        </w:rPr>
        <w:sectPr>
          <w:footerReference r:id="rId5" w:type="first"/>
          <w:headerReference r:id="rId3" w:type="default"/>
          <w:footerReference r:id="rId4" w:type="default"/>
          <w:pgSz w:w="11906" w:h="16838"/>
          <w:pgMar w:top="1134" w:right="1247" w:bottom="1560" w:left="1247" w:header="851" w:footer="992" w:gutter="0"/>
          <w:cols w:space="720" w:num="1"/>
          <w:titlePg/>
          <w:docGrid w:linePitch="312" w:charSpace="0"/>
        </w:sectPr>
      </w:pPr>
    </w:p>
    <w:p w14:paraId="266C6337">
      <w:pPr>
        <w:pStyle w:val="50"/>
        <w:spacing w:line="360" w:lineRule="auto"/>
        <w:jc w:val="center"/>
        <w:rPr>
          <w:rFonts w:hint="eastAsia" w:hAnsi="宋体" w:cs="宋体"/>
          <w:b/>
          <w:bCs/>
          <w:color w:val="auto"/>
          <w:sz w:val="36"/>
          <w:szCs w:val="36"/>
          <w:highlight w:val="none"/>
        </w:rPr>
      </w:pPr>
      <w:r>
        <w:rPr>
          <w:rFonts w:hint="eastAsia" w:hAnsi="宋体" w:cs="宋体"/>
          <w:b/>
          <w:bCs/>
          <w:color w:val="auto"/>
          <w:sz w:val="36"/>
          <w:szCs w:val="36"/>
          <w:highlight w:val="none"/>
        </w:rPr>
        <w:t>目录</w:t>
      </w:r>
    </w:p>
    <w:p w14:paraId="01B1172F">
      <w:pPr>
        <w:pStyle w:val="9"/>
        <w:tabs>
          <w:tab w:val="right" w:leader="dot" w:pos="9412"/>
        </w:tabs>
        <w:spacing w:line="600" w:lineRule="auto"/>
        <w:rPr>
          <w:b/>
          <w:bCs/>
          <w:color w:val="auto"/>
          <w:sz w:val="24"/>
          <w:szCs w:val="32"/>
        </w:rPr>
      </w:pPr>
      <w:r>
        <w:rPr>
          <w:rFonts w:hint="eastAsia" w:cs="宋体"/>
          <w:b w:val="0"/>
          <w:color w:val="auto"/>
          <w:highlight w:val="none"/>
        </w:rPr>
        <w:fldChar w:fldCharType="begin"/>
      </w:r>
      <w:r>
        <w:rPr>
          <w:rFonts w:hint="eastAsia" w:cs="宋体"/>
          <w:b w:val="0"/>
          <w:color w:val="auto"/>
          <w:highlight w:val="none"/>
        </w:rPr>
        <w:instrText xml:space="preserve"> TOC \o "1-2" \h \z \u </w:instrText>
      </w:r>
      <w:r>
        <w:rPr>
          <w:rFonts w:hint="eastAsia" w:cs="宋体"/>
          <w:b w:val="0"/>
          <w:color w:val="auto"/>
          <w:highlight w:val="none"/>
        </w:rPr>
        <w:fldChar w:fldCharType="separate"/>
      </w:r>
      <w:r>
        <w:rPr>
          <w:rFonts w:hint="eastAsia" w:cs="宋体"/>
          <w:b/>
          <w:bCs/>
          <w:color w:val="auto"/>
          <w:sz w:val="24"/>
          <w:szCs w:val="32"/>
          <w:highlight w:val="none"/>
        </w:rPr>
        <w:fldChar w:fldCharType="begin"/>
      </w:r>
      <w:r>
        <w:rPr>
          <w:rFonts w:hint="eastAsia" w:cs="宋体"/>
          <w:b/>
          <w:bCs/>
          <w:color w:val="auto"/>
          <w:sz w:val="24"/>
          <w:szCs w:val="32"/>
          <w:highlight w:val="none"/>
        </w:rPr>
        <w:instrText xml:space="preserve"> HYPERLINK \l _Toc2084 </w:instrText>
      </w:r>
      <w:r>
        <w:rPr>
          <w:rFonts w:hint="eastAsia" w:cs="宋体"/>
          <w:b/>
          <w:bCs/>
          <w:color w:val="auto"/>
          <w:sz w:val="24"/>
          <w:szCs w:val="32"/>
          <w:highlight w:val="none"/>
        </w:rPr>
        <w:fldChar w:fldCharType="separate"/>
      </w:r>
      <w:r>
        <w:rPr>
          <w:rFonts w:hint="eastAsia" w:ascii="宋体" w:hAnsi="宋体" w:cs="宋体"/>
          <w:b/>
          <w:bCs/>
          <w:color w:val="auto"/>
          <w:sz w:val="24"/>
          <w:szCs w:val="32"/>
          <w:highlight w:val="none"/>
        </w:rPr>
        <w:t>第一章招标公告</w:t>
      </w:r>
      <w:r>
        <w:rPr>
          <w:b/>
          <w:bCs/>
          <w:color w:val="auto"/>
          <w:sz w:val="24"/>
          <w:szCs w:val="32"/>
        </w:rPr>
        <w:tab/>
      </w:r>
      <w:r>
        <w:rPr>
          <w:b/>
          <w:bCs/>
          <w:color w:val="auto"/>
          <w:sz w:val="24"/>
          <w:szCs w:val="32"/>
        </w:rPr>
        <w:fldChar w:fldCharType="begin"/>
      </w:r>
      <w:r>
        <w:rPr>
          <w:b/>
          <w:bCs/>
          <w:color w:val="auto"/>
          <w:sz w:val="24"/>
          <w:szCs w:val="32"/>
        </w:rPr>
        <w:instrText xml:space="preserve"> PAGEREF _Toc2084 \h </w:instrText>
      </w:r>
      <w:r>
        <w:rPr>
          <w:b/>
          <w:bCs/>
          <w:color w:val="auto"/>
          <w:sz w:val="24"/>
          <w:szCs w:val="32"/>
        </w:rPr>
        <w:fldChar w:fldCharType="separate"/>
      </w:r>
      <w:r>
        <w:rPr>
          <w:b/>
          <w:bCs/>
          <w:color w:val="auto"/>
          <w:sz w:val="24"/>
          <w:szCs w:val="32"/>
        </w:rPr>
        <w:t>1</w:t>
      </w:r>
      <w:r>
        <w:rPr>
          <w:b/>
          <w:bCs/>
          <w:color w:val="auto"/>
          <w:sz w:val="24"/>
          <w:szCs w:val="32"/>
        </w:rPr>
        <w:fldChar w:fldCharType="end"/>
      </w:r>
      <w:r>
        <w:rPr>
          <w:rFonts w:hint="eastAsia" w:cs="宋体"/>
          <w:b/>
          <w:bCs/>
          <w:color w:val="auto"/>
          <w:sz w:val="24"/>
          <w:szCs w:val="32"/>
          <w:highlight w:val="none"/>
        </w:rPr>
        <w:fldChar w:fldCharType="end"/>
      </w:r>
    </w:p>
    <w:p w14:paraId="540BC18E">
      <w:pPr>
        <w:pStyle w:val="9"/>
        <w:tabs>
          <w:tab w:val="right" w:leader="dot" w:pos="9412"/>
        </w:tabs>
        <w:spacing w:line="600" w:lineRule="auto"/>
        <w:rPr>
          <w:b/>
          <w:bCs/>
          <w:color w:val="auto"/>
          <w:sz w:val="24"/>
          <w:szCs w:val="32"/>
        </w:rPr>
      </w:pP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HYPERLINK \l _Toc16064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rPr>
        <w:t>第二章</w:t>
      </w:r>
      <w:r>
        <w:rPr>
          <w:rFonts w:hint="eastAsia" w:ascii="宋体" w:hAnsi="宋体" w:cs="宋体"/>
          <w:b/>
          <w:bCs/>
          <w:color w:val="auto"/>
          <w:sz w:val="24"/>
          <w:szCs w:val="32"/>
          <w:highlight w:val="none"/>
        </w:rPr>
        <w:t>采购需求</w:t>
      </w:r>
      <w:r>
        <w:rPr>
          <w:b/>
          <w:bCs/>
          <w:color w:val="auto"/>
          <w:sz w:val="24"/>
          <w:szCs w:val="32"/>
        </w:rPr>
        <w:tab/>
      </w:r>
      <w:r>
        <w:rPr>
          <w:b/>
          <w:bCs/>
          <w:color w:val="auto"/>
          <w:sz w:val="24"/>
          <w:szCs w:val="32"/>
        </w:rPr>
        <w:fldChar w:fldCharType="begin"/>
      </w:r>
      <w:r>
        <w:rPr>
          <w:b/>
          <w:bCs/>
          <w:color w:val="auto"/>
          <w:sz w:val="24"/>
          <w:szCs w:val="32"/>
        </w:rPr>
        <w:instrText xml:space="preserve"> PAGEREF _Toc16064 \h </w:instrText>
      </w:r>
      <w:r>
        <w:rPr>
          <w:b/>
          <w:bCs/>
          <w:color w:val="auto"/>
          <w:sz w:val="24"/>
          <w:szCs w:val="32"/>
        </w:rPr>
        <w:fldChar w:fldCharType="separate"/>
      </w:r>
      <w:r>
        <w:rPr>
          <w:b/>
          <w:bCs/>
          <w:color w:val="auto"/>
          <w:sz w:val="24"/>
          <w:szCs w:val="32"/>
        </w:rPr>
        <w:t>5</w:t>
      </w:r>
      <w:r>
        <w:rPr>
          <w:b/>
          <w:bCs/>
          <w:color w:val="auto"/>
          <w:sz w:val="24"/>
          <w:szCs w:val="32"/>
        </w:rPr>
        <w:fldChar w:fldCharType="end"/>
      </w:r>
      <w:r>
        <w:rPr>
          <w:rFonts w:hint="eastAsia" w:ascii="宋体" w:hAnsi="宋体" w:cs="宋体"/>
          <w:b/>
          <w:bCs/>
          <w:color w:val="auto"/>
          <w:sz w:val="24"/>
          <w:szCs w:val="32"/>
          <w:highlight w:val="none"/>
        </w:rPr>
        <w:fldChar w:fldCharType="end"/>
      </w:r>
    </w:p>
    <w:p w14:paraId="07DDB9A9">
      <w:pPr>
        <w:pStyle w:val="9"/>
        <w:tabs>
          <w:tab w:val="right" w:leader="dot" w:pos="9412"/>
        </w:tabs>
        <w:spacing w:line="600" w:lineRule="auto"/>
        <w:rPr>
          <w:b/>
          <w:bCs/>
          <w:color w:val="auto"/>
          <w:sz w:val="24"/>
          <w:szCs w:val="32"/>
        </w:rPr>
      </w:pP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HYPERLINK \l _Toc8431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第三章投标人须知</w:t>
      </w:r>
      <w:r>
        <w:rPr>
          <w:b/>
          <w:bCs/>
          <w:color w:val="auto"/>
          <w:sz w:val="24"/>
          <w:szCs w:val="32"/>
        </w:rPr>
        <w:tab/>
      </w:r>
      <w:r>
        <w:rPr>
          <w:b/>
          <w:bCs/>
          <w:color w:val="auto"/>
          <w:sz w:val="24"/>
          <w:szCs w:val="32"/>
        </w:rPr>
        <w:fldChar w:fldCharType="begin"/>
      </w:r>
      <w:r>
        <w:rPr>
          <w:b/>
          <w:bCs/>
          <w:color w:val="auto"/>
          <w:sz w:val="24"/>
          <w:szCs w:val="32"/>
        </w:rPr>
        <w:instrText xml:space="preserve"> PAGEREF _Toc8431 \h </w:instrText>
      </w:r>
      <w:r>
        <w:rPr>
          <w:b/>
          <w:bCs/>
          <w:color w:val="auto"/>
          <w:sz w:val="24"/>
          <w:szCs w:val="32"/>
        </w:rPr>
        <w:fldChar w:fldCharType="separate"/>
      </w:r>
      <w:r>
        <w:rPr>
          <w:b/>
          <w:bCs/>
          <w:color w:val="auto"/>
          <w:sz w:val="24"/>
          <w:szCs w:val="32"/>
        </w:rPr>
        <w:t>12</w:t>
      </w:r>
      <w:r>
        <w:rPr>
          <w:b/>
          <w:bCs/>
          <w:color w:val="auto"/>
          <w:sz w:val="24"/>
          <w:szCs w:val="32"/>
        </w:rPr>
        <w:fldChar w:fldCharType="end"/>
      </w:r>
      <w:r>
        <w:rPr>
          <w:rFonts w:hint="eastAsia" w:ascii="宋体" w:hAnsi="宋体" w:cs="宋体"/>
          <w:b/>
          <w:bCs/>
          <w:color w:val="auto"/>
          <w:sz w:val="24"/>
          <w:szCs w:val="32"/>
          <w:highlight w:val="none"/>
        </w:rPr>
        <w:fldChar w:fldCharType="end"/>
      </w:r>
    </w:p>
    <w:p w14:paraId="376C467D">
      <w:pPr>
        <w:pStyle w:val="9"/>
        <w:tabs>
          <w:tab w:val="right" w:leader="dot" w:pos="9412"/>
        </w:tabs>
        <w:spacing w:line="600" w:lineRule="auto"/>
        <w:rPr>
          <w:b/>
          <w:bCs/>
          <w:color w:val="auto"/>
          <w:sz w:val="24"/>
          <w:szCs w:val="32"/>
        </w:rPr>
      </w:pP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HYPERLINK \l _Toc18686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第四章评标方法及评标标准</w:t>
      </w:r>
      <w:r>
        <w:rPr>
          <w:b/>
          <w:bCs/>
          <w:color w:val="auto"/>
          <w:sz w:val="24"/>
          <w:szCs w:val="32"/>
        </w:rPr>
        <w:tab/>
      </w:r>
      <w:r>
        <w:rPr>
          <w:b/>
          <w:bCs/>
          <w:color w:val="auto"/>
          <w:sz w:val="24"/>
          <w:szCs w:val="32"/>
        </w:rPr>
        <w:fldChar w:fldCharType="begin"/>
      </w:r>
      <w:r>
        <w:rPr>
          <w:b/>
          <w:bCs/>
          <w:color w:val="auto"/>
          <w:sz w:val="24"/>
          <w:szCs w:val="32"/>
        </w:rPr>
        <w:instrText xml:space="preserve"> PAGEREF _Toc18686 \h </w:instrText>
      </w:r>
      <w:r>
        <w:rPr>
          <w:b/>
          <w:bCs/>
          <w:color w:val="auto"/>
          <w:sz w:val="24"/>
          <w:szCs w:val="32"/>
        </w:rPr>
        <w:fldChar w:fldCharType="separate"/>
      </w:r>
      <w:r>
        <w:rPr>
          <w:b/>
          <w:bCs/>
          <w:color w:val="auto"/>
          <w:sz w:val="24"/>
          <w:szCs w:val="32"/>
        </w:rPr>
        <w:t>36</w:t>
      </w:r>
      <w:r>
        <w:rPr>
          <w:b/>
          <w:bCs/>
          <w:color w:val="auto"/>
          <w:sz w:val="24"/>
          <w:szCs w:val="32"/>
        </w:rPr>
        <w:fldChar w:fldCharType="end"/>
      </w:r>
      <w:r>
        <w:rPr>
          <w:rFonts w:hint="eastAsia" w:ascii="宋体" w:hAnsi="宋体" w:cs="宋体"/>
          <w:b/>
          <w:bCs/>
          <w:color w:val="auto"/>
          <w:sz w:val="24"/>
          <w:szCs w:val="32"/>
          <w:highlight w:val="none"/>
        </w:rPr>
        <w:fldChar w:fldCharType="end"/>
      </w:r>
    </w:p>
    <w:p w14:paraId="5CA60920">
      <w:pPr>
        <w:pStyle w:val="9"/>
        <w:tabs>
          <w:tab w:val="right" w:leader="dot" w:pos="9412"/>
        </w:tabs>
        <w:spacing w:line="600" w:lineRule="auto"/>
        <w:rPr>
          <w:b/>
          <w:bCs/>
          <w:color w:val="auto"/>
          <w:sz w:val="24"/>
          <w:szCs w:val="32"/>
        </w:rPr>
      </w:pP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HYPERLINK \l _Toc25119 </w:instrText>
      </w:r>
      <w:r>
        <w:rPr>
          <w:rFonts w:hint="eastAsia" w:ascii="宋体" w:hAnsi="宋体" w:cs="宋体"/>
          <w:b/>
          <w:bCs/>
          <w:color w:val="auto"/>
          <w:sz w:val="24"/>
          <w:szCs w:val="32"/>
          <w:highlight w:val="none"/>
        </w:rPr>
        <w:fldChar w:fldCharType="separate"/>
      </w:r>
      <w:r>
        <w:rPr>
          <w:rFonts w:hint="eastAsia"/>
          <w:b/>
          <w:bCs/>
          <w:color w:val="auto"/>
          <w:sz w:val="24"/>
          <w:szCs w:val="32"/>
        </w:rPr>
        <w:t>第五章</w:t>
      </w:r>
      <w:r>
        <w:rPr>
          <w:b/>
          <w:bCs/>
          <w:color w:val="auto"/>
          <w:sz w:val="24"/>
          <w:szCs w:val="32"/>
          <w:highlight w:val="none"/>
        </w:rPr>
        <w:t>拟签订的合同文本</w:t>
      </w:r>
      <w:r>
        <w:rPr>
          <w:b/>
          <w:bCs/>
          <w:color w:val="auto"/>
          <w:sz w:val="24"/>
          <w:szCs w:val="32"/>
        </w:rPr>
        <w:tab/>
      </w:r>
      <w:r>
        <w:rPr>
          <w:b/>
          <w:bCs/>
          <w:color w:val="auto"/>
          <w:sz w:val="24"/>
          <w:szCs w:val="32"/>
        </w:rPr>
        <w:fldChar w:fldCharType="begin"/>
      </w:r>
      <w:r>
        <w:rPr>
          <w:b/>
          <w:bCs/>
          <w:color w:val="auto"/>
          <w:sz w:val="24"/>
          <w:szCs w:val="32"/>
        </w:rPr>
        <w:instrText xml:space="preserve"> PAGEREF _Toc25119 \h </w:instrText>
      </w:r>
      <w:r>
        <w:rPr>
          <w:b/>
          <w:bCs/>
          <w:color w:val="auto"/>
          <w:sz w:val="24"/>
          <w:szCs w:val="32"/>
        </w:rPr>
        <w:fldChar w:fldCharType="separate"/>
      </w:r>
      <w:r>
        <w:rPr>
          <w:b/>
          <w:bCs/>
          <w:color w:val="auto"/>
          <w:sz w:val="24"/>
          <w:szCs w:val="32"/>
        </w:rPr>
        <w:t>43</w:t>
      </w:r>
      <w:r>
        <w:rPr>
          <w:b/>
          <w:bCs/>
          <w:color w:val="auto"/>
          <w:sz w:val="24"/>
          <w:szCs w:val="32"/>
        </w:rPr>
        <w:fldChar w:fldCharType="end"/>
      </w:r>
      <w:r>
        <w:rPr>
          <w:rFonts w:hint="eastAsia" w:ascii="宋体" w:hAnsi="宋体" w:cs="宋体"/>
          <w:b/>
          <w:bCs/>
          <w:color w:val="auto"/>
          <w:sz w:val="24"/>
          <w:szCs w:val="32"/>
          <w:highlight w:val="none"/>
        </w:rPr>
        <w:fldChar w:fldCharType="end"/>
      </w:r>
    </w:p>
    <w:p w14:paraId="4380B080">
      <w:pPr>
        <w:pStyle w:val="9"/>
        <w:tabs>
          <w:tab w:val="right" w:leader="dot" w:pos="9412"/>
        </w:tabs>
        <w:spacing w:line="600" w:lineRule="auto"/>
        <w:rPr>
          <w:color w:val="auto"/>
        </w:rPr>
      </w:pP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HYPERLINK \l _Toc23703 </w:instrText>
      </w:r>
      <w:r>
        <w:rPr>
          <w:rFonts w:hint="eastAsia" w:ascii="宋体" w:hAnsi="宋体" w:cs="宋体"/>
          <w:b/>
          <w:bCs/>
          <w:color w:val="auto"/>
          <w:sz w:val="24"/>
          <w:szCs w:val="32"/>
          <w:highlight w:val="none"/>
        </w:rPr>
        <w:fldChar w:fldCharType="separate"/>
      </w:r>
      <w:r>
        <w:rPr>
          <w:rFonts w:hint="eastAsia"/>
          <w:b/>
          <w:bCs/>
          <w:color w:val="auto"/>
          <w:sz w:val="24"/>
          <w:szCs w:val="32"/>
        </w:rPr>
        <w:t>第六章投标文件格式</w:t>
      </w:r>
      <w:r>
        <w:rPr>
          <w:b/>
          <w:bCs/>
          <w:color w:val="auto"/>
          <w:sz w:val="24"/>
          <w:szCs w:val="32"/>
        </w:rPr>
        <w:tab/>
      </w:r>
      <w:r>
        <w:rPr>
          <w:b/>
          <w:bCs/>
          <w:color w:val="auto"/>
          <w:sz w:val="24"/>
          <w:szCs w:val="32"/>
        </w:rPr>
        <w:fldChar w:fldCharType="begin"/>
      </w:r>
      <w:r>
        <w:rPr>
          <w:b/>
          <w:bCs/>
          <w:color w:val="auto"/>
          <w:sz w:val="24"/>
          <w:szCs w:val="32"/>
        </w:rPr>
        <w:instrText xml:space="preserve"> PAGEREF _Toc23703 \h </w:instrText>
      </w:r>
      <w:r>
        <w:rPr>
          <w:b/>
          <w:bCs/>
          <w:color w:val="auto"/>
          <w:sz w:val="24"/>
          <w:szCs w:val="32"/>
        </w:rPr>
        <w:fldChar w:fldCharType="separate"/>
      </w:r>
      <w:r>
        <w:rPr>
          <w:b/>
          <w:bCs/>
          <w:color w:val="auto"/>
          <w:sz w:val="24"/>
          <w:szCs w:val="32"/>
        </w:rPr>
        <w:t>64</w:t>
      </w:r>
      <w:r>
        <w:rPr>
          <w:b/>
          <w:bCs/>
          <w:color w:val="auto"/>
          <w:sz w:val="24"/>
          <w:szCs w:val="32"/>
        </w:rPr>
        <w:fldChar w:fldCharType="end"/>
      </w:r>
      <w:r>
        <w:rPr>
          <w:rFonts w:hint="eastAsia" w:ascii="宋体" w:hAnsi="宋体" w:cs="宋体"/>
          <w:b/>
          <w:bCs/>
          <w:color w:val="auto"/>
          <w:sz w:val="24"/>
          <w:szCs w:val="32"/>
          <w:highlight w:val="none"/>
        </w:rPr>
        <w:fldChar w:fldCharType="end"/>
      </w:r>
    </w:p>
    <w:p w14:paraId="543FF9C8">
      <w:pPr>
        <w:pStyle w:val="10"/>
        <w:tabs>
          <w:tab w:val="right" w:leader="dot" w:pos="9412"/>
        </w:tabs>
        <w:rPr>
          <w:color w:val="auto"/>
        </w:rPr>
      </w:pPr>
    </w:p>
    <w:p w14:paraId="7547F173">
      <w:pPr>
        <w:pStyle w:val="15"/>
        <w:keepNext w:val="0"/>
        <w:keepLines w:val="0"/>
        <w:tabs>
          <w:tab w:val="left" w:pos="0"/>
          <w:tab w:val="left" w:pos="3165"/>
          <w:tab w:val="center" w:pos="4153"/>
        </w:tabs>
        <w:autoSpaceDE w:val="0"/>
        <w:autoSpaceDN w:val="0"/>
        <w:spacing w:before="0" w:after="0" w:line="360" w:lineRule="auto"/>
        <w:jc w:val="center"/>
        <w:rPr>
          <w:rFonts w:hint="eastAsia" w:ascii="宋体" w:hAnsi="宋体" w:eastAsia="宋体" w:cs="宋体"/>
          <w:color w:val="auto"/>
          <w:highlight w:val="none"/>
          <w:lang w:eastAsia="zh-CN"/>
        </w:rPr>
        <w:sectPr>
          <w:footerReference r:id="rId7" w:type="first"/>
          <w:footerReference r:id="rId6" w:type="default"/>
          <w:pgSz w:w="11906" w:h="16838"/>
          <w:pgMar w:top="1134" w:right="1247" w:bottom="1560" w:left="1247" w:header="851" w:footer="992" w:gutter="0"/>
          <w:cols w:space="720" w:num="1"/>
          <w:titlePg/>
          <w:docGrid w:linePitch="312" w:charSpace="0"/>
        </w:sectPr>
      </w:pPr>
      <w:r>
        <w:rPr>
          <w:rFonts w:hint="eastAsia" w:ascii="宋体" w:hAnsi="宋体" w:cs="宋体"/>
          <w:color w:val="auto"/>
          <w:highlight w:val="none"/>
        </w:rPr>
        <w:fldChar w:fldCharType="end"/>
      </w:r>
      <w:bookmarkStart w:id="0" w:name="_Toc254970630"/>
      <w:bookmarkStart w:id="1" w:name="_Toc254970489"/>
      <w:bookmarkStart w:id="2" w:name="_Toc19686829"/>
    </w:p>
    <w:p w14:paraId="3A31290A">
      <w:pPr>
        <w:pStyle w:val="15"/>
        <w:keepNext w:val="0"/>
        <w:keepLines w:val="0"/>
        <w:tabs>
          <w:tab w:val="left" w:pos="0"/>
          <w:tab w:val="left" w:pos="3165"/>
          <w:tab w:val="center" w:pos="4153"/>
        </w:tabs>
        <w:autoSpaceDE w:val="0"/>
        <w:autoSpaceDN w:val="0"/>
        <w:spacing w:before="0" w:after="0" w:line="360" w:lineRule="auto"/>
        <w:jc w:val="center"/>
        <w:rPr>
          <w:rFonts w:hint="eastAsia" w:ascii="宋体" w:hAnsi="宋体" w:cs="宋体"/>
          <w:color w:val="auto"/>
          <w:highlight w:val="none"/>
        </w:rPr>
      </w:pPr>
      <w:bookmarkStart w:id="3" w:name="_Toc6923"/>
      <w:bookmarkStart w:id="4" w:name="_Toc21788"/>
      <w:bookmarkStart w:id="5" w:name="_Toc2084"/>
      <w:r>
        <w:rPr>
          <w:rFonts w:hint="eastAsia" w:ascii="宋体" w:hAnsi="宋体" w:cs="宋体"/>
          <w:color w:val="auto"/>
          <w:highlight w:val="none"/>
        </w:rPr>
        <w:t>第一章</w:t>
      </w:r>
      <w:bookmarkEnd w:id="0"/>
      <w:bookmarkEnd w:id="1"/>
      <w:bookmarkEnd w:id="2"/>
      <w:bookmarkStart w:id="6" w:name="_Toc28359001"/>
      <w:bookmarkStart w:id="7" w:name="_Toc35393789"/>
      <w:r>
        <w:rPr>
          <w:rFonts w:hint="eastAsia" w:ascii="宋体" w:hAnsi="宋体" w:cs="宋体"/>
          <w:color w:val="auto"/>
          <w:highlight w:val="none"/>
        </w:rPr>
        <w:t>招标公告</w:t>
      </w:r>
      <w:bookmarkEnd w:id="3"/>
      <w:bookmarkEnd w:id="4"/>
      <w:bookmarkEnd w:id="5"/>
      <w:bookmarkEnd w:id="6"/>
      <w:bookmarkEnd w:id="7"/>
    </w:p>
    <w:p w14:paraId="28692408">
      <w:pPr>
        <w:pageBreakBefore w:val="0"/>
        <w:kinsoku/>
        <w:wordWrap/>
        <w:overflowPunct/>
        <w:topLinePunct w:val="0"/>
        <w:autoSpaceDE/>
        <w:autoSpaceDN/>
        <w:bidi w:val="0"/>
        <w:spacing w:before="120" w:after="120" w:line="336" w:lineRule="auto"/>
        <w:jc w:val="center"/>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lang w:eastAsia="zh-CN"/>
        </w:rPr>
        <w:t>广西崇善项目咨询有限公司</w:t>
      </w:r>
    </w:p>
    <w:p w14:paraId="506C5325">
      <w:pPr>
        <w:pageBreakBefore w:val="0"/>
        <w:kinsoku/>
        <w:wordWrap/>
        <w:overflowPunct/>
        <w:topLinePunct w:val="0"/>
        <w:autoSpaceDE/>
        <w:autoSpaceDN/>
        <w:bidi w:val="0"/>
        <w:spacing w:before="120" w:after="120" w:line="336"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关于</w:t>
      </w:r>
      <w:r>
        <w:rPr>
          <w:rFonts w:hint="eastAsia" w:ascii="宋体" w:hAnsi="宋体"/>
          <w:b/>
          <w:color w:val="auto"/>
          <w:sz w:val="28"/>
          <w:szCs w:val="28"/>
          <w:highlight w:val="none"/>
          <w:lang w:eastAsia="zh-CN"/>
        </w:rPr>
        <w:t>天等县农业农村局2026年项目管理费（2026年度衔接资金建设项目监理服务）</w:t>
      </w:r>
      <w:r>
        <w:rPr>
          <w:rFonts w:hint="eastAsia" w:ascii="宋体" w:hAnsi="宋体"/>
          <w:b/>
          <w:color w:val="auto"/>
          <w:sz w:val="28"/>
          <w:szCs w:val="28"/>
          <w:highlight w:val="none"/>
        </w:rPr>
        <w:t>（项目编号：</w:t>
      </w:r>
      <w:r>
        <w:rPr>
          <w:rFonts w:hint="eastAsia" w:ascii="宋体" w:hAnsi="宋体"/>
          <w:b/>
          <w:bCs/>
          <w:color w:val="auto"/>
          <w:w w:val="95"/>
          <w:sz w:val="28"/>
          <w:szCs w:val="28"/>
          <w:highlight w:val="none"/>
          <w:lang w:eastAsia="zh-CN"/>
        </w:rPr>
        <w:t>CZZC2026-G3-250004-GXCS</w:t>
      </w:r>
      <w:r>
        <w:rPr>
          <w:rFonts w:hint="eastAsia" w:ascii="宋体" w:hAnsi="宋体"/>
          <w:b/>
          <w:color w:val="auto"/>
          <w:sz w:val="28"/>
          <w:szCs w:val="28"/>
          <w:highlight w:val="none"/>
        </w:rPr>
        <w:t>）招标公告</w:t>
      </w:r>
    </w:p>
    <w:p w14:paraId="3877EDA7">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36" w:lineRule="auto"/>
        <w:rPr>
          <w:rFonts w:hint="eastAsia" w:ascii="宋体" w:hAnsi="宋体" w:cs="宋体"/>
          <w:color w:val="auto"/>
          <w:szCs w:val="21"/>
          <w:highlight w:val="none"/>
        </w:rPr>
      </w:pPr>
      <w:r>
        <w:rPr>
          <w:rFonts w:hint="eastAsia" w:ascii="宋体" w:hAnsi="宋体" w:cs="宋体"/>
          <w:color w:val="auto"/>
          <w:szCs w:val="21"/>
          <w:highlight w:val="none"/>
        </w:rPr>
        <w:t>项目概况：</w:t>
      </w:r>
    </w:p>
    <w:p w14:paraId="173F2ACB">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3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u w:val="single"/>
          <w:lang w:eastAsia="zh-CN"/>
        </w:rPr>
        <w:t>天等县农业农村局2026年项目管理费（2026年度衔接资金建设项目监理服务）</w:t>
      </w:r>
      <w:r>
        <w:rPr>
          <w:rFonts w:hint="eastAsia" w:ascii="宋体" w:hAnsi="宋体" w:cs="宋体"/>
          <w:bCs/>
          <w:color w:val="auto"/>
          <w:szCs w:val="21"/>
          <w:highlight w:val="none"/>
        </w:rPr>
        <w:t>的潜在投标人</w:t>
      </w:r>
      <w:r>
        <w:rPr>
          <w:rFonts w:hint="eastAsia" w:ascii="宋体" w:hAnsi="宋体" w:cs="宋体"/>
          <w:color w:val="auto"/>
          <w:szCs w:val="21"/>
          <w:highlight w:val="none"/>
        </w:rPr>
        <w:t>应登录</w:t>
      </w:r>
      <w:r>
        <w:rPr>
          <w:rFonts w:hint="eastAsia" w:ascii="宋体" w:hAnsi="宋体" w:cs="宋体"/>
          <w:color w:val="auto"/>
          <w:szCs w:val="21"/>
          <w:highlight w:val="none"/>
          <w:u w:val="single"/>
          <w:lang w:eastAsia="zh-CN"/>
        </w:rPr>
        <w:t>广西政府采购云平台</w:t>
      </w:r>
      <w:r>
        <w:rPr>
          <w:rFonts w:hint="eastAsia" w:ascii="宋体" w:hAnsi="宋体" w:cs="宋体"/>
          <w:color w:val="auto"/>
          <w:szCs w:val="21"/>
          <w:highlight w:val="none"/>
          <w:u w:val="single"/>
        </w:rPr>
        <w:t>线上</w:t>
      </w:r>
      <w:r>
        <w:rPr>
          <w:rFonts w:hint="eastAsia" w:ascii="宋体" w:hAnsi="宋体" w:cs="宋体"/>
          <w:color w:val="auto"/>
          <w:szCs w:val="21"/>
          <w:highlight w:val="none"/>
        </w:rPr>
        <w:t>获取采购文件，</w:t>
      </w:r>
      <w:r>
        <w:rPr>
          <w:rFonts w:hint="eastAsia" w:ascii="宋体" w:hAnsi="宋体" w:cs="宋体"/>
          <w:bCs/>
          <w:color w:val="auto"/>
          <w:szCs w:val="21"/>
          <w:highlight w:val="none"/>
        </w:rPr>
        <w:t>并于</w:t>
      </w:r>
      <w:r>
        <w:rPr>
          <w:rFonts w:hint="eastAsia" w:ascii="宋体" w:hAnsi="宋体" w:cs="宋体"/>
          <w:bCs/>
          <w:color w:val="auto"/>
          <w:szCs w:val="21"/>
          <w:highlight w:val="none"/>
          <w:lang w:eastAsia="zh-CN"/>
        </w:rPr>
        <w:t>2026年3月</w:t>
      </w:r>
      <w:r>
        <w:rPr>
          <w:rFonts w:hint="eastAsia" w:ascii="宋体" w:hAnsi="宋体" w:cs="宋体"/>
          <w:bCs/>
          <w:color w:val="auto"/>
          <w:szCs w:val="21"/>
          <w:highlight w:val="none"/>
          <w:lang w:val="en-US" w:eastAsia="zh-CN"/>
        </w:rPr>
        <w:t>23</w:t>
      </w:r>
      <w:r>
        <w:rPr>
          <w:rFonts w:hint="eastAsia" w:ascii="宋体" w:hAnsi="宋体" w:cs="宋体"/>
          <w:bCs/>
          <w:color w:val="auto"/>
          <w:szCs w:val="21"/>
          <w:highlight w:val="none"/>
          <w:lang w:eastAsia="zh-CN"/>
        </w:rPr>
        <w:t>日9时30分</w:t>
      </w:r>
      <w:r>
        <w:rPr>
          <w:rFonts w:hint="eastAsia" w:ascii="宋体" w:hAnsi="宋体" w:cs="宋体"/>
          <w:bCs/>
          <w:color w:val="auto"/>
          <w:szCs w:val="21"/>
          <w:highlight w:val="none"/>
        </w:rPr>
        <w:t>（北京时间）前递交投标文件。</w:t>
      </w:r>
    </w:p>
    <w:p w14:paraId="6228D2AD">
      <w:pPr>
        <w:pStyle w:val="16"/>
        <w:pageBreakBefore w:val="0"/>
        <w:kinsoku/>
        <w:wordWrap/>
        <w:overflowPunct/>
        <w:topLinePunct w:val="0"/>
        <w:autoSpaceDE/>
        <w:autoSpaceDN/>
        <w:bidi w:val="0"/>
        <w:spacing w:before="0" w:after="0" w:line="336" w:lineRule="auto"/>
        <w:rPr>
          <w:rFonts w:hint="eastAsia" w:ascii="宋体" w:hAnsi="宋体" w:eastAsia="宋体"/>
          <w:color w:val="auto"/>
          <w:sz w:val="21"/>
          <w:szCs w:val="21"/>
          <w:highlight w:val="none"/>
        </w:rPr>
      </w:pPr>
      <w:bookmarkStart w:id="8" w:name="_Toc31957"/>
      <w:bookmarkStart w:id="9" w:name="_Toc28359002"/>
      <w:bookmarkStart w:id="10" w:name="_Toc35393790"/>
      <w:bookmarkStart w:id="11" w:name="_Toc15864"/>
      <w:bookmarkStart w:id="12" w:name="_Toc30229"/>
      <w:bookmarkStart w:id="13" w:name="_Toc35393621"/>
      <w:bookmarkStart w:id="14" w:name="_Toc28359079"/>
      <w:bookmarkStart w:id="15" w:name="_Hlk24379207"/>
      <w:r>
        <w:rPr>
          <w:rFonts w:hint="eastAsia" w:ascii="宋体" w:hAnsi="宋体" w:eastAsia="宋体"/>
          <w:color w:val="auto"/>
          <w:sz w:val="21"/>
          <w:szCs w:val="21"/>
          <w:highlight w:val="none"/>
        </w:rPr>
        <w:t>一、项目基本情况</w:t>
      </w:r>
      <w:bookmarkEnd w:id="8"/>
      <w:bookmarkEnd w:id="9"/>
      <w:bookmarkEnd w:id="10"/>
      <w:bookmarkEnd w:id="11"/>
      <w:bookmarkEnd w:id="12"/>
      <w:bookmarkEnd w:id="13"/>
      <w:bookmarkEnd w:id="14"/>
    </w:p>
    <w:bookmarkEnd w:id="15"/>
    <w:p w14:paraId="06974734">
      <w:pPr>
        <w:pageBreakBefore w:val="0"/>
        <w:widowControl/>
        <w:kinsoku/>
        <w:wordWrap/>
        <w:overflowPunct/>
        <w:topLinePunct w:val="0"/>
        <w:autoSpaceDE/>
        <w:autoSpaceDN/>
        <w:bidi w:val="0"/>
        <w:spacing w:before="75" w:after="75" w:line="336" w:lineRule="auto"/>
        <w:ind w:firstLine="420" w:firstLineChars="200"/>
        <w:rPr>
          <w:rFonts w:hint="eastAsia" w:ascii="宋体" w:hAnsi="宋体" w:eastAsia="宋体" w:cs="宋体"/>
          <w:color w:val="auto"/>
          <w:szCs w:val="21"/>
          <w:highlight w:val="none"/>
          <w:lang w:eastAsia="zh-CN"/>
        </w:rPr>
      </w:pPr>
      <w:bookmarkStart w:id="16" w:name="_Toc7781"/>
      <w:bookmarkStart w:id="17" w:name="_Toc28359003"/>
      <w:bookmarkStart w:id="18" w:name="_Toc27203"/>
      <w:bookmarkStart w:id="19" w:name="_Toc35393622"/>
      <w:bookmarkStart w:id="20" w:name="_Toc28359080"/>
      <w:bookmarkStart w:id="21" w:name="_Toc35393791"/>
      <w:r>
        <w:rPr>
          <w:rFonts w:hint="eastAsia" w:ascii="宋体" w:hAnsi="宋体" w:eastAsia="宋体" w:cs="宋体"/>
          <w:color w:val="auto"/>
          <w:szCs w:val="21"/>
          <w:highlight w:val="none"/>
          <w:lang w:eastAsia="zh-CN"/>
        </w:rPr>
        <w:t>项目编号：</w:t>
      </w:r>
      <w:r>
        <w:rPr>
          <w:rFonts w:hint="eastAsia" w:ascii="宋体" w:hAnsi="宋体" w:cs="宋体"/>
          <w:color w:val="auto"/>
          <w:szCs w:val="21"/>
          <w:highlight w:val="none"/>
          <w:lang w:eastAsia="zh-CN"/>
        </w:rPr>
        <w:t>CZZC2026-G3-250004-GXCS</w:t>
      </w:r>
    </w:p>
    <w:p w14:paraId="2F2A5DF2">
      <w:pPr>
        <w:pageBreakBefore w:val="0"/>
        <w:widowControl/>
        <w:kinsoku/>
        <w:wordWrap/>
        <w:overflowPunct/>
        <w:topLinePunct w:val="0"/>
        <w:autoSpaceDE/>
        <w:autoSpaceDN/>
        <w:bidi w:val="0"/>
        <w:spacing w:before="75" w:after="75" w:line="336"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项目名称：天等县农业农村局2026年项目管理费（2026年度衔接资金建设项目监理服务）</w:t>
      </w:r>
    </w:p>
    <w:p w14:paraId="69A24041">
      <w:pPr>
        <w:pageBreakBefore w:val="0"/>
        <w:widowControl/>
        <w:kinsoku/>
        <w:wordWrap/>
        <w:overflowPunct/>
        <w:topLinePunct w:val="0"/>
        <w:autoSpaceDE/>
        <w:autoSpaceDN/>
        <w:bidi w:val="0"/>
        <w:spacing w:before="75" w:after="75" w:line="336"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预算总金额：人民币</w:t>
      </w:r>
      <w:r>
        <w:rPr>
          <w:rFonts w:hint="eastAsia" w:ascii="宋体" w:hAnsi="宋体" w:cs="宋体"/>
          <w:color w:val="auto"/>
          <w:sz w:val="21"/>
          <w:szCs w:val="21"/>
          <w:highlight w:val="none"/>
          <w:lang w:val="en-US" w:eastAsia="zh-CN"/>
        </w:rPr>
        <w:t>壹佰肆拾陆万壹仟陆佰元整（¥1461600.00）</w:t>
      </w:r>
    </w:p>
    <w:p w14:paraId="4D04BA93">
      <w:pPr>
        <w:pageBreakBefore w:val="0"/>
        <w:widowControl/>
        <w:kinsoku/>
        <w:wordWrap/>
        <w:overflowPunct/>
        <w:topLinePunct w:val="0"/>
        <w:autoSpaceDE/>
        <w:autoSpaceDN/>
        <w:bidi w:val="0"/>
        <w:spacing w:before="75" w:after="75" w:line="336"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标项一：</w:t>
      </w:r>
    </w:p>
    <w:p w14:paraId="70356289">
      <w:pPr>
        <w:keepNext w:val="0"/>
        <w:keepLines w:val="0"/>
        <w:pageBreakBefore w:val="0"/>
        <w:widowControl/>
        <w:suppressLineNumbers w:val="0"/>
        <w:kinsoku/>
        <w:wordWrap w:val="0"/>
        <w:overflowPunct/>
        <w:topLinePunct w:val="0"/>
        <w:autoSpaceDE/>
        <w:autoSpaceDN/>
        <w:bidi w:val="0"/>
        <w:spacing w:before="75" w:beforeAutospacing="0" w:after="75" w:afterAutospacing="0" w:line="336" w:lineRule="auto"/>
        <w:ind w:left="420" w:leftChars="200" w:right="0" w:firstLine="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标项名称:</w:t>
      </w:r>
      <w:r>
        <w:rPr>
          <w:rFonts w:hint="eastAsia" w:ascii="宋体" w:hAnsi="宋体" w:cs="宋体"/>
          <w:color w:val="auto"/>
          <w:szCs w:val="21"/>
          <w:highlight w:val="none"/>
          <w:lang w:eastAsia="zh-CN"/>
        </w:rPr>
        <w:t>2026年衔接资金项目监理费（第一组）</w:t>
      </w:r>
      <w:r>
        <w:rPr>
          <w:rFonts w:hint="eastAsia" w:ascii="宋体" w:hAnsi="宋体" w:eastAsia="宋体" w:cs="宋体"/>
          <w:color w:val="auto"/>
          <w:szCs w:val="21"/>
          <w:highlight w:val="none"/>
          <w:lang w:eastAsia="zh-CN"/>
        </w:rPr>
        <w:br w:type="textWrapping" w:clear="all"/>
      </w:r>
      <w:r>
        <w:rPr>
          <w:rFonts w:hint="eastAsia" w:ascii="宋体" w:hAnsi="宋体" w:eastAsia="宋体" w:cs="宋体"/>
          <w:color w:val="auto"/>
          <w:szCs w:val="21"/>
          <w:highlight w:val="none"/>
          <w:lang w:eastAsia="zh-CN"/>
        </w:rPr>
        <w:t>数量:1</w:t>
      </w:r>
      <w:r>
        <w:rPr>
          <w:rFonts w:hint="eastAsia" w:ascii="宋体" w:hAnsi="宋体" w:eastAsia="宋体" w:cs="宋体"/>
          <w:color w:val="auto"/>
          <w:szCs w:val="21"/>
          <w:highlight w:val="none"/>
          <w:lang w:val="en-US" w:eastAsia="zh-CN"/>
        </w:rPr>
        <w:t>项</w:t>
      </w:r>
      <w:r>
        <w:rPr>
          <w:rFonts w:hint="eastAsia" w:ascii="宋体" w:hAnsi="宋体" w:eastAsia="宋体" w:cs="宋体"/>
          <w:color w:val="auto"/>
          <w:szCs w:val="21"/>
          <w:highlight w:val="none"/>
          <w:lang w:eastAsia="zh-CN"/>
        </w:rPr>
        <w:br w:type="textWrapping" w:clear="all"/>
      </w:r>
      <w:r>
        <w:rPr>
          <w:rFonts w:hint="eastAsia" w:ascii="宋体" w:hAnsi="宋体" w:eastAsia="宋体" w:cs="宋体"/>
          <w:color w:val="auto"/>
          <w:szCs w:val="21"/>
          <w:highlight w:val="none"/>
          <w:lang w:eastAsia="zh-CN"/>
        </w:rPr>
        <w:t>预算金额（元）:</w:t>
      </w:r>
      <w:r>
        <w:rPr>
          <w:rFonts w:hint="eastAsia" w:ascii="宋体" w:hAnsi="宋体" w:eastAsia="宋体" w:cs="宋体"/>
          <w:color w:val="auto"/>
          <w:szCs w:val="21"/>
          <w:highlight w:val="none"/>
          <w:lang w:val="en-US" w:eastAsia="zh-CN"/>
        </w:rPr>
        <w:t>人民币</w:t>
      </w:r>
      <w:r>
        <w:rPr>
          <w:rFonts w:hint="eastAsia" w:ascii="宋体" w:hAnsi="宋体" w:cs="宋体"/>
          <w:color w:val="auto"/>
          <w:szCs w:val="21"/>
          <w:highlight w:val="none"/>
          <w:lang w:val="en-US" w:eastAsia="zh-CN"/>
        </w:rPr>
        <w:t>叁拾陆万伍仟肆佰元整（¥365400.00）</w:t>
      </w:r>
      <w:r>
        <w:rPr>
          <w:rFonts w:hint="eastAsia" w:ascii="宋体" w:hAnsi="宋体" w:eastAsia="宋体" w:cs="宋体"/>
          <w:color w:val="auto"/>
          <w:szCs w:val="21"/>
          <w:highlight w:val="none"/>
          <w:lang w:eastAsia="zh-CN"/>
        </w:rPr>
        <w:br w:type="textWrapping" w:clear="all"/>
      </w:r>
      <w:r>
        <w:rPr>
          <w:rFonts w:hint="eastAsia" w:ascii="宋体" w:hAnsi="宋体" w:eastAsia="宋体" w:cs="宋体"/>
          <w:color w:val="auto"/>
          <w:szCs w:val="21"/>
          <w:highlight w:val="none"/>
          <w:lang w:eastAsia="zh-CN"/>
        </w:rPr>
        <w:t>简要规格描述或项目基本概况介绍、用途：负责</w:t>
      </w:r>
      <w:r>
        <w:rPr>
          <w:rFonts w:hint="eastAsia" w:ascii="宋体" w:hAnsi="宋体" w:cs="宋体"/>
          <w:color w:val="auto"/>
          <w:szCs w:val="21"/>
          <w:highlight w:val="none"/>
          <w:lang w:eastAsia="zh-CN"/>
        </w:rPr>
        <w:t>2026年衔接资金项目监理费（第一组）</w:t>
      </w:r>
      <w:r>
        <w:rPr>
          <w:rFonts w:hint="eastAsia" w:ascii="宋体" w:hAnsi="宋体" w:eastAsia="宋体" w:cs="宋体"/>
          <w:color w:val="auto"/>
          <w:szCs w:val="21"/>
          <w:highlight w:val="none"/>
          <w:lang w:eastAsia="zh-CN"/>
        </w:rPr>
        <w:t>建设项目施工阶段监理，施工监理内容均包含质量控制、进度控制、投资控制、合同管理、信息管理、安全监督管理及现场组织协调等阶段的监理，如需进一步了解，详见采购文件。</w:t>
      </w:r>
    </w:p>
    <w:p w14:paraId="3426BACE">
      <w:pPr>
        <w:keepNext w:val="0"/>
        <w:keepLines w:val="0"/>
        <w:pageBreakBefore w:val="0"/>
        <w:widowControl/>
        <w:suppressLineNumbers w:val="0"/>
        <w:kinsoku/>
        <w:wordWrap w:val="0"/>
        <w:overflowPunct/>
        <w:topLinePunct w:val="0"/>
        <w:autoSpaceDE/>
        <w:autoSpaceDN/>
        <w:bidi w:val="0"/>
        <w:spacing w:before="75" w:beforeAutospacing="0" w:after="75" w:afterAutospacing="0" w:line="336" w:lineRule="auto"/>
        <w:ind w:left="420" w:leftChars="200" w:right="0"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最高限价：</w:t>
      </w:r>
      <w:r>
        <w:rPr>
          <w:rFonts w:hint="eastAsia" w:ascii="宋体" w:hAnsi="宋体" w:eastAsia="宋体" w:cs="宋体"/>
          <w:color w:val="auto"/>
          <w:szCs w:val="21"/>
          <w:highlight w:val="none"/>
          <w:lang w:val="en-US" w:eastAsia="zh-CN"/>
        </w:rPr>
        <w:t>人民币</w:t>
      </w:r>
      <w:r>
        <w:rPr>
          <w:rFonts w:hint="eastAsia" w:ascii="宋体" w:hAnsi="宋体" w:cs="宋体"/>
          <w:color w:val="auto"/>
          <w:szCs w:val="21"/>
          <w:highlight w:val="none"/>
          <w:lang w:val="en-US" w:eastAsia="zh-CN"/>
        </w:rPr>
        <w:t>叁拾陆万伍仟肆佰元整（¥365400.00）</w:t>
      </w:r>
      <w:r>
        <w:rPr>
          <w:rFonts w:hint="eastAsia" w:ascii="宋体" w:hAnsi="宋体" w:eastAsia="宋体" w:cs="宋体"/>
          <w:color w:val="auto"/>
          <w:szCs w:val="21"/>
          <w:highlight w:val="none"/>
          <w:lang w:eastAsia="zh-CN"/>
        </w:rPr>
        <w:br w:type="textWrapping" w:clear="all"/>
      </w:r>
      <w:r>
        <w:rPr>
          <w:rFonts w:hint="eastAsia" w:ascii="宋体" w:hAnsi="宋体" w:eastAsia="宋体" w:cs="宋体"/>
          <w:color w:val="auto"/>
          <w:szCs w:val="21"/>
          <w:highlight w:val="none"/>
          <w:lang w:eastAsia="zh-CN"/>
        </w:rPr>
        <w:t>合同履约</w:t>
      </w:r>
      <w:r>
        <w:rPr>
          <w:rFonts w:hint="eastAsia" w:ascii="宋体" w:hAnsi="宋体" w:eastAsia="宋体" w:cs="宋体"/>
          <w:color w:val="auto"/>
          <w:szCs w:val="21"/>
          <w:highlight w:val="none"/>
          <w:lang w:val="en-US" w:eastAsia="zh-CN"/>
        </w:rPr>
        <w:t>期限：</w:t>
      </w:r>
      <w:r>
        <w:rPr>
          <w:rFonts w:hint="eastAsia" w:ascii="宋体" w:hAnsi="宋体" w:cs="宋体"/>
          <w:color w:val="auto"/>
          <w:szCs w:val="21"/>
          <w:highlight w:val="none"/>
          <w:lang w:val="en-US" w:eastAsia="zh-CN"/>
        </w:rPr>
        <w:t>本合同项下监理服务按各子项目独立履行。单个子项目的监理服务期自该子项目开工令载明的开工日期起，至该子项目工程竣工验收合格之日止，工程保修期为工程竣工验收合格之日起1年（若行业有特殊规定的，按行业规定执行）。监理人应按采购人要求提供保修期阶段的相关服务。若各子项目分期实施，监理服务相应分段执行</w:t>
      </w:r>
      <w:r>
        <w:rPr>
          <w:rFonts w:hint="eastAsia" w:ascii="宋体" w:hAnsi="宋体" w:eastAsia="宋体" w:cs="宋体"/>
          <w:color w:val="auto"/>
          <w:szCs w:val="21"/>
          <w:highlight w:val="none"/>
          <w:lang w:val="en-US" w:eastAsia="zh-CN"/>
        </w:rPr>
        <w:t>。</w:t>
      </w:r>
    </w:p>
    <w:p w14:paraId="1014F824">
      <w:pPr>
        <w:keepNext w:val="0"/>
        <w:keepLines w:val="0"/>
        <w:pageBreakBefore w:val="0"/>
        <w:widowControl/>
        <w:suppressLineNumbers w:val="0"/>
        <w:kinsoku/>
        <w:wordWrap w:val="0"/>
        <w:overflowPunct/>
        <w:topLinePunct w:val="0"/>
        <w:autoSpaceDE/>
        <w:autoSpaceDN/>
        <w:bidi w:val="0"/>
        <w:spacing w:before="75" w:beforeAutospacing="0" w:after="75" w:afterAutospacing="0" w:line="336" w:lineRule="auto"/>
        <w:ind w:left="420" w:leftChars="200" w:right="0" w:firstLine="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本项目</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lang w:eastAsia="zh-CN"/>
        </w:rPr>
        <w:t>接受联合体投标。</w:t>
      </w:r>
    </w:p>
    <w:p w14:paraId="0E3214D3">
      <w:pPr>
        <w:pageBreakBefore w:val="0"/>
        <w:widowControl/>
        <w:kinsoku/>
        <w:wordWrap/>
        <w:overflowPunct/>
        <w:topLinePunct w:val="0"/>
        <w:autoSpaceDE/>
        <w:autoSpaceDN/>
        <w:bidi w:val="0"/>
        <w:spacing w:before="75" w:after="75" w:line="336"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标项二：</w:t>
      </w:r>
    </w:p>
    <w:p w14:paraId="490EEDED">
      <w:pPr>
        <w:keepNext w:val="0"/>
        <w:keepLines w:val="0"/>
        <w:pageBreakBefore w:val="0"/>
        <w:widowControl/>
        <w:suppressLineNumbers w:val="0"/>
        <w:kinsoku/>
        <w:wordWrap w:val="0"/>
        <w:overflowPunct/>
        <w:topLinePunct w:val="0"/>
        <w:autoSpaceDE/>
        <w:autoSpaceDN/>
        <w:bidi w:val="0"/>
        <w:spacing w:before="75" w:beforeAutospacing="0" w:after="75" w:afterAutospacing="0" w:line="336" w:lineRule="auto"/>
        <w:ind w:left="420" w:leftChars="200" w:right="0" w:firstLine="0"/>
        <w:rPr>
          <w:rFonts w:hint="eastAsia" w:ascii="宋体" w:hAnsi="宋体" w:cs="宋体"/>
          <w:color w:val="auto"/>
          <w:szCs w:val="21"/>
          <w:highlight w:val="none"/>
          <w:lang w:eastAsia="zh-CN"/>
        </w:rPr>
      </w:pPr>
      <w:r>
        <w:rPr>
          <w:rFonts w:hint="eastAsia" w:ascii="宋体" w:hAnsi="宋体" w:eastAsia="宋体" w:cs="宋体"/>
          <w:color w:val="auto"/>
          <w:szCs w:val="21"/>
          <w:highlight w:val="none"/>
          <w:lang w:eastAsia="zh-CN"/>
        </w:rPr>
        <w:t>标项名称:</w:t>
      </w:r>
      <w:r>
        <w:rPr>
          <w:rFonts w:hint="eastAsia" w:ascii="宋体" w:hAnsi="宋体" w:cs="宋体"/>
          <w:color w:val="auto"/>
          <w:szCs w:val="21"/>
          <w:highlight w:val="none"/>
          <w:lang w:eastAsia="zh-CN"/>
        </w:rPr>
        <w:t>2026年衔接资金项目监理费（第二组）</w:t>
      </w:r>
    </w:p>
    <w:p w14:paraId="68E8BE6B">
      <w:pPr>
        <w:keepNext w:val="0"/>
        <w:keepLines w:val="0"/>
        <w:pageBreakBefore w:val="0"/>
        <w:widowControl/>
        <w:suppressLineNumbers w:val="0"/>
        <w:kinsoku/>
        <w:wordWrap w:val="0"/>
        <w:overflowPunct/>
        <w:topLinePunct w:val="0"/>
        <w:autoSpaceDE/>
        <w:autoSpaceDN/>
        <w:bidi w:val="0"/>
        <w:spacing w:before="75" w:beforeAutospacing="0" w:after="75" w:afterAutospacing="0" w:line="336" w:lineRule="auto"/>
        <w:ind w:left="420" w:leftChars="200" w:right="0" w:firstLine="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数量:1</w:t>
      </w:r>
      <w:r>
        <w:rPr>
          <w:rFonts w:hint="eastAsia" w:ascii="宋体" w:hAnsi="宋体" w:eastAsia="宋体" w:cs="宋体"/>
          <w:color w:val="auto"/>
          <w:szCs w:val="21"/>
          <w:highlight w:val="none"/>
          <w:lang w:val="en-US" w:eastAsia="zh-CN"/>
        </w:rPr>
        <w:t>项</w:t>
      </w:r>
      <w:r>
        <w:rPr>
          <w:rFonts w:hint="eastAsia" w:ascii="宋体" w:hAnsi="宋体" w:eastAsia="宋体" w:cs="宋体"/>
          <w:color w:val="auto"/>
          <w:szCs w:val="21"/>
          <w:highlight w:val="none"/>
          <w:lang w:eastAsia="zh-CN"/>
        </w:rPr>
        <w:br w:type="textWrapping" w:clear="all"/>
      </w:r>
      <w:r>
        <w:rPr>
          <w:rFonts w:hint="eastAsia" w:ascii="宋体" w:hAnsi="宋体" w:eastAsia="宋体" w:cs="宋体"/>
          <w:color w:val="auto"/>
          <w:szCs w:val="21"/>
          <w:highlight w:val="none"/>
          <w:lang w:eastAsia="zh-CN"/>
        </w:rPr>
        <w:t>预算金额（元）:</w:t>
      </w:r>
      <w:r>
        <w:rPr>
          <w:rFonts w:hint="eastAsia" w:ascii="宋体" w:hAnsi="宋体" w:eastAsia="宋体" w:cs="宋体"/>
          <w:color w:val="auto"/>
          <w:szCs w:val="21"/>
          <w:highlight w:val="none"/>
          <w:lang w:val="en-US" w:eastAsia="zh-CN"/>
        </w:rPr>
        <w:t>人民币</w:t>
      </w:r>
      <w:r>
        <w:rPr>
          <w:rFonts w:hint="eastAsia" w:ascii="宋体" w:hAnsi="宋体" w:cs="宋体"/>
          <w:color w:val="auto"/>
          <w:szCs w:val="21"/>
          <w:highlight w:val="none"/>
          <w:lang w:val="en-US" w:eastAsia="zh-CN"/>
        </w:rPr>
        <w:t>叁拾陆万伍仟肆佰元整（¥365400.00）</w:t>
      </w:r>
      <w:r>
        <w:rPr>
          <w:rFonts w:hint="eastAsia" w:ascii="宋体" w:hAnsi="宋体" w:eastAsia="宋体" w:cs="宋体"/>
          <w:color w:val="auto"/>
          <w:szCs w:val="21"/>
          <w:highlight w:val="none"/>
          <w:lang w:eastAsia="zh-CN"/>
        </w:rPr>
        <w:br w:type="textWrapping" w:clear="all"/>
      </w:r>
      <w:r>
        <w:rPr>
          <w:rFonts w:hint="eastAsia" w:ascii="宋体" w:hAnsi="宋体" w:eastAsia="宋体" w:cs="宋体"/>
          <w:color w:val="auto"/>
          <w:szCs w:val="21"/>
          <w:highlight w:val="none"/>
          <w:lang w:eastAsia="zh-CN"/>
        </w:rPr>
        <w:t>简要规格描述或项目基本概况介绍、用途：负责</w:t>
      </w:r>
      <w:r>
        <w:rPr>
          <w:rFonts w:hint="eastAsia" w:ascii="宋体" w:hAnsi="宋体" w:cs="宋体"/>
          <w:color w:val="auto"/>
          <w:szCs w:val="21"/>
          <w:highlight w:val="none"/>
          <w:lang w:eastAsia="zh-CN"/>
        </w:rPr>
        <w:t>2026年衔接资金项目监理费（第二组）</w:t>
      </w:r>
      <w:r>
        <w:rPr>
          <w:rFonts w:hint="eastAsia" w:ascii="宋体" w:hAnsi="宋体" w:eastAsia="宋体" w:cs="宋体"/>
          <w:color w:val="auto"/>
          <w:szCs w:val="21"/>
          <w:highlight w:val="none"/>
          <w:lang w:eastAsia="zh-CN"/>
        </w:rPr>
        <w:t>建设项目施工阶段监理，施工监理内容均包含质量控制、进度控制、投资控制、合同管理、信息管理、安全监督管理及现场组织协调等阶段的监理，如需进一步了解，详见采购文件。</w:t>
      </w:r>
    </w:p>
    <w:p w14:paraId="697B8815">
      <w:pPr>
        <w:keepNext w:val="0"/>
        <w:keepLines w:val="0"/>
        <w:pageBreakBefore w:val="0"/>
        <w:widowControl/>
        <w:suppressLineNumbers w:val="0"/>
        <w:kinsoku/>
        <w:wordWrap w:val="0"/>
        <w:overflowPunct/>
        <w:topLinePunct w:val="0"/>
        <w:autoSpaceDE/>
        <w:autoSpaceDN/>
        <w:bidi w:val="0"/>
        <w:spacing w:before="75" w:beforeAutospacing="0" w:after="75" w:afterAutospacing="0" w:line="336" w:lineRule="auto"/>
        <w:ind w:left="420" w:leftChars="200" w:right="0" w:firstLine="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最高限价：</w:t>
      </w:r>
      <w:r>
        <w:rPr>
          <w:rFonts w:hint="eastAsia" w:ascii="宋体" w:hAnsi="宋体" w:eastAsia="宋体" w:cs="宋体"/>
          <w:color w:val="auto"/>
          <w:szCs w:val="21"/>
          <w:highlight w:val="none"/>
          <w:lang w:val="en-US" w:eastAsia="zh-CN"/>
        </w:rPr>
        <w:t>人民币</w:t>
      </w:r>
      <w:r>
        <w:rPr>
          <w:rFonts w:hint="eastAsia" w:ascii="宋体" w:hAnsi="宋体" w:cs="宋体"/>
          <w:color w:val="auto"/>
          <w:szCs w:val="21"/>
          <w:highlight w:val="none"/>
          <w:lang w:val="en-US" w:eastAsia="zh-CN"/>
        </w:rPr>
        <w:t>叁拾陆万伍仟肆佰元整（¥365400.00）</w:t>
      </w:r>
      <w:r>
        <w:rPr>
          <w:rFonts w:hint="eastAsia" w:ascii="宋体" w:hAnsi="宋体" w:eastAsia="宋体" w:cs="宋体"/>
          <w:color w:val="auto"/>
          <w:szCs w:val="21"/>
          <w:highlight w:val="none"/>
          <w:lang w:eastAsia="zh-CN"/>
        </w:rPr>
        <w:br w:type="textWrapping" w:clear="all"/>
      </w:r>
      <w:r>
        <w:rPr>
          <w:rFonts w:hint="eastAsia" w:ascii="宋体" w:hAnsi="宋体" w:eastAsia="宋体" w:cs="宋体"/>
          <w:color w:val="auto"/>
          <w:szCs w:val="21"/>
          <w:highlight w:val="none"/>
          <w:lang w:eastAsia="zh-CN"/>
        </w:rPr>
        <w:t>合同履约期限：</w:t>
      </w:r>
      <w:r>
        <w:rPr>
          <w:rFonts w:hint="eastAsia" w:ascii="宋体" w:hAnsi="宋体" w:cs="Times New Roman"/>
          <w:color w:val="auto"/>
          <w:szCs w:val="21"/>
          <w:highlight w:val="none"/>
          <w:lang w:val="en-US" w:eastAsia="zh-CN"/>
        </w:rPr>
        <w:t>本合同项下监理服务按各子项目独立履行。单个子项目的监理服务期自该子项目开工令载明的开工日期起，至该子项目工程竣工验收合格之日止，工程保修期为工程竣工验收合格之日起1年（若行业有特殊规定的，按行业规定执行）。监理人应按采购人要求提供保修期阶段的相关服务。若各子项目分期实施，监理服务相应分段执行</w:t>
      </w:r>
      <w:r>
        <w:rPr>
          <w:rFonts w:hint="eastAsia" w:ascii="宋体" w:hAnsi="宋体" w:eastAsia="宋体" w:cs="Times New Roman"/>
          <w:color w:val="auto"/>
          <w:szCs w:val="21"/>
          <w:highlight w:val="none"/>
          <w:lang w:val="en-US" w:eastAsia="zh-CN"/>
        </w:rPr>
        <w:t>。</w:t>
      </w:r>
    </w:p>
    <w:p w14:paraId="60D48AEE">
      <w:pPr>
        <w:keepNext w:val="0"/>
        <w:keepLines w:val="0"/>
        <w:pageBreakBefore w:val="0"/>
        <w:widowControl/>
        <w:suppressLineNumbers w:val="0"/>
        <w:kinsoku/>
        <w:wordWrap w:val="0"/>
        <w:overflowPunct/>
        <w:topLinePunct w:val="0"/>
        <w:autoSpaceDE/>
        <w:autoSpaceDN/>
        <w:bidi w:val="0"/>
        <w:spacing w:before="75" w:beforeAutospacing="0" w:after="75" w:afterAutospacing="0" w:line="336" w:lineRule="auto"/>
        <w:ind w:left="420" w:leftChars="200" w:right="0" w:firstLine="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本项目</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lang w:eastAsia="zh-CN"/>
        </w:rPr>
        <w:t>接受联合体投标。</w:t>
      </w:r>
    </w:p>
    <w:p w14:paraId="0F5A93AA">
      <w:pPr>
        <w:pageBreakBefore w:val="0"/>
        <w:widowControl/>
        <w:kinsoku/>
        <w:wordWrap/>
        <w:overflowPunct/>
        <w:topLinePunct w:val="0"/>
        <w:autoSpaceDE/>
        <w:autoSpaceDN/>
        <w:bidi w:val="0"/>
        <w:spacing w:before="75" w:after="75" w:line="336"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标项三：</w:t>
      </w:r>
    </w:p>
    <w:p w14:paraId="1453A965">
      <w:pPr>
        <w:keepNext w:val="0"/>
        <w:keepLines w:val="0"/>
        <w:pageBreakBefore w:val="0"/>
        <w:widowControl/>
        <w:suppressLineNumbers w:val="0"/>
        <w:kinsoku/>
        <w:wordWrap w:val="0"/>
        <w:overflowPunct/>
        <w:topLinePunct w:val="0"/>
        <w:autoSpaceDE/>
        <w:autoSpaceDN/>
        <w:bidi w:val="0"/>
        <w:spacing w:before="75" w:beforeAutospacing="0" w:after="75" w:afterAutospacing="0" w:line="336" w:lineRule="auto"/>
        <w:ind w:left="420" w:leftChars="200" w:right="0" w:firstLine="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标项名称:</w:t>
      </w:r>
      <w:r>
        <w:rPr>
          <w:rFonts w:hint="eastAsia" w:ascii="宋体" w:hAnsi="宋体" w:cs="宋体"/>
          <w:color w:val="auto"/>
          <w:szCs w:val="21"/>
          <w:highlight w:val="none"/>
          <w:lang w:eastAsia="zh-CN"/>
        </w:rPr>
        <w:t>2026年衔接资金项目监理费（第三组）</w:t>
      </w:r>
    </w:p>
    <w:p w14:paraId="471EBD9F">
      <w:pPr>
        <w:keepNext w:val="0"/>
        <w:keepLines w:val="0"/>
        <w:pageBreakBefore w:val="0"/>
        <w:widowControl/>
        <w:suppressLineNumbers w:val="0"/>
        <w:kinsoku/>
        <w:wordWrap w:val="0"/>
        <w:overflowPunct/>
        <w:topLinePunct w:val="0"/>
        <w:autoSpaceDE/>
        <w:autoSpaceDN/>
        <w:bidi w:val="0"/>
        <w:spacing w:before="75" w:beforeAutospacing="0" w:after="75" w:afterAutospacing="0" w:line="336" w:lineRule="auto"/>
        <w:ind w:left="420" w:leftChars="200" w:right="0" w:firstLine="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数量:1</w:t>
      </w:r>
      <w:r>
        <w:rPr>
          <w:rFonts w:hint="eastAsia" w:ascii="宋体" w:hAnsi="宋体" w:eastAsia="宋体" w:cs="宋体"/>
          <w:color w:val="auto"/>
          <w:szCs w:val="21"/>
          <w:highlight w:val="none"/>
          <w:lang w:val="en-US" w:eastAsia="zh-CN"/>
        </w:rPr>
        <w:t>项</w:t>
      </w:r>
      <w:r>
        <w:rPr>
          <w:rFonts w:hint="eastAsia" w:ascii="宋体" w:hAnsi="宋体" w:eastAsia="宋体" w:cs="宋体"/>
          <w:color w:val="auto"/>
          <w:szCs w:val="21"/>
          <w:highlight w:val="none"/>
          <w:lang w:eastAsia="zh-CN"/>
        </w:rPr>
        <w:br w:type="textWrapping" w:clear="all"/>
      </w:r>
      <w:r>
        <w:rPr>
          <w:rFonts w:hint="eastAsia" w:ascii="宋体" w:hAnsi="宋体" w:eastAsia="宋体" w:cs="宋体"/>
          <w:color w:val="auto"/>
          <w:szCs w:val="21"/>
          <w:highlight w:val="none"/>
          <w:lang w:eastAsia="zh-CN"/>
        </w:rPr>
        <w:t>预算金额（元）:</w:t>
      </w:r>
      <w:r>
        <w:rPr>
          <w:rFonts w:hint="eastAsia" w:ascii="宋体" w:hAnsi="宋体" w:eastAsia="宋体" w:cs="宋体"/>
          <w:color w:val="auto"/>
          <w:szCs w:val="21"/>
          <w:highlight w:val="none"/>
          <w:lang w:val="en-US" w:eastAsia="zh-CN"/>
        </w:rPr>
        <w:t>人民币</w:t>
      </w:r>
      <w:r>
        <w:rPr>
          <w:rFonts w:hint="eastAsia" w:ascii="宋体" w:hAnsi="宋体" w:cs="宋体"/>
          <w:color w:val="auto"/>
          <w:szCs w:val="21"/>
          <w:highlight w:val="none"/>
          <w:lang w:val="en-US" w:eastAsia="zh-CN"/>
        </w:rPr>
        <w:t>叁拾陆万伍仟肆佰元整（¥365400.00）</w:t>
      </w:r>
      <w:r>
        <w:rPr>
          <w:rFonts w:hint="eastAsia" w:ascii="宋体" w:hAnsi="宋体" w:eastAsia="宋体" w:cs="宋体"/>
          <w:color w:val="auto"/>
          <w:szCs w:val="21"/>
          <w:highlight w:val="none"/>
          <w:lang w:eastAsia="zh-CN"/>
        </w:rPr>
        <w:br w:type="textWrapping" w:clear="all"/>
      </w:r>
      <w:r>
        <w:rPr>
          <w:rFonts w:hint="eastAsia" w:ascii="宋体" w:hAnsi="宋体" w:eastAsia="宋体" w:cs="宋体"/>
          <w:color w:val="auto"/>
          <w:szCs w:val="21"/>
          <w:highlight w:val="none"/>
          <w:lang w:eastAsia="zh-CN"/>
        </w:rPr>
        <w:t>简要规格描述或项目基本概况介绍、用途：负责</w:t>
      </w:r>
      <w:r>
        <w:rPr>
          <w:rFonts w:hint="eastAsia" w:ascii="宋体" w:hAnsi="宋体" w:cs="宋体"/>
          <w:color w:val="auto"/>
          <w:szCs w:val="21"/>
          <w:highlight w:val="none"/>
          <w:lang w:eastAsia="zh-CN"/>
        </w:rPr>
        <w:t>2026年衔接资金项目监理费（第三组）</w:t>
      </w:r>
      <w:r>
        <w:rPr>
          <w:rFonts w:hint="eastAsia" w:ascii="宋体" w:hAnsi="宋体" w:eastAsia="宋体" w:cs="宋体"/>
          <w:color w:val="auto"/>
          <w:szCs w:val="21"/>
          <w:highlight w:val="none"/>
          <w:lang w:eastAsia="zh-CN"/>
        </w:rPr>
        <w:t>建设项目施工阶段监理，施工监理内容均包含质量控制、进度控制、投资控制、合同管理、信息管理、安全监督管理及现场组织协调等阶段的监理，如需进一步了解，详见采购文件。</w:t>
      </w:r>
    </w:p>
    <w:p w14:paraId="669B8D16">
      <w:pPr>
        <w:keepNext w:val="0"/>
        <w:keepLines w:val="0"/>
        <w:pageBreakBefore w:val="0"/>
        <w:widowControl/>
        <w:suppressLineNumbers w:val="0"/>
        <w:kinsoku/>
        <w:wordWrap w:val="0"/>
        <w:overflowPunct/>
        <w:topLinePunct w:val="0"/>
        <w:autoSpaceDE/>
        <w:autoSpaceDN/>
        <w:bidi w:val="0"/>
        <w:spacing w:before="75" w:beforeAutospacing="0" w:after="75" w:afterAutospacing="0" w:line="336" w:lineRule="auto"/>
        <w:ind w:left="420" w:leftChars="200" w:right="0" w:firstLine="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最高限价：</w:t>
      </w:r>
      <w:r>
        <w:rPr>
          <w:rFonts w:hint="eastAsia" w:ascii="宋体" w:hAnsi="宋体" w:eastAsia="宋体" w:cs="宋体"/>
          <w:color w:val="auto"/>
          <w:szCs w:val="21"/>
          <w:highlight w:val="none"/>
          <w:lang w:val="en-US" w:eastAsia="zh-CN"/>
        </w:rPr>
        <w:t>人民币</w:t>
      </w:r>
      <w:r>
        <w:rPr>
          <w:rFonts w:hint="eastAsia" w:ascii="宋体" w:hAnsi="宋体" w:cs="宋体"/>
          <w:color w:val="auto"/>
          <w:szCs w:val="21"/>
          <w:highlight w:val="none"/>
          <w:lang w:val="en-US" w:eastAsia="zh-CN"/>
        </w:rPr>
        <w:t>叁拾陆万伍仟肆佰元整（¥365400.00）</w:t>
      </w:r>
      <w:r>
        <w:rPr>
          <w:rFonts w:hint="eastAsia" w:ascii="宋体" w:hAnsi="宋体" w:eastAsia="宋体" w:cs="宋体"/>
          <w:color w:val="auto"/>
          <w:szCs w:val="21"/>
          <w:highlight w:val="none"/>
          <w:lang w:eastAsia="zh-CN"/>
        </w:rPr>
        <w:br w:type="textWrapping" w:clear="all"/>
      </w:r>
      <w:r>
        <w:rPr>
          <w:rFonts w:hint="eastAsia" w:ascii="宋体" w:hAnsi="宋体" w:eastAsia="宋体" w:cs="宋体"/>
          <w:color w:val="auto"/>
          <w:szCs w:val="21"/>
          <w:highlight w:val="none"/>
          <w:lang w:eastAsia="zh-CN"/>
        </w:rPr>
        <w:t>合同履约期限：</w:t>
      </w:r>
      <w:r>
        <w:rPr>
          <w:rFonts w:hint="eastAsia" w:ascii="宋体" w:hAnsi="宋体" w:cs="Times New Roman"/>
          <w:color w:val="auto"/>
          <w:szCs w:val="21"/>
          <w:highlight w:val="none"/>
          <w:lang w:val="en-US" w:eastAsia="zh-CN"/>
        </w:rPr>
        <w:t>本合同项下监理服务按各子项目独立履行。单个子项目的监理服务期自该子项目开工令载明的开工日期起，至该子项目工程竣工验收合格之日止，工程保修期为工程竣工验收合格之日起1年（若行业有特殊规定的，按行业规定执行）。监理人应按采购人要求提供保修期阶段的相关服务。若各子项目分期实施，监理服务相应分段执行</w:t>
      </w:r>
      <w:r>
        <w:rPr>
          <w:rFonts w:hint="eastAsia" w:ascii="宋体" w:hAnsi="宋体" w:eastAsia="宋体" w:cs="Times New Roman"/>
          <w:color w:val="auto"/>
          <w:szCs w:val="21"/>
          <w:highlight w:val="none"/>
          <w:lang w:val="en-US" w:eastAsia="zh-CN"/>
        </w:rPr>
        <w:t>。</w:t>
      </w:r>
    </w:p>
    <w:p w14:paraId="08FCA501">
      <w:pPr>
        <w:keepNext w:val="0"/>
        <w:keepLines w:val="0"/>
        <w:pageBreakBefore w:val="0"/>
        <w:widowControl/>
        <w:suppressLineNumbers w:val="0"/>
        <w:kinsoku/>
        <w:wordWrap w:val="0"/>
        <w:overflowPunct/>
        <w:topLinePunct w:val="0"/>
        <w:autoSpaceDE/>
        <w:autoSpaceDN/>
        <w:bidi w:val="0"/>
        <w:spacing w:before="75" w:beforeAutospacing="0" w:after="75" w:afterAutospacing="0" w:line="336" w:lineRule="auto"/>
        <w:ind w:left="420" w:leftChars="200" w:right="0" w:firstLine="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本项目</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lang w:eastAsia="zh-CN"/>
        </w:rPr>
        <w:t>接受联合体投标。</w:t>
      </w:r>
    </w:p>
    <w:p w14:paraId="405DB60E">
      <w:pPr>
        <w:pageBreakBefore w:val="0"/>
        <w:widowControl/>
        <w:kinsoku/>
        <w:wordWrap/>
        <w:overflowPunct/>
        <w:topLinePunct w:val="0"/>
        <w:autoSpaceDE/>
        <w:autoSpaceDN/>
        <w:bidi w:val="0"/>
        <w:spacing w:before="75" w:after="75" w:line="336"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标项四：</w:t>
      </w:r>
    </w:p>
    <w:p w14:paraId="75214129">
      <w:pPr>
        <w:keepNext w:val="0"/>
        <w:keepLines w:val="0"/>
        <w:pageBreakBefore w:val="0"/>
        <w:widowControl/>
        <w:suppressLineNumbers w:val="0"/>
        <w:kinsoku/>
        <w:wordWrap w:val="0"/>
        <w:overflowPunct/>
        <w:topLinePunct w:val="0"/>
        <w:autoSpaceDE/>
        <w:autoSpaceDN/>
        <w:bidi w:val="0"/>
        <w:spacing w:before="75" w:beforeAutospacing="0" w:after="75" w:afterAutospacing="0" w:line="336" w:lineRule="auto"/>
        <w:ind w:left="420" w:leftChars="200" w:right="0" w:firstLine="0"/>
        <w:rPr>
          <w:rFonts w:hint="eastAsia" w:ascii="宋体" w:hAnsi="宋体" w:cs="宋体"/>
          <w:color w:val="auto"/>
          <w:szCs w:val="21"/>
          <w:highlight w:val="none"/>
          <w:lang w:eastAsia="zh-CN"/>
        </w:rPr>
      </w:pPr>
      <w:r>
        <w:rPr>
          <w:rFonts w:hint="eastAsia" w:ascii="宋体" w:hAnsi="宋体" w:eastAsia="宋体" w:cs="宋体"/>
          <w:color w:val="auto"/>
          <w:szCs w:val="21"/>
          <w:highlight w:val="none"/>
          <w:lang w:eastAsia="zh-CN"/>
        </w:rPr>
        <w:t>标项名称:</w:t>
      </w:r>
      <w:r>
        <w:rPr>
          <w:rFonts w:hint="eastAsia" w:ascii="宋体" w:hAnsi="宋体" w:cs="宋体"/>
          <w:color w:val="auto"/>
          <w:szCs w:val="21"/>
          <w:highlight w:val="none"/>
          <w:lang w:eastAsia="zh-CN"/>
        </w:rPr>
        <w:t>2026年衔接资金项目监理费（第四组）</w:t>
      </w:r>
    </w:p>
    <w:p w14:paraId="6E2FEDC3">
      <w:pPr>
        <w:keepNext w:val="0"/>
        <w:keepLines w:val="0"/>
        <w:pageBreakBefore w:val="0"/>
        <w:widowControl/>
        <w:suppressLineNumbers w:val="0"/>
        <w:kinsoku/>
        <w:wordWrap w:val="0"/>
        <w:overflowPunct/>
        <w:topLinePunct w:val="0"/>
        <w:autoSpaceDE/>
        <w:autoSpaceDN/>
        <w:bidi w:val="0"/>
        <w:spacing w:before="75" w:beforeAutospacing="0" w:after="75" w:afterAutospacing="0" w:line="336" w:lineRule="auto"/>
        <w:ind w:left="420" w:leftChars="200" w:right="0" w:firstLine="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数量:1</w:t>
      </w:r>
      <w:r>
        <w:rPr>
          <w:rFonts w:hint="eastAsia" w:ascii="宋体" w:hAnsi="宋体" w:eastAsia="宋体" w:cs="宋体"/>
          <w:color w:val="auto"/>
          <w:szCs w:val="21"/>
          <w:highlight w:val="none"/>
          <w:lang w:val="en-US" w:eastAsia="zh-CN"/>
        </w:rPr>
        <w:t>项</w:t>
      </w:r>
      <w:r>
        <w:rPr>
          <w:rFonts w:hint="eastAsia" w:ascii="宋体" w:hAnsi="宋体" w:eastAsia="宋体" w:cs="宋体"/>
          <w:color w:val="auto"/>
          <w:szCs w:val="21"/>
          <w:highlight w:val="none"/>
          <w:lang w:eastAsia="zh-CN"/>
        </w:rPr>
        <w:br w:type="textWrapping" w:clear="all"/>
      </w:r>
      <w:r>
        <w:rPr>
          <w:rFonts w:hint="eastAsia" w:ascii="宋体" w:hAnsi="宋体" w:eastAsia="宋体" w:cs="宋体"/>
          <w:color w:val="auto"/>
          <w:szCs w:val="21"/>
          <w:highlight w:val="none"/>
          <w:lang w:eastAsia="zh-CN"/>
        </w:rPr>
        <w:t>预算金额（元）:</w:t>
      </w:r>
      <w:r>
        <w:rPr>
          <w:rFonts w:hint="eastAsia" w:ascii="宋体" w:hAnsi="宋体" w:eastAsia="宋体" w:cs="宋体"/>
          <w:color w:val="auto"/>
          <w:szCs w:val="21"/>
          <w:highlight w:val="none"/>
          <w:lang w:val="en-US" w:eastAsia="zh-CN"/>
        </w:rPr>
        <w:t>人民币</w:t>
      </w:r>
      <w:r>
        <w:rPr>
          <w:rFonts w:hint="eastAsia" w:ascii="宋体" w:hAnsi="宋体" w:cs="宋体"/>
          <w:color w:val="auto"/>
          <w:szCs w:val="21"/>
          <w:highlight w:val="none"/>
          <w:lang w:val="en-US" w:eastAsia="zh-CN"/>
        </w:rPr>
        <w:t>叁拾陆万伍仟肆佰元整（¥365400.00）</w:t>
      </w:r>
      <w:r>
        <w:rPr>
          <w:rFonts w:hint="eastAsia" w:ascii="宋体" w:hAnsi="宋体" w:eastAsia="宋体" w:cs="宋体"/>
          <w:color w:val="auto"/>
          <w:szCs w:val="21"/>
          <w:highlight w:val="none"/>
          <w:lang w:eastAsia="zh-CN"/>
        </w:rPr>
        <w:br w:type="textWrapping" w:clear="all"/>
      </w:r>
      <w:r>
        <w:rPr>
          <w:rFonts w:hint="eastAsia" w:ascii="宋体" w:hAnsi="宋体" w:eastAsia="宋体" w:cs="宋体"/>
          <w:color w:val="auto"/>
          <w:szCs w:val="21"/>
          <w:highlight w:val="none"/>
          <w:lang w:eastAsia="zh-CN"/>
        </w:rPr>
        <w:t>简要规格描述或项目基本概况介绍、用途：负责</w:t>
      </w:r>
      <w:r>
        <w:rPr>
          <w:rFonts w:hint="eastAsia" w:ascii="宋体" w:hAnsi="宋体" w:cs="宋体"/>
          <w:color w:val="auto"/>
          <w:szCs w:val="21"/>
          <w:highlight w:val="none"/>
          <w:lang w:eastAsia="zh-CN"/>
        </w:rPr>
        <w:t>2026年衔接资金项目监理费（第四组）</w:t>
      </w:r>
      <w:r>
        <w:rPr>
          <w:rFonts w:hint="eastAsia" w:ascii="宋体" w:hAnsi="宋体" w:eastAsia="宋体" w:cs="宋体"/>
          <w:color w:val="auto"/>
          <w:szCs w:val="21"/>
          <w:highlight w:val="none"/>
          <w:lang w:val="en-US" w:eastAsia="zh-CN"/>
        </w:rPr>
        <w:t>建设项目</w:t>
      </w:r>
      <w:r>
        <w:rPr>
          <w:rFonts w:hint="eastAsia" w:ascii="宋体" w:hAnsi="宋体" w:eastAsia="宋体" w:cs="宋体"/>
          <w:color w:val="auto"/>
          <w:szCs w:val="21"/>
          <w:highlight w:val="none"/>
          <w:lang w:eastAsia="zh-CN"/>
        </w:rPr>
        <w:t>施工阶段监理，施工监理内容均包含质量控制、进度控制、投资控制、合同管理、信息管理、安全监督管理及现场组织协调等阶段的监理，如需进一步了解，详见采购文件。</w:t>
      </w:r>
    </w:p>
    <w:p w14:paraId="6C9FA9FA">
      <w:pPr>
        <w:keepNext w:val="0"/>
        <w:keepLines w:val="0"/>
        <w:pageBreakBefore w:val="0"/>
        <w:widowControl/>
        <w:suppressLineNumbers w:val="0"/>
        <w:kinsoku/>
        <w:wordWrap w:val="0"/>
        <w:overflowPunct/>
        <w:topLinePunct w:val="0"/>
        <w:autoSpaceDE/>
        <w:autoSpaceDN/>
        <w:bidi w:val="0"/>
        <w:spacing w:before="75" w:beforeAutospacing="0" w:after="75" w:afterAutospacing="0" w:line="336" w:lineRule="auto"/>
        <w:ind w:left="420" w:leftChars="200" w:right="0" w:firstLine="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最高限价：</w:t>
      </w:r>
      <w:r>
        <w:rPr>
          <w:rFonts w:hint="eastAsia" w:ascii="宋体" w:hAnsi="宋体" w:eastAsia="宋体" w:cs="宋体"/>
          <w:color w:val="auto"/>
          <w:szCs w:val="21"/>
          <w:highlight w:val="none"/>
          <w:lang w:val="en-US" w:eastAsia="zh-CN"/>
        </w:rPr>
        <w:t>人民币</w:t>
      </w:r>
      <w:r>
        <w:rPr>
          <w:rFonts w:hint="eastAsia" w:ascii="宋体" w:hAnsi="宋体" w:cs="宋体"/>
          <w:color w:val="auto"/>
          <w:szCs w:val="21"/>
          <w:highlight w:val="none"/>
          <w:lang w:val="en-US" w:eastAsia="zh-CN"/>
        </w:rPr>
        <w:t>叁拾陆万伍仟肆佰元整（¥365400.00）</w:t>
      </w:r>
      <w:r>
        <w:rPr>
          <w:rFonts w:hint="eastAsia" w:ascii="宋体" w:hAnsi="宋体" w:eastAsia="宋体" w:cs="宋体"/>
          <w:color w:val="auto"/>
          <w:szCs w:val="21"/>
          <w:highlight w:val="none"/>
          <w:lang w:eastAsia="zh-CN"/>
        </w:rPr>
        <w:br w:type="textWrapping" w:clear="all"/>
      </w:r>
      <w:r>
        <w:rPr>
          <w:rFonts w:hint="eastAsia" w:ascii="宋体" w:hAnsi="宋体" w:eastAsia="宋体" w:cs="宋体"/>
          <w:color w:val="auto"/>
          <w:szCs w:val="21"/>
          <w:highlight w:val="none"/>
          <w:lang w:eastAsia="zh-CN"/>
        </w:rPr>
        <w:t>合同履约期限：</w:t>
      </w:r>
      <w:r>
        <w:rPr>
          <w:rFonts w:hint="eastAsia" w:ascii="宋体" w:hAnsi="宋体" w:cs="Times New Roman"/>
          <w:color w:val="auto"/>
          <w:szCs w:val="21"/>
          <w:highlight w:val="none"/>
          <w:lang w:val="en-US" w:eastAsia="zh-CN"/>
        </w:rPr>
        <w:t>本合同项下监理服务按各子项目独立履行。单个子项目的监理服务期自该子项目开工令载明的开工日期起，至该子项目工程竣工验收合格之日止，工程保修期为工程竣工验收合格之日起1年（若行业有特殊规定的，按行业规定执行）。监理人应按采购人要求提供保修期阶段的相关服务。若各子项目分期实施，监理服务相应分段执行</w:t>
      </w:r>
      <w:r>
        <w:rPr>
          <w:rFonts w:hint="eastAsia" w:ascii="宋体" w:hAnsi="宋体" w:eastAsia="宋体" w:cs="Times New Roman"/>
          <w:color w:val="auto"/>
          <w:szCs w:val="21"/>
          <w:highlight w:val="none"/>
          <w:lang w:val="en-US" w:eastAsia="zh-CN"/>
        </w:rPr>
        <w:t>。</w:t>
      </w:r>
    </w:p>
    <w:p w14:paraId="4BD97AB3">
      <w:pPr>
        <w:keepNext w:val="0"/>
        <w:keepLines w:val="0"/>
        <w:pageBreakBefore w:val="0"/>
        <w:widowControl/>
        <w:suppressLineNumbers w:val="0"/>
        <w:kinsoku/>
        <w:wordWrap w:val="0"/>
        <w:overflowPunct/>
        <w:topLinePunct w:val="0"/>
        <w:autoSpaceDE/>
        <w:autoSpaceDN/>
        <w:bidi w:val="0"/>
        <w:spacing w:before="75" w:beforeAutospacing="0" w:after="75" w:afterAutospacing="0" w:line="336" w:lineRule="auto"/>
        <w:ind w:left="420" w:leftChars="200" w:right="0" w:firstLine="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本项目</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lang w:eastAsia="zh-CN"/>
        </w:rPr>
        <w:t>接受联合体投标。</w:t>
      </w:r>
    </w:p>
    <w:p w14:paraId="6531308D">
      <w:pPr>
        <w:pStyle w:val="16"/>
        <w:pageBreakBefore w:val="0"/>
        <w:kinsoku/>
        <w:wordWrap/>
        <w:overflowPunct/>
        <w:topLinePunct w:val="0"/>
        <w:autoSpaceDE/>
        <w:autoSpaceDN/>
        <w:bidi w:val="0"/>
        <w:spacing w:before="0" w:after="0" w:line="336" w:lineRule="auto"/>
        <w:rPr>
          <w:rFonts w:hint="eastAsia" w:ascii="宋体" w:hAnsi="宋体" w:eastAsia="宋体"/>
          <w:color w:val="auto"/>
          <w:sz w:val="21"/>
          <w:szCs w:val="21"/>
          <w:highlight w:val="none"/>
        </w:rPr>
      </w:pPr>
      <w:bookmarkStart w:id="22" w:name="_Toc14723"/>
      <w:r>
        <w:rPr>
          <w:rFonts w:hint="eastAsia" w:ascii="宋体" w:hAnsi="宋体" w:eastAsia="宋体"/>
          <w:color w:val="auto"/>
          <w:sz w:val="21"/>
          <w:szCs w:val="21"/>
          <w:highlight w:val="none"/>
        </w:rPr>
        <w:t>二、申请人的资格要求</w:t>
      </w:r>
      <w:bookmarkEnd w:id="16"/>
      <w:bookmarkEnd w:id="17"/>
      <w:bookmarkEnd w:id="18"/>
      <w:bookmarkEnd w:id="19"/>
      <w:bookmarkEnd w:id="20"/>
      <w:bookmarkEnd w:id="21"/>
      <w:bookmarkEnd w:id="22"/>
    </w:p>
    <w:p w14:paraId="4486AFBF">
      <w:pPr>
        <w:pageBreakBefore w:val="0"/>
        <w:kinsoku/>
        <w:wordWrap/>
        <w:overflowPunct/>
        <w:topLinePunct w:val="0"/>
        <w:autoSpaceDE/>
        <w:autoSpaceDN/>
        <w:bidi w:val="0"/>
        <w:spacing w:line="336" w:lineRule="auto"/>
        <w:ind w:firstLine="420" w:firstLineChars="200"/>
        <w:rPr>
          <w:rFonts w:hint="eastAsia" w:ascii="宋体" w:hAnsi="宋体" w:eastAsia="宋体" w:cs="宋体"/>
          <w:color w:val="auto"/>
          <w:highlight w:val="none"/>
        </w:rPr>
      </w:pPr>
      <w:bookmarkStart w:id="23" w:name="_Toc35393623"/>
      <w:bookmarkStart w:id="24" w:name="_Toc28359081"/>
      <w:bookmarkStart w:id="25" w:name="_Toc31381"/>
      <w:bookmarkStart w:id="26" w:name="_Toc28359004"/>
      <w:bookmarkStart w:id="27" w:name="_Toc35393792"/>
      <w:r>
        <w:rPr>
          <w:rFonts w:hint="eastAsia" w:ascii="宋体" w:hAnsi="宋体" w:cs="宋体"/>
          <w:color w:val="auto"/>
          <w:highlight w:val="none"/>
        </w:rPr>
        <w:t>1.满足《中华人民共和</w:t>
      </w:r>
      <w:r>
        <w:rPr>
          <w:rFonts w:hint="eastAsia" w:ascii="宋体" w:hAnsi="宋体" w:eastAsia="宋体" w:cs="宋体"/>
          <w:color w:val="auto"/>
          <w:highlight w:val="none"/>
        </w:rPr>
        <w:t>国政府采购法》第二十二条规定。</w:t>
      </w:r>
    </w:p>
    <w:p w14:paraId="53530E58">
      <w:pPr>
        <w:pageBreakBefore w:val="0"/>
        <w:kinsoku/>
        <w:wordWrap/>
        <w:overflowPunct/>
        <w:topLinePunct w:val="0"/>
        <w:autoSpaceDE/>
        <w:autoSpaceDN/>
        <w:bidi w:val="0"/>
        <w:spacing w:line="336" w:lineRule="auto"/>
        <w:ind w:firstLine="420" w:firstLineChars="200"/>
        <w:rPr>
          <w:rFonts w:ascii="宋体" w:hAnsi="宋体" w:eastAsia="宋体" w:cs="宋体"/>
          <w:color w:val="auto"/>
          <w:highlight w:val="none"/>
          <w:lang w:val="en-US" w:eastAsia="zh-CN"/>
        </w:rPr>
      </w:pPr>
      <w:r>
        <w:rPr>
          <w:rFonts w:hint="eastAsia" w:ascii="宋体" w:hAnsi="宋体" w:eastAsia="宋体" w:cs="宋体"/>
          <w:color w:val="auto"/>
          <w:highlight w:val="none"/>
        </w:rPr>
        <w:t>2.落实政府采购政策需满足的资格要求：</w:t>
      </w:r>
      <w:r>
        <w:rPr>
          <w:rFonts w:hint="eastAsia" w:ascii="宋体" w:hAnsi="宋体" w:eastAsia="宋体" w:cs="宋体"/>
          <w:color w:val="auto"/>
          <w:highlight w:val="none"/>
          <w:lang w:val="en-US" w:eastAsia="zh-CN"/>
        </w:rPr>
        <w:t>标项一、二、三、四专门面向中小企业，预留份额100%。</w:t>
      </w:r>
    </w:p>
    <w:p w14:paraId="05C160D3">
      <w:pPr>
        <w:pageBreakBefore w:val="0"/>
        <w:kinsoku/>
        <w:wordWrap/>
        <w:overflowPunct/>
        <w:topLinePunct w:val="0"/>
        <w:autoSpaceDE/>
        <w:autoSpaceDN/>
        <w:bidi w:val="0"/>
        <w:spacing w:line="336"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rPr>
        <w:t>3.本项目的特定资格要求：</w:t>
      </w:r>
      <w:r>
        <w:rPr>
          <w:rFonts w:ascii="Segoe UI" w:hAnsi="Segoe UI" w:eastAsia="Segoe UI" w:cs="Segoe UI"/>
          <w:i w:val="0"/>
          <w:iCs w:val="0"/>
          <w:caps w:val="0"/>
          <w:color w:val="auto"/>
          <w:spacing w:val="0"/>
          <w:sz w:val="21"/>
          <w:szCs w:val="21"/>
          <w:shd w:val="clear" w:color="auto" w:fill="FFFFFF"/>
        </w:rPr>
        <w:t>具有市政公用工程监理丙级及以上资质或水利工程监理丙级及以上资质或工程监理综合资质。拟投入本项目的总监理工程师须具备有效的国家注册监理工程师执业资格（注册专业为市政公用工程或水利水电工程）</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lang w:val="en-US" w:eastAsia="zh-CN"/>
        </w:rPr>
        <w:t>且为本单位在职员工。投标人须承诺，中标后确保总监理工程师能够满足招标文件规定的现场履职时间要求，并为其配备的项目团队，以保障本项目的监理服务</w:t>
      </w:r>
      <w:r>
        <w:rPr>
          <w:rFonts w:hint="eastAsia" w:ascii="宋体" w:hAnsi="宋体" w:eastAsia="宋体" w:cs="宋体"/>
          <w:color w:val="auto"/>
          <w:szCs w:val="21"/>
          <w:highlight w:val="none"/>
          <w:lang w:val="en-US" w:eastAsia="zh-CN"/>
        </w:rPr>
        <w:t>质量，</w:t>
      </w:r>
      <w:r>
        <w:rPr>
          <w:rFonts w:ascii="宋体" w:hAnsi="宋体" w:eastAsia="宋体" w:cs="宋体"/>
          <w:color w:val="auto"/>
          <w:szCs w:val="21"/>
          <w:highlight w:val="none"/>
          <w:lang w:val="en-US" w:eastAsia="zh-CN"/>
        </w:rPr>
        <w:t>（区外企业还须自行承诺项目总监在广西行政区域之外无在监项目。）</w:t>
      </w:r>
    </w:p>
    <w:p w14:paraId="1EC40AD1">
      <w:pPr>
        <w:pStyle w:val="16"/>
        <w:pageBreakBefore w:val="0"/>
        <w:kinsoku/>
        <w:wordWrap/>
        <w:overflowPunct/>
        <w:topLinePunct w:val="0"/>
        <w:autoSpaceDE/>
        <w:autoSpaceDN/>
        <w:bidi w:val="0"/>
        <w:spacing w:before="0" w:after="0" w:line="336" w:lineRule="auto"/>
        <w:rPr>
          <w:rFonts w:hint="eastAsia" w:ascii="宋体" w:hAnsi="宋体" w:eastAsia="宋体"/>
          <w:color w:val="auto"/>
          <w:sz w:val="21"/>
          <w:szCs w:val="21"/>
          <w:highlight w:val="none"/>
        </w:rPr>
      </w:pPr>
      <w:bookmarkStart w:id="28" w:name="_Toc27996"/>
      <w:bookmarkStart w:id="29" w:name="_Toc23145"/>
      <w:r>
        <w:rPr>
          <w:rFonts w:hint="eastAsia" w:ascii="宋体" w:hAnsi="宋体" w:eastAsia="宋体"/>
          <w:color w:val="auto"/>
          <w:sz w:val="21"/>
          <w:szCs w:val="21"/>
          <w:highlight w:val="none"/>
        </w:rPr>
        <w:t>三、获取招标文件</w:t>
      </w:r>
      <w:bookmarkEnd w:id="23"/>
      <w:bookmarkEnd w:id="24"/>
      <w:bookmarkEnd w:id="25"/>
      <w:bookmarkEnd w:id="26"/>
      <w:bookmarkEnd w:id="27"/>
      <w:bookmarkEnd w:id="28"/>
      <w:bookmarkEnd w:id="29"/>
    </w:p>
    <w:p w14:paraId="067A4BA1">
      <w:pPr>
        <w:pageBreakBefore w:val="0"/>
        <w:kinsoku/>
        <w:wordWrap/>
        <w:overflowPunct/>
        <w:topLinePunct w:val="0"/>
        <w:autoSpaceDE/>
        <w:autoSpaceDN/>
        <w:bidi w:val="0"/>
        <w:spacing w:line="336" w:lineRule="auto"/>
        <w:ind w:firstLine="420" w:firstLineChars="200"/>
        <w:rPr>
          <w:rFonts w:hint="eastAsia"/>
          <w:color w:val="auto"/>
          <w:szCs w:val="21"/>
          <w:highlight w:val="none"/>
        </w:rPr>
      </w:pPr>
      <w:r>
        <w:rPr>
          <w:rFonts w:hint="eastAsia"/>
          <w:color w:val="auto"/>
          <w:szCs w:val="21"/>
          <w:highlight w:val="none"/>
        </w:rPr>
        <w:t>1.时间：</w:t>
      </w:r>
      <w:r>
        <w:rPr>
          <w:rFonts w:hint="eastAsia"/>
          <w:color w:val="auto"/>
          <w:szCs w:val="21"/>
          <w:highlight w:val="none"/>
          <w:lang w:eastAsia="zh-CN"/>
        </w:rPr>
        <w:t>2026年</w:t>
      </w:r>
      <w:r>
        <w:rPr>
          <w:rFonts w:hint="eastAsia"/>
          <w:color w:val="auto"/>
          <w:szCs w:val="21"/>
          <w:highlight w:val="none"/>
          <w:lang w:val="en-US" w:eastAsia="zh-CN"/>
        </w:rPr>
        <w:t>3月2</w:t>
      </w:r>
      <w:r>
        <w:rPr>
          <w:rFonts w:hint="eastAsia"/>
          <w:color w:val="auto"/>
          <w:szCs w:val="21"/>
          <w:highlight w:val="none"/>
        </w:rPr>
        <w:t>日起至</w:t>
      </w:r>
      <w:r>
        <w:rPr>
          <w:rFonts w:hint="eastAsia"/>
          <w:color w:val="auto"/>
          <w:szCs w:val="21"/>
          <w:highlight w:val="none"/>
          <w:lang w:eastAsia="zh-CN"/>
        </w:rPr>
        <w:t>2026年</w:t>
      </w:r>
      <w:r>
        <w:rPr>
          <w:rFonts w:hint="eastAsia"/>
          <w:color w:val="auto"/>
          <w:szCs w:val="21"/>
          <w:highlight w:val="none"/>
          <w:lang w:val="en-US" w:eastAsia="zh-CN"/>
        </w:rPr>
        <w:t>3月9</w:t>
      </w:r>
      <w:r>
        <w:rPr>
          <w:rFonts w:hint="eastAsia"/>
          <w:color w:val="auto"/>
          <w:szCs w:val="21"/>
          <w:highlight w:val="none"/>
        </w:rPr>
        <w:t>日。</w:t>
      </w:r>
    </w:p>
    <w:p w14:paraId="0E903EF0">
      <w:pPr>
        <w:pageBreakBefore w:val="0"/>
        <w:kinsoku/>
        <w:wordWrap/>
        <w:overflowPunct/>
        <w:topLinePunct w:val="0"/>
        <w:autoSpaceDE/>
        <w:autoSpaceDN/>
        <w:bidi w:val="0"/>
        <w:spacing w:line="336" w:lineRule="auto"/>
        <w:ind w:firstLine="420" w:firstLineChars="200"/>
        <w:rPr>
          <w:rFonts w:hint="eastAsia"/>
          <w:color w:val="auto"/>
          <w:szCs w:val="21"/>
          <w:highlight w:val="none"/>
        </w:rPr>
      </w:pPr>
      <w:r>
        <w:rPr>
          <w:rFonts w:hint="eastAsia"/>
          <w:color w:val="auto"/>
          <w:szCs w:val="21"/>
          <w:highlight w:val="none"/>
        </w:rPr>
        <w:t>2.地点：</w:t>
      </w:r>
      <w:r>
        <w:rPr>
          <w:rFonts w:hint="eastAsia"/>
          <w:color w:val="auto"/>
          <w:szCs w:val="21"/>
          <w:highlight w:val="none"/>
          <w:lang w:eastAsia="zh-CN"/>
        </w:rPr>
        <w:t>广西政府采购云平台</w:t>
      </w:r>
      <w:r>
        <w:rPr>
          <w:rFonts w:hint="eastAsia"/>
          <w:color w:val="auto"/>
          <w:szCs w:val="21"/>
          <w:highlight w:val="none"/>
        </w:rPr>
        <w:t>线上。</w:t>
      </w:r>
    </w:p>
    <w:p w14:paraId="747EC099">
      <w:pPr>
        <w:pageBreakBefore w:val="0"/>
        <w:kinsoku/>
        <w:wordWrap/>
        <w:overflowPunct/>
        <w:topLinePunct w:val="0"/>
        <w:autoSpaceDE/>
        <w:autoSpaceDN/>
        <w:bidi w:val="0"/>
        <w:spacing w:line="336" w:lineRule="auto"/>
        <w:ind w:firstLine="420" w:firstLineChars="200"/>
        <w:rPr>
          <w:rFonts w:hint="eastAsia"/>
          <w:color w:val="auto"/>
          <w:szCs w:val="21"/>
          <w:highlight w:val="none"/>
        </w:rPr>
      </w:pPr>
      <w:r>
        <w:rPr>
          <w:rFonts w:hint="eastAsia"/>
          <w:color w:val="auto"/>
          <w:szCs w:val="21"/>
          <w:highlight w:val="none"/>
        </w:rPr>
        <w:t>3.方式</w:t>
      </w:r>
      <w:r>
        <w:rPr>
          <w:rFonts w:hint="eastAsia" w:ascii="Times New Roman" w:hAnsi="Times New Roman" w:eastAsia="宋体" w:cs="Times New Roman"/>
          <w:color w:val="auto"/>
          <w:szCs w:val="21"/>
          <w:highlight w:val="none"/>
        </w:rPr>
        <w:t>：供应商登录广西政府采购云平台（https://www.gcy.zfcg.gxzf.gov.cn/）在线申请获取采购文件（进入“项目采购”应用，在获取采购文件菜单中选择项目，申请获取采购文件）。</w:t>
      </w:r>
    </w:p>
    <w:p w14:paraId="08EBDF8C">
      <w:pPr>
        <w:pStyle w:val="16"/>
        <w:pageBreakBefore w:val="0"/>
        <w:kinsoku/>
        <w:wordWrap/>
        <w:overflowPunct/>
        <w:topLinePunct w:val="0"/>
        <w:autoSpaceDE/>
        <w:autoSpaceDN/>
        <w:bidi w:val="0"/>
        <w:spacing w:before="0" w:after="0" w:line="336" w:lineRule="auto"/>
        <w:rPr>
          <w:rFonts w:hint="eastAsia" w:ascii="宋体" w:hAnsi="宋体" w:eastAsia="宋体"/>
          <w:color w:val="auto"/>
          <w:sz w:val="21"/>
          <w:szCs w:val="21"/>
          <w:highlight w:val="none"/>
        </w:rPr>
      </w:pPr>
      <w:bookmarkStart w:id="30" w:name="_Toc28359005"/>
      <w:bookmarkStart w:id="31" w:name="_Toc28359082"/>
      <w:bookmarkStart w:id="32" w:name="_Toc28095"/>
      <w:bookmarkStart w:id="33" w:name="_Toc35393793"/>
      <w:bookmarkStart w:id="34" w:name="_Toc15703"/>
      <w:bookmarkStart w:id="35" w:name="_Toc35393624"/>
      <w:bookmarkStart w:id="36" w:name="_Toc4144"/>
      <w:r>
        <w:rPr>
          <w:rFonts w:hint="eastAsia" w:ascii="宋体" w:hAnsi="宋体" w:eastAsia="宋体"/>
          <w:color w:val="auto"/>
          <w:sz w:val="21"/>
          <w:szCs w:val="21"/>
          <w:highlight w:val="none"/>
        </w:rPr>
        <w:t>四、提交投标文件</w:t>
      </w:r>
      <w:bookmarkEnd w:id="30"/>
      <w:bookmarkEnd w:id="31"/>
      <w:r>
        <w:rPr>
          <w:rFonts w:hint="eastAsia" w:ascii="宋体" w:hAnsi="宋体" w:eastAsia="宋体"/>
          <w:color w:val="auto"/>
          <w:sz w:val="21"/>
          <w:szCs w:val="21"/>
          <w:highlight w:val="none"/>
        </w:rPr>
        <w:t>截止时间、开标时间和地点</w:t>
      </w:r>
      <w:bookmarkEnd w:id="32"/>
      <w:bookmarkEnd w:id="33"/>
      <w:bookmarkEnd w:id="34"/>
      <w:bookmarkEnd w:id="35"/>
      <w:bookmarkEnd w:id="36"/>
    </w:p>
    <w:p w14:paraId="6D4D565B">
      <w:pPr>
        <w:keepNext w:val="0"/>
        <w:keepLines w:val="0"/>
        <w:pageBreakBefore w:val="0"/>
        <w:widowControl/>
        <w:kinsoku/>
        <w:wordWrap/>
        <w:overflowPunct/>
        <w:topLinePunct w:val="0"/>
        <w:autoSpaceDE/>
        <w:autoSpaceDN/>
        <w:bidi w:val="0"/>
        <w:spacing w:line="336" w:lineRule="auto"/>
        <w:ind w:firstLine="420" w:firstLineChars="200"/>
        <w:rPr>
          <w:rFonts w:hint="eastAsia"/>
          <w:color w:val="auto"/>
          <w:szCs w:val="21"/>
          <w:highlight w:val="none"/>
        </w:rPr>
      </w:pPr>
      <w:r>
        <w:rPr>
          <w:rFonts w:hint="eastAsia"/>
          <w:color w:val="auto"/>
          <w:szCs w:val="21"/>
          <w:highlight w:val="none"/>
        </w:rPr>
        <w:t>提交投标文件截止时间：</w:t>
      </w:r>
      <w:r>
        <w:rPr>
          <w:rFonts w:hint="eastAsia" w:ascii="宋体" w:hAnsi="宋体" w:cs="宋体"/>
          <w:bCs/>
          <w:color w:val="auto"/>
          <w:szCs w:val="21"/>
          <w:highlight w:val="none"/>
          <w:lang w:eastAsia="zh-CN"/>
        </w:rPr>
        <w:t>2026年3月</w:t>
      </w:r>
      <w:r>
        <w:rPr>
          <w:rFonts w:hint="eastAsia" w:ascii="宋体" w:hAnsi="宋体" w:cs="宋体"/>
          <w:bCs/>
          <w:color w:val="auto"/>
          <w:szCs w:val="21"/>
          <w:highlight w:val="none"/>
          <w:lang w:val="en-US" w:eastAsia="zh-CN"/>
        </w:rPr>
        <w:t>23</w:t>
      </w:r>
      <w:r>
        <w:rPr>
          <w:rFonts w:hint="eastAsia" w:ascii="宋体" w:hAnsi="宋体" w:cs="宋体"/>
          <w:bCs/>
          <w:color w:val="auto"/>
          <w:szCs w:val="21"/>
          <w:highlight w:val="none"/>
          <w:lang w:eastAsia="zh-CN"/>
        </w:rPr>
        <w:t>日9时30分</w:t>
      </w:r>
      <w:r>
        <w:rPr>
          <w:rFonts w:hint="eastAsia"/>
          <w:color w:val="auto"/>
          <w:szCs w:val="21"/>
          <w:highlight w:val="none"/>
        </w:rPr>
        <w:t>（北京时间）</w:t>
      </w:r>
    </w:p>
    <w:p w14:paraId="1EB9F507">
      <w:pPr>
        <w:keepNext w:val="0"/>
        <w:keepLines w:val="0"/>
        <w:pageBreakBefore w:val="0"/>
        <w:widowControl/>
        <w:kinsoku/>
        <w:wordWrap/>
        <w:overflowPunct/>
        <w:topLinePunct w:val="0"/>
        <w:autoSpaceDE/>
        <w:autoSpaceDN/>
        <w:bidi w:val="0"/>
        <w:spacing w:line="336" w:lineRule="auto"/>
        <w:ind w:firstLine="420" w:firstLineChars="200"/>
        <w:rPr>
          <w:rFonts w:hint="eastAsia" w:eastAsia="宋体"/>
          <w:color w:val="auto"/>
          <w:szCs w:val="21"/>
          <w:highlight w:val="none"/>
          <w:lang w:eastAsia="zh-CN"/>
        </w:rPr>
      </w:pPr>
      <w:r>
        <w:rPr>
          <w:rFonts w:hint="eastAsia"/>
          <w:color w:val="auto"/>
          <w:szCs w:val="21"/>
          <w:highlight w:val="none"/>
        </w:rPr>
        <w:t>投标地点（网址）：</w:t>
      </w:r>
      <w:r>
        <w:rPr>
          <w:rFonts w:hint="eastAsia" w:ascii="宋体" w:hAnsi="宋体" w:cs="宋体"/>
          <w:color w:val="auto"/>
          <w:highlight w:val="none"/>
        </w:rPr>
        <w:t>通过</w:t>
      </w:r>
      <w:r>
        <w:rPr>
          <w:rFonts w:hint="eastAsia" w:ascii="宋体" w:hAnsi="宋体" w:cs="宋体"/>
          <w:color w:val="auto"/>
          <w:highlight w:val="none"/>
          <w:lang w:eastAsia="zh-CN"/>
        </w:rPr>
        <w:t>广西政府采购云平台</w:t>
      </w:r>
      <w:r>
        <w:rPr>
          <w:rFonts w:hint="eastAsia" w:ascii="宋体" w:hAnsi="宋体" w:cs="宋体"/>
          <w:color w:val="auto"/>
          <w:highlight w:val="none"/>
        </w:rPr>
        <w:t>实行在线投标。</w:t>
      </w:r>
    </w:p>
    <w:p w14:paraId="47EBDE69">
      <w:pPr>
        <w:keepNext w:val="0"/>
        <w:keepLines w:val="0"/>
        <w:pageBreakBefore w:val="0"/>
        <w:widowControl/>
        <w:kinsoku/>
        <w:wordWrap/>
        <w:overflowPunct/>
        <w:topLinePunct w:val="0"/>
        <w:autoSpaceDE/>
        <w:autoSpaceDN/>
        <w:bidi w:val="0"/>
        <w:spacing w:line="336" w:lineRule="auto"/>
        <w:ind w:firstLine="420" w:firstLineChars="200"/>
        <w:rPr>
          <w:rFonts w:hint="eastAsia"/>
          <w:color w:val="auto"/>
          <w:szCs w:val="21"/>
          <w:highlight w:val="none"/>
        </w:rPr>
      </w:pPr>
      <w:r>
        <w:rPr>
          <w:rFonts w:hint="eastAsia"/>
          <w:color w:val="auto"/>
          <w:szCs w:val="21"/>
          <w:highlight w:val="none"/>
        </w:rPr>
        <w:t>开标时间：</w:t>
      </w:r>
      <w:r>
        <w:rPr>
          <w:rFonts w:hint="eastAsia" w:ascii="宋体" w:hAnsi="宋体" w:cs="宋体"/>
          <w:bCs/>
          <w:color w:val="auto"/>
          <w:szCs w:val="21"/>
          <w:highlight w:val="none"/>
          <w:lang w:eastAsia="zh-CN"/>
        </w:rPr>
        <w:t>2026年3月23日9时30分</w:t>
      </w:r>
      <w:r>
        <w:rPr>
          <w:rFonts w:hint="eastAsia"/>
          <w:color w:val="auto"/>
          <w:szCs w:val="21"/>
          <w:highlight w:val="none"/>
        </w:rPr>
        <w:t>（北京时间）</w:t>
      </w:r>
    </w:p>
    <w:p w14:paraId="55BAE45D">
      <w:pPr>
        <w:keepNext w:val="0"/>
        <w:keepLines w:val="0"/>
        <w:pageBreakBefore w:val="0"/>
        <w:widowControl/>
        <w:kinsoku/>
        <w:wordWrap/>
        <w:overflowPunct/>
        <w:topLinePunct w:val="0"/>
        <w:autoSpaceDE/>
        <w:autoSpaceDN/>
        <w:bidi w:val="0"/>
        <w:spacing w:line="336" w:lineRule="auto"/>
        <w:ind w:firstLine="420" w:firstLineChars="200"/>
        <w:rPr>
          <w:rFonts w:hint="eastAsia" w:ascii="宋体" w:hAnsi="宋体" w:eastAsia="宋体" w:cs="宋体"/>
          <w:color w:val="auto"/>
          <w:kern w:val="0"/>
          <w:sz w:val="21"/>
          <w:szCs w:val="21"/>
          <w:highlight w:val="none"/>
          <w:lang w:val="en-US" w:eastAsia="zh-CN"/>
        </w:rPr>
      </w:pPr>
      <w:r>
        <w:rPr>
          <w:rFonts w:hint="eastAsia"/>
          <w:color w:val="auto"/>
          <w:szCs w:val="21"/>
          <w:highlight w:val="none"/>
        </w:rPr>
        <w:t>开标地点：</w:t>
      </w:r>
      <w:r>
        <w:rPr>
          <w:rFonts w:hint="eastAsia" w:ascii="宋体" w:hAnsi="宋体" w:eastAsia="宋体" w:cs="宋体"/>
          <w:color w:val="auto"/>
          <w:kern w:val="0"/>
          <w:sz w:val="21"/>
          <w:szCs w:val="21"/>
          <w:highlight w:val="none"/>
          <w:lang w:val="en-US" w:eastAsia="zh-CN"/>
        </w:rPr>
        <w:t>本项目采用远程异地评审，主会场在崇左市公共资源交易中心（崇左市城南新区石景林路东段政务服务中心综合楼五楼）通过广西政府采购云平台在线解密，副会场在柳州市公共资源交易中心（柳州市龙湖路13</w:t>
      </w:r>
      <w:r>
        <w:rPr>
          <w:rFonts w:hint="default" w:ascii="宋体" w:hAnsi="宋体" w:eastAsia="宋体" w:cs="宋体"/>
          <w:color w:val="auto"/>
          <w:kern w:val="0"/>
          <w:sz w:val="21"/>
          <w:szCs w:val="21"/>
          <w:highlight w:val="none"/>
          <w:lang w:val="en-US" w:eastAsia="zh-CN"/>
        </w:rPr>
        <w:t>号柳州市民服务中心北楼4-7楼</w:t>
      </w:r>
      <w:r>
        <w:rPr>
          <w:rFonts w:hint="eastAsia" w:ascii="宋体" w:hAnsi="宋体" w:eastAsia="宋体" w:cs="宋体"/>
          <w:color w:val="auto"/>
          <w:kern w:val="0"/>
          <w:sz w:val="21"/>
          <w:szCs w:val="21"/>
          <w:highlight w:val="none"/>
          <w:lang w:val="en-US" w:eastAsia="zh-CN"/>
        </w:rPr>
        <w:t>）。</w:t>
      </w:r>
    </w:p>
    <w:p w14:paraId="190CE07E">
      <w:pPr>
        <w:pStyle w:val="16"/>
        <w:pageBreakBefore w:val="0"/>
        <w:kinsoku/>
        <w:wordWrap/>
        <w:overflowPunct/>
        <w:topLinePunct w:val="0"/>
        <w:autoSpaceDE/>
        <w:autoSpaceDN/>
        <w:bidi w:val="0"/>
        <w:spacing w:before="0" w:after="0" w:line="336" w:lineRule="auto"/>
        <w:rPr>
          <w:rFonts w:hint="eastAsia" w:ascii="宋体" w:hAnsi="宋体" w:eastAsia="宋体"/>
          <w:color w:val="auto"/>
          <w:sz w:val="21"/>
          <w:szCs w:val="21"/>
          <w:highlight w:val="none"/>
        </w:rPr>
      </w:pPr>
      <w:bookmarkStart w:id="37" w:name="_Toc28359007"/>
      <w:bookmarkStart w:id="38" w:name="_Toc5949"/>
      <w:bookmarkStart w:id="39" w:name="_Toc9308"/>
      <w:bookmarkStart w:id="40" w:name="_Toc35393625"/>
      <w:bookmarkStart w:id="41" w:name="_Toc10194"/>
      <w:bookmarkStart w:id="42" w:name="_Toc35393794"/>
      <w:bookmarkStart w:id="43" w:name="_Toc28359084"/>
      <w:r>
        <w:rPr>
          <w:rFonts w:hint="eastAsia" w:ascii="宋体" w:hAnsi="宋体" w:eastAsia="宋体"/>
          <w:color w:val="auto"/>
          <w:sz w:val="21"/>
          <w:szCs w:val="21"/>
          <w:highlight w:val="none"/>
        </w:rPr>
        <w:t>五、公告期限</w:t>
      </w:r>
      <w:bookmarkEnd w:id="37"/>
      <w:bookmarkEnd w:id="38"/>
      <w:bookmarkEnd w:id="39"/>
      <w:bookmarkEnd w:id="40"/>
      <w:bookmarkEnd w:id="41"/>
      <w:bookmarkEnd w:id="42"/>
      <w:bookmarkEnd w:id="43"/>
    </w:p>
    <w:p w14:paraId="216C6320">
      <w:pPr>
        <w:pageBreakBefore w:val="0"/>
        <w:kinsoku/>
        <w:wordWrap/>
        <w:overflowPunct/>
        <w:topLinePunct w:val="0"/>
        <w:autoSpaceDE/>
        <w:autoSpaceDN/>
        <w:bidi w:val="0"/>
        <w:spacing w:line="336" w:lineRule="auto"/>
        <w:ind w:firstLine="420" w:firstLineChars="200"/>
        <w:rPr>
          <w:rFonts w:hint="eastAsia"/>
          <w:color w:val="auto"/>
          <w:szCs w:val="21"/>
          <w:highlight w:val="none"/>
        </w:rPr>
      </w:pPr>
      <w:r>
        <w:rPr>
          <w:rFonts w:hint="eastAsia"/>
          <w:color w:val="auto"/>
          <w:szCs w:val="21"/>
          <w:highlight w:val="none"/>
        </w:rPr>
        <w:t>自本公告发布之日起5个工作日。</w:t>
      </w:r>
    </w:p>
    <w:p w14:paraId="67180955">
      <w:pPr>
        <w:pStyle w:val="16"/>
        <w:pageBreakBefore w:val="0"/>
        <w:kinsoku/>
        <w:wordWrap/>
        <w:overflowPunct/>
        <w:topLinePunct w:val="0"/>
        <w:autoSpaceDE/>
        <w:autoSpaceDN/>
        <w:bidi w:val="0"/>
        <w:spacing w:before="0" w:after="0" w:line="336" w:lineRule="auto"/>
        <w:rPr>
          <w:rFonts w:hint="eastAsia" w:ascii="宋体" w:hAnsi="宋体" w:eastAsia="宋体"/>
          <w:color w:val="auto"/>
          <w:sz w:val="21"/>
          <w:szCs w:val="21"/>
          <w:highlight w:val="none"/>
        </w:rPr>
      </w:pPr>
      <w:bookmarkStart w:id="44" w:name="_Toc24016"/>
      <w:bookmarkStart w:id="45" w:name="_Toc32529"/>
      <w:bookmarkStart w:id="46" w:name="_Toc5995"/>
      <w:bookmarkStart w:id="47" w:name="_Toc35393626"/>
      <w:bookmarkStart w:id="48" w:name="_Toc35393795"/>
      <w:r>
        <w:rPr>
          <w:rFonts w:hint="eastAsia" w:ascii="宋体" w:hAnsi="宋体" w:eastAsia="宋体"/>
          <w:color w:val="auto"/>
          <w:sz w:val="21"/>
          <w:szCs w:val="21"/>
          <w:highlight w:val="none"/>
        </w:rPr>
        <w:t>六、其他补充事宜</w:t>
      </w:r>
      <w:bookmarkEnd w:id="44"/>
      <w:bookmarkEnd w:id="45"/>
      <w:bookmarkEnd w:id="46"/>
      <w:bookmarkEnd w:id="47"/>
      <w:bookmarkEnd w:id="48"/>
    </w:p>
    <w:p w14:paraId="6C574E8B">
      <w:pPr>
        <w:pageBreakBefore w:val="0"/>
        <w:kinsoku/>
        <w:wordWrap/>
        <w:overflowPunct/>
        <w:topLinePunct w:val="0"/>
        <w:autoSpaceDE/>
        <w:autoSpaceDN/>
        <w:bidi w:val="0"/>
        <w:spacing w:line="336" w:lineRule="auto"/>
        <w:ind w:firstLine="420" w:firstLineChars="200"/>
        <w:rPr>
          <w:color w:val="auto"/>
          <w:szCs w:val="21"/>
          <w:highlight w:val="none"/>
        </w:rPr>
      </w:pPr>
      <w:r>
        <w:rPr>
          <w:rFonts w:hint="eastAsia"/>
          <w:color w:val="auto"/>
          <w:szCs w:val="21"/>
          <w:highlight w:val="none"/>
        </w:rPr>
        <w:t>1.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7B1CC211">
      <w:pPr>
        <w:pageBreakBefore w:val="0"/>
        <w:kinsoku/>
        <w:wordWrap/>
        <w:overflowPunct/>
        <w:topLinePunct w:val="0"/>
        <w:autoSpaceDE/>
        <w:autoSpaceDN/>
        <w:bidi w:val="0"/>
        <w:spacing w:line="336" w:lineRule="auto"/>
        <w:ind w:firstLine="420" w:firstLineChars="200"/>
        <w:rPr>
          <w:color w:val="auto"/>
          <w:szCs w:val="21"/>
          <w:highlight w:val="none"/>
        </w:rPr>
      </w:pPr>
      <w:r>
        <w:rPr>
          <w:rFonts w:hint="eastAsia"/>
          <w:color w:val="auto"/>
          <w:szCs w:val="21"/>
          <w:highlight w:val="none"/>
        </w:rPr>
        <w:t>2.</w:t>
      </w:r>
      <w:r>
        <w:rPr>
          <w:rFonts w:hint="eastAsia" w:ascii="宋体" w:hAnsi="宋体" w:cs="宋体"/>
          <w:color w:val="auto"/>
          <w:szCs w:val="21"/>
          <w:highlight w:val="none"/>
        </w:rPr>
        <w:t>对在“信用中国”网站</w:t>
      </w:r>
      <w:r>
        <w:rPr>
          <w:rFonts w:hint="eastAsia" w:ascii="宋体" w:hAnsi="宋体" w:cs="宋体"/>
          <w:color w:val="auto"/>
          <w:szCs w:val="21"/>
          <w:highlight w:val="none"/>
          <w:lang w:eastAsia="zh-CN"/>
        </w:rPr>
        <w:t>（</w:t>
      </w:r>
      <w:r>
        <w:rPr>
          <w:rFonts w:ascii="宋体" w:hAnsi="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cs="宋体"/>
          <w:color w:val="auto"/>
          <w:szCs w:val="21"/>
          <w:highlight w:val="none"/>
        </w:rPr>
        <w:t>、中国政府采购网</w:t>
      </w:r>
      <w:r>
        <w:rPr>
          <w:rFonts w:hint="eastAsia" w:ascii="宋体" w:hAnsi="宋体" w:cs="宋体"/>
          <w:color w:val="auto"/>
          <w:szCs w:val="21"/>
          <w:highlight w:val="none"/>
          <w:lang w:eastAsia="zh-CN"/>
        </w:rPr>
        <w:t>（</w:t>
      </w:r>
      <w:r>
        <w:rPr>
          <w:rFonts w:ascii="宋体" w:hAnsi="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cs="宋体"/>
          <w:color w:val="auto"/>
          <w:szCs w:val="21"/>
          <w:highlight w:val="none"/>
        </w:rPr>
        <w:t>等渠道列入失信被执行人、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、政府采购严重违法失信行为记录名单及其他不符合《中华人民共和国政府采购法》第二十二条规定条件的供应商，不得参与采购活动</w:t>
      </w:r>
      <w:r>
        <w:rPr>
          <w:rFonts w:hint="eastAsia"/>
          <w:color w:val="auto"/>
          <w:szCs w:val="21"/>
          <w:highlight w:val="none"/>
        </w:rPr>
        <w:t>。</w:t>
      </w:r>
    </w:p>
    <w:p w14:paraId="60E31FB8">
      <w:pPr>
        <w:pageBreakBefore w:val="0"/>
        <w:kinsoku/>
        <w:wordWrap/>
        <w:overflowPunct/>
        <w:topLinePunct w:val="0"/>
        <w:autoSpaceDE/>
        <w:autoSpaceDN/>
        <w:bidi w:val="0"/>
        <w:spacing w:line="33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color w:val="auto"/>
          <w:szCs w:val="21"/>
          <w:highlight w:val="none"/>
        </w:rPr>
        <w:t>落实政府采购政策：</w:t>
      </w:r>
      <w:r>
        <w:rPr>
          <w:rFonts w:hint="eastAsia" w:ascii="宋体" w:hAnsi="宋体" w:cs="宋体"/>
          <w:color w:val="auto"/>
          <w:szCs w:val="21"/>
          <w:highlight w:val="none"/>
        </w:rPr>
        <w:t>政府采购促进中小企业发展；政府采购支持采用本国产品的政策；强制采购、优先采购环境标志产品、节能产品；政府采购促进残疾人就业政策；政府采购支持监狱企业发展；扶持不发达地区和少数民族地区政策。</w:t>
      </w:r>
    </w:p>
    <w:p w14:paraId="760168BF">
      <w:pPr>
        <w:pageBreakBefore w:val="0"/>
        <w:kinsoku/>
        <w:wordWrap/>
        <w:overflowPunct/>
        <w:topLinePunct w:val="0"/>
        <w:autoSpaceDE/>
        <w:autoSpaceDN/>
        <w:bidi w:val="0"/>
        <w:spacing w:line="336" w:lineRule="auto"/>
        <w:ind w:firstLine="420" w:firstLineChars="200"/>
        <w:rPr>
          <w:rFonts w:hint="eastAsia" w:cs="宋体"/>
          <w:color w:val="auto"/>
          <w:szCs w:val="21"/>
          <w:highlight w:val="none"/>
        </w:rPr>
      </w:pPr>
      <w:r>
        <w:rPr>
          <w:rFonts w:hint="eastAsia" w:ascii="宋体" w:hAnsi="宋体" w:cs="宋体"/>
          <w:color w:val="auto"/>
          <w:szCs w:val="21"/>
          <w:highlight w:val="none"/>
        </w:rPr>
        <w:t>4.</w:t>
      </w:r>
      <w:r>
        <w:rPr>
          <w:rFonts w:hint="eastAsia"/>
          <w:color w:val="auto"/>
          <w:szCs w:val="21"/>
          <w:highlight w:val="none"/>
        </w:rPr>
        <w:t>本次公告同时在广西壮族自治区政府采购网、中国政</w:t>
      </w:r>
      <w:r>
        <w:rPr>
          <w:rFonts w:hint="eastAsia" w:cs="宋体"/>
          <w:color w:val="auto"/>
          <w:szCs w:val="21"/>
          <w:highlight w:val="none"/>
        </w:rPr>
        <w:t>府采购网、全国公共资源交易平台（广西</w:t>
      </w:r>
      <w:r>
        <w:rPr>
          <w:rFonts w:hint="eastAsia" w:cs="宋体"/>
          <w:color w:val="auto"/>
          <w:szCs w:val="21"/>
          <w:highlight w:val="none"/>
          <w:lang w:val="en-US" w:eastAsia="zh-CN"/>
        </w:rPr>
        <w:t>.</w:t>
      </w:r>
      <w:r>
        <w:rPr>
          <w:rFonts w:hint="eastAsia" w:cs="宋体"/>
          <w:color w:val="auto"/>
          <w:szCs w:val="21"/>
          <w:highlight w:val="none"/>
        </w:rPr>
        <w:t>崇左）</w:t>
      </w:r>
      <w:bookmarkStart w:id="49" w:name="_Toc35393627"/>
      <w:bookmarkStart w:id="50" w:name="_Toc28359008"/>
      <w:bookmarkStart w:id="51" w:name="_Toc35393796"/>
      <w:bookmarkStart w:id="52" w:name="_Toc28359085"/>
      <w:r>
        <w:rPr>
          <w:rFonts w:hint="eastAsia" w:cs="宋体"/>
          <w:color w:val="auto"/>
          <w:szCs w:val="21"/>
          <w:highlight w:val="none"/>
        </w:rPr>
        <w:t>上发布（公告发布媒体包含但不限于上述媒体）。</w:t>
      </w:r>
    </w:p>
    <w:p w14:paraId="3407F07F">
      <w:pPr>
        <w:pageBreakBefore w:val="0"/>
        <w:kinsoku/>
        <w:wordWrap/>
        <w:overflowPunct/>
        <w:topLinePunct w:val="0"/>
        <w:autoSpaceDE/>
        <w:autoSpaceDN/>
        <w:bidi w:val="0"/>
        <w:spacing w:line="336" w:lineRule="auto"/>
        <w:ind w:firstLine="420" w:firstLineChars="200"/>
        <w:rPr>
          <w:rFonts w:hint="eastAsia" w:ascii="宋体" w:hAnsi="宋体" w:eastAsia="宋体" w:cs="宋体"/>
          <w:color w:val="auto"/>
          <w:kern w:val="0"/>
          <w:sz w:val="21"/>
          <w:szCs w:val="21"/>
          <w:highlight w:val="none"/>
        </w:rPr>
      </w:pPr>
      <w:r>
        <w:rPr>
          <w:rFonts w:hint="eastAsia"/>
          <w:color w:val="auto"/>
          <w:szCs w:val="21"/>
          <w:highlight w:val="none"/>
          <w:lang w:val="en-US" w:eastAsia="zh-CN"/>
        </w:rPr>
        <w:t>5</w:t>
      </w:r>
      <w:r>
        <w:rPr>
          <w:rFonts w:hint="eastAsia"/>
          <w:color w:val="auto"/>
          <w:szCs w:val="21"/>
          <w:highlight w:val="none"/>
        </w:rPr>
        <w:t>.</w:t>
      </w:r>
      <w:r>
        <w:rPr>
          <w:rFonts w:hint="eastAsia" w:ascii="宋体" w:hAnsi="宋体"/>
          <w:color w:val="auto"/>
          <w:sz w:val="21"/>
          <w:szCs w:val="21"/>
          <w:highlight w:val="none"/>
          <w:lang w:val="en-US" w:eastAsia="zh-CN"/>
        </w:rPr>
        <w:t>本项目实行</w:t>
      </w:r>
      <w:r>
        <w:rPr>
          <w:rFonts w:hint="eastAsia" w:ascii="宋体" w:hAnsi="宋体" w:cs="宋体"/>
          <w:color w:val="auto"/>
          <w:kern w:val="0"/>
          <w:sz w:val="21"/>
          <w:szCs w:val="21"/>
          <w:highlight w:val="none"/>
        </w:rPr>
        <w:t>在线</w:t>
      </w:r>
      <w:r>
        <w:rPr>
          <w:rFonts w:hint="eastAsia" w:ascii="宋体" w:hAnsi="宋体" w:cs="宋体"/>
          <w:color w:val="auto"/>
          <w:kern w:val="0"/>
          <w:sz w:val="21"/>
          <w:szCs w:val="21"/>
          <w:highlight w:val="none"/>
          <w:lang w:eastAsia="zh-CN"/>
        </w:rPr>
        <w:t>投标</w:t>
      </w:r>
      <w:r>
        <w:rPr>
          <w:rFonts w:hint="eastAsia" w:ascii="宋体" w:hAnsi="宋体" w:cs="宋体"/>
          <w:color w:val="auto"/>
          <w:kern w:val="0"/>
          <w:sz w:val="21"/>
          <w:szCs w:val="21"/>
          <w:highlight w:val="none"/>
        </w:rPr>
        <w:t>（电子</w:t>
      </w:r>
      <w:r>
        <w:rPr>
          <w:rFonts w:hint="eastAsia" w:ascii="宋体" w:hAnsi="宋体" w:cs="宋体"/>
          <w:color w:val="auto"/>
          <w:kern w:val="0"/>
          <w:sz w:val="21"/>
          <w:szCs w:val="21"/>
          <w:highlight w:val="none"/>
          <w:lang w:eastAsia="zh-CN"/>
        </w:rPr>
        <w:t>投</w:t>
      </w:r>
      <w:r>
        <w:rPr>
          <w:rFonts w:hint="eastAsia" w:ascii="宋体" w:hAnsi="宋体" w:cs="宋体"/>
          <w:color w:val="auto"/>
          <w:kern w:val="0"/>
          <w:sz w:val="21"/>
          <w:szCs w:val="21"/>
          <w:highlight w:val="none"/>
        </w:rPr>
        <w:t>标）</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本项目通过</w:t>
      </w:r>
      <w:r>
        <w:rPr>
          <w:rFonts w:hint="eastAsia" w:ascii="宋体" w:hAnsi="宋体" w:cs="宋体"/>
          <w:color w:val="auto"/>
          <w:kern w:val="0"/>
          <w:sz w:val="21"/>
          <w:szCs w:val="21"/>
          <w:highlight w:val="none"/>
          <w:lang w:eastAsia="zh-CN"/>
        </w:rPr>
        <w:t>广西政府采购云平台</w:t>
      </w:r>
      <w:r>
        <w:rPr>
          <w:rFonts w:hint="eastAsia" w:ascii="宋体" w:hAnsi="宋体" w:cs="宋体"/>
          <w:color w:val="auto"/>
          <w:kern w:val="0"/>
          <w:sz w:val="21"/>
          <w:szCs w:val="21"/>
          <w:highlight w:val="none"/>
        </w:rPr>
        <w:t>实行在线</w:t>
      </w:r>
      <w:r>
        <w:rPr>
          <w:rFonts w:hint="eastAsia" w:ascii="宋体" w:hAnsi="宋体" w:cs="宋体"/>
          <w:color w:val="auto"/>
          <w:kern w:val="0"/>
          <w:sz w:val="21"/>
          <w:szCs w:val="21"/>
          <w:highlight w:val="none"/>
          <w:lang w:eastAsia="zh-CN"/>
        </w:rPr>
        <w:t>投标</w:t>
      </w:r>
      <w:r>
        <w:rPr>
          <w:rFonts w:hint="eastAsia" w:ascii="宋体" w:hAnsi="宋体" w:cs="宋体"/>
          <w:color w:val="auto"/>
          <w:kern w:val="0"/>
          <w:sz w:val="21"/>
          <w:szCs w:val="21"/>
          <w:highlight w:val="none"/>
        </w:rPr>
        <w:t>（电子</w:t>
      </w:r>
      <w:r>
        <w:rPr>
          <w:rFonts w:hint="eastAsia" w:ascii="宋体" w:hAnsi="宋体" w:cs="宋体"/>
          <w:color w:val="auto"/>
          <w:kern w:val="0"/>
          <w:sz w:val="21"/>
          <w:szCs w:val="21"/>
          <w:highlight w:val="none"/>
          <w:lang w:eastAsia="zh-CN"/>
        </w:rPr>
        <w:t>投</w:t>
      </w:r>
      <w:r>
        <w:rPr>
          <w:rFonts w:hint="eastAsia" w:ascii="宋体" w:hAnsi="宋体" w:cs="宋体"/>
          <w:color w:val="auto"/>
          <w:kern w:val="0"/>
          <w:sz w:val="21"/>
          <w:szCs w:val="21"/>
          <w:highlight w:val="none"/>
        </w:rPr>
        <w:t>标），供应商需要先安装“</w:t>
      </w:r>
      <w:r>
        <w:rPr>
          <w:rFonts w:hint="eastAsia" w:ascii="宋体" w:hAnsi="宋体" w:cs="宋体"/>
          <w:color w:val="auto"/>
          <w:kern w:val="0"/>
          <w:sz w:val="21"/>
          <w:szCs w:val="21"/>
          <w:highlight w:val="none"/>
          <w:lang w:eastAsia="zh-CN"/>
        </w:rPr>
        <w:t>广西政府采购云电子交易客户端</w:t>
      </w:r>
      <w:r>
        <w:rPr>
          <w:rFonts w:hint="eastAsia" w:ascii="宋体" w:hAnsi="宋体" w:cs="宋体"/>
          <w:color w:val="auto"/>
          <w:kern w:val="0"/>
          <w:sz w:val="21"/>
          <w:szCs w:val="21"/>
          <w:highlight w:val="none"/>
        </w:rPr>
        <w:t>”，并按照本</w:t>
      </w:r>
      <w:r>
        <w:rPr>
          <w:rFonts w:hint="eastAsia" w:ascii="宋体" w:hAnsi="宋体" w:cs="宋体"/>
          <w:color w:val="auto"/>
          <w:kern w:val="0"/>
          <w:sz w:val="21"/>
          <w:szCs w:val="21"/>
          <w:highlight w:val="none"/>
          <w:lang w:eastAsia="zh-CN"/>
        </w:rPr>
        <w:t>采购</w:t>
      </w:r>
      <w:r>
        <w:rPr>
          <w:rFonts w:hint="eastAsia" w:ascii="宋体" w:hAnsi="宋体" w:cs="宋体"/>
          <w:color w:val="auto"/>
          <w:kern w:val="0"/>
          <w:sz w:val="21"/>
          <w:szCs w:val="21"/>
          <w:highlight w:val="none"/>
        </w:rPr>
        <w:t>文件和</w:t>
      </w:r>
      <w:r>
        <w:rPr>
          <w:rFonts w:hint="eastAsia" w:ascii="宋体" w:hAnsi="宋体" w:cs="宋体"/>
          <w:color w:val="auto"/>
          <w:kern w:val="0"/>
          <w:sz w:val="21"/>
          <w:szCs w:val="21"/>
          <w:highlight w:val="none"/>
          <w:lang w:eastAsia="zh-CN"/>
        </w:rPr>
        <w:t>广西政府采购云平台</w:t>
      </w:r>
      <w:r>
        <w:rPr>
          <w:rFonts w:hint="eastAsia" w:ascii="宋体" w:hAnsi="宋体" w:cs="宋体"/>
          <w:color w:val="auto"/>
          <w:kern w:val="0"/>
          <w:sz w:val="21"/>
          <w:szCs w:val="21"/>
          <w:highlight w:val="none"/>
        </w:rPr>
        <w:t>的要求，通过“</w:t>
      </w:r>
      <w:r>
        <w:rPr>
          <w:rFonts w:hint="eastAsia" w:ascii="宋体" w:hAnsi="宋体" w:cs="宋体"/>
          <w:color w:val="auto"/>
          <w:kern w:val="0"/>
          <w:sz w:val="21"/>
          <w:szCs w:val="21"/>
          <w:highlight w:val="none"/>
          <w:lang w:eastAsia="zh-CN"/>
        </w:rPr>
        <w:t>广西政府采购云电子交易客户端</w:t>
      </w:r>
      <w:r>
        <w:rPr>
          <w:rFonts w:hint="eastAsia" w:ascii="宋体" w:hAnsi="宋体" w:cs="宋体"/>
          <w:color w:val="auto"/>
          <w:kern w:val="0"/>
          <w:sz w:val="21"/>
          <w:szCs w:val="21"/>
          <w:highlight w:val="none"/>
        </w:rPr>
        <w:t>”编制并加密</w:t>
      </w:r>
      <w:r>
        <w:rPr>
          <w:rFonts w:hint="eastAsia" w:ascii="宋体" w:hAnsi="宋体" w:eastAsia="宋体" w:cs="宋体"/>
          <w:color w:val="auto"/>
          <w:kern w:val="0"/>
          <w:sz w:val="21"/>
          <w:szCs w:val="21"/>
          <w:highlight w:val="none"/>
          <w:lang w:eastAsia="zh-CN"/>
        </w:rPr>
        <w:t>投标文件</w:t>
      </w:r>
      <w:r>
        <w:rPr>
          <w:rFonts w:hint="eastAsia" w:ascii="宋体" w:hAnsi="宋体" w:eastAsia="宋体" w:cs="宋体"/>
          <w:color w:val="auto"/>
          <w:kern w:val="0"/>
          <w:sz w:val="21"/>
          <w:szCs w:val="21"/>
          <w:highlight w:val="none"/>
        </w:rPr>
        <w:t>。供应商未按规定编制并加密的</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w:t>
      </w:r>
      <w:r>
        <w:rPr>
          <w:rFonts w:hint="eastAsia" w:ascii="宋体" w:hAnsi="宋体" w:eastAsia="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将予以拒收。“</w:t>
      </w:r>
      <w:r>
        <w:rPr>
          <w:rFonts w:hint="eastAsia" w:ascii="宋体" w:hAnsi="宋体" w:eastAsia="宋体" w:cs="宋体"/>
          <w:color w:val="auto"/>
          <w:kern w:val="0"/>
          <w:sz w:val="21"/>
          <w:szCs w:val="21"/>
          <w:highlight w:val="none"/>
          <w:lang w:eastAsia="zh-CN"/>
        </w:rPr>
        <w:t>广西政府采购云电子交易客户端</w:t>
      </w:r>
      <w:r>
        <w:rPr>
          <w:rFonts w:hint="eastAsia" w:ascii="宋体" w:hAnsi="宋体" w:eastAsia="宋体" w:cs="宋体"/>
          <w:color w:val="auto"/>
          <w:kern w:val="0"/>
          <w:sz w:val="21"/>
          <w:szCs w:val="21"/>
          <w:highlight w:val="none"/>
        </w:rPr>
        <w:t>”请自行前往广西政府采购网下载并安装）；通过</w:t>
      </w:r>
      <w:r>
        <w:rPr>
          <w:rFonts w:hint="eastAsia" w:ascii="宋体" w:hAnsi="宋体" w:eastAsia="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参与在线</w:t>
      </w:r>
      <w:r>
        <w:rPr>
          <w:rFonts w:hint="eastAsia" w:ascii="宋体" w:hAnsi="宋体" w:eastAsia="宋体" w:cs="宋体"/>
          <w:color w:val="auto"/>
          <w:kern w:val="0"/>
          <w:sz w:val="21"/>
          <w:szCs w:val="21"/>
          <w:highlight w:val="none"/>
          <w:lang w:eastAsia="zh-CN"/>
        </w:rPr>
        <w:t>投</w:t>
      </w:r>
      <w:r>
        <w:rPr>
          <w:rFonts w:hint="eastAsia" w:ascii="宋体" w:hAnsi="宋体" w:eastAsia="宋体" w:cs="宋体"/>
          <w:color w:val="auto"/>
          <w:kern w:val="0"/>
          <w:sz w:val="21"/>
          <w:szCs w:val="21"/>
          <w:highlight w:val="none"/>
        </w:rPr>
        <w:t>标时如遇平台技术问题详询</w:t>
      </w:r>
      <w:r>
        <w:rPr>
          <w:rFonts w:hint="eastAsia" w:ascii="宋体" w:hAnsi="宋体" w:eastAsia="宋体" w:cs="宋体"/>
          <w:color w:val="auto"/>
          <w:kern w:val="0"/>
          <w:sz w:val="21"/>
          <w:szCs w:val="21"/>
          <w:highlight w:val="none"/>
          <w:lang w:eastAsia="zh-CN"/>
        </w:rPr>
        <w:t>95763或者0771-3381253</w:t>
      </w:r>
      <w:r>
        <w:rPr>
          <w:rFonts w:hint="eastAsia" w:ascii="宋体" w:hAnsi="宋体" w:eastAsia="宋体" w:cs="宋体"/>
          <w:color w:val="auto"/>
          <w:kern w:val="0"/>
          <w:sz w:val="21"/>
          <w:szCs w:val="21"/>
          <w:highlight w:val="none"/>
        </w:rPr>
        <w:t>。</w:t>
      </w:r>
    </w:p>
    <w:p w14:paraId="2736163F">
      <w:pPr>
        <w:pageBreakBefore w:val="0"/>
        <w:kinsoku/>
        <w:wordWrap/>
        <w:overflowPunct/>
        <w:topLinePunct w:val="0"/>
        <w:autoSpaceDE/>
        <w:autoSpaceDN/>
        <w:bidi w:val="0"/>
        <w:spacing w:line="336"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为政府采购支持中小企业力度，帮助政府采购中标供应商解决融资难、融资贵问题，进一步做好线上“政采贷”融资业务工作，</w:t>
      </w:r>
      <w:r>
        <w:rPr>
          <w:rFonts w:hint="eastAsia" w:ascii="宋体" w:hAnsi="宋体" w:eastAsia="宋体" w:cs="宋体"/>
          <w:color w:val="auto"/>
          <w:kern w:val="0"/>
          <w:sz w:val="21"/>
          <w:szCs w:val="21"/>
          <w:highlight w:val="none"/>
        </w:rPr>
        <w:t>如供应商有需要，可查阅采购文件附件</w:t>
      </w:r>
      <w:r>
        <w:rPr>
          <w:rFonts w:hint="eastAsia" w:ascii="宋体" w:hAnsi="宋体" w:eastAsia="宋体" w:cs="宋体"/>
          <w:color w:val="auto"/>
          <w:kern w:val="0"/>
          <w:sz w:val="21"/>
          <w:szCs w:val="21"/>
          <w:highlight w:val="none"/>
          <w:lang w:eastAsia="zh-CN"/>
        </w:rPr>
        <w:t>：《崇左市线上“政采贷”政策告知函》《崇左市线上“政采贷”业务流程图》《崇左市金融机构线上“政采贷”业务办理联络表》。</w:t>
      </w:r>
    </w:p>
    <w:p w14:paraId="65CBE7D1">
      <w:pPr>
        <w:keepNext w:val="0"/>
        <w:keepLines w:val="0"/>
        <w:pageBreakBefore w:val="0"/>
        <w:kinsoku/>
        <w:wordWrap w:val="0"/>
        <w:overflowPunct/>
        <w:topLinePunct w:val="0"/>
        <w:autoSpaceDE/>
        <w:autoSpaceDN/>
        <w:bidi w:val="0"/>
        <w:spacing w:line="336" w:lineRule="auto"/>
        <w:ind w:firstLine="420" w:firstLineChars="200"/>
        <w:rPr>
          <w:rFonts w:hint="eastAsia"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7.本项目不收取投标保证金</w:t>
      </w:r>
      <w:r>
        <w:rPr>
          <w:rFonts w:hint="eastAsia" w:ascii="宋体" w:hAnsi="宋体" w:cs="宋体"/>
          <w:color w:val="auto"/>
          <w:kern w:val="0"/>
          <w:sz w:val="21"/>
          <w:szCs w:val="21"/>
          <w:highlight w:val="none"/>
          <w:lang w:val="en-US" w:eastAsia="zh-CN"/>
        </w:rPr>
        <w:t>。</w:t>
      </w:r>
    </w:p>
    <w:p w14:paraId="3711AEC0">
      <w:pPr>
        <w:keepNext w:val="0"/>
        <w:keepLines w:val="0"/>
        <w:pageBreakBefore w:val="0"/>
        <w:kinsoku/>
        <w:wordWrap w:val="0"/>
        <w:overflowPunct/>
        <w:topLinePunct w:val="0"/>
        <w:autoSpaceDE/>
        <w:autoSpaceDN/>
        <w:bidi w:val="0"/>
        <w:spacing w:line="336"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r>
        <w:rPr>
          <w:rFonts w:hint="eastAsia" w:ascii="宋体" w:hAnsi="宋体" w:cs="宋体"/>
          <w:color w:val="auto"/>
          <w:kern w:val="0"/>
          <w:sz w:val="21"/>
          <w:szCs w:val="21"/>
          <w:highlight w:val="none"/>
          <w:lang w:val="en-US" w:eastAsia="zh-CN"/>
        </w:rPr>
        <w:t>本项目</w:t>
      </w:r>
      <w:r>
        <w:rPr>
          <w:rFonts w:hint="eastAsia" w:ascii="宋体" w:hAnsi="宋体" w:eastAsia="宋体" w:cs="宋体"/>
          <w:color w:val="auto"/>
          <w:kern w:val="0"/>
          <w:sz w:val="21"/>
          <w:szCs w:val="21"/>
          <w:highlight w:val="none"/>
          <w:lang w:eastAsia="zh-CN"/>
        </w:rPr>
        <w:t>按照</w:t>
      </w:r>
      <w:r>
        <w:rPr>
          <w:rFonts w:hint="eastAsia" w:ascii="宋体" w:hAnsi="宋体" w:eastAsia="宋体" w:cs="宋体"/>
          <w:color w:val="auto"/>
          <w:kern w:val="0"/>
          <w:sz w:val="21"/>
          <w:szCs w:val="21"/>
          <w:highlight w:val="none"/>
          <w:lang w:val="en-US" w:eastAsia="zh-CN"/>
        </w:rPr>
        <w:t>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w:t>
      </w:r>
      <w:r>
        <w:rPr>
          <w:rFonts w:hint="eastAsia" w:ascii="宋体" w:hAnsi="宋体" w:cs="宋体"/>
          <w:color w:val="auto"/>
          <w:kern w:val="0"/>
          <w:sz w:val="21"/>
          <w:szCs w:val="21"/>
          <w:highlight w:val="none"/>
          <w:lang w:val="en-US" w:eastAsia="zh-CN"/>
        </w:rPr>
        <w:t>其</w:t>
      </w:r>
      <w:r>
        <w:rPr>
          <w:rFonts w:hint="eastAsia" w:ascii="宋体" w:hAnsi="宋体" w:eastAsia="宋体" w:cs="宋体"/>
          <w:color w:val="auto"/>
          <w:kern w:val="0"/>
          <w:sz w:val="21"/>
          <w:szCs w:val="21"/>
          <w:highlight w:val="none"/>
          <w:lang w:val="en-US" w:eastAsia="zh-CN"/>
        </w:rPr>
        <w:t>他组织的营业执照等证明文件，自然人的身份证明、财务状况报告、依法缴纳税收和社会保障资金相关证明材料、有履行合同所必需的设备和专业技术能力相关证明材料、</w:t>
      </w:r>
      <w:r>
        <w:rPr>
          <w:color w:val="auto"/>
        </w:rPr>
        <w:t>参加政府采购活动前3年内在经营活动中没有重大违法记录的书面声明</w:t>
      </w:r>
      <w:r>
        <w:rPr>
          <w:rFonts w:hint="eastAsia" w:ascii="宋体" w:hAnsi="宋体" w:eastAsia="宋体" w:cs="宋体"/>
          <w:color w:val="auto"/>
          <w:kern w:val="0"/>
          <w:sz w:val="21"/>
          <w:szCs w:val="21"/>
          <w:highlight w:val="none"/>
          <w:lang w:val="en-US" w:eastAsia="zh-CN"/>
        </w:rPr>
        <w:t>。</w:t>
      </w:r>
    </w:p>
    <w:p w14:paraId="17D07A60">
      <w:pPr>
        <w:keepNext w:val="0"/>
        <w:keepLines w:val="0"/>
        <w:pageBreakBefore w:val="0"/>
        <w:kinsoku/>
        <w:wordWrap w:val="0"/>
        <w:overflowPunct/>
        <w:topLinePunct w:val="0"/>
        <w:autoSpaceDE/>
        <w:autoSpaceDN/>
        <w:bidi w:val="0"/>
        <w:spacing w:line="336" w:lineRule="auto"/>
        <w:ind w:firstLine="420" w:firstLineChars="200"/>
        <w:rPr>
          <w:rFonts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9.本项目允许投标人对四个标项同时投标，并可同时中标多个标项。</w:t>
      </w:r>
      <w:r>
        <w:rPr>
          <w:color w:val="auto"/>
        </w:rPr>
        <w:t>投标人如拟中多个标项</w:t>
      </w:r>
      <w:r>
        <w:rPr>
          <w:rFonts w:hint="eastAsia" w:ascii="宋体" w:hAnsi="宋体" w:eastAsia="宋体" w:cs="宋体"/>
          <w:color w:val="auto"/>
          <w:kern w:val="0"/>
          <w:sz w:val="21"/>
          <w:szCs w:val="21"/>
          <w:highlight w:val="none"/>
          <w:lang w:val="en-US" w:eastAsia="zh-CN"/>
        </w:rPr>
        <w:t>，须在投标文件中承诺为每个中标项配备独立且符合要求的项目监理机构（总监理工程师不得兼任），并具备同时履行多个合同的能力。评标委员会将按标项独立评审并推荐中标候选人。</w:t>
      </w:r>
    </w:p>
    <w:p w14:paraId="780EFE6C">
      <w:pPr>
        <w:pStyle w:val="16"/>
        <w:pageBreakBefore w:val="0"/>
        <w:kinsoku/>
        <w:wordWrap/>
        <w:overflowPunct/>
        <w:topLinePunct w:val="0"/>
        <w:autoSpaceDE/>
        <w:autoSpaceDN/>
        <w:bidi w:val="0"/>
        <w:spacing w:before="0" w:after="0" w:line="336" w:lineRule="auto"/>
        <w:rPr>
          <w:rFonts w:hint="eastAsia" w:ascii="宋体" w:hAnsi="宋体" w:eastAsia="宋体"/>
          <w:color w:val="auto"/>
          <w:sz w:val="21"/>
          <w:szCs w:val="21"/>
          <w:highlight w:val="none"/>
        </w:rPr>
      </w:pPr>
      <w:bookmarkStart w:id="53" w:name="_Toc26714"/>
      <w:bookmarkStart w:id="54" w:name="_Toc27405"/>
      <w:bookmarkStart w:id="55" w:name="_Toc19481"/>
      <w:r>
        <w:rPr>
          <w:rFonts w:hint="eastAsia" w:ascii="宋体" w:hAnsi="宋体" w:eastAsia="宋体"/>
          <w:color w:val="auto"/>
          <w:sz w:val="21"/>
          <w:szCs w:val="21"/>
          <w:highlight w:val="none"/>
        </w:rPr>
        <w:t>七、对本次招标提出询问，请按以下方式联系</w:t>
      </w:r>
      <w:bookmarkEnd w:id="49"/>
      <w:bookmarkEnd w:id="50"/>
      <w:bookmarkEnd w:id="51"/>
      <w:bookmarkEnd w:id="52"/>
      <w:bookmarkEnd w:id="53"/>
      <w:bookmarkEnd w:id="54"/>
      <w:bookmarkEnd w:id="55"/>
    </w:p>
    <w:p w14:paraId="4AC59414">
      <w:pPr>
        <w:pageBreakBefore w:val="0"/>
        <w:kinsoku/>
        <w:wordWrap/>
        <w:overflowPunct/>
        <w:topLinePunct w:val="0"/>
        <w:autoSpaceDE/>
        <w:autoSpaceDN/>
        <w:bidi w:val="0"/>
        <w:spacing w:line="336" w:lineRule="auto"/>
        <w:ind w:firstLine="420" w:firstLineChars="200"/>
        <w:rPr>
          <w:rFonts w:hint="eastAsia"/>
          <w:color w:val="auto"/>
          <w:szCs w:val="21"/>
          <w:highlight w:val="none"/>
        </w:rPr>
      </w:pPr>
      <w:r>
        <w:rPr>
          <w:rFonts w:hint="eastAsia"/>
          <w:color w:val="auto"/>
          <w:szCs w:val="21"/>
          <w:highlight w:val="none"/>
        </w:rPr>
        <w:t>1.采购人信息</w:t>
      </w:r>
    </w:p>
    <w:p w14:paraId="2BDF049B">
      <w:pPr>
        <w:pageBreakBefore w:val="0"/>
        <w:kinsoku/>
        <w:wordWrap/>
        <w:overflowPunct/>
        <w:topLinePunct w:val="0"/>
        <w:autoSpaceDE/>
        <w:autoSpaceDN/>
        <w:bidi w:val="0"/>
        <w:spacing w:line="336" w:lineRule="auto"/>
        <w:ind w:firstLine="420" w:firstLineChars="200"/>
        <w:rPr>
          <w:rFonts w:hint="eastAsia" w:ascii="Times New Roman" w:hAnsi="Times New Roman" w:eastAsia="宋体" w:cs="Times New Roman"/>
          <w:color w:val="auto"/>
          <w:szCs w:val="21"/>
          <w:highlight w:val="none"/>
          <w:lang w:eastAsia="zh-CN"/>
        </w:rPr>
      </w:pPr>
      <w:r>
        <w:rPr>
          <w:rFonts w:hint="eastAsia"/>
          <w:color w:val="auto"/>
          <w:szCs w:val="21"/>
          <w:highlight w:val="none"/>
        </w:rPr>
        <w:t>名称：</w:t>
      </w:r>
      <w:r>
        <w:rPr>
          <w:rFonts w:hint="eastAsia"/>
          <w:color w:val="auto"/>
          <w:szCs w:val="21"/>
          <w:highlight w:val="none"/>
          <w:lang w:eastAsia="zh-CN"/>
        </w:rPr>
        <w:t>天等县农业农村局</w:t>
      </w:r>
    </w:p>
    <w:p w14:paraId="5B879EAA">
      <w:pPr>
        <w:keepNext w:val="0"/>
        <w:keepLines w:val="0"/>
        <w:pageBreakBefore w:val="0"/>
        <w:widowControl w:val="0"/>
        <w:kinsoku/>
        <w:wordWrap/>
        <w:overflowPunct/>
        <w:topLinePunct w:val="0"/>
        <w:autoSpaceDE/>
        <w:autoSpaceDN/>
        <w:bidi w:val="0"/>
        <w:spacing w:line="336" w:lineRule="auto"/>
        <w:ind w:firstLine="420" w:firstLineChars="200"/>
        <w:outlineLvl w:val="9"/>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地址：</w:t>
      </w:r>
      <w:r>
        <w:rPr>
          <w:rFonts w:hint="eastAsia" w:ascii="宋体" w:hAnsi="宋体" w:cs="宋体"/>
          <w:color w:val="auto"/>
          <w:szCs w:val="21"/>
          <w:highlight w:val="none"/>
          <w:lang w:eastAsia="zh-CN"/>
        </w:rPr>
        <w:t>天等县天等镇和平路9号县人民政府大院会议楼1楼乡村建设组办公室</w:t>
      </w:r>
    </w:p>
    <w:p w14:paraId="4732DDBC">
      <w:pPr>
        <w:keepNext w:val="0"/>
        <w:keepLines w:val="0"/>
        <w:pageBreakBefore w:val="0"/>
        <w:widowControl w:val="0"/>
        <w:kinsoku/>
        <w:wordWrap/>
        <w:overflowPunct/>
        <w:topLinePunct w:val="0"/>
        <w:autoSpaceDE/>
        <w:autoSpaceDN/>
        <w:bidi w:val="0"/>
        <w:spacing w:line="336" w:lineRule="auto"/>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项目</w:t>
      </w:r>
      <w:r>
        <w:rPr>
          <w:rFonts w:hint="eastAsia" w:ascii="宋体" w:hAnsi="宋体" w:eastAsia="宋体" w:cs="宋体"/>
          <w:color w:val="auto"/>
          <w:sz w:val="21"/>
          <w:szCs w:val="21"/>
          <w:highlight w:val="none"/>
          <w:lang w:eastAsia="zh-CN"/>
        </w:rPr>
        <w:t>联系人</w:t>
      </w:r>
      <w:r>
        <w:rPr>
          <w:rFonts w:hint="eastAsia" w:ascii="宋体" w:hAnsi="宋体" w:cs="宋体"/>
          <w:color w:val="auto"/>
          <w:sz w:val="21"/>
          <w:szCs w:val="21"/>
          <w:highlight w:val="none"/>
          <w:lang w:eastAsia="zh-CN"/>
        </w:rPr>
        <w:t>：</w:t>
      </w:r>
      <w:r>
        <w:rPr>
          <w:rFonts w:hint="eastAsia" w:cs="宋体"/>
          <w:color w:val="auto"/>
          <w:szCs w:val="21"/>
          <w:highlight w:val="none"/>
          <w:lang w:val="en-US" w:eastAsia="zh-CN"/>
        </w:rPr>
        <w:t>李志燕</w:t>
      </w:r>
    </w:p>
    <w:p w14:paraId="69BFC88E">
      <w:pPr>
        <w:keepNext w:val="0"/>
        <w:keepLines w:val="0"/>
        <w:pageBreakBefore w:val="0"/>
        <w:widowControl w:val="0"/>
        <w:kinsoku/>
        <w:wordWrap/>
        <w:overflowPunct/>
        <w:topLinePunct w:val="0"/>
        <w:autoSpaceDE/>
        <w:autoSpaceDN/>
        <w:bidi w:val="0"/>
        <w:spacing w:line="336" w:lineRule="auto"/>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项目联系方式:</w:t>
      </w:r>
      <w:r>
        <w:rPr>
          <w:rFonts w:hint="eastAsia" w:ascii="宋体" w:hAnsi="宋体" w:cs="宋体"/>
          <w:color w:val="auto"/>
          <w:szCs w:val="21"/>
          <w:highlight w:val="none"/>
          <w:lang w:eastAsia="zh-CN"/>
        </w:rPr>
        <w:t>0771-3533625</w:t>
      </w:r>
    </w:p>
    <w:p w14:paraId="11F2E2FD">
      <w:pPr>
        <w:pageBreakBefore w:val="0"/>
        <w:kinsoku/>
        <w:wordWrap/>
        <w:overflowPunct/>
        <w:topLinePunct w:val="0"/>
        <w:autoSpaceDE/>
        <w:autoSpaceDN/>
        <w:bidi w:val="0"/>
        <w:spacing w:line="336" w:lineRule="auto"/>
        <w:ind w:firstLine="420" w:firstLineChars="200"/>
        <w:rPr>
          <w:rFonts w:hint="eastAsia"/>
          <w:color w:val="auto"/>
          <w:szCs w:val="21"/>
          <w:highlight w:val="none"/>
        </w:rPr>
      </w:pPr>
      <w:r>
        <w:rPr>
          <w:rFonts w:hint="eastAsia"/>
          <w:color w:val="auto"/>
          <w:szCs w:val="21"/>
          <w:highlight w:val="none"/>
        </w:rPr>
        <w:t>2.采购代理机构信息</w:t>
      </w:r>
    </w:p>
    <w:p w14:paraId="1B7E34DF">
      <w:pPr>
        <w:pageBreakBefore w:val="0"/>
        <w:kinsoku/>
        <w:wordWrap/>
        <w:overflowPunct/>
        <w:topLinePunct w:val="0"/>
        <w:autoSpaceDE/>
        <w:autoSpaceDN/>
        <w:bidi w:val="0"/>
        <w:spacing w:line="336" w:lineRule="auto"/>
        <w:ind w:firstLine="420" w:firstLineChars="200"/>
        <w:rPr>
          <w:rFonts w:hint="eastAsia"/>
          <w:color w:val="auto"/>
          <w:szCs w:val="21"/>
          <w:highlight w:val="none"/>
        </w:rPr>
      </w:pPr>
      <w:r>
        <w:rPr>
          <w:rFonts w:hint="eastAsia"/>
          <w:color w:val="auto"/>
          <w:szCs w:val="21"/>
          <w:highlight w:val="none"/>
        </w:rPr>
        <w:t>名称：广西崇善项目咨询有限公司</w:t>
      </w:r>
    </w:p>
    <w:p w14:paraId="7439810E">
      <w:pPr>
        <w:pageBreakBefore w:val="0"/>
        <w:kinsoku/>
        <w:wordWrap/>
        <w:overflowPunct/>
        <w:topLinePunct w:val="0"/>
        <w:autoSpaceDE/>
        <w:autoSpaceDN/>
        <w:bidi w:val="0"/>
        <w:spacing w:line="336" w:lineRule="auto"/>
        <w:ind w:firstLine="420" w:firstLineChars="200"/>
        <w:rPr>
          <w:rFonts w:hint="eastAsia"/>
          <w:color w:val="auto"/>
          <w:szCs w:val="21"/>
          <w:highlight w:val="none"/>
        </w:rPr>
      </w:pPr>
      <w:r>
        <w:rPr>
          <w:rFonts w:hint="eastAsia"/>
          <w:color w:val="auto"/>
          <w:szCs w:val="21"/>
          <w:highlight w:val="none"/>
        </w:rPr>
        <w:t>地址：崇左市江州区城南区新城路西段南侧（阳光名邸）第C4栋103号</w:t>
      </w:r>
    </w:p>
    <w:p w14:paraId="7D3B24A4">
      <w:pPr>
        <w:pageBreakBefore w:val="0"/>
        <w:kinsoku/>
        <w:wordWrap/>
        <w:overflowPunct/>
        <w:topLinePunct w:val="0"/>
        <w:autoSpaceDE/>
        <w:autoSpaceDN/>
        <w:bidi w:val="0"/>
        <w:spacing w:line="336" w:lineRule="auto"/>
        <w:ind w:firstLine="420" w:firstLineChars="200"/>
        <w:rPr>
          <w:rFonts w:hint="eastAsia"/>
          <w:color w:val="auto"/>
          <w:szCs w:val="21"/>
          <w:highlight w:val="none"/>
        </w:rPr>
      </w:pPr>
      <w:r>
        <w:rPr>
          <w:rFonts w:hint="eastAsia"/>
          <w:color w:val="auto"/>
          <w:szCs w:val="21"/>
          <w:highlight w:val="none"/>
        </w:rPr>
        <w:t>项目联系人：庞青青</w:t>
      </w:r>
    </w:p>
    <w:p w14:paraId="19C611BF">
      <w:pPr>
        <w:pageBreakBefore w:val="0"/>
        <w:kinsoku/>
        <w:wordWrap/>
        <w:overflowPunct/>
        <w:topLinePunct w:val="0"/>
        <w:autoSpaceDE/>
        <w:autoSpaceDN/>
        <w:bidi w:val="0"/>
        <w:spacing w:line="336" w:lineRule="auto"/>
        <w:ind w:firstLine="420" w:firstLineChars="200"/>
        <w:rPr>
          <w:rFonts w:hint="eastAsia"/>
          <w:color w:val="auto"/>
          <w:szCs w:val="21"/>
          <w:highlight w:val="none"/>
        </w:rPr>
      </w:pPr>
      <w:r>
        <w:rPr>
          <w:rFonts w:hint="eastAsia"/>
          <w:color w:val="auto"/>
          <w:szCs w:val="21"/>
          <w:highlight w:val="none"/>
        </w:rPr>
        <w:t>项目联系方式：0771-5945100</w:t>
      </w:r>
    </w:p>
    <w:p w14:paraId="72520232">
      <w:pPr>
        <w:pageBreakBefore w:val="0"/>
        <w:kinsoku/>
        <w:wordWrap/>
        <w:overflowPunct/>
        <w:topLinePunct w:val="0"/>
        <w:autoSpaceDE/>
        <w:autoSpaceDN/>
        <w:bidi w:val="0"/>
        <w:spacing w:line="336" w:lineRule="auto"/>
        <w:ind w:firstLine="420" w:firstLineChars="200"/>
        <w:rPr>
          <w:rFonts w:hint="eastAsia"/>
          <w:color w:val="auto"/>
          <w:szCs w:val="21"/>
          <w:highlight w:val="none"/>
        </w:rPr>
      </w:pPr>
      <w:r>
        <w:rPr>
          <w:rFonts w:hint="eastAsia"/>
          <w:color w:val="auto"/>
          <w:szCs w:val="21"/>
          <w:highlight w:val="none"/>
        </w:rPr>
        <w:t>3.项目联系方式</w:t>
      </w:r>
    </w:p>
    <w:p w14:paraId="521BBE83">
      <w:pPr>
        <w:pageBreakBefore w:val="0"/>
        <w:kinsoku/>
        <w:wordWrap/>
        <w:overflowPunct/>
        <w:topLinePunct w:val="0"/>
        <w:autoSpaceDE/>
        <w:autoSpaceDN/>
        <w:bidi w:val="0"/>
        <w:spacing w:line="336" w:lineRule="auto"/>
        <w:ind w:firstLine="420" w:firstLineChars="200"/>
        <w:rPr>
          <w:rFonts w:hint="eastAsia"/>
          <w:color w:val="auto"/>
          <w:szCs w:val="21"/>
          <w:highlight w:val="none"/>
        </w:rPr>
      </w:pPr>
      <w:r>
        <w:rPr>
          <w:rFonts w:hint="eastAsia"/>
          <w:color w:val="auto"/>
          <w:szCs w:val="21"/>
          <w:highlight w:val="none"/>
        </w:rPr>
        <w:t>项目联系人：庞青青</w:t>
      </w:r>
    </w:p>
    <w:p w14:paraId="631D7CC6">
      <w:pPr>
        <w:pageBreakBefore w:val="0"/>
        <w:kinsoku/>
        <w:wordWrap/>
        <w:overflowPunct/>
        <w:topLinePunct w:val="0"/>
        <w:autoSpaceDE/>
        <w:autoSpaceDN/>
        <w:bidi w:val="0"/>
        <w:spacing w:line="336" w:lineRule="auto"/>
        <w:ind w:firstLine="420" w:firstLineChars="200"/>
        <w:rPr>
          <w:rFonts w:hint="eastAsia"/>
          <w:color w:val="auto"/>
          <w:szCs w:val="21"/>
          <w:highlight w:val="none"/>
        </w:rPr>
      </w:pPr>
      <w:r>
        <w:rPr>
          <w:rFonts w:hint="eastAsia"/>
          <w:color w:val="auto"/>
          <w:szCs w:val="21"/>
          <w:highlight w:val="none"/>
        </w:rPr>
        <w:t>项目联系方式：0771-5945100</w:t>
      </w:r>
    </w:p>
    <w:p w14:paraId="5148BC03">
      <w:pPr>
        <w:pStyle w:val="97"/>
        <w:pageBreakBefore w:val="0"/>
        <w:numPr>
          <w:ilvl w:val="0"/>
          <w:numId w:val="0"/>
        </w:numPr>
        <w:kinsoku/>
        <w:wordWrap/>
        <w:overflowPunct/>
        <w:topLinePunct w:val="0"/>
        <w:autoSpaceDE/>
        <w:autoSpaceDN/>
        <w:bidi w:val="0"/>
        <w:spacing w:line="348" w:lineRule="auto"/>
        <w:ind w:firstLine="420" w:firstLineChars="200"/>
        <w:rPr>
          <w:rFonts w:hint="eastAsia" w:ascii="Times New Roman" w:hAnsi="Times New Roman" w:eastAsia="宋体" w:cs="Times New Roman"/>
          <w:bCs w:val="0"/>
          <w:color w:val="auto"/>
          <w:spacing w:val="0"/>
          <w:kern w:val="2"/>
          <w:sz w:val="21"/>
          <w:szCs w:val="21"/>
          <w:highlight w:val="none"/>
          <w:lang w:val="en-US" w:eastAsia="zh-CN" w:bidi="ar-SA"/>
        </w:rPr>
      </w:pPr>
      <w:r>
        <w:rPr>
          <w:rFonts w:hint="eastAsia" w:cs="Times New Roman"/>
          <w:bCs w:val="0"/>
          <w:color w:val="auto"/>
          <w:spacing w:val="0"/>
          <w:kern w:val="2"/>
          <w:sz w:val="21"/>
          <w:szCs w:val="21"/>
          <w:highlight w:val="none"/>
          <w:lang w:val="en-US" w:eastAsia="zh-CN" w:bidi="ar-SA"/>
        </w:rPr>
        <w:t>4.</w:t>
      </w:r>
      <w:r>
        <w:rPr>
          <w:rFonts w:hint="eastAsia" w:ascii="Times New Roman" w:hAnsi="Times New Roman" w:eastAsia="宋体" w:cs="Times New Roman"/>
          <w:bCs w:val="0"/>
          <w:color w:val="auto"/>
          <w:spacing w:val="0"/>
          <w:kern w:val="2"/>
          <w:sz w:val="21"/>
          <w:szCs w:val="21"/>
          <w:highlight w:val="none"/>
          <w:lang w:val="en-US" w:eastAsia="zh-CN" w:bidi="ar-SA"/>
        </w:rPr>
        <w:t>监督部门：天等县财政局采购监督管理股电话：0771-3530890</w:t>
      </w:r>
    </w:p>
    <w:p w14:paraId="4956E6BF">
      <w:pPr>
        <w:pStyle w:val="97"/>
        <w:pageBreakBefore w:val="0"/>
        <w:numPr>
          <w:ilvl w:val="0"/>
          <w:numId w:val="0"/>
        </w:numPr>
        <w:kinsoku/>
        <w:wordWrap/>
        <w:overflowPunct/>
        <w:topLinePunct w:val="0"/>
        <w:autoSpaceDE/>
        <w:autoSpaceDN/>
        <w:bidi w:val="0"/>
        <w:spacing w:line="348" w:lineRule="auto"/>
        <w:rPr>
          <w:rFonts w:hint="eastAsia" w:eastAsia="宋体"/>
          <w:color w:val="auto"/>
          <w:sz w:val="21"/>
          <w:szCs w:val="21"/>
          <w:highlight w:val="none"/>
          <w:lang w:eastAsia="zh-CN"/>
        </w:rPr>
      </w:pPr>
    </w:p>
    <w:p w14:paraId="4A8489F4">
      <w:pPr>
        <w:pStyle w:val="97"/>
        <w:pageBreakBefore w:val="0"/>
        <w:numPr>
          <w:ilvl w:val="0"/>
          <w:numId w:val="0"/>
        </w:numPr>
        <w:kinsoku/>
        <w:wordWrap/>
        <w:overflowPunct/>
        <w:topLinePunct w:val="0"/>
        <w:autoSpaceDE/>
        <w:autoSpaceDN/>
        <w:bidi w:val="0"/>
        <w:spacing w:line="348" w:lineRule="auto"/>
        <w:ind w:firstLine="4140" w:firstLineChars="1800"/>
        <w:rPr>
          <w:rFonts w:hint="eastAsia"/>
          <w:color w:val="auto"/>
          <w:sz w:val="21"/>
          <w:szCs w:val="21"/>
          <w:highlight w:val="none"/>
        </w:rPr>
      </w:pPr>
    </w:p>
    <w:p w14:paraId="2C22FAB7">
      <w:pPr>
        <w:pStyle w:val="97"/>
        <w:pageBreakBefore w:val="0"/>
        <w:numPr>
          <w:ilvl w:val="0"/>
          <w:numId w:val="0"/>
        </w:numPr>
        <w:kinsoku/>
        <w:wordWrap/>
        <w:overflowPunct/>
        <w:topLinePunct w:val="0"/>
        <w:autoSpaceDE/>
        <w:autoSpaceDN/>
        <w:bidi w:val="0"/>
        <w:spacing w:line="348" w:lineRule="auto"/>
        <w:ind w:firstLine="4140" w:firstLineChars="1800"/>
        <w:rPr>
          <w:rFonts w:hint="eastAsia" w:eastAsia="宋体"/>
          <w:color w:val="auto"/>
          <w:sz w:val="21"/>
          <w:szCs w:val="21"/>
          <w:highlight w:val="none"/>
          <w:lang w:eastAsia="zh-CN"/>
        </w:rPr>
      </w:pPr>
      <w:r>
        <w:rPr>
          <w:rFonts w:hint="eastAsia"/>
          <w:color w:val="auto"/>
          <w:sz w:val="21"/>
          <w:szCs w:val="21"/>
          <w:highlight w:val="none"/>
        </w:rPr>
        <w:t>采购人：</w:t>
      </w:r>
      <w:r>
        <w:rPr>
          <w:rFonts w:hint="eastAsia"/>
          <w:color w:val="auto"/>
          <w:sz w:val="21"/>
          <w:szCs w:val="21"/>
          <w:highlight w:val="none"/>
          <w:lang w:eastAsia="zh-CN"/>
        </w:rPr>
        <w:t>天等县农业农村局</w:t>
      </w:r>
    </w:p>
    <w:p w14:paraId="59A4A5A0">
      <w:pPr>
        <w:pStyle w:val="97"/>
        <w:pageBreakBefore w:val="0"/>
        <w:kinsoku/>
        <w:wordWrap/>
        <w:overflowPunct/>
        <w:topLinePunct w:val="0"/>
        <w:autoSpaceDE/>
        <w:autoSpaceDN/>
        <w:bidi w:val="0"/>
        <w:spacing w:line="348" w:lineRule="auto"/>
        <w:ind w:firstLine="4140" w:firstLineChars="1800"/>
        <w:rPr>
          <w:rFonts w:hint="eastAsia" w:eastAsia="宋体"/>
          <w:color w:val="auto"/>
          <w:sz w:val="21"/>
          <w:szCs w:val="21"/>
          <w:highlight w:val="none"/>
          <w:lang w:eastAsia="zh-CN"/>
        </w:rPr>
      </w:pPr>
      <w:r>
        <w:rPr>
          <w:rFonts w:hint="eastAsia"/>
          <w:color w:val="auto"/>
          <w:sz w:val="21"/>
          <w:szCs w:val="21"/>
          <w:highlight w:val="none"/>
        </w:rPr>
        <w:t>采购代理机构：</w:t>
      </w:r>
      <w:r>
        <w:rPr>
          <w:rFonts w:hint="eastAsia" w:ascii="宋体" w:hAnsi="宋体" w:cs="宋体"/>
          <w:color w:val="auto"/>
          <w:sz w:val="21"/>
          <w:szCs w:val="21"/>
          <w:highlight w:val="none"/>
          <w:lang w:eastAsia="zh-CN"/>
        </w:rPr>
        <w:t>广西崇善项目咨询有限公司</w:t>
      </w:r>
    </w:p>
    <w:p w14:paraId="6663B655">
      <w:pPr>
        <w:pStyle w:val="97"/>
        <w:pageBreakBefore w:val="0"/>
        <w:kinsoku/>
        <w:wordWrap/>
        <w:overflowPunct/>
        <w:topLinePunct w:val="0"/>
        <w:autoSpaceDE/>
        <w:autoSpaceDN/>
        <w:bidi w:val="0"/>
        <w:spacing w:line="348" w:lineRule="auto"/>
        <w:ind w:firstLine="4140" w:firstLineChars="1800"/>
        <w:rPr>
          <w:color w:val="auto"/>
          <w:sz w:val="21"/>
          <w:szCs w:val="21"/>
          <w:highlight w:val="none"/>
        </w:rPr>
        <w:sectPr>
          <w:footerReference r:id="rId9" w:type="first"/>
          <w:footerReference r:id="rId8" w:type="default"/>
          <w:pgSz w:w="11906" w:h="16838"/>
          <w:pgMar w:top="1134" w:right="1199" w:bottom="1560" w:left="1467" w:header="851" w:footer="992" w:gutter="0"/>
          <w:pgNumType w:start="1"/>
          <w:cols w:space="720" w:num="1"/>
          <w:titlePg/>
          <w:docGrid w:linePitch="312" w:charSpace="0"/>
        </w:sectPr>
      </w:pPr>
      <w:r>
        <w:rPr>
          <w:rFonts w:hint="eastAsia"/>
          <w:color w:val="auto"/>
          <w:sz w:val="21"/>
          <w:szCs w:val="21"/>
          <w:highlight w:val="none"/>
        </w:rPr>
        <w:t>日期：</w:t>
      </w:r>
      <w:r>
        <w:rPr>
          <w:rFonts w:hint="eastAsia"/>
          <w:color w:val="auto"/>
          <w:sz w:val="21"/>
          <w:szCs w:val="21"/>
          <w:highlight w:val="none"/>
          <w:lang w:eastAsia="zh-CN"/>
        </w:rPr>
        <w:t>2026年</w:t>
      </w:r>
      <w:r>
        <w:rPr>
          <w:rFonts w:hint="eastAsia"/>
          <w:color w:val="auto"/>
          <w:sz w:val="21"/>
          <w:szCs w:val="21"/>
          <w:highlight w:val="none"/>
          <w:lang w:val="en-US" w:eastAsia="zh-CN"/>
        </w:rPr>
        <w:t>3月2</w:t>
      </w:r>
      <w:r>
        <w:rPr>
          <w:rFonts w:hint="eastAsia"/>
          <w:color w:val="auto"/>
          <w:sz w:val="21"/>
          <w:szCs w:val="21"/>
          <w:highlight w:val="none"/>
        </w:rPr>
        <w:t>日</w:t>
      </w:r>
    </w:p>
    <w:p w14:paraId="2892C155">
      <w:pPr>
        <w:pStyle w:val="15"/>
        <w:keepNext w:val="0"/>
        <w:keepLines w:val="0"/>
        <w:numPr>
          <w:ilvl w:val="0"/>
          <w:numId w:val="3"/>
        </w:numPr>
        <w:tabs>
          <w:tab w:val="left" w:pos="0"/>
          <w:tab w:val="left" w:pos="3165"/>
          <w:tab w:val="center" w:pos="4153"/>
        </w:tabs>
        <w:autoSpaceDE w:val="0"/>
        <w:autoSpaceDN w:val="0"/>
        <w:spacing w:before="0" w:after="0" w:line="360" w:lineRule="auto"/>
        <w:jc w:val="center"/>
        <w:rPr>
          <w:rFonts w:hint="eastAsia" w:ascii="宋体" w:hAnsi="宋体" w:cs="宋体"/>
          <w:color w:val="auto"/>
          <w:highlight w:val="none"/>
        </w:rPr>
      </w:pPr>
      <w:bookmarkStart w:id="56" w:name="_Toc19686830"/>
      <w:bookmarkStart w:id="57" w:name="_Toc2436"/>
      <w:bookmarkStart w:id="58" w:name="_Toc20558"/>
      <w:bookmarkStart w:id="59" w:name="_Toc16064"/>
      <w:r>
        <w:rPr>
          <w:rFonts w:hint="eastAsia" w:ascii="宋体" w:hAnsi="宋体" w:cs="宋体"/>
          <w:color w:val="auto"/>
          <w:highlight w:val="none"/>
        </w:rPr>
        <w:t>采购需求</w:t>
      </w:r>
      <w:bookmarkEnd w:id="56"/>
      <w:bookmarkEnd w:id="57"/>
      <w:bookmarkEnd w:id="58"/>
      <w:bookmarkEnd w:id="59"/>
    </w:p>
    <w:p w14:paraId="15DC4055">
      <w:pPr>
        <w:numPr>
          <w:ilvl w:val="0"/>
          <w:numId w:val="0"/>
        </w:numPr>
        <w:rPr>
          <w:rFonts w:hint="eastAsia" w:ascii="宋体" w:hAnsi="宋体" w:cs="宋体"/>
          <w:color w:val="auto"/>
          <w:sz w:val="21"/>
          <w:szCs w:val="21"/>
          <w:highlight w:val="none"/>
        </w:rPr>
      </w:pPr>
      <w:r>
        <w:rPr>
          <w:rFonts w:hint="eastAsia" w:ascii="宋体" w:hAnsi="宋体" w:cs="宋体"/>
          <w:color w:val="auto"/>
          <w:sz w:val="21"/>
          <w:szCs w:val="21"/>
          <w:highlight w:val="none"/>
        </w:rPr>
        <w:t>说明：</w:t>
      </w:r>
    </w:p>
    <w:p w14:paraId="1B4E518A">
      <w:pPr>
        <w:numPr>
          <w:ilvl w:val="0"/>
          <w:numId w:val="4"/>
        </w:numPr>
        <w:rPr>
          <w:color w:val="auto"/>
        </w:rPr>
      </w:pPr>
      <w:r>
        <w:rPr>
          <w:rFonts w:hint="eastAsia" w:ascii="宋体" w:hAnsi="宋体" w:cs="宋体"/>
          <w:color w:val="auto"/>
          <w:sz w:val="21"/>
          <w:szCs w:val="21"/>
          <w:highlight w:val="none"/>
        </w:rPr>
        <w:t>“实质性要求”是指招标文件中已经指明不满足则投标无效的条款，</w:t>
      </w:r>
      <w:r>
        <w:rPr>
          <w:color w:val="auto"/>
        </w:rPr>
        <w:t>或者不允许偏离的条款</w:t>
      </w:r>
    </w:p>
    <w:p w14:paraId="17B3A0DB">
      <w:pPr>
        <w:rPr>
          <w:rFonts w:hint="eastAsia" w:ascii="宋体" w:hAnsi="宋体" w:cs="宋体"/>
          <w:color w:val="auto"/>
          <w:sz w:val="21"/>
          <w:szCs w:val="21"/>
          <w:highlight w:val="none"/>
        </w:rPr>
      </w:pPr>
      <w:r>
        <w:rPr>
          <w:rFonts w:hint="eastAsia" w:ascii="宋体" w:hAnsi="宋体" w:cs="宋体"/>
          <w:color w:val="auto"/>
          <w:sz w:val="21"/>
          <w:szCs w:val="21"/>
          <w:highlight w:val="none"/>
        </w:rPr>
        <w:t>，或者采购需求中带“▲”的条款。</w:t>
      </w:r>
    </w:p>
    <w:p w14:paraId="7AC84F5D">
      <w:pP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所属行业：</w:t>
      </w:r>
      <w:r>
        <w:rPr>
          <w:rFonts w:hint="eastAsia" w:ascii="宋体" w:hAnsi="宋体" w:cs="宋体"/>
          <w:color w:val="auto"/>
          <w:sz w:val="21"/>
          <w:szCs w:val="21"/>
          <w:highlight w:val="none"/>
          <w:lang w:val="en-US" w:eastAsia="zh-CN"/>
        </w:rPr>
        <w:t>其他未列明行业</w:t>
      </w:r>
      <w:r>
        <w:rPr>
          <w:rFonts w:hint="eastAsia" w:ascii="宋体" w:hAnsi="宋体" w:cs="宋体"/>
          <w:color w:val="auto"/>
          <w:sz w:val="21"/>
          <w:szCs w:val="21"/>
          <w:highlight w:val="none"/>
        </w:rPr>
        <w:t>。</w:t>
      </w:r>
    </w:p>
    <w:p w14:paraId="68C1077A">
      <w:pP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3.标项一、二、三、四的采购需求均一样</w:t>
      </w:r>
    </w:p>
    <w:tbl>
      <w:tblPr>
        <w:tblStyle w:val="8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6"/>
      </w:tblGrid>
      <w:tr w14:paraId="4136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256" w:type="dxa"/>
            <w:tcBorders>
              <w:top w:val="single" w:color="auto" w:sz="4" w:space="0"/>
              <w:left w:val="single" w:color="auto" w:sz="4" w:space="0"/>
              <w:bottom w:val="single" w:color="auto" w:sz="4" w:space="0"/>
              <w:right w:val="single" w:color="auto" w:sz="4" w:space="0"/>
            </w:tcBorders>
            <w:vAlign w:val="top"/>
          </w:tcPr>
          <w:p w14:paraId="1D8F7C3E">
            <w:pPr>
              <w:pStyle w:val="16"/>
              <w:pageBreakBefore w:val="0"/>
              <w:numPr>
                <w:ilvl w:val="0"/>
                <w:numId w:val="5"/>
              </w:numPr>
              <w:suppressLineNumbers w:val="0"/>
              <w:kinsoku/>
              <w:wordWrap/>
              <w:overflowPunct/>
              <w:topLinePunct w:val="0"/>
              <w:autoSpaceDE/>
              <w:autoSpaceDN/>
              <w:bidi w:val="0"/>
              <w:adjustRightInd/>
              <w:snapToGrid/>
              <w:spacing w:beforeAutospacing="0" w:afterAutospacing="0" w:line="360" w:lineRule="auto"/>
              <w:ind w:left="0" w:right="0" w:firstLine="422" w:firstLineChars="200"/>
              <w:jc w:val="both"/>
              <w:textAlignment w:val="auto"/>
              <w:rPr>
                <w:rFonts w:hint="eastAsia" w:ascii="宋体" w:hAnsi="宋体" w:eastAsia="宋体" w:cs="宋体"/>
                <w:b w:val="0"/>
                <w:bCs w:val="0"/>
                <w:color w:val="auto"/>
                <w:sz w:val="21"/>
                <w:szCs w:val="21"/>
                <w:highlight w:val="none"/>
                <w:lang w:val="en-US" w:eastAsia="zh-CN"/>
              </w:rPr>
            </w:pPr>
            <w:bookmarkStart w:id="60" w:name="_Toc17910"/>
            <w:bookmarkStart w:id="61" w:name="_Toc4399"/>
            <w:bookmarkStart w:id="62" w:name="_Toc16337"/>
            <w:bookmarkStart w:id="63" w:name="_Toc19686831"/>
            <w:r>
              <w:rPr>
                <w:rFonts w:hint="eastAsia" w:ascii="宋体" w:hAnsi="宋体" w:cs="宋体"/>
                <w:color w:val="auto"/>
                <w:sz w:val="21"/>
                <w:szCs w:val="21"/>
                <w:highlight w:val="none"/>
              </w:rPr>
              <w:t>▲</w:t>
            </w:r>
            <w:r>
              <w:rPr>
                <w:rFonts w:hint="eastAsia" w:ascii="宋体" w:hAnsi="宋体" w:eastAsia="宋体" w:cs="宋体"/>
                <w:b w:val="0"/>
                <w:bCs w:val="0"/>
                <w:color w:val="auto"/>
                <w:sz w:val="21"/>
                <w:szCs w:val="21"/>
                <w:highlight w:val="none"/>
                <w:lang w:eastAsia="zh-CN"/>
              </w:rPr>
              <w:t>技术服务</w:t>
            </w:r>
            <w:r>
              <w:rPr>
                <w:rFonts w:hint="eastAsia" w:ascii="宋体" w:hAnsi="宋体" w:eastAsia="宋体" w:cs="宋体"/>
                <w:b w:val="0"/>
                <w:bCs w:val="0"/>
                <w:color w:val="auto"/>
                <w:sz w:val="21"/>
                <w:szCs w:val="21"/>
                <w:highlight w:val="none"/>
                <w:lang w:val="en-US" w:eastAsia="zh-CN"/>
              </w:rPr>
              <w:t>条款</w:t>
            </w:r>
            <w:r>
              <w:rPr>
                <w:rFonts w:hint="eastAsia" w:ascii="宋体" w:hAnsi="宋体" w:eastAsia="宋体" w:cs="宋体"/>
                <w:b w:val="0"/>
                <w:bCs w:val="0"/>
                <w:color w:val="auto"/>
                <w:sz w:val="21"/>
                <w:szCs w:val="21"/>
                <w:highlight w:val="none"/>
                <w:lang w:eastAsia="zh-CN"/>
              </w:rPr>
              <w:t>要求</w:t>
            </w:r>
            <w:bookmarkEnd w:id="60"/>
          </w:p>
        </w:tc>
      </w:tr>
      <w:tr w14:paraId="443D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6" w:type="dxa"/>
            <w:tcBorders>
              <w:top w:val="single" w:color="auto" w:sz="4" w:space="0"/>
              <w:left w:val="single" w:color="auto" w:sz="4" w:space="0"/>
              <w:bottom w:val="single" w:color="auto" w:sz="4" w:space="0"/>
              <w:right w:val="single" w:color="auto" w:sz="4" w:space="0"/>
            </w:tcBorders>
            <w:vAlign w:val="top"/>
          </w:tcPr>
          <w:p w14:paraId="177EB1CD">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工作内容：</w:t>
            </w:r>
            <w:r>
              <w:rPr>
                <w:rFonts w:hint="eastAsia" w:ascii="宋体" w:hAnsi="宋体" w:eastAsia="宋体" w:cs="宋体"/>
                <w:b w:val="0"/>
                <w:bCs w:val="0"/>
                <w:color w:val="auto"/>
                <w:sz w:val="21"/>
                <w:szCs w:val="21"/>
                <w:highlight w:val="none"/>
              </w:rPr>
              <w:t>自监理合同签订之日起至工程竣工验收止（包括保修期），本工程施工图纸全部工程的施工准备期、施工期、工程质量保修期的全过程、全方位监理、进行工程质量控制、投资控制、进度控制、组织协调、合同管理、安全文明的施工监理等工作，会同建设单位协调与本工程有关各方的工作和关系，审查</w:t>
            </w:r>
            <w:r>
              <w:rPr>
                <w:rFonts w:hint="eastAsia" w:ascii="宋体" w:hAnsi="宋体" w:eastAsia="宋体" w:cs="宋体"/>
                <w:b w:val="0"/>
                <w:bCs w:val="0"/>
                <w:color w:val="auto"/>
                <w:sz w:val="21"/>
                <w:szCs w:val="21"/>
                <w:highlight w:val="none"/>
                <w:lang w:eastAsia="zh-CN"/>
              </w:rPr>
              <w:t>施工方案和</w:t>
            </w:r>
            <w:r>
              <w:rPr>
                <w:rFonts w:hint="eastAsia" w:ascii="宋体" w:hAnsi="宋体" w:eastAsia="宋体" w:cs="宋体"/>
                <w:b w:val="0"/>
                <w:bCs w:val="0"/>
                <w:color w:val="auto"/>
                <w:sz w:val="21"/>
                <w:szCs w:val="21"/>
                <w:highlight w:val="none"/>
              </w:rPr>
              <w:t>工程结算，督促施工方做好施工资料移交档案馆等工作</w:t>
            </w:r>
            <w:r>
              <w:rPr>
                <w:rFonts w:hint="eastAsia" w:ascii="宋体" w:hAnsi="宋体" w:eastAsia="宋体" w:cs="宋体"/>
                <w:b w:val="0"/>
                <w:bCs w:val="0"/>
                <w:color w:val="auto"/>
                <w:sz w:val="21"/>
                <w:szCs w:val="21"/>
                <w:highlight w:val="none"/>
                <w:lang w:eastAsia="zh-CN"/>
              </w:rPr>
              <w:t>，具体如下：</w:t>
            </w:r>
          </w:p>
          <w:p w14:paraId="00BCF6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leftChars="200" w:right="0"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1、施工准备阶段:</w:t>
            </w:r>
          </w:p>
          <w:p w14:paraId="60FCB2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0"/>
                <w:sz w:val="21"/>
                <w:szCs w:val="21"/>
                <w:highlight w:val="none"/>
              </w:rPr>
            </w:pPr>
            <w:r>
              <w:rPr>
                <w:rFonts w:ascii="Segoe UI" w:hAnsi="Segoe UI" w:eastAsia="Segoe UI" w:cs="Segoe UI"/>
                <w:b w:val="0"/>
                <w:bCs w:val="0"/>
                <w:i w:val="0"/>
                <w:iCs w:val="0"/>
                <w:caps w:val="0"/>
                <w:color w:val="auto"/>
                <w:spacing w:val="0"/>
                <w:sz w:val="21"/>
                <w:szCs w:val="21"/>
                <w:shd w:val="clear" w:color="auto" w:fill="FFFFFF"/>
              </w:rPr>
              <w:t>(1)协助委托人组织</w:t>
            </w:r>
            <w:r>
              <w:rPr>
                <w:rFonts w:hint="eastAsia" w:ascii="Segoe UI" w:hAnsi="Segoe UI" w:cs="Segoe UI"/>
                <w:b w:val="0"/>
                <w:bCs w:val="0"/>
                <w:i w:val="0"/>
                <w:iCs w:val="0"/>
                <w:caps w:val="0"/>
                <w:color w:val="auto"/>
                <w:spacing w:val="0"/>
                <w:sz w:val="21"/>
                <w:szCs w:val="21"/>
                <w:shd w:val="clear" w:color="auto" w:fill="FFFFFF"/>
                <w:lang w:eastAsia="zh-CN"/>
              </w:rPr>
              <w:t>施工单位</w:t>
            </w:r>
            <w:r>
              <w:rPr>
                <w:rFonts w:ascii="Segoe UI" w:hAnsi="Segoe UI" w:eastAsia="Segoe UI" w:cs="Segoe UI"/>
                <w:b w:val="0"/>
                <w:bCs w:val="0"/>
                <w:i w:val="0"/>
                <w:iCs w:val="0"/>
                <w:caps w:val="0"/>
                <w:color w:val="auto"/>
                <w:spacing w:val="0"/>
                <w:sz w:val="21"/>
                <w:szCs w:val="21"/>
                <w:shd w:val="clear" w:color="auto" w:fill="FFFFFF"/>
              </w:rPr>
              <w:t>参加设计图纸会审及设计交底，审查</w:t>
            </w:r>
            <w:r>
              <w:rPr>
                <w:rFonts w:hint="eastAsia" w:ascii="Segoe UI" w:hAnsi="Segoe UI" w:cs="Segoe UI"/>
                <w:b w:val="0"/>
                <w:bCs w:val="0"/>
                <w:i w:val="0"/>
                <w:iCs w:val="0"/>
                <w:caps w:val="0"/>
                <w:color w:val="auto"/>
                <w:spacing w:val="0"/>
                <w:sz w:val="21"/>
                <w:szCs w:val="21"/>
                <w:shd w:val="clear" w:color="auto" w:fill="FFFFFF"/>
                <w:lang w:eastAsia="zh-CN"/>
              </w:rPr>
              <w:t>施工单位</w:t>
            </w:r>
            <w:r>
              <w:rPr>
                <w:rFonts w:ascii="Segoe UI" w:hAnsi="Segoe UI" w:eastAsia="Segoe UI" w:cs="Segoe UI"/>
                <w:b w:val="0"/>
                <w:bCs w:val="0"/>
                <w:i w:val="0"/>
                <w:iCs w:val="0"/>
                <w:caps w:val="0"/>
                <w:color w:val="auto"/>
                <w:spacing w:val="0"/>
                <w:sz w:val="21"/>
                <w:szCs w:val="21"/>
                <w:shd w:val="clear" w:color="auto" w:fill="FFFFFF"/>
              </w:rPr>
              <w:t>提交的开工报告。熟悉并分析施工承包合同，对</w:t>
            </w:r>
            <w:r>
              <w:rPr>
                <w:rFonts w:hint="eastAsia" w:ascii="Segoe UI" w:hAnsi="Segoe UI" w:cs="Segoe UI"/>
                <w:b w:val="0"/>
                <w:bCs w:val="0"/>
                <w:i w:val="0"/>
                <w:iCs w:val="0"/>
                <w:caps w:val="0"/>
                <w:color w:val="auto"/>
                <w:spacing w:val="0"/>
                <w:sz w:val="21"/>
                <w:szCs w:val="21"/>
                <w:shd w:val="clear" w:color="auto" w:fill="FFFFFF"/>
                <w:lang w:eastAsia="zh-CN"/>
              </w:rPr>
              <w:t>施工单位</w:t>
            </w:r>
            <w:r>
              <w:rPr>
                <w:rFonts w:ascii="Segoe UI" w:hAnsi="Segoe UI" w:eastAsia="Segoe UI" w:cs="Segoe UI"/>
                <w:b w:val="0"/>
                <w:bCs w:val="0"/>
                <w:i w:val="0"/>
                <w:iCs w:val="0"/>
                <w:caps w:val="0"/>
                <w:color w:val="auto"/>
                <w:spacing w:val="0"/>
                <w:sz w:val="21"/>
                <w:szCs w:val="21"/>
                <w:shd w:val="clear" w:color="auto" w:fill="FFFFFF"/>
              </w:rPr>
              <w:t>选定的分包单位资质及分包合同进行审核并提出书面意见</w:t>
            </w:r>
            <w:r>
              <w:rPr>
                <w:rFonts w:hint="eastAsia" w:ascii="宋体" w:hAnsi="宋体" w:eastAsia="宋体" w:cs="宋体"/>
                <w:b w:val="0"/>
                <w:bCs w:val="0"/>
                <w:color w:val="auto"/>
                <w:kern w:val="0"/>
                <w:sz w:val="21"/>
                <w:szCs w:val="21"/>
                <w:highlight w:val="none"/>
              </w:rPr>
              <w:t>。</w:t>
            </w:r>
          </w:p>
          <w:p w14:paraId="11160A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(2)审查</w:t>
            </w:r>
            <w:r>
              <w:rPr>
                <w:rFonts w:hint="eastAsia" w:ascii="宋体" w:hAnsi="宋体" w:cs="宋体"/>
                <w:b w:val="0"/>
                <w:bCs w:val="0"/>
                <w:color w:val="auto"/>
                <w:kern w:val="0"/>
                <w:sz w:val="21"/>
                <w:szCs w:val="21"/>
                <w:highlight w:val="none"/>
                <w:lang w:eastAsia="zh-CN"/>
              </w:rPr>
              <w:t>施工单位</w:t>
            </w:r>
            <w:r>
              <w:rPr>
                <w:rFonts w:hint="eastAsia" w:ascii="宋体" w:hAnsi="宋体" w:eastAsia="宋体" w:cs="宋体"/>
                <w:b w:val="0"/>
                <w:bCs w:val="0"/>
                <w:color w:val="auto"/>
                <w:kern w:val="0"/>
                <w:sz w:val="21"/>
                <w:szCs w:val="21"/>
                <w:highlight w:val="none"/>
              </w:rPr>
              <w:t>编制的施工组织设计、专项施工方案及施工进度计划并监督检查其实施。</w:t>
            </w:r>
          </w:p>
          <w:p w14:paraId="549F80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(3)审查</w:t>
            </w:r>
            <w:r>
              <w:rPr>
                <w:rFonts w:hint="eastAsia" w:ascii="宋体" w:hAnsi="宋体" w:cs="宋体"/>
                <w:b w:val="0"/>
                <w:bCs w:val="0"/>
                <w:color w:val="auto"/>
                <w:kern w:val="0"/>
                <w:sz w:val="21"/>
                <w:szCs w:val="21"/>
                <w:highlight w:val="none"/>
                <w:lang w:eastAsia="zh-CN"/>
              </w:rPr>
              <w:t>施工单位</w:t>
            </w:r>
            <w:r>
              <w:rPr>
                <w:rFonts w:hint="eastAsia" w:ascii="宋体" w:hAnsi="宋体" w:eastAsia="宋体" w:cs="宋体"/>
                <w:b w:val="0"/>
                <w:bCs w:val="0"/>
                <w:color w:val="auto"/>
                <w:kern w:val="0"/>
                <w:sz w:val="21"/>
                <w:szCs w:val="21"/>
                <w:highlight w:val="none"/>
              </w:rPr>
              <w:t>提供的材料和设备清单及其所列的规格与质量，对不符合者不得使用在工程中，并提出更换要求。</w:t>
            </w:r>
          </w:p>
          <w:p w14:paraId="4C79E3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2、施工阶段:</w:t>
            </w:r>
          </w:p>
          <w:p w14:paraId="01AF66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(1)督促、检查</w:t>
            </w:r>
            <w:r>
              <w:rPr>
                <w:rFonts w:hint="eastAsia" w:ascii="宋体" w:hAnsi="宋体" w:cs="宋体"/>
                <w:b w:val="0"/>
                <w:bCs w:val="0"/>
                <w:color w:val="auto"/>
                <w:kern w:val="0"/>
                <w:sz w:val="21"/>
                <w:szCs w:val="21"/>
                <w:highlight w:val="none"/>
                <w:lang w:eastAsia="zh-CN"/>
              </w:rPr>
              <w:t>施工单位</w:t>
            </w:r>
            <w:r>
              <w:rPr>
                <w:rFonts w:hint="eastAsia" w:ascii="宋体" w:hAnsi="宋体" w:eastAsia="宋体" w:cs="宋体"/>
                <w:b w:val="0"/>
                <w:bCs w:val="0"/>
                <w:color w:val="auto"/>
                <w:kern w:val="0"/>
                <w:sz w:val="21"/>
                <w:szCs w:val="21"/>
                <w:highlight w:val="none"/>
              </w:rPr>
              <w:t>严格执行合同和严格按照国家技术规范、标准以及设计图纸文件的要求进行施工和安装活动:跟踪检查施工过程中的、关键工序以及对隐蔽工程进行验收，未经验收不得进行下道工序:</w:t>
            </w:r>
            <w:r>
              <w:rPr>
                <w:rFonts w:ascii="Segoe UI" w:hAnsi="Segoe UI" w:eastAsia="Segoe UI" w:cs="Segoe UI"/>
                <w:b w:val="0"/>
                <w:bCs w:val="0"/>
                <w:i w:val="0"/>
                <w:iCs w:val="0"/>
                <w:caps w:val="0"/>
                <w:color w:val="auto"/>
                <w:spacing w:val="0"/>
                <w:sz w:val="21"/>
                <w:szCs w:val="21"/>
                <w:shd w:val="clear" w:color="auto" w:fill="FFFFFF"/>
              </w:rPr>
              <w:t>对发现的违反工程建设强制性标准、施工规范、设计文件或安全管理规定的行为，经报委托人同意后，有权及时签发停工通知单，并报告委托人。停工、复工及相关责任事宜应按合同约定及法律法规处理</w:t>
            </w:r>
            <w:r>
              <w:rPr>
                <w:rFonts w:hint="eastAsia" w:ascii="宋体" w:hAnsi="宋体" w:eastAsia="宋体" w:cs="宋体"/>
                <w:b w:val="0"/>
                <w:bCs w:val="0"/>
                <w:color w:val="auto"/>
                <w:kern w:val="0"/>
                <w:sz w:val="21"/>
                <w:szCs w:val="21"/>
                <w:highlight w:val="none"/>
              </w:rPr>
              <w:t>。</w:t>
            </w:r>
          </w:p>
          <w:p w14:paraId="0C1762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(2)对用于工程的主要材料、构件的出厂合格证、材质化验单等进行核定，如发现不合格或不符处，责成</w:t>
            </w:r>
            <w:r>
              <w:rPr>
                <w:rFonts w:hint="eastAsia" w:ascii="宋体" w:hAnsi="宋体" w:cs="宋体"/>
                <w:b w:val="0"/>
                <w:bCs w:val="0"/>
                <w:color w:val="auto"/>
                <w:kern w:val="0"/>
                <w:sz w:val="21"/>
                <w:szCs w:val="21"/>
                <w:highlight w:val="none"/>
                <w:lang w:eastAsia="zh-CN"/>
              </w:rPr>
              <w:t>施工单位</w:t>
            </w:r>
            <w:r>
              <w:rPr>
                <w:rFonts w:hint="eastAsia" w:ascii="宋体" w:hAnsi="宋体" w:eastAsia="宋体" w:cs="宋体"/>
                <w:b w:val="0"/>
                <w:bCs w:val="0"/>
                <w:color w:val="auto"/>
                <w:kern w:val="0"/>
                <w:sz w:val="21"/>
                <w:szCs w:val="21"/>
                <w:highlight w:val="none"/>
              </w:rPr>
              <w:t>(并指定化验单位)对材质进行化验，防止不合格的材料或构件等用于工程。</w:t>
            </w:r>
          </w:p>
          <w:p w14:paraId="47426B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w:t>
            </w:r>
            <w:r>
              <w:rPr>
                <w:rFonts w:ascii="Segoe UI" w:hAnsi="Segoe UI" w:eastAsia="Segoe UI" w:cs="Segoe UI"/>
                <w:b w:val="0"/>
                <w:bCs w:val="0"/>
                <w:i w:val="0"/>
                <w:iCs w:val="0"/>
                <w:caps w:val="0"/>
                <w:color w:val="auto"/>
                <w:spacing w:val="0"/>
                <w:sz w:val="21"/>
                <w:szCs w:val="21"/>
                <w:shd w:val="clear" w:color="auto" w:fill="FFFFFF"/>
              </w:rPr>
              <w:t>审查工程所采用的主要设备及材料的质量证明文件，并按规定进行平行检验或见证取样，确保其符合设计文件及合同约定的厂家、型号、规格和质量标准。若监理人认为确有必要对设备或材料的生产厂家进行考察，应事先向委托人提出建议及费用预算，经委托人书面同意后方可实施，相关费用承担方式由双方另行协商确定。</w:t>
            </w:r>
          </w:p>
          <w:p w14:paraId="069F88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(4)根据《建设</w:t>
            </w:r>
            <w:r>
              <w:rPr>
                <w:rFonts w:hint="eastAsia" w:ascii="宋体" w:hAnsi="宋体" w:eastAsia="宋体" w:cs="宋体"/>
                <w:b w:val="0"/>
                <w:bCs w:val="0"/>
                <w:color w:val="auto"/>
                <w:kern w:val="0"/>
                <w:sz w:val="21"/>
                <w:szCs w:val="21"/>
                <w:highlight w:val="none"/>
                <w:lang w:eastAsia="zh-CN"/>
              </w:rPr>
              <w:t>工程施工合同</w:t>
            </w:r>
            <w:r>
              <w:rPr>
                <w:rFonts w:hint="eastAsia" w:ascii="宋体" w:hAnsi="宋体" w:eastAsia="宋体" w:cs="宋体"/>
                <w:b w:val="0"/>
                <w:bCs w:val="0"/>
                <w:color w:val="auto"/>
                <w:kern w:val="0"/>
                <w:sz w:val="21"/>
                <w:szCs w:val="21"/>
                <w:highlight w:val="none"/>
              </w:rPr>
              <w:t>)规定的合同工期，审批</w:t>
            </w:r>
            <w:r>
              <w:rPr>
                <w:rFonts w:hint="eastAsia" w:ascii="宋体" w:hAnsi="宋体" w:cs="宋体"/>
                <w:b w:val="0"/>
                <w:bCs w:val="0"/>
                <w:color w:val="auto"/>
                <w:kern w:val="0"/>
                <w:sz w:val="21"/>
                <w:szCs w:val="21"/>
                <w:highlight w:val="none"/>
                <w:lang w:eastAsia="zh-CN"/>
              </w:rPr>
              <w:t>施工单位</w:t>
            </w:r>
            <w:r>
              <w:rPr>
                <w:rFonts w:hint="eastAsia" w:ascii="宋体" w:hAnsi="宋体" w:eastAsia="宋体" w:cs="宋体"/>
                <w:b w:val="0"/>
                <w:bCs w:val="0"/>
                <w:color w:val="auto"/>
                <w:kern w:val="0"/>
                <w:sz w:val="21"/>
                <w:szCs w:val="21"/>
                <w:highlight w:val="none"/>
              </w:rPr>
              <w:t>提报的总进度计划，核查</w:t>
            </w:r>
            <w:r>
              <w:rPr>
                <w:rFonts w:hint="eastAsia" w:ascii="宋体" w:hAnsi="宋体" w:cs="宋体"/>
                <w:b w:val="0"/>
                <w:bCs w:val="0"/>
                <w:color w:val="auto"/>
                <w:kern w:val="0"/>
                <w:sz w:val="21"/>
                <w:szCs w:val="21"/>
                <w:highlight w:val="none"/>
                <w:lang w:eastAsia="zh-CN"/>
              </w:rPr>
              <w:t>施工单位</w:t>
            </w:r>
            <w:r>
              <w:rPr>
                <w:rFonts w:hint="eastAsia" w:ascii="宋体" w:hAnsi="宋体" w:eastAsia="宋体" w:cs="宋体"/>
                <w:b w:val="0"/>
                <w:bCs w:val="0"/>
                <w:color w:val="auto"/>
                <w:kern w:val="0"/>
                <w:sz w:val="21"/>
                <w:szCs w:val="21"/>
                <w:highlight w:val="none"/>
              </w:rPr>
              <w:t>编制的年、旬、月、季、周等报表，并及时向</w:t>
            </w:r>
            <w:r>
              <w:rPr>
                <w:rFonts w:hint="eastAsia" w:ascii="宋体" w:hAnsi="宋体" w:cs="宋体"/>
                <w:b w:val="0"/>
                <w:bCs w:val="0"/>
                <w:color w:val="auto"/>
                <w:kern w:val="0"/>
                <w:sz w:val="21"/>
                <w:szCs w:val="21"/>
                <w:highlight w:val="none"/>
                <w:lang w:eastAsia="zh-CN"/>
              </w:rPr>
              <w:t>委托人</w:t>
            </w:r>
            <w:r>
              <w:rPr>
                <w:rFonts w:hint="eastAsia" w:ascii="宋体" w:hAnsi="宋体" w:eastAsia="宋体" w:cs="宋体"/>
                <w:b w:val="0"/>
                <w:bCs w:val="0"/>
                <w:color w:val="auto"/>
                <w:kern w:val="0"/>
                <w:sz w:val="21"/>
                <w:szCs w:val="21"/>
                <w:highlight w:val="none"/>
              </w:rPr>
              <w:t>提报对工程进度执行情况的意见。</w:t>
            </w:r>
          </w:p>
          <w:p w14:paraId="73EC8D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(5)对于重大的设计修改和技术洽商，除提出监理意见之外，应向</w:t>
            </w:r>
            <w:r>
              <w:rPr>
                <w:rFonts w:hint="eastAsia" w:ascii="宋体" w:hAnsi="宋体" w:cs="宋体"/>
                <w:b w:val="0"/>
                <w:bCs w:val="0"/>
                <w:color w:val="auto"/>
                <w:kern w:val="0"/>
                <w:sz w:val="21"/>
                <w:szCs w:val="21"/>
                <w:highlight w:val="none"/>
                <w:lang w:eastAsia="zh-CN"/>
              </w:rPr>
              <w:t>委托人</w:t>
            </w:r>
            <w:r>
              <w:rPr>
                <w:rFonts w:hint="eastAsia" w:ascii="宋体" w:hAnsi="宋体" w:eastAsia="宋体" w:cs="宋体"/>
                <w:b w:val="0"/>
                <w:bCs w:val="0"/>
                <w:color w:val="auto"/>
                <w:kern w:val="0"/>
                <w:sz w:val="21"/>
                <w:szCs w:val="21"/>
                <w:highlight w:val="none"/>
              </w:rPr>
              <w:t>报告并得到</w:t>
            </w:r>
            <w:r>
              <w:rPr>
                <w:rFonts w:hint="eastAsia" w:ascii="宋体" w:hAnsi="宋体" w:cs="宋体"/>
                <w:b w:val="0"/>
                <w:bCs w:val="0"/>
                <w:color w:val="auto"/>
                <w:kern w:val="0"/>
                <w:sz w:val="21"/>
                <w:szCs w:val="21"/>
                <w:highlight w:val="none"/>
                <w:lang w:eastAsia="zh-CN"/>
              </w:rPr>
              <w:t>委托人</w:t>
            </w:r>
            <w:r>
              <w:rPr>
                <w:rFonts w:hint="eastAsia" w:ascii="宋体" w:hAnsi="宋体" w:eastAsia="宋体" w:cs="宋体"/>
                <w:b w:val="0"/>
                <w:bCs w:val="0"/>
                <w:color w:val="auto"/>
                <w:kern w:val="0"/>
                <w:sz w:val="21"/>
                <w:szCs w:val="21"/>
                <w:highlight w:val="none"/>
              </w:rPr>
              <w:t>的同意:发生的设计修改应由原设计单位发出。</w:t>
            </w:r>
          </w:p>
          <w:p w14:paraId="50A465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（6)根据《建设工程施工合同》的付款规定，对已</w:t>
            </w:r>
            <w:r>
              <w:rPr>
                <w:rFonts w:hint="eastAsia" w:ascii="宋体" w:hAnsi="宋体" w:eastAsia="宋体" w:cs="宋体"/>
                <w:b w:val="0"/>
                <w:bCs w:val="0"/>
                <w:color w:val="auto"/>
                <w:kern w:val="0"/>
                <w:sz w:val="21"/>
                <w:szCs w:val="21"/>
                <w:highlight w:val="none"/>
                <w:lang w:eastAsia="zh-CN"/>
              </w:rPr>
              <w:t>完成</w:t>
            </w:r>
            <w:r>
              <w:rPr>
                <w:rFonts w:hint="eastAsia" w:ascii="宋体" w:hAnsi="宋体" w:eastAsia="宋体" w:cs="宋体"/>
                <w:b w:val="0"/>
                <w:bCs w:val="0"/>
                <w:color w:val="auto"/>
                <w:kern w:val="0"/>
                <w:sz w:val="21"/>
                <w:szCs w:val="21"/>
                <w:highlight w:val="none"/>
              </w:rPr>
              <w:t>工程的质量、数量进行核实，</w:t>
            </w:r>
            <w:r>
              <w:rPr>
                <w:rFonts w:hint="eastAsia" w:ascii="宋体" w:hAnsi="宋体" w:eastAsia="宋体" w:cs="宋体"/>
                <w:b w:val="0"/>
                <w:bCs w:val="0"/>
                <w:color w:val="auto"/>
                <w:kern w:val="0"/>
                <w:sz w:val="21"/>
                <w:szCs w:val="21"/>
                <w:highlight w:val="none"/>
                <w:lang w:eastAsia="zh-CN"/>
              </w:rPr>
              <w:t>签订</w:t>
            </w:r>
            <w:r>
              <w:rPr>
                <w:rFonts w:hint="eastAsia" w:ascii="宋体" w:hAnsi="宋体" w:eastAsia="宋体" w:cs="宋体"/>
                <w:b w:val="0"/>
                <w:bCs w:val="0"/>
                <w:color w:val="auto"/>
                <w:kern w:val="0"/>
                <w:sz w:val="21"/>
                <w:szCs w:val="21"/>
                <w:highlight w:val="none"/>
              </w:rPr>
              <w:t>《工程款支付证书》，报</w:t>
            </w:r>
            <w:r>
              <w:rPr>
                <w:rFonts w:hint="eastAsia" w:ascii="宋体" w:hAnsi="宋体" w:cs="宋体"/>
                <w:b w:val="0"/>
                <w:bCs w:val="0"/>
                <w:color w:val="auto"/>
                <w:kern w:val="0"/>
                <w:sz w:val="21"/>
                <w:szCs w:val="21"/>
                <w:highlight w:val="none"/>
                <w:lang w:eastAsia="zh-CN"/>
              </w:rPr>
              <w:t>委托人</w:t>
            </w:r>
            <w:r>
              <w:rPr>
                <w:rFonts w:hint="eastAsia" w:ascii="宋体" w:hAnsi="宋体" w:eastAsia="宋体" w:cs="宋体"/>
                <w:b w:val="0"/>
                <w:bCs w:val="0"/>
                <w:color w:val="auto"/>
                <w:kern w:val="0"/>
                <w:sz w:val="21"/>
                <w:szCs w:val="21"/>
                <w:highlight w:val="none"/>
              </w:rPr>
              <w:t>审查。</w:t>
            </w:r>
          </w:p>
          <w:p w14:paraId="69522E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(7)监督检查工程的文明施工及安全防护措施，对不合格者督促</w:t>
            </w:r>
            <w:r>
              <w:rPr>
                <w:rFonts w:hint="eastAsia" w:ascii="宋体" w:hAnsi="宋体" w:cs="宋体"/>
                <w:b w:val="0"/>
                <w:bCs w:val="0"/>
                <w:color w:val="auto"/>
                <w:kern w:val="0"/>
                <w:sz w:val="21"/>
                <w:szCs w:val="21"/>
                <w:highlight w:val="none"/>
                <w:lang w:eastAsia="zh-CN"/>
              </w:rPr>
              <w:t>施工单位</w:t>
            </w:r>
            <w:r>
              <w:rPr>
                <w:rFonts w:hint="eastAsia" w:ascii="宋体" w:hAnsi="宋体" w:eastAsia="宋体" w:cs="宋体"/>
                <w:b w:val="0"/>
                <w:bCs w:val="0"/>
                <w:color w:val="auto"/>
                <w:kern w:val="0"/>
                <w:sz w:val="21"/>
                <w:szCs w:val="21"/>
                <w:highlight w:val="none"/>
              </w:rPr>
              <w:t>限期整改。</w:t>
            </w:r>
          </w:p>
          <w:p w14:paraId="020833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(8)根据</w:t>
            </w:r>
            <w:r>
              <w:rPr>
                <w:rFonts w:hint="eastAsia" w:ascii="宋体" w:hAnsi="宋体" w:cs="宋体"/>
                <w:b w:val="0"/>
                <w:bCs w:val="0"/>
                <w:color w:val="auto"/>
                <w:kern w:val="0"/>
                <w:sz w:val="21"/>
                <w:szCs w:val="21"/>
                <w:highlight w:val="none"/>
                <w:lang w:eastAsia="zh-CN"/>
              </w:rPr>
              <w:t>施工单位</w:t>
            </w:r>
            <w:r>
              <w:rPr>
                <w:rFonts w:hint="eastAsia" w:ascii="宋体" w:hAnsi="宋体" w:eastAsia="宋体" w:cs="宋体"/>
                <w:b w:val="0"/>
                <w:bCs w:val="0"/>
                <w:color w:val="auto"/>
                <w:kern w:val="0"/>
                <w:sz w:val="21"/>
                <w:szCs w:val="21"/>
                <w:highlight w:val="none"/>
              </w:rPr>
              <w:t>提出的分部(子分部)、分项(子分项)工程的检验、验收以及单位工程的竣工验收申请报告，负责组织对分部、分项工程的验收和单位工程的初验，签署由</w:t>
            </w:r>
            <w:r>
              <w:rPr>
                <w:rFonts w:hint="eastAsia" w:ascii="宋体" w:hAnsi="宋体" w:cs="宋体"/>
                <w:b w:val="0"/>
                <w:bCs w:val="0"/>
                <w:color w:val="auto"/>
                <w:kern w:val="0"/>
                <w:sz w:val="21"/>
                <w:szCs w:val="21"/>
                <w:highlight w:val="none"/>
                <w:lang w:eastAsia="zh-CN"/>
              </w:rPr>
              <w:t>施工单位</w:t>
            </w:r>
            <w:r>
              <w:rPr>
                <w:rFonts w:hint="eastAsia" w:ascii="宋体" w:hAnsi="宋体" w:eastAsia="宋体" w:cs="宋体"/>
                <w:b w:val="0"/>
                <w:bCs w:val="0"/>
                <w:color w:val="auto"/>
                <w:kern w:val="0"/>
                <w:sz w:val="21"/>
                <w:szCs w:val="21"/>
                <w:highlight w:val="none"/>
              </w:rPr>
              <w:t>提出的全部工程的竣工验收报告，编写相关的质量验收评估报告，参加</w:t>
            </w:r>
            <w:r>
              <w:rPr>
                <w:rFonts w:hint="eastAsia" w:ascii="宋体" w:hAnsi="宋体" w:cs="宋体"/>
                <w:b w:val="0"/>
                <w:bCs w:val="0"/>
                <w:color w:val="auto"/>
                <w:kern w:val="0"/>
                <w:sz w:val="21"/>
                <w:szCs w:val="21"/>
                <w:highlight w:val="none"/>
                <w:lang w:eastAsia="zh-CN"/>
              </w:rPr>
              <w:t>委托人</w:t>
            </w:r>
            <w:r>
              <w:rPr>
                <w:rFonts w:hint="eastAsia" w:ascii="宋体" w:hAnsi="宋体" w:eastAsia="宋体" w:cs="宋体"/>
                <w:b w:val="0"/>
                <w:bCs w:val="0"/>
                <w:color w:val="auto"/>
                <w:kern w:val="0"/>
                <w:sz w:val="21"/>
                <w:szCs w:val="21"/>
                <w:highlight w:val="none"/>
              </w:rPr>
              <w:t>组织的竣工验收。</w:t>
            </w:r>
          </w:p>
          <w:p w14:paraId="54D481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(9)督促检查</w:t>
            </w:r>
            <w:r>
              <w:rPr>
                <w:rFonts w:hint="eastAsia" w:ascii="宋体" w:hAnsi="宋体" w:cs="宋体"/>
                <w:b w:val="0"/>
                <w:bCs w:val="0"/>
                <w:color w:val="auto"/>
                <w:kern w:val="0"/>
                <w:sz w:val="21"/>
                <w:szCs w:val="21"/>
                <w:highlight w:val="none"/>
                <w:lang w:eastAsia="zh-CN"/>
              </w:rPr>
              <w:t>施工单位</w:t>
            </w:r>
            <w:r>
              <w:rPr>
                <w:rFonts w:hint="eastAsia" w:ascii="宋体" w:hAnsi="宋体" w:eastAsia="宋体" w:cs="宋体"/>
                <w:b w:val="0"/>
                <w:bCs w:val="0"/>
                <w:color w:val="auto"/>
                <w:kern w:val="0"/>
                <w:sz w:val="21"/>
                <w:szCs w:val="21"/>
                <w:highlight w:val="none"/>
              </w:rPr>
              <w:t>完成全套竣工图和整理各种必须归档的资料，交</w:t>
            </w:r>
            <w:r>
              <w:rPr>
                <w:rFonts w:hint="eastAsia" w:ascii="宋体" w:hAnsi="宋体" w:cs="宋体"/>
                <w:b w:val="0"/>
                <w:bCs w:val="0"/>
                <w:color w:val="auto"/>
                <w:kern w:val="0"/>
                <w:sz w:val="21"/>
                <w:szCs w:val="21"/>
                <w:highlight w:val="none"/>
                <w:lang w:eastAsia="zh-CN"/>
              </w:rPr>
              <w:t>委托人</w:t>
            </w:r>
            <w:r>
              <w:rPr>
                <w:rFonts w:hint="eastAsia" w:ascii="宋体" w:hAnsi="宋体" w:eastAsia="宋体" w:cs="宋体"/>
                <w:b w:val="0"/>
                <w:bCs w:val="0"/>
                <w:color w:val="auto"/>
                <w:kern w:val="0"/>
                <w:sz w:val="21"/>
                <w:szCs w:val="21"/>
                <w:highlight w:val="none"/>
              </w:rPr>
              <w:t>归档。</w:t>
            </w:r>
          </w:p>
          <w:p w14:paraId="4735B2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(10)</w:t>
            </w:r>
            <w:r>
              <w:rPr>
                <w:rFonts w:ascii="Segoe UI" w:hAnsi="Segoe UI" w:eastAsia="Segoe UI" w:cs="Segoe UI"/>
                <w:b w:val="0"/>
                <w:bCs w:val="0"/>
                <w:i w:val="0"/>
                <w:iCs w:val="0"/>
                <w:caps w:val="0"/>
                <w:color w:val="auto"/>
                <w:spacing w:val="0"/>
                <w:sz w:val="21"/>
                <w:szCs w:val="21"/>
                <w:shd w:val="clear" w:color="auto" w:fill="FFFFFF"/>
              </w:rPr>
              <w:t>参与工程质量事故的调查，分析事故原因，审查</w:t>
            </w:r>
            <w:r>
              <w:rPr>
                <w:rFonts w:hint="eastAsia" w:ascii="Segoe UI" w:hAnsi="Segoe UI" w:cs="Segoe UI"/>
                <w:b w:val="0"/>
                <w:bCs w:val="0"/>
                <w:i w:val="0"/>
                <w:iCs w:val="0"/>
                <w:caps w:val="0"/>
                <w:color w:val="auto"/>
                <w:spacing w:val="0"/>
                <w:sz w:val="21"/>
                <w:szCs w:val="21"/>
                <w:shd w:val="clear" w:color="auto" w:fill="FFFFFF"/>
                <w:lang w:eastAsia="zh-CN"/>
              </w:rPr>
              <w:t>施工单位</w:t>
            </w:r>
            <w:r>
              <w:rPr>
                <w:rFonts w:ascii="Segoe UI" w:hAnsi="Segoe UI" w:eastAsia="Segoe UI" w:cs="Segoe UI"/>
                <w:b w:val="0"/>
                <w:bCs w:val="0"/>
                <w:i w:val="0"/>
                <w:iCs w:val="0"/>
                <w:caps w:val="0"/>
                <w:color w:val="auto"/>
                <w:spacing w:val="0"/>
                <w:sz w:val="21"/>
                <w:szCs w:val="21"/>
                <w:shd w:val="clear" w:color="auto" w:fill="FFFFFF"/>
              </w:rPr>
              <w:t>提交的事故处理方案，并监督其执行。</w:t>
            </w:r>
            <w:r>
              <w:rPr>
                <w:color w:val="auto"/>
                <w:sz w:val="21"/>
                <w:szCs w:val="21"/>
              </w:rPr>
              <w:t>监理人因参与调查所发生的正常工作范围外的费用</w:t>
            </w:r>
            <w:r>
              <w:rPr>
                <w:rFonts w:ascii="Segoe UI" w:hAnsi="Segoe UI" w:eastAsia="Segoe UI" w:cs="Segoe UI"/>
                <w:b w:val="0"/>
                <w:bCs w:val="0"/>
                <w:i w:val="0"/>
                <w:iCs w:val="0"/>
                <w:caps w:val="0"/>
                <w:color w:val="auto"/>
                <w:spacing w:val="0"/>
                <w:sz w:val="21"/>
                <w:szCs w:val="21"/>
                <w:shd w:val="clear" w:color="auto" w:fill="FFFFFF"/>
              </w:rPr>
              <w:t>，依据合同约定处理</w:t>
            </w:r>
            <w:r>
              <w:rPr>
                <w:rFonts w:hint="eastAsia" w:ascii="宋体" w:hAnsi="宋体" w:eastAsia="宋体" w:cs="宋体"/>
                <w:b w:val="0"/>
                <w:bCs w:val="0"/>
                <w:color w:val="auto"/>
                <w:kern w:val="0"/>
                <w:sz w:val="21"/>
                <w:szCs w:val="21"/>
                <w:highlight w:val="none"/>
              </w:rPr>
              <w:t>。</w:t>
            </w:r>
          </w:p>
          <w:p w14:paraId="0D550F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(11)监理人员常驻现场，对施工行为实行全过程、全方位、</w:t>
            </w:r>
            <w:r>
              <w:rPr>
                <w:rFonts w:hint="eastAsia" w:ascii="宋体" w:hAnsi="宋体" w:eastAsia="宋体" w:cs="宋体"/>
                <w:b w:val="0"/>
                <w:bCs w:val="0"/>
                <w:color w:val="auto"/>
                <w:kern w:val="0"/>
                <w:sz w:val="21"/>
                <w:szCs w:val="21"/>
                <w:highlight w:val="none"/>
                <w:lang w:eastAsia="zh-CN"/>
              </w:rPr>
              <w:t>全天候</w:t>
            </w:r>
            <w:r>
              <w:rPr>
                <w:rFonts w:hint="eastAsia" w:ascii="宋体" w:hAnsi="宋体" w:eastAsia="宋体" w:cs="宋体"/>
                <w:b w:val="0"/>
                <w:bCs w:val="0"/>
                <w:color w:val="auto"/>
                <w:kern w:val="0"/>
                <w:sz w:val="21"/>
                <w:szCs w:val="21"/>
                <w:highlight w:val="none"/>
              </w:rPr>
              <w:t>跟踪监理，发现问题及时解决，每月通过监理月报向</w:t>
            </w:r>
            <w:r>
              <w:rPr>
                <w:rFonts w:hint="eastAsia" w:ascii="宋体" w:hAnsi="宋体" w:cs="宋体"/>
                <w:b w:val="0"/>
                <w:bCs w:val="0"/>
                <w:color w:val="auto"/>
                <w:kern w:val="0"/>
                <w:sz w:val="21"/>
                <w:szCs w:val="21"/>
                <w:highlight w:val="none"/>
                <w:lang w:eastAsia="zh-CN"/>
              </w:rPr>
              <w:t>委托人</w:t>
            </w:r>
            <w:r>
              <w:rPr>
                <w:rFonts w:hint="eastAsia" w:ascii="宋体" w:hAnsi="宋体" w:eastAsia="宋体" w:cs="宋体"/>
                <w:b w:val="0"/>
                <w:bCs w:val="0"/>
                <w:color w:val="auto"/>
                <w:kern w:val="0"/>
                <w:sz w:val="21"/>
                <w:szCs w:val="21"/>
                <w:highlight w:val="none"/>
              </w:rPr>
              <w:t>提交有关监理情况的书面报告，把进度控制、质量控制、投资控制及合同管理、信息管理、现场文明施工、安全防护措施管理落到实处。认真处理好质量、进度、投资三者之间的关系，把工程项目管理好。</w:t>
            </w:r>
          </w:p>
          <w:p w14:paraId="256200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(12)</w:t>
            </w:r>
            <w:r>
              <w:rPr>
                <w:rFonts w:ascii="Segoe UI" w:hAnsi="Segoe UI" w:eastAsia="Segoe UI" w:cs="Segoe UI"/>
                <w:b w:val="0"/>
                <w:bCs w:val="0"/>
                <w:i w:val="0"/>
                <w:iCs w:val="0"/>
                <w:caps w:val="0"/>
                <w:color w:val="auto"/>
                <w:spacing w:val="0"/>
                <w:sz w:val="21"/>
                <w:szCs w:val="21"/>
                <w:shd w:val="clear" w:color="auto" w:fill="FFFFFF"/>
              </w:rPr>
              <w:t>督促合同双方履行合同义务。审核</w:t>
            </w:r>
            <w:r>
              <w:rPr>
                <w:rFonts w:hint="eastAsia" w:ascii="Segoe UI" w:hAnsi="Segoe UI" w:cs="Segoe UI"/>
                <w:b w:val="0"/>
                <w:bCs w:val="0"/>
                <w:i w:val="0"/>
                <w:iCs w:val="0"/>
                <w:caps w:val="0"/>
                <w:color w:val="auto"/>
                <w:spacing w:val="0"/>
                <w:sz w:val="21"/>
                <w:szCs w:val="21"/>
                <w:shd w:val="clear" w:color="auto" w:fill="FFFFFF"/>
                <w:lang w:eastAsia="zh-CN"/>
              </w:rPr>
              <w:t>施工单位</w:t>
            </w:r>
            <w:r>
              <w:rPr>
                <w:rFonts w:ascii="Segoe UI" w:hAnsi="Segoe UI" w:eastAsia="Segoe UI" w:cs="Segoe UI"/>
                <w:b w:val="0"/>
                <w:bCs w:val="0"/>
                <w:i w:val="0"/>
                <w:iCs w:val="0"/>
                <w:caps w:val="0"/>
                <w:color w:val="auto"/>
                <w:spacing w:val="0"/>
                <w:sz w:val="21"/>
                <w:szCs w:val="21"/>
                <w:shd w:val="clear" w:color="auto" w:fill="FFFFFF"/>
              </w:rPr>
              <w:t>提出的工程变更、费用索赔及工期延期申请，调查核实情况，提出独立的审核意见报送委托人审定。协助委托人进行合同争议的调解工作</w:t>
            </w:r>
            <w:r>
              <w:rPr>
                <w:rFonts w:hint="eastAsia" w:ascii="宋体" w:hAnsi="宋体" w:eastAsia="宋体" w:cs="宋体"/>
                <w:b w:val="0"/>
                <w:bCs w:val="0"/>
                <w:color w:val="auto"/>
                <w:kern w:val="0"/>
                <w:sz w:val="21"/>
                <w:szCs w:val="21"/>
                <w:highlight w:val="none"/>
              </w:rPr>
              <w:t>。</w:t>
            </w:r>
          </w:p>
          <w:p w14:paraId="4F3ABF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3、</w:t>
            </w:r>
            <w:r>
              <w:rPr>
                <w:color w:val="auto"/>
                <w:sz w:val="21"/>
                <w:szCs w:val="21"/>
              </w:rPr>
              <w:t>竣工验收后</w:t>
            </w:r>
            <w:r>
              <w:rPr>
                <w:rFonts w:hint="eastAsia" w:ascii="宋体" w:hAnsi="宋体" w:eastAsia="宋体" w:cs="宋体"/>
                <w:b w:val="0"/>
                <w:bCs w:val="0"/>
                <w:color w:val="auto"/>
                <w:kern w:val="0"/>
                <w:sz w:val="21"/>
                <w:szCs w:val="21"/>
                <w:highlight w:val="none"/>
              </w:rPr>
              <w:t>的监理工作:</w:t>
            </w:r>
          </w:p>
          <w:p w14:paraId="4CBAA2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保修期内负责</w:t>
            </w:r>
            <w:r>
              <w:rPr>
                <w:color w:val="auto"/>
                <w:sz w:val="21"/>
                <w:szCs w:val="21"/>
              </w:rPr>
              <w:t>鉴定质量问题的责任</w:t>
            </w:r>
            <w:r>
              <w:rPr>
                <w:rFonts w:hint="eastAsia" w:ascii="宋体" w:hAnsi="宋体" w:eastAsia="宋体" w:cs="宋体"/>
                <w:b w:val="0"/>
                <w:bCs w:val="0"/>
                <w:color w:val="auto"/>
                <w:kern w:val="0"/>
                <w:sz w:val="21"/>
                <w:szCs w:val="21"/>
                <w:highlight w:val="none"/>
              </w:rPr>
              <w:t>，督促保修。如在保修期内出现质量问题，处理时间超出保修期，监理方应对该问题的处理负责到底。</w:t>
            </w:r>
          </w:p>
          <w:p w14:paraId="1ADBBF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本项目监理服务的保修期为工程竣工验收合格之日起1年（若行业有特殊规定的，按行业规定执行，如水利工程保修期为1年、市政公用工程保修期按相关专业规范执行），保修期内监理人应履行质量问题鉴定、督促保修等义务</w:t>
            </w:r>
            <w:r>
              <w:rPr>
                <w:rFonts w:hint="eastAsia" w:ascii="宋体" w:hAnsi="宋体" w:cs="宋体"/>
                <w:b w:val="0"/>
                <w:bCs w:val="0"/>
                <w:color w:val="auto"/>
                <w:kern w:val="0"/>
                <w:sz w:val="21"/>
                <w:szCs w:val="21"/>
                <w:highlight w:val="none"/>
                <w:lang w:eastAsia="zh-CN"/>
              </w:rPr>
              <w:t>。</w:t>
            </w:r>
          </w:p>
          <w:p w14:paraId="3AFC6D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2、质量要求和目标：</w:t>
            </w:r>
            <w:r>
              <w:rPr>
                <w:rFonts w:ascii="Segoe UI" w:hAnsi="Segoe UI" w:eastAsia="Segoe UI" w:cs="Segoe UI"/>
                <w:b w:val="0"/>
                <w:bCs w:val="0"/>
                <w:i w:val="0"/>
                <w:iCs w:val="0"/>
                <w:caps w:val="0"/>
                <w:color w:val="auto"/>
                <w:spacing w:val="0"/>
                <w:sz w:val="21"/>
                <w:szCs w:val="21"/>
                <w:shd w:val="clear" w:color="auto" w:fill="FFFFFF"/>
              </w:rPr>
              <w:t>必须严格依照国家及行业颁布的有关工程监理的法律、法规、规范、标准及本合同约定，对工程质量、进度、投资进行全过程、全方位的专业化监督与管理。监理工作目标：通过有效的监理措施，促进工程质量达到施工合同约定的合格标准，协助委托人将工程投资控制在批准概算或合同价款范围内，推动工程进度按施工合同约定的工期目标完成</w:t>
            </w:r>
            <w:r>
              <w:rPr>
                <w:rFonts w:hint="eastAsia" w:ascii="宋体" w:hAnsi="宋体" w:eastAsia="宋体" w:cs="宋体"/>
                <w:b w:val="0"/>
                <w:bCs w:val="0"/>
                <w:color w:val="auto"/>
                <w:sz w:val="21"/>
                <w:szCs w:val="21"/>
                <w:highlight w:val="none"/>
                <w:lang w:eastAsia="zh-CN"/>
              </w:rPr>
              <w:t>。</w:t>
            </w:r>
          </w:p>
          <w:p w14:paraId="65C8DDB1">
            <w:pPr>
              <w:pStyle w:val="4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3、拟投入本项目管理人员的基本要求：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600"/>
              <w:gridCol w:w="846"/>
              <w:gridCol w:w="1733"/>
              <w:gridCol w:w="3485"/>
            </w:tblGrid>
            <w:tr w14:paraId="003B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14:paraId="38E95EA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序号</w:t>
                  </w:r>
                </w:p>
              </w:tc>
              <w:tc>
                <w:tcPr>
                  <w:tcW w:w="1600" w:type="dxa"/>
                  <w:tcBorders>
                    <w:top w:val="single" w:color="auto" w:sz="4" w:space="0"/>
                    <w:left w:val="single" w:color="auto" w:sz="4" w:space="0"/>
                    <w:bottom w:val="single" w:color="auto" w:sz="4" w:space="0"/>
                    <w:right w:val="single" w:color="auto" w:sz="4" w:space="0"/>
                  </w:tcBorders>
                  <w:vAlign w:val="center"/>
                </w:tcPr>
                <w:p w14:paraId="1318BFC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岗位</w:t>
                  </w:r>
                </w:p>
              </w:tc>
              <w:tc>
                <w:tcPr>
                  <w:tcW w:w="636" w:type="dxa"/>
                  <w:tcBorders>
                    <w:top w:val="single" w:color="auto" w:sz="4" w:space="0"/>
                    <w:left w:val="single" w:color="auto" w:sz="4" w:space="0"/>
                    <w:bottom w:val="single" w:color="auto" w:sz="4" w:space="0"/>
                    <w:right w:val="single" w:color="auto" w:sz="4" w:space="0"/>
                  </w:tcBorders>
                  <w:vAlign w:val="center"/>
                </w:tcPr>
                <w:p w14:paraId="3FA8932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人数</w:t>
                  </w:r>
                </w:p>
              </w:tc>
              <w:tc>
                <w:tcPr>
                  <w:tcW w:w="1733" w:type="dxa"/>
                  <w:tcBorders>
                    <w:top w:val="single" w:color="auto" w:sz="4" w:space="0"/>
                    <w:left w:val="single" w:color="auto" w:sz="4" w:space="0"/>
                    <w:bottom w:val="single" w:color="auto" w:sz="4" w:space="0"/>
                    <w:right w:val="single" w:color="auto" w:sz="4" w:space="0"/>
                  </w:tcBorders>
                  <w:vAlign w:val="center"/>
                </w:tcPr>
                <w:p w14:paraId="006B94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学历专业及要求</w:t>
                  </w:r>
                </w:p>
              </w:tc>
              <w:tc>
                <w:tcPr>
                  <w:tcW w:w="3485" w:type="dxa"/>
                  <w:tcBorders>
                    <w:top w:val="single" w:color="auto" w:sz="4" w:space="0"/>
                    <w:left w:val="single" w:color="auto" w:sz="4" w:space="0"/>
                    <w:bottom w:val="single" w:color="auto" w:sz="4" w:space="0"/>
                    <w:right w:val="single" w:color="auto" w:sz="4" w:space="0"/>
                  </w:tcBorders>
                  <w:vAlign w:val="center"/>
                </w:tcPr>
                <w:p w14:paraId="442323D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持证上</w:t>
                  </w:r>
                  <w:r>
                    <w:rPr>
                      <w:rFonts w:hint="eastAsia" w:ascii="宋体" w:hAnsi="宋体" w:eastAsia="宋体" w:cs="宋体"/>
                      <w:b w:val="0"/>
                      <w:bCs w:val="0"/>
                      <w:color w:val="auto"/>
                      <w:sz w:val="21"/>
                      <w:szCs w:val="21"/>
                      <w:highlight w:val="none"/>
                      <w:lang w:eastAsia="zh-CN"/>
                    </w:rPr>
                    <w:t>岗</w:t>
                  </w:r>
                  <w:r>
                    <w:rPr>
                      <w:rFonts w:hint="eastAsia" w:ascii="宋体" w:hAnsi="宋体" w:eastAsia="宋体" w:cs="宋体"/>
                      <w:b w:val="0"/>
                      <w:bCs w:val="0"/>
                      <w:color w:val="auto"/>
                      <w:sz w:val="21"/>
                      <w:szCs w:val="21"/>
                      <w:highlight w:val="none"/>
                    </w:rPr>
                    <w:t>要求</w:t>
                  </w:r>
                </w:p>
              </w:tc>
            </w:tr>
            <w:tr w14:paraId="727E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14:paraId="7D53599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600" w:type="dxa"/>
                  <w:tcBorders>
                    <w:top w:val="single" w:color="auto" w:sz="4" w:space="0"/>
                    <w:left w:val="single" w:color="auto" w:sz="4" w:space="0"/>
                    <w:bottom w:val="single" w:color="auto" w:sz="4" w:space="0"/>
                    <w:right w:val="single" w:color="auto" w:sz="4" w:space="0"/>
                  </w:tcBorders>
                  <w:vAlign w:val="center"/>
                </w:tcPr>
                <w:p w14:paraId="71DB8C7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总监理工程师</w:t>
                  </w:r>
                </w:p>
              </w:tc>
              <w:tc>
                <w:tcPr>
                  <w:tcW w:w="636" w:type="dxa"/>
                  <w:tcBorders>
                    <w:top w:val="single" w:color="auto" w:sz="4" w:space="0"/>
                    <w:left w:val="single" w:color="auto" w:sz="4" w:space="0"/>
                    <w:bottom w:val="single" w:color="auto" w:sz="4" w:space="0"/>
                    <w:right w:val="single" w:color="auto" w:sz="4" w:space="0"/>
                  </w:tcBorders>
                  <w:vAlign w:val="center"/>
                </w:tcPr>
                <w:p w14:paraId="02AA26A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1733" w:type="dxa"/>
                  <w:tcBorders>
                    <w:top w:val="single" w:color="auto" w:sz="4" w:space="0"/>
                    <w:left w:val="single" w:color="auto" w:sz="4" w:space="0"/>
                    <w:bottom w:val="single" w:color="auto" w:sz="4" w:space="0"/>
                    <w:right w:val="single" w:color="auto" w:sz="4" w:space="0"/>
                  </w:tcBorders>
                  <w:vAlign w:val="center"/>
                </w:tcPr>
                <w:p w14:paraId="654299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大专及以上</w:t>
                  </w:r>
                </w:p>
              </w:tc>
              <w:tc>
                <w:tcPr>
                  <w:tcW w:w="3485" w:type="dxa"/>
                  <w:tcBorders>
                    <w:top w:val="single" w:color="auto" w:sz="4" w:space="0"/>
                    <w:left w:val="single" w:color="auto" w:sz="4" w:space="0"/>
                    <w:bottom w:val="single" w:color="auto" w:sz="4" w:space="0"/>
                    <w:right w:val="single" w:color="auto" w:sz="4" w:space="0"/>
                  </w:tcBorders>
                  <w:vAlign w:val="center"/>
                </w:tcPr>
                <w:p w14:paraId="27886E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须具备有效的国家注册监理工程师执业资格，</w:t>
                  </w:r>
                  <w:r>
                    <w:rPr>
                      <w:rFonts w:ascii="宋体" w:hAnsi="宋体" w:eastAsia="宋体" w:cs="宋体"/>
                      <w:b w:val="0"/>
                      <w:bCs w:val="0"/>
                      <w:color w:val="auto"/>
                      <w:sz w:val="21"/>
                      <w:szCs w:val="21"/>
                      <w:highlight w:val="none"/>
                    </w:rPr>
                    <w:t>注册专业为市政公用工程或水利水电工程之一</w:t>
                  </w:r>
                </w:p>
              </w:tc>
            </w:tr>
            <w:tr w14:paraId="2BEA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14:paraId="6A9A162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600" w:type="dxa"/>
                  <w:tcBorders>
                    <w:top w:val="single" w:color="auto" w:sz="4" w:space="0"/>
                    <w:left w:val="single" w:color="auto" w:sz="4" w:space="0"/>
                    <w:bottom w:val="single" w:color="auto" w:sz="4" w:space="0"/>
                    <w:right w:val="single" w:color="auto" w:sz="4" w:space="0"/>
                  </w:tcBorders>
                  <w:vAlign w:val="center"/>
                </w:tcPr>
                <w:p w14:paraId="09D2F0D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监理工程师</w:t>
                  </w:r>
                </w:p>
              </w:tc>
              <w:tc>
                <w:tcPr>
                  <w:tcW w:w="636" w:type="dxa"/>
                  <w:tcBorders>
                    <w:top w:val="single" w:color="auto" w:sz="4" w:space="0"/>
                    <w:left w:val="single" w:color="auto" w:sz="4" w:space="0"/>
                    <w:bottom w:val="single" w:color="auto" w:sz="4" w:space="0"/>
                    <w:right w:val="single" w:color="auto" w:sz="4" w:space="0"/>
                  </w:tcBorders>
                  <w:vAlign w:val="center"/>
                </w:tcPr>
                <w:p w14:paraId="57A4A2F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p>
              </w:tc>
              <w:tc>
                <w:tcPr>
                  <w:tcW w:w="1733" w:type="dxa"/>
                  <w:tcBorders>
                    <w:top w:val="single" w:color="auto" w:sz="4" w:space="0"/>
                    <w:left w:val="single" w:color="auto" w:sz="4" w:space="0"/>
                    <w:bottom w:val="single" w:color="auto" w:sz="4" w:space="0"/>
                    <w:right w:val="single" w:color="auto" w:sz="4" w:space="0"/>
                  </w:tcBorders>
                  <w:vAlign w:val="center"/>
                </w:tcPr>
                <w:p w14:paraId="1A7AA2E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大专及以上</w:t>
                  </w:r>
                </w:p>
              </w:tc>
              <w:tc>
                <w:tcPr>
                  <w:tcW w:w="3485" w:type="dxa"/>
                  <w:tcBorders>
                    <w:top w:val="single" w:color="auto" w:sz="4" w:space="0"/>
                    <w:left w:val="single" w:color="auto" w:sz="4" w:space="0"/>
                    <w:bottom w:val="single" w:color="auto" w:sz="4" w:space="0"/>
                    <w:right w:val="single" w:color="auto" w:sz="4" w:space="0"/>
                  </w:tcBorders>
                  <w:vAlign w:val="center"/>
                </w:tcPr>
                <w:p w14:paraId="079C640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具有执业资格证书或上岗证书</w:t>
                  </w:r>
                </w:p>
              </w:tc>
            </w:tr>
            <w:tr w14:paraId="6DB1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14:paraId="426753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p>
              </w:tc>
              <w:tc>
                <w:tcPr>
                  <w:tcW w:w="1600" w:type="dxa"/>
                  <w:tcBorders>
                    <w:top w:val="single" w:color="auto" w:sz="4" w:space="0"/>
                    <w:left w:val="single" w:color="auto" w:sz="4" w:space="0"/>
                    <w:bottom w:val="single" w:color="auto" w:sz="4" w:space="0"/>
                    <w:right w:val="single" w:color="auto" w:sz="4" w:space="0"/>
                  </w:tcBorders>
                  <w:vAlign w:val="center"/>
                </w:tcPr>
                <w:p w14:paraId="2DBB4CA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监理员</w:t>
                  </w:r>
                </w:p>
              </w:tc>
              <w:tc>
                <w:tcPr>
                  <w:tcW w:w="636" w:type="dxa"/>
                  <w:tcBorders>
                    <w:top w:val="single" w:color="auto" w:sz="4" w:space="0"/>
                    <w:left w:val="single" w:color="auto" w:sz="4" w:space="0"/>
                    <w:bottom w:val="single" w:color="auto" w:sz="4" w:space="0"/>
                    <w:right w:val="single" w:color="auto" w:sz="4" w:space="0"/>
                  </w:tcBorders>
                  <w:vAlign w:val="center"/>
                </w:tcPr>
                <w:p w14:paraId="6472E02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p>
              </w:tc>
              <w:tc>
                <w:tcPr>
                  <w:tcW w:w="1733" w:type="dxa"/>
                  <w:tcBorders>
                    <w:top w:val="single" w:color="auto" w:sz="4" w:space="0"/>
                    <w:left w:val="single" w:color="auto" w:sz="4" w:space="0"/>
                    <w:bottom w:val="single" w:color="auto" w:sz="4" w:space="0"/>
                    <w:right w:val="single" w:color="auto" w:sz="4" w:space="0"/>
                  </w:tcBorders>
                  <w:vAlign w:val="center"/>
                </w:tcPr>
                <w:p w14:paraId="4E06F39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大专及以上</w:t>
                  </w:r>
                </w:p>
              </w:tc>
              <w:tc>
                <w:tcPr>
                  <w:tcW w:w="3485" w:type="dxa"/>
                  <w:tcBorders>
                    <w:top w:val="single" w:color="auto" w:sz="4" w:space="0"/>
                    <w:left w:val="single" w:color="auto" w:sz="4" w:space="0"/>
                    <w:bottom w:val="single" w:color="auto" w:sz="4" w:space="0"/>
                    <w:right w:val="single" w:color="auto" w:sz="4" w:space="0"/>
                  </w:tcBorders>
                  <w:vAlign w:val="center"/>
                </w:tcPr>
                <w:p w14:paraId="3345B3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具有执业资格证书或上岗证书</w:t>
                  </w:r>
                </w:p>
              </w:tc>
            </w:tr>
          </w:tbl>
          <w:p w14:paraId="5C548690">
            <w:pPr>
              <w:keepNext w:val="0"/>
              <w:keepLines w:val="0"/>
              <w:pageBreakBefore w:val="0"/>
              <w:widowControl/>
              <w:suppressLineNumbers w:val="0"/>
              <w:shd w:val="clear" w:color="auto"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r>
              <w:rPr>
                <w:rFonts w:ascii="宋体" w:hAnsi="宋体" w:eastAsia="宋体" w:cs="宋体"/>
                <w:b w:val="0"/>
                <w:bCs w:val="0"/>
                <w:color w:val="auto"/>
                <w:kern w:val="0"/>
                <w:sz w:val="21"/>
                <w:szCs w:val="21"/>
                <w:highlight w:val="none"/>
                <w:lang w:val="en-US" w:eastAsia="zh-CN" w:bidi="ar-SA"/>
              </w:rPr>
              <w:t>、监理人员更换与考勤管理要求</w:t>
            </w:r>
            <w:r>
              <w:rPr>
                <w:rFonts w:hint="eastAsia" w:ascii="宋体" w:hAnsi="宋体" w:eastAsia="宋体" w:cs="宋体"/>
                <w:b w:val="0"/>
                <w:bCs w:val="0"/>
                <w:color w:val="auto"/>
                <w:kern w:val="0"/>
                <w:sz w:val="21"/>
                <w:szCs w:val="21"/>
                <w:highlight w:val="none"/>
                <w:lang w:val="en-US" w:eastAsia="zh-CN" w:bidi="ar-SA"/>
              </w:rPr>
              <w:t>：</w:t>
            </w:r>
            <w:r>
              <w:rPr>
                <w:rFonts w:ascii="宋体" w:hAnsi="宋体" w:eastAsia="宋体" w:cs="宋体"/>
                <w:b w:val="0"/>
                <w:bCs w:val="0"/>
                <w:color w:val="auto"/>
                <w:kern w:val="0"/>
                <w:sz w:val="21"/>
                <w:szCs w:val="21"/>
                <w:highlight w:val="none"/>
                <w:lang w:val="en-US" w:eastAsia="zh-CN" w:bidi="ar-SA"/>
              </w:rPr>
              <w:t>为保障本项目监理服务的连续性与稳定性，对项目监理人员的更换及日常考勤管理作如下规定：</w:t>
            </w:r>
          </w:p>
          <w:p w14:paraId="7CCF5956">
            <w:pPr>
              <w:keepNext w:val="0"/>
              <w:keepLines w:val="0"/>
              <w:pageBreakBefore w:val="0"/>
              <w:widowControl/>
              <w:suppressLineNumbers w:val="0"/>
              <w:shd w:val="clear" w:color="auto" w:fill="FFFFFF"/>
              <w:kinsoku/>
              <w:wordWrap/>
              <w:overflowPunct/>
              <w:topLinePunct w:val="0"/>
              <w:autoSpaceDE/>
              <w:autoSpaceDN/>
              <w:bidi w:val="0"/>
              <w:adjustRightInd/>
              <w:snapToGrid/>
              <w:spacing w:before="240" w:beforeAutospacing="0" w:after="240" w:afterAutospacing="0" w:line="360" w:lineRule="auto"/>
              <w:ind w:left="420" w:leftChars="200" w:right="0" w:firstLine="420" w:firstLineChars="200"/>
              <w:textAlignment w:val="auto"/>
              <w:rPr>
                <w:rFonts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r>
              <w:rPr>
                <w:rFonts w:ascii="宋体" w:hAnsi="宋体" w:eastAsia="宋体" w:cs="宋体"/>
                <w:b w:val="0"/>
                <w:bCs w:val="0"/>
                <w:color w:val="auto"/>
                <w:kern w:val="0"/>
                <w:sz w:val="21"/>
                <w:szCs w:val="21"/>
                <w:highlight w:val="none"/>
                <w:lang w:val="en-US" w:eastAsia="zh-CN" w:bidi="ar-SA"/>
              </w:rPr>
              <w:t>.1人员稳定性承诺</w:t>
            </w:r>
          </w:p>
          <w:p w14:paraId="02708F28">
            <w:pPr>
              <w:keepNext w:val="0"/>
              <w:keepLines w:val="0"/>
              <w:pageBreakBefore w:val="0"/>
              <w:widowControl/>
              <w:suppressLineNumbers w:val="0"/>
              <w:shd w:val="clear" w:color="auto"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ascii="宋体" w:hAnsi="宋体" w:eastAsia="宋体" w:cs="宋体"/>
                <w:b w:val="0"/>
                <w:bCs w:val="0"/>
                <w:color w:val="auto"/>
                <w:kern w:val="0"/>
                <w:sz w:val="21"/>
                <w:szCs w:val="21"/>
                <w:highlight w:val="none"/>
                <w:lang w:val="en-US" w:eastAsia="zh-CN" w:bidi="ar-SA"/>
              </w:rPr>
            </w:pPr>
            <w:r>
              <w:rPr>
                <w:rFonts w:ascii="宋体" w:hAnsi="宋体" w:eastAsia="宋体" w:cs="宋体"/>
                <w:b w:val="0"/>
                <w:bCs w:val="0"/>
                <w:color w:val="auto"/>
                <w:kern w:val="0"/>
                <w:sz w:val="21"/>
                <w:szCs w:val="21"/>
                <w:highlight w:val="none"/>
                <w:lang w:val="en-US" w:eastAsia="zh-CN" w:bidi="ar-SA"/>
              </w:rPr>
              <w:t>中标人（监理人）须承诺，自监理合同生效之日起至本项目所有监理服务义务履行完毕之日止，其为本项目配置的项目总监理工程师及主要监理工程师应保持稳定，未经采购人（委托人）事先书面同意，不得擅自更换或撤离。</w:t>
            </w:r>
          </w:p>
          <w:p w14:paraId="23E41766">
            <w:pPr>
              <w:keepNext w:val="0"/>
              <w:keepLines w:val="0"/>
              <w:pageBreakBefore w:val="0"/>
              <w:widowControl/>
              <w:suppressLineNumbers w:val="0"/>
              <w:shd w:val="clear" w:color="auto" w:fill="FFFFFF"/>
              <w:kinsoku/>
              <w:wordWrap/>
              <w:overflowPunct/>
              <w:topLinePunct w:val="0"/>
              <w:autoSpaceDE/>
              <w:autoSpaceDN/>
              <w:bidi w:val="0"/>
              <w:adjustRightInd/>
              <w:snapToGrid/>
              <w:spacing w:before="240" w:beforeAutospacing="0" w:after="240" w:afterAutospacing="0" w:line="360" w:lineRule="auto"/>
              <w:ind w:left="420" w:leftChars="0" w:right="0" w:firstLine="420" w:firstLineChars="200"/>
              <w:textAlignment w:val="auto"/>
              <w:rPr>
                <w:rFonts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r>
              <w:rPr>
                <w:rFonts w:ascii="宋体" w:hAnsi="宋体" w:eastAsia="宋体" w:cs="宋体"/>
                <w:b w:val="0"/>
                <w:bCs w:val="0"/>
                <w:color w:val="auto"/>
                <w:kern w:val="0"/>
                <w:sz w:val="21"/>
                <w:szCs w:val="21"/>
                <w:highlight w:val="none"/>
                <w:lang w:val="en-US" w:eastAsia="zh-CN" w:bidi="ar-SA"/>
              </w:rPr>
              <w:t>.2人员更换程序与条件</w:t>
            </w:r>
          </w:p>
          <w:p w14:paraId="1E98C21A">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240" w:beforeAutospacing="0" w:after="240" w:afterAutospacing="0" w:line="360" w:lineRule="auto"/>
              <w:ind w:left="0" w:right="0" w:rightChars="0" w:firstLine="420" w:firstLineChars="200"/>
              <w:jc w:val="both"/>
              <w:textAlignment w:val="auto"/>
              <w:rPr>
                <w:rFonts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w:t>
            </w:r>
            <w:r>
              <w:rPr>
                <w:rFonts w:ascii="宋体" w:hAnsi="宋体" w:eastAsia="宋体" w:cs="宋体"/>
                <w:b w:val="0"/>
                <w:bCs w:val="0"/>
                <w:color w:val="auto"/>
                <w:kern w:val="0"/>
                <w:sz w:val="21"/>
                <w:szCs w:val="21"/>
                <w:highlight w:val="none"/>
                <w:lang w:val="en-US" w:eastAsia="zh-CN" w:bidi="ar-SA"/>
              </w:rPr>
              <w:t>若因身体原因、</w:t>
            </w:r>
            <w:r>
              <w:rPr>
                <w:rFonts w:ascii="Times New Roman" w:hAnsi="Times New Roman" w:eastAsia="宋体" w:cs="Times New Roman"/>
                <w:b w:val="0"/>
                <w:bCs w:val="0"/>
                <w:color w:val="auto"/>
                <w:sz w:val="21"/>
                <w:szCs w:val="21"/>
                <w:lang w:val="en-US" w:eastAsia="zh-CN"/>
              </w:rPr>
              <w:t>重大过失、违法违规、能力无法胜任等确需更换关键监理人员时，监理人必须提前至少14个工作日向采购人提交书面申请，详细说明更换理由，并提供拟接替人员的资格、业绩证明材料。拟接替人员的资格条件不得低于被更换人员，且须经采购人书面审核批准后方可更换。</w:t>
            </w:r>
            <w:r>
              <w:rPr>
                <w:rFonts w:ascii="Times New Roman" w:hAnsi="Times New Roman" w:eastAsia="宋体" w:cs="Times New Roman"/>
                <w:b w:val="0"/>
                <w:bCs w:val="0"/>
                <w:color w:val="auto"/>
                <w:sz w:val="21"/>
                <w:szCs w:val="21"/>
                <w:lang w:val="en-US" w:eastAsia="zh-CN"/>
              </w:rPr>
              <w:br w:type="textWrapping" w:clear="all"/>
            </w:r>
            <w:r>
              <w:rPr>
                <w:rFonts w:ascii="Times New Roman" w:hAnsi="Times New Roman" w:eastAsia="宋体" w:cs="Times New Roman"/>
                <w:b w:val="0"/>
                <w:bCs w:val="0"/>
                <w:color w:val="auto"/>
                <w:sz w:val="21"/>
                <w:szCs w:val="21"/>
                <w:lang w:val="en-US" w:eastAsia="zh-CN"/>
              </w:rPr>
              <w:t>（2）采购人有权要求监理人更换被认为不称职、不尽责或不符合项目要求的监理人员，监理人应在收到采购人书面通知后7个工作日内完成更换，且新更换人员资格须经采购人认可。</w:t>
            </w:r>
            <w:r>
              <w:rPr>
                <w:rFonts w:ascii="Times New Roman" w:hAnsi="Times New Roman" w:eastAsia="宋体" w:cs="Times New Roman"/>
                <w:b w:val="0"/>
                <w:bCs w:val="0"/>
                <w:color w:val="auto"/>
                <w:sz w:val="21"/>
                <w:szCs w:val="21"/>
                <w:lang w:val="en-US" w:eastAsia="zh-CN"/>
              </w:rPr>
              <w:br w:type="textWrapping" w:clear="all"/>
            </w:r>
            <w:r>
              <w:rPr>
                <w:rFonts w:ascii="Times New Roman" w:hAnsi="Times New Roman" w:eastAsia="宋体" w:cs="Times New Roman"/>
                <w:b w:val="0"/>
                <w:bCs w:val="0"/>
                <w:color w:val="auto"/>
                <w:sz w:val="21"/>
                <w:szCs w:val="21"/>
                <w:lang w:val="en-US" w:eastAsia="zh-CN"/>
              </w:rPr>
              <w:t>（3）未经批准擅自更换或关键监理人员实际到岗情况与投标承诺严重不符的，采购人有权按照合同约定追究违约责任，包</w:t>
            </w:r>
            <w:r>
              <w:rPr>
                <w:rFonts w:ascii="宋体" w:hAnsi="宋体" w:eastAsia="宋体" w:cs="宋体"/>
                <w:b w:val="0"/>
                <w:bCs w:val="0"/>
                <w:color w:val="auto"/>
                <w:kern w:val="0"/>
                <w:sz w:val="21"/>
                <w:szCs w:val="21"/>
                <w:highlight w:val="none"/>
                <w:lang w:val="en-US" w:eastAsia="zh-CN" w:bidi="ar-SA"/>
              </w:rPr>
              <w:t>括但不限于要求限期改正、扣除相应监理服务费、直至终止合同。</w:t>
            </w:r>
          </w:p>
          <w:p w14:paraId="40C96B94">
            <w:pPr>
              <w:keepNext w:val="0"/>
              <w:keepLines w:val="0"/>
              <w:pageBreakBefore w:val="0"/>
              <w:widowControl/>
              <w:numPr>
                <w:ilvl w:val="0"/>
                <w:numId w:val="7"/>
              </w:numPr>
              <w:suppressLineNumbers w:val="0"/>
              <w:shd w:val="clear" w:color="auto" w:fill="FFFFFF"/>
              <w:kinsoku/>
              <w:wordWrap/>
              <w:overflowPunct/>
              <w:topLinePunct w:val="0"/>
              <w:autoSpaceDE/>
              <w:autoSpaceDN/>
              <w:bidi w:val="0"/>
              <w:adjustRightInd/>
              <w:snapToGrid/>
              <w:spacing w:before="240" w:beforeAutospacing="0" w:after="240" w:afterAutospacing="0" w:line="360" w:lineRule="auto"/>
              <w:ind w:left="0" w:leftChars="0" w:right="0" w:firstLine="420" w:firstLineChars="200"/>
              <w:textAlignment w:val="auto"/>
              <w:rPr>
                <w:rFonts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r>
              <w:rPr>
                <w:rFonts w:ascii="宋体" w:hAnsi="宋体" w:eastAsia="宋体" w:cs="宋体"/>
                <w:b w:val="0"/>
                <w:bCs w:val="0"/>
                <w:color w:val="auto"/>
                <w:kern w:val="0"/>
                <w:sz w:val="21"/>
                <w:szCs w:val="21"/>
                <w:highlight w:val="none"/>
                <w:lang w:val="en-US" w:eastAsia="zh-CN" w:bidi="ar-SA"/>
              </w:rPr>
              <w:t>.3现场考勤与履职要求</w:t>
            </w:r>
            <w:r>
              <w:rPr>
                <w:rFonts w:ascii="宋体" w:hAnsi="宋体" w:eastAsia="宋体" w:cs="宋体"/>
                <w:b w:val="0"/>
                <w:bCs w:val="0"/>
                <w:color w:val="auto"/>
                <w:kern w:val="0"/>
                <w:sz w:val="21"/>
                <w:szCs w:val="21"/>
                <w:highlight w:val="none"/>
                <w:lang w:val="en-US" w:eastAsia="zh-CN" w:bidi="ar-SA"/>
              </w:rPr>
              <w:br w:type="textWrapping" w:clear="all"/>
            </w:r>
            <w:r>
              <w:rPr>
                <w:rFonts w:ascii="宋体" w:hAnsi="宋体" w:eastAsia="宋体" w:cs="宋体"/>
                <w:b w:val="0"/>
                <w:bCs w:val="0"/>
                <w:color w:val="auto"/>
                <w:kern w:val="0"/>
                <w:sz w:val="21"/>
                <w:szCs w:val="21"/>
                <w:highlight w:val="none"/>
                <w:lang w:val="en-US" w:eastAsia="zh-CN" w:bidi="ar-SA"/>
              </w:rPr>
              <w:t>（1</w:t>
            </w:r>
            <w:r>
              <w:rPr>
                <w:rFonts w:ascii="Times New Roman" w:hAnsi="Times New Roman" w:eastAsia="宋体" w:cs="Times New Roman"/>
                <w:b w:val="0"/>
                <w:bCs w:val="0"/>
                <w:color w:val="auto"/>
                <w:sz w:val="21"/>
                <w:szCs w:val="21"/>
                <w:lang w:val="en-US" w:eastAsia="zh-CN"/>
              </w:rPr>
              <w:t>）总监理工程师每月驻场履职时间不得少于当月日历天数的80%（法定节假日、休息日除外，若遇特殊情况需请假，须经采购人项目负责人书面批准，请假天数不计入驻场天数）</w:t>
            </w:r>
            <w:r>
              <w:rPr>
                <w:rFonts w:hint="eastAsia" w:ascii="Times New Roman" w:hAnsi="Times New Roman" w:eastAsia="宋体" w:cs="Times New Roman"/>
                <w:b w:val="0"/>
                <w:bCs w:val="0"/>
                <w:color w:val="auto"/>
                <w:sz w:val="21"/>
                <w:szCs w:val="21"/>
                <w:lang w:val="en-US" w:eastAsia="zh-CN"/>
              </w:rPr>
              <w:t>，</w:t>
            </w:r>
            <w:r>
              <w:rPr>
                <w:rFonts w:ascii="Times New Roman" w:hAnsi="Times New Roman" w:eastAsia="宋体" w:cs="Times New Roman"/>
                <w:b w:val="0"/>
                <w:bCs w:val="0"/>
                <w:color w:val="auto"/>
                <w:sz w:val="21"/>
                <w:szCs w:val="21"/>
                <w:lang w:val="en-US" w:eastAsia="zh-CN"/>
              </w:rPr>
              <w:t>其他监理人员须满足全过程常驻现场的要求。</w:t>
            </w:r>
            <w:r>
              <w:rPr>
                <w:rFonts w:ascii="Times New Roman" w:hAnsi="Times New Roman" w:eastAsia="宋体" w:cs="Times New Roman"/>
                <w:b w:val="0"/>
                <w:bCs w:val="0"/>
                <w:color w:val="auto"/>
                <w:sz w:val="21"/>
                <w:szCs w:val="21"/>
                <w:lang w:val="en-US" w:eastAsia="zh-CN"/>
              </w:rPr>
              <w:br w:type="textWrapping" w:clear="all"/>
            </w:r>
            <w:r>
              <w:rPr>
                <w:rFonts w:ascii="Times New Roman" w:hAnsi="Times New Roman" w:eastAsia="宋体" w:cs="Times New Roman"/>
                <w:b w:val="0"/>
                <w:bCs w:val="0"/>
                <w:color w:val="auto"/>
                <w:sz w:val="21"/>
                <w:szCs w:val="21"/>
                <w:lang w:val="en-US" w:eastAsia="zh-CN"/>
              </w:rPr>
              <w:t>（2）监理人应在项目现场设立固定的监理办公室，并配备满足工作所需的办公、通讯及检测设备。</w:t>
            </w:r>
            <w:r>
              <w:rPr>
                <w:rFonts w:ascii="Times New Roman" w:hAnsi="Times New Roman" w:eastAsia="宋体" w:cs="Times New Roman"/>
                <w:b w:val="0"/>
                <w:bCs w:val="0"/>
                <w:color w:val="auto"/>
                <w:sz w:val="21"/>
                <w:szCs w:val="21"/>
                <w:lang w:val="en-US" w:eastAsia="zh-CN"/>
              </w:rPr>
              <w:br w:type="textWrapping" w:clear="all"/>
            </w:r>
            <w:r>
              <w:rPr>
                <w:rFonts w:ascii="Times New Roman" w:hAnsi="Times New Roman" w:eastAsia="宋体" w:cs="Times New Roman"/>
                <w:b w:val="0"/>
                <w:bCs w:val="0"/>
                <w:color w:val="auto"/>
                <w:sz w:val="21"/>
                <w:szCs w:val="21"/>
                <w:lang w:val="en-US" w:eastAsia="zh-CN"/>
              </w:rPr>
              <w:t>（3）监理人应建立并</w:t>
            </w:r>
            <w:r>
              <w:rPr>
                <w:rFonts w:ascii="宋体" w:hAnsi="宋体" w:eastAsia="宋体" w:cs="宋体"/>
                <w:b w:val="0"/>
                <w:bCs w:val="0"/>
                <w:color w:val="auto"/>
                <w:kern w:val="0"/>
                <w:sz w:val="21"/>
                <w:szCs w:val="21"/>
                <w:highlight w:val="none"/>
                <w:lang w:val="en-US" w:eastAsia="zh-CN" w:bidi="ar-SA"/>
              </w:rPr>
              <w:t>严格执行现场人员考勤制度，采用人脸识别打卡、现场签到或采购人认可的其他方式进行每日考勤记录。考勤记录应每月汇总，经总监理工程师签字并加盖监理项目部章后，随监理月报一并提交采购人备案。</w:t>
            </w:r>
            <w:r>
              <w:rPr>
                <w:rFonts w:ascii="宋体" w:hAnsi="宋体" w:eastAsia="宋体" w:cs="宋体"/>
                <w:b w:val="0"/>
                <w:bCs w:val="0"/>
                <w:color w:val="auto"/>
                <w:kern w:val="0"/>
                <w:sz w:val="21"/>
                <w:szCs w:val="21"/>
                <w:highlight w:val="none"/>
                <w:lang w:val="en-US" w:eastAsia="zh-CN" w:bidi="ar-SA"/>
              </w:rPr>
              <w:br w:type="textWrapping" w:clear="all"/>
            </w:r>
            <w:r>
              <w:rPr>
                <w:rFonts w:ascii="宋体" w:hAnsi="宋体" w:eastAsia="宋体" w:cs="宋体"/>
                <w:b w:val="0"/>
                <w:bCs w:val="0"/>
                <w:color w:val="auto"/>
                <w:kern w:val="0"/>
                <w:sz w:val="21"/>
                <w:szCs w:val="21"/>
                <w:highlight w:val="none"/>
                <w:lang w:val="en-US" w:eastAsia="zh-CN" w:bidi="ar-SA"/>
              </w:rPr>
              <w:t>（4）采购人有权随时检查监理人员的在岗情况及履职记录。若发现监理人员无故缺勤、脱岗或未按合同要求履行监理职责，采购人可依据考勤记录及事实情况，按照合同专用条款的约定进行相应处理。</w:t>
            </w:r>
          </w:p>
          <w:p w14:paraId="01944BD3">
            <w:pPr>
              <w:keepNext w:val="0"/>
              <w:keepLines w:val="0"/>
              <w:pageBreakBefore w:val="0"/>
              <w:widowControl/>
              <w:suppressLineNumbers w:val="0"/>
              <w:shd w:val="clear" w:color="auto"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r>
              <w:rPr>
                <w:rFonts w:ascii="宋体" w:hAnsi="宋体" w:eastAsia="宋体" w:cs="宋体"/>
                <w:b w:val="0"/>
                <w:bCs w:val="0"/>
                <w:color w:val="auto"/>
                <w:kern w:val="0"/>
                <w:sz w:val="21"/>
                <w:szCs w:val="21"/>
                <w:highlight w:val="none"/>
                <w:lang w:val="en-US" w:eastAsia="zh-CN" w:bidi="ar-SA"/>
              </w:rPr>
              <w:t>.4违约责任</w:t>
            </w:r>
            <w:r>
              <w:rPr>
                <w:rFonts w:ascii="宋体" w:hAnsi="宋体" w:eastAsia="宋体" w:cs="宋体"/>
                <w:b w:val="0"/>
                <w:bCs w:val="0"/>
                <w:color w:val="auto"/>
                <w:kern w:val="0"/>
                <w:sz w:val="21"/>
                <w:szCs w:val="21"/>
                <w:highlight w:val="none"/>
                <w:lang w:val="en-US" w:eastAsia="zh-CN" w:bidi="ar-SA"/>
              </w:rPr>
              <w:br w:type="textWrapping" w:clear="all"/>
            </w:r>
            <w:r>
              <w:rPr>
                <w:rFonts w:ascii="宋体" w:hAnsi="宋体" w:eastAsia="宋体" w:cs="宋体"/>
                <w:b w:val="0"/>
                <w:bCs w:val="0"/>
                <w:color w:val="auto"/>
                <w:kern w:val="0"/>
                <w:sz w:val="21"/>
                <w:szCs w:val="21"/>
                <w:highlight w:val="none"/>
                <w:lang w:val="en-US" w:eastAsia="zh-CN" w:bidi="ar-SA"/>
              </w:rPr>
              <w:t>（1）未经批准擅自更换总监理工程师的，采购人有权处以</w:t>
            </w:r>
            <w:r>
              <w:rPr>
                <w:rFonts w:hint="eastAsia" w:ascii="宋体" w:hAnsi="宋体" w:eastAsia="宋体" w:cs="宋体"/>
                <w:b w:val="0"/>
                <w:bCs w:val="0"/>
                <w:color w:val="auto"/>
                <w:kern w:val="0"/>
                <w:sz w:val="21"/>
                <w:szCs w:val="21"/>
                <w:highlight w:val="none"/>
                <w:lang w:val="en-US" w:eastAsia="zh-CN" w:bidi="ar-SA"/>
              </w:rPr>
              <w:t>2000.00元</w:t>
            </w:r>
            <w:r>
              <w:rPr>
                <w:rFonts w:ascii="宋体" w:hAnsi="宋体" w:eastAsia="宋体" w:cs="宋体"/>
                <w:b w:val="0"/>
                <w:bCs w:val="0"/>
                <w:color w:val="auto"/>
                <w:kern w:val="0"/>
                <w:sz w:val="21"/>
                <w:szCs w:val="21"/>
                <w:highlight w:val="none"/>
                <w:lang w:val="en-US" w:eastAsia="zh-CN" w:bidi="ar-SA"/>
              </w:rPr>
              <w:t>单次人民币的违约金。</w:t>
            </w:r>
            <w:r>
              <w:rPr>
                <w:rFonts w:ascii="宋体" w:hAnsi="宋体" w:eastAsia="宋体" w:cs="宋体"/>
                <w:b w:val="0"/>
                <w:bCs w:val="0"/>
                <w:color w:val="auto"/>
                <w:kern w:val="0"/>
                <w:sz w:val="21"/>
                <w:szCs w:val="21"/>
                <w:highlight w:val="none"/>
                <w:lang w:val="en-US" w:eastAsia="zh-CN" w:bidi="ar-SA"/>
              </w:rPr>
              <w:br w:type="textWrapping" w:clear="all"/>
            </w:r>
            <w:r>
              <w:rPr>
                <w:rFonts w:ascii="宋体" w:hAnsi="宋体" w:eastAsia="宋体" w:cs="宋体"/>
                <w:b w:val="0"/>
                <w:bCs w:val="0"/>
                <w:color w:val="auto"/>
                <w:kern w:val="0"/>
                <w:sz w:val="21"/>
                <w:szCs w:val="21"/>
                <w:highlight w:val="none"/>
                <w:lang w:val="en-US" w:eastAsia="zh-CN" w:bidi="ar-SA"/>
              </w:rPr>
              <w:t>（2）未经批准擅自更换其他关键监理人员</w:t>
            </w:r>
            <w:r>
              <w:rPr>
                <w:rFonts w:hint="eastAsia" w:ascii="宋体" w:hAnsi="宋体" w:eastAsia="宋体" w:cs="宋体"/>
                <w:b w:val="0"/>
                <w:bCs w:val="0"/>
                <w:color w:val="auto"/>
                <w:kern w:val="0"/>
                <w:sz w:val="21"/>
                <w:szCs w:val="21"/>
                <w:highlight w:val="none"/>
                <w:lang w:val="en-US" w:eastAsia="zh-CN" w:bidi="ar-SA"/>
              </w:rPr>
              <w:t>（</w:t>
            </w:r>
            <w:r>
              <w:rPr>
                <w:rFonts w:ascii="宋体" w:hAnsi="宋体" w:eastAsia="宋体" w:cs="宋体"/>
                <w:b w:val="0"/>
                <w:bCs w:val="0"/>
                <w:color w:val="auto"/>
                <w:kern w:val="0"/>
                <w:sz w:val="21"/>
                <w:szCs w:val="21"/>
                <w:highlight w:val="none"/>
                <w:lang w:val="en-US" w:eastAsia="zh-CN" w:bidi="ar-SA"/>
              </w:rPr>
              <w:t>项目专业监理工程师、现场监理负责人等招标文件中明确的项目监理机构核心人员</w:t>
            </w:r>
            <w:r>
              <w:rPr>
                <w:rFonts w:hint="eastAsia" w:ascii="宋体" w:hAnsi="宋体" w:eastAsia="宋体" w:cs="宋体"/>
                <w:b w:val="0"/>
                <w:bCs w:val="0"/>
                <w:color w:val="auto"/>
                <w:kern w:val="0"/>
                <w:sz w:val="21"/>
                <w:szCs w:val="21"/>
                <w:highlight w:val="none"/>
                <w:lang w:val="en-US" w:eastAsia="zh-CN" w:bidi="ar-SA"/>
              </w:rPr>
              <w:t>）</w:t>
            </w:r>
            <w:r>
              <w:rPr>
                <w:rFonts w:ascii="宋体" w:hAnsi="宋体" w:eastAsia="宋体" w:cs="宋体"/>
                <w:b w:val="0"/>
                <w:bCs w:val="0"/>
                <w:color w:val="auto"/>
                <w:kern w:val="0"/>
                <w:sz w:val="21"/>
                <w:szCs w:val="21"/>
                <w:highlight w:val="none"/>
                <w:lang w:val="en-US" w:eastAsia="zh-CN" w:bidi="ar-SA"/>
              </w:rPr>
              <w:t>的，采购人有权处以</w:t>
            </w:r>
            <w:r>
              <w:rPr>
                <w:rFonts w:hint="eastAsia" w:ascii="宋体" w:hAnsi="宋体" w:eastAsia="宋体" w:cs="宋体"/>
                <w:b w:val="0"/>
                <w:bCs w:val="0"/>
                <w:color w:val="auto"/>
                <w:kern w:val="0"/>
                <w:sz w:val="21"/>
                <w:szCs w:val="21"/>
                <w:highlight w:val="none"/>
                <w:lang w:val="en-US" w:eastAsia="zh-CN" w:bidi="ar-SA"/>
              </w:rPr>
              <w:t>5000.00元</w:t>
            </w:r>
            <w:r>
              <w:rPr>
                <w:rFonts w:ascii="宋体" w:hAnsi="宋体" w:eastAsia="宋体" w:cs="宋体"/>
                <w:b w:val="0"/>
                <w:bCs w:val="0"/>
                <w:color w:val="auto"/>
                <w:kern w:val="0"/>
                <w:sz w:val="21"/>
                <w:szCs w:val="21"/>
                <w:highlight w:val="none"/>
                <w:lang w:val="en-US" w:eastAsia="zh-CN" w:bidi="ar-SA"/>
              </w:rPr>
              <w:t>单次人民币的违约金。</w:t>
            </w:r>
            <w:r>
              <w:rPr>
                <w:rFonts w:ascii="宋体" w:hAnsi="宋体" w:eastAsia="宋体" w:cs="宋体"/>
                <w:b w:val="0"/>
                <w:bCs w:val="0"/>
                <w:color w:val="auto"/>
                <w:kern w:val="0"/>
                <w:sz w:val="21"/>
                <w:szCs w:val="21"/>
                <w:highlight w:val="none"/>
                <w:lang w:val="en-US" w:eastAsia="zh-CN" w:bidi="ar-SA"/>
              </w:rPr>
              <w:br w:type="textWrapping" w:clear="all"/>
            </w:r>
            <w:r>
              <w:rPr>
                <w:rFonts w:ascii="宋体" w:hAnsi="宋体" w:eastAsia="宋体" w:cs="宋体"/>
                <w:b w:val="0"/>
                <w:bCs w:val="0"/>
                <w:color w:val="auto"/>
                <w:kern w:val="0"/>
                <w:sz w:val="21"/>
                <w:szCs w:val="21"/>
                <w:highlight w:val="none"/>
                <w:lang w:val="en-US" w:eastAsia="zh-CN" w:bidi="ar-SA"/>
              </w:rPr>
              <w:t>（3）关键监理人员月度考勤达标率不足约定比例的，采购人有权按缺勤天数占当月比例扣减当月相应比例的监理服务费。具体扣罚细则可在合同专用条款中进一步明确。</w:t>
            </w:r>
          </w:p>
          <w:p w14:paraId="3A9495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kern w:val="2"/>
                <w:sz w:val="21"/>
                <w:szCs w:val="21"/>
                <w:highlight w:val="none"/>
                <w:lang w:val="en-US" w:eastAsia="zh-CN" w:bidi="ar-SA"/>
              </w:rPr>
              <w:t>、各类监理相关报告的提交要求</w:t>
            </w:r>
          </w:p>
          <w:p w14:paraId="364D4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监理人</w:t>
            </w:r>
            <w:r>
              <w:rPr>
                <w:rFonts w:hint="eastAsia" w:ascii="宋体" w:hAnsi="宋体" w:eastAsia="宋体" w:cs="宋体"/>
                <w:b w:val="0"/>
                <w:bCs w:val="0"/>
                <w:color w:val="auto"/>
                <w:sz w:val="21"/>
                <w:szCs w:val="21"/>
                <w:highlight w:val="none"/>
              </w:rPr>
              <w:t>应提交报告的种类（包括监理规划、监理月报及约定的专项报告）、时间和份数：监理规划合同签订后7个工作日内提交、监理实施细则收到施工图后10个工作日内提交、监理月报每月5日前提交上月一式四份</w:t>
            </w:r>
            <w:r>
              <w:rPr>
                <w:rFonts w:hint="eastAsia" w:ascii="宋体" w:hAnsi="宋体" w:eastAsia="宋体" w:cs="宋体"/>
                <w:b w:val="0"/>
                <w:bCs w:val="0"/>
                <w:color w:val="auto"/>
                <w:sz w:val="21"/>
                <w:szCs w:val="21"/>
                <w:highlight w:val="none"/>
                <w:lang w:val="en-US" w:eastAsia="zh-CN"/>
              </w:rPr>
              <w:t>。</w:t>
            </w:r>
          </w:p>
          <w:p w14:paraId="59B2A5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i w:val="0"/>
                <w:iCs w:val="0"/>
                <w:caps w:val="0"/>
                <w:color w:val="auto"/>
                <w:spacing w:val="0"/>
                <w:sz w:val="21"/>
                <w:szCs w:val="21"/>
                <w:shd w:val="clear" w:color="auto" w:fill="FFFFFF"/>
              </w:rPr>
            </w:pPr>
            <w:r>
              <w:rPr>
                <w:rFonts w:hint="eastAsia" w:ascii="宋体" w:hAnsi="宋体" w:eastAsia="宋体" w:cs="宋体"/>
                <w:b w:val="0"/>
                <w:bCs w:val="0"/>
                <w:i w:val="0"/>
                <w:iCs w:val="0"/>
                <w:caps w:val="0"/>
                <w:color w:val="auto"/>
                <w:spacing w:val="0"/>
                <w:sz w:val="21"/>
                <w:szCs w:val="21"/>
                <w:shd w:val="clear" w:color="auto" w:fill="FFFFFF"/>
                <w:lang w:val="en-US" w:eastAsia="zh-CN"/>
              </w:rPr>
              <w:t>6、</w:t>
            </w:r>
            <w:r>
              <w:rPr>
                <w:rFonts w:hint="eastAsia" w:ascii="宋体" w:hAnsi="宋体" w:eastAsia="宋体" w:cs="宋体"/>
                <w:b w:val="0"/>
                <w:bCs w:val="0"/>
                <w:i w:val="0"/>
                <w:iCs w:val="0"/>
                <w:caps w:val="0"/>
                <w:color w:val="auto"/>
                <w:spacing w:val="0"/>
                <w:sz w:val="21"/>
                <w:szCs w:val="21"/>
                <w:shd w:val="clear" w:color="auto" w:fill="FFFFFF"/>
              </w:rPr>
              <w:t>监理工作制度与成果文件要求</w:t>
            </w:r>
          </w:p>
          <w:p w14:paraId="358274C4">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rFonts w:hint="eastAsia" w:ascii="宋体" w:hAnsi="宋体" w:eastAsia="宋体" w:cs="宋体"/>
                <w:b w:val="0"/>
                <w:bCs w:val="0"/>
                <w:i w:val="0"/>
                <w:iCs w:val="0"/>
                <w:caps w:val="0"/>
                <w:color w:val="auto"/>
                <w:spacing w:val="0"/>
                <w:sz w:val="21"/>
                <w:szCs w:val="21"/>
                <w:shd w:val="clear" w:color="auto" w:fill="FFFFFF"/>
              </w:rPr>
            </w:pPr>
            <w:r>
              <w:rPr>
                <w:rFonts w:hint="eastAsia" w:ascii="宋体" w:hAnsi="宋体" w:eastAsia="宋体" w:cs="宋体"/>
                <w:b w:val="0"/>
                <w:bCs w:val="0"/>
                <w:i w:val="0"/>
                <w:iCs w:val="0"/>
                <w:caps w:val="0"/>
                <w:color w:val="auto"/>
                <w:spacing w:val="0"/>
                <w:sz w:val="21"/>
                <w:szCs w:val="21"/>
                <w:shd w:val="clear" w:color="auto" w:fill="FFFFFF"/>
                <w:lang w:val="en-US" w:eastAsia="zh-CN"/>
              </w:rPr>
              <w:t>6.</w:t>
            </w:r>
            <w:r>
              <w:rPr>
                <w:rFonts w:hint="eastAsia" w:ascii="宋体" w:hAnsi="宋体" w:eastAsia="宋体" w:cs="宋体"/>
                <w:b w:val="0"/>
                <w:bCs w:val="0"/>
                <w:i w:val="0"/>
                <w:iCs w:val="0"/>
                <w:caps w:val="0"/>
                <w:color w:val="auto"/>
                <w:spacing w:val="0"/>
                <w:sz w:val="21"/>
                <w:szCs w:val="21"/>
                <w:shd w:val="clear" w:color="auto" w:fill="FFFFFF"/>
              </w:rPr>
              <w:t>1监理工作制度</w:t>
            </w:r>
            <w:r>
              <w:rPr>
                <w:rFonts w:hint="eastAsia" w:ascii="宋体" w:hAnsi="宋体" w:eastAsia="宋体" w:cs="宋体"/>
                <w:b w:val="0"/>
                <w:bCs w:val="0"/>
                <w:i w:val="0"/>
                <w:iCs w:val="0"/>
                <w:caps w:val="0"/>
                <w:color w:val="auto"/>
                <w:spacing w:val="0"/>
                <w:sz w:val="21"/>
                <w:szCs w:val="21"/>
                <w:shd w:val="clear" w:color="auto" w:fill="FFFFFF"/>
              </w:rPr>
              <w:br w:type="textWrapping" w:clear="all"/>
            </w:r>
            <w:r>
              <w:rPr>
                <w:rFonts w:hint="eastAsia" w:ascii="宋体" w:hAnsi="宋体" w:eastAsia="宋体" w:cs="宋体"/>
                <w:b w:val="0"/>
                <w:bCs w:val="0"/>
                <w:i w:val="0"/>
                <w:iCs w:val="0"/>
                <w:caps w:val="0"/>
                <w:color w:val="auto"/>
                <w:spacing w:val="0"/>
                <w:sz w:val="21"/>
                <w:szCs w:val="21"/>
                <w:shd w:val="clear" w:color="auto" w:fill="FFFFFF"/>
              </w:rPr>
              <w:t>监理人必须建立健全并严格执行以下工作制度，以确保监理工作的规范化、标准化：</w:t>
            </w:r>
            <w:r>
              <w:rPr>
                <w:rFonts w:hint="eastAsia" w:ascii="宋体" w:hAnsi="宋体" w:eastAsia="宋体" w:cs="宋体"/>
                <w:b w:val="0"/>
                <w:bCs w:val="0"/>
                <w:i w:val="0"/>
                <w:iCs w:val="0"/>
                <w:caps w:val="0"/>
                <w:color w:val="auto"/>
                <w:spacing w:val="0"/>
                <w:sz w:val="21"/>
                <w:szCs w:val="21"/>
                <w:shd w:val="clear" w:color="auto" w:fill="FFFFFF"/>
              </w:rPr>
              <w:br w:type="textWrapping" w:clear="all"/>
            </w:r>
            <w:r>
              <w:rPr>
                <w:rFonts w:hint="eastAsia" w:ascii="宋体" w:hAnsi="宋体" w:eastAsia="宋体" w:cs="宋体"/>
                <w:b w:val="0"/>
                <w:bCs w:val="0"/>
                <w:i w:val="0"/>
                <w:iCs w:val="0"/>
                <w:caps w:val="0"/>
                <w:color w:val="auto"/>
                <w:spacing w:val="0"/>
                <w:sz w:val="21"/>
                <w:szCs w:val="21"/>
                <w:shd w:val="clear" w:color="auto" w:fill="FFFFFF"/>
              </w:rPr>
              <w:t>（1）技术文件审查制度：对施工组织设计、专项施工方案、开工报告等，需在规定时限内完成审查并出具书面审查意见。</w:t>
            </w:r>
            <w:r>
              <w:rPr>
                <w:rFonts w:hint="eastAsia" w:ascii="宋体" w:hAnsi="宋体" w:eastAsia="宋体" w:cs="宋体"/>
                <w:b w:val="0"/>
                <w:bCs w:val="0"/>
                <w:i w:val="0"/>
                <w:iCs w:val="0"/>
                <w:caps w:val="0"/>
                <w:color w:val="auto"/>
                <w:spacing w:val="0"/>
                <w:sz w:val="21"/>
                <w:szCs w:val="21"/>
                <w:shd w:val="clear" w:color="auto" w:fill="FFFFFF"/>
              </w:rPr>
              <w:br w:type="textWrapping" w:clear="all"/>
            </w:r>
            <w:r>
              <w:rPr>
                <w:rFonts w:hint="eastAsia" w:ascii="宋体" w:hAnsi="宋体" w:eastAsia="宋体" w:cs="宋体"/>
                <w:b w:val="0"/>
                <w:bCs w:val="0"/>
                <w:i w:val="0"/>
                <w:iCs w:val="0"/>
                <w:caps w:val="0"/>
                <w:color w:val="auto"/>
                <w:spacing w:val="0"/>
                <w:sz w:val="21"/>
                <w:szCs w:val="21"/>
                <w:shd w:val="clear" w:color="auto" w:fill="FFFFFF"/>
              </w:rPr>
              <w:t>（2）材料、构配件及设备进场检验制度：对所有进场工程材料、构配件和设备，必须查验质量证明文件，按规定进行见证取样或平行检验，不合格品不得用于工程。</w:t>
            </w:r>
            <w:r>
              <w:rPr>
                <w:rFonts w:hint="eastAsia" w:ascii="宋体" w:hAnsi="宋体" w:eastAsia="宋体" w:cs="宋体"/>
                <w:b w:val="0"/>
                <w:bCs w:val="0"/>
                <w:i w:val="0"/>
                <w:iCs w:val="0"/>
                <w:caps w:val="0"/>
                <w:color w:val="auto"/>
                <w:spacing w:val="0"/>
                <w:sz w:val="21"/>
                <w:szCs w:val="21"/>
                <w:shd w:val="clear" w:color="auto" w:fill="FFFFFF"/>
              </w:rPr>
              <w:br w:type="textWrapping" w:clear="all"/>
            </w:r>
            <w:r>
              <w:rPr>
                <w:rFonts w:hint="eastAsia" w:ascii="宋体" w:hAnsi="宋体" w:eastAsia="宋体" w:cs="宋体"/>
                <w:b w:val="0"/>
                <w:bCs w:val="0"/>
                <w:i w:val="0"/>
                <w:iCs w:val="0"/>
                <w:caps w:val="0"/>
                <w:color w:val="auto"/>
                <w:spacing w:val="0"/>
                <w:sz w:val="21"/>
                <w:szCs w:val="21"/>
                <w:shd w:val="clear" w:color="auto" w:fill="FFFFFF"/>
              </w:rPr>
              <w:t>（3）隐蔽工程验收制度：对所有隐蔽工程，必须在</w:t>
            </w:r>
            <w:r>
              <w:rPr>
                <w:rFonts w:hint="eastAsia" w:ascii="宋体" w:hAnsi="宋体" w:cs="宋体"/>
                <w:b w:val="0"/>
                <w:bCs w:val="0"/>
                <w:i w:val="0"/>
                <w:iCs w:val="0"/>
                <w:caps w:val="0"/>
                <w:color w:val="auto"/>
                <w:spacing w:val="0"/>
                <w:sz w:val="21"/>
                <w:szCs w:val="21"/>
                <w:shd w:val="clear" w:color="auto" w:fill="FFFFFF"/>
                <w:lang w:eastAsia="zh-CN"/>
              </w:rPr>
              <w:t>施工单位</w:t>
            </w:r>
            <w:r>
              <w:rPr>
                <w:rFonts w:hint="eastAsia" w:ascii="宋体" w:hAnsi="宋体" w:eastAsia="宋体" w:cs="宋体"/>
                <w:b w:val="0"/>
                <w:bCs w:val="0"/>
                <w:i w:val="0"/>
                <w:iCs w:val="0"/>
                <w:caps w:val="0"/>
                <w:color w:val="auto"/>
                <w:spacing w:val="0"/>
                <w:sz w:val="21"/>
                <w:szCs w:val="21"/>
                <w:shd w:val="clear" w:color="auto" w:fill="FFFFFF"/>
              </w:rPr>
              <w:t>自检合格后，于隐蔽前进行验收并签署意见。未经验收或验收不合格，不得进行下一道工序。和关键工序应留存影像资料。</w:t>
            </w:r>
            <w:r>
              <w:rPr>
                <w:rFonts w:hint="eastAsia" w:ascii="宋体" w:hAnsi="宋体" w:eastAsia="宋体" w:cs="宋体"/>
                <w:b w:val="0"/>
                <w:bCs w:val="0"/>
                <w:i w:val="0"/>
                <w:iCs w:val="0"/>
                <w:caps w:val="0"/>
                <w:color w:val="auto"/>
                <w:spacing w:val="0"/>
                <w:sz w:val="21"/>
                <w:szCs w:val="21"/>
                <w:shd w:val="clear" w:color="auto" w:fill="FFFFFF"/>
              </w:rPr>
              <w:br w:type="textWrapping" w:clear="all"/>
            </w:r>
            <w:r>
              <w:rPr>
                <w:rFonts w:hint="eastAsia" w:ascii="宋体" w:hAnsi="宋体" w:eastAsia="宋体" w:cs="宋体"/>
                <w:b w:val="0"/>
                <w:bCs w:val="0"/>
                <w:i w:val="0"/>
                <w:iCs w:val="0"/>
                <w:caps w:val="0"/>
                <w:color w:val="auto"/>
                <w:spacing w:val="0"/>
                <w:sz w:val="21"/>
                <w:szCs w:val="21"/>
                <w:shd w:val="clear" w:color="auto" w:fill="FFFFFF"/>
              </w:rPr>
              <w:t>（4）检验批、分项、分部工程验收制度：严格按照国家质量验收标准，及时组织或参与检验批、分项、分部工程的验收，并签署验收意见。</w:t>
            </w:r>
            <w:r>
              <w:rPr>
                <w:rFonts w:hint="eastAsia" w:ascii="宋体" w:hAnsi="宋体" w:eastAsia="宋体" w:cs="宋体"/>
                <w:b w:val="0"/>
                <w:bCs w:val="0"/>
                <w:i w:val="0"/>
                <w:iCs w:val="0"/>
                <w:caps w:val="0"/>
                <w:color w:val="auto"/>
                <w:spacing w:val="0"/>
                <w:sz w:val="21"/>
                <w:szCs w:val="21"/>
                <w:shd w:val="clear" w:color="auto" w:fill="FFFFFF"/>
              </w:rPr>
              <w:br w:type="textWrapping" w:clear="all"/>
            </w:r>
            <w:r>
              <w:rPr>
                <w:rFonts w:hint="eastAsia" w:ascii="宋体" w:hAnsi="宋体" w:eastAsia="宋体" w:cs="宋体"/>
                <w:b w:val="0"/>
                <w:bCs w:val="0"/>
                <w:i w:val="0"/>
                <w:iCs w:val="0"/>
                <w:caps w:val="0"/>
                <w:color w:val="auto"/>
                <w:spacing w:val="0"/>
                <w:sz w:val="21"/>
                <w:szCs w:val="21"/>
                <w:shd w:val="clear" w:color="auto" w:fill="FFFFFF"/>
              </w:rPr>
              <w:t>（5）工程变更处理制度：对任何工程变更（包括设计变更、工程量变更等），必须依据合同约定，审核变更的必要性、技术可行性和费用合理性，提出书面审核意见报委托人批准。</w:t>
            </w:r>
            <w:r>
              <w:rPr>
                <w:rFonts w:hint="eastAsia" w:ascii="宋体" w:hAnsi="宋体" w:eastAsia="宋体" w:cs="宋体"/>
                <w:b w:val="0"/>
                <w:bCs w:val="0"/>
                <w:i w:val="0"/>
                <w:iCs w:val="0"/>
                <w:caps w:val="0"/>
                <w:color w:val="auto"/>
                <w:spacing w:val="0"/>
                <w:sz w:val="21"/>
                <w:szCs w:val="21"/>
                <w:shd w:val="clear" w:color="auto" w:fill="FFFFFF"/>
              </w:rPr>
              <w:br w:type="textWrapping" w:clear="all"/>
            </w:r>
            <w:r>
              <w:rPr>
                <w:rFonts w:hint="eastAsia" w:ascii="宋体" w:hAnsi="宋体" w:eastAsia="宋体" w:cs="宋体"/>
                <w:b w:val="0"/>
                <w:bCs w:val="0"/>
                <w:i w:val="0"/>
                <w:iCs w:val="0"/>
                <w:caps w:val="0"/>
                <w:color w:val="auto"/>
                <w:spacing w:val="0"/>
                <w:sz w:val="21"/>
                <w:szCs w:val="21"/>
                <w:shd w:val="clear" w:color="auto" w:fill="FFFFFF"/>
              </w:rPr>
              <w:t>（6）现场巡视、旁站与平行检验制度：制定详细的巡视、旁站计划并报委托人备案。对、关键工序实施全过程旁站监理，并按规定进行独立平行检验，记录应真实、完整。</w:t>
            </w:r>
            <w:r>
              <w:rPr>
                <w:rFonts w:hint="eastAsia" w:ascii="宋体" w:hAnsi="宋体" w:eastAsia="宋体" w:cs="宋体"/>
                <w:b w:val="0"/>
                <w:bCs w:val="0"/>
                <w:i w:val="0"/>
                <w:iCs w:val="0"/>
                <w:caps w:val="0"/>
                <w:color w:val="auto"/>
                <w:spacing w:val="0"/>
                <w:sz w:val="21"/>
                <w:szCs w:val="21"/>
                <w:shd w:val="clear" w:color="auto" w:fill="FFFFFF"/>
              </w:rPr>
              <w:br w:type="textWrapping" w:clear="all"/>
            </w:r>
            <w:r>
              <w:rPr>
                <w:rFonts w:hint="eastAsia" w:ascii="宋体" w:hAnsi="宋体" w:eastAsia="宋体" w:cs="宋体"/>
                <w:b w:val="0"/>
                <w:bCs w:val="0"/>
                <w:i w:val="0"/>
                <w:iCs w:val="0"/>
                <w:caps w:val="0"/>
                <w:color w:val="auto"/>
                <w:spacing w:val="0"/>
                <w:sz w:val="21"/>
                <w:szCs w:val="21"/>
                <w:shd w:val="clear" w:color="auto" w:fill="FFFFFF"/>
              </w:rPr>
              <w:t>（7）安全文明施工监督检查制度：定期和不定期开展施工现场安全生产和文明施工检查，发现隐患应及时发出监理指令，并跟踪整改闭合情况。</w:t>
            </w:r>
            <w:r>
              <w:rPr>
                <w:rFonts w:hint="eastAsia" w:ascii="宋体" w:hAnsi="宋体" w:eastAsia="宋体" w:cs="宋体"/>
                <w:b w:val="0"/>
                <w:bCs w:val="0"/>
                <w:i w:val="0"/>
                <w:iCs w:val="0"/>
                <w:caps w:val="0"/>
                <w:color w:val="auto"/>
                <w:spacing w:val="0"/>
                <w:sz w:val="21"/>
                <w:szCs w:val="21"/>
                <w:shd w:val="clear" w:color="auto" w:fill="FFFFFF"/>
              </w:rPr>
              <w:br w:type="textWrapping" w:clear="all"/>
            </w:r>
            <w:r>
              <w:rPr>
                <w:rFonts w:hint="eastAsia" w:ascii="宋体" w:hAnsi="宋体" w:eastAsia="宋体" w:cs="宋体"/>
                <w:b w:val="0"/>
                <w:bCs w:val="0"/>
                <w:i w:val="0"/>
                <w:iCs w:val="0"/>
                <w:caps w:val="0"/>
                <w:color w:val="auto"/>
                <w:spacing w:val="0"/>
                <w:sz w:val="21"/>
                <w:szCs w:val="21"/>
                <w:shd w:val="clear" w:color="auto" w:fill="FFFFFF"/>
              </w:rPr>
              <w:t>（8）监理会议制度：按时组织召开第一次工地会议、监理例会及专题会议，负责会议纪要的起草、分发和确认，并跟踪决议事项的落实。</w:t>
            </w:r>
            <w:r>
              <w:rPr>
                <w:rFonts w:hint="eastAsia" w:ascii="宋体" w:hAnsi="宋体" w:eastAsia="宋体" w:cs="宋体"/>
                <w:b w:val="0"/>
                <w:bCs w:val="0"/>
                <w:i w:val="0"/>
                <w:iCs w:val="0"/>
                <w:caps w:val="0"/>
                <w:color w:val="auto"/>
                <w:spacing w:val="0"/>
                <w:sz w:val="21"/>
                <w:szCs w:val="21"/>
                <w:shd w:val="clear" w:color="auto" w:fill="FFFFFF"/>
              </w:rPr>
              <w:br w:type="textWrapping" w:clear="all"/>
            </w:r>
            <w:r>
              <w:rPr>
                <w:rFonts w:hint="eastAsia" w:ascii="宋体" w:hAnsi="宋体" w:eastAsia="宋体" w:cs="宋体"/>
                <w:b w:val="0"/>
                <w:bCs w:val="0"/>
                <w:i w:val="0"/>
                <w:iCs w:val="0"/>
                <w:caps w:val="0"/>
                <w:color w:val="auto"/>
                <w:spacing w:val="0"/>
                <w:sz w:val="21"/>
                <w:szCs w:val="21"/>
                <w:shd w:val="clear" w:color="auto" w:fill="FFFFFF"/>
              </w:rPr>
              <w:t>（9）监理工作报告制度：除本合同约定的定期报告外，对于工程质量、进度、投资、安全等方面的重大事项、突发事件或潜在风险，必须立即向委托人进行专项报告。</w:t>
            </w:r>
          </w:p>
          <w:p w14:paraId="4559F9E4">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rFonts w:hint="eastAsia" w:ascii="宋体" w:hAnsi="宋体" w:eastAsia="宋体" w:cs="宋体"/>
                <w:b w:val="0"/>
                <w:bCs w:val="0"/>
                <w:i w:val="0"/>
                <w:iCs w:val="0"/>
                <w:caps w:val="0"/>
                <w:color w:val="auto"/>
                <w:spacing w:val="0"/>
                <w:sz w:val="21"/>
                <w:szCs w:val="21"/>
                <w:shd w:val="clear" w:color="auto" w:fill="FFFFFF"/>
              </w:rPr>
            </w:pPr>
            <w:r>
              <w:rPr>
                <w:rFonts w:hint="eastAsia" w:ascii="宋体" w:hAnsi="宋体" w:eastAsia="宋体" w:cs="宋体"/>
                <w:b w:val="0"/>
                <w:bCs w:val="0"/>
                <w:i w:val="0"/>
                <w:iCs w:val="0"/>
                <w:caps w:val="0"/>
                <w:color w:val="auto"/>
                <w:spacing w:val="0"/>
                <w:sz w:val="21"/>
                <w:szCs w:val="21"/>
                <w:shd w:val="clear" w:color="auto" w:fill="FFFFFF"/>
                <w:lang w:val="en-US" w:eastAsia="zh-CN"/>
              </w:rPr>
              <w:t>6.2</w:t>
            </w:r>
            <w:r>
              <w:rPr>
                <w:rFonts w:hint="eastAsia" w:ascii="宋体" w:hAnsi="宋体" w:eastAsia="宋体" w:cs="宋体"/>
                <w:b w:val="0"/>
                <w:bCs w:val="0"/>
                <w:i w:val="0"/>
                <w:iCs w:val="0"/>
                <w:caps w:val="0"/>
                <w:color w:val="auto"/>
                <w:spacing w:val="0"/>
                <w:sz w:val="21"/>
                <w:szCs w:val="21"/>
                <w:shd w:val="clear" w:color="auto" w:fill="FFFFFF"/>
              </w:rPr>
              <w:t>监理成果文件要求</w:t>
            </w:r>
            <w:r>
              <w:rPr>
                <w:rFonts w:hint="eastAsia" w:ascii="宋体" w:hAnsi="宋体" w:eastAsia="宋体" w:cs="宋体"/>
                <w:b w:val="0"/>
                <w:bCs w:val="0"/>
                <w:i w:val="0"/>
                <w:iCs w:val="0"/>
                <w:caps w:val="0"/>
                <w:color w:val="auto"/>
                <w:spacing w:val="0"/>
                <w:sz w:val="21"/>
                <w:szCs w:val="21"/>
                <w:shd w:val="clear" w:color="auto" w:fill="FFFFFF"/>
              </w:rPr>
              <w:br w:type="textWrapping" w:clear="all"/>
            </w:r>
            <w:r>
              <w:rPr>
                <w:rFonts w:hint="eastAsia" w:ascii="宋体" w:hAnsi="宋体" w:eastAsia="宋体" w:cs="宋体"/>
                <w:b w:val="0"/>
                <w:bCs w:val="0"/>
                <w:i w:val="0"/>
                <w:iCs w:val="0"/>
                <w:caps w:val="0"/>
                <w:color w:val="auto"/>
                <w:spacing w:val="0"/>
                <w:sz w:val="21"/>
                <w:szCs w:val="21"/>
                <w:shd w:val="clear" w:color="auto" w:fill="FFFFFF"/>
              </w:rPr>
              <w:t>监理人应向委托人提交完整、准确、规范的监理成果文件，所有文件均需加盖项目监理机构印章，并由总监理工程师或相关专业监理工程师签字确认。</w:t>
            </w:r>
            <w:r>
              <w:rPr>
                <w:rFonts w:hint="eastAsia" w:ascii="宋体" w:hAnsi="宋体" w:eastAsia="宋体" w:cs="宋体"/>
                <w:b w:val="0"/>
                <w:bCs w:val="0"/>
                <w:i w:val="0"/>
                <w:iCs w:val="0"/>
                <w:caps w:val="0"/>
                <w:color w:val="auto"/>
                <w:spacing w:val="0"/>
                <w:sz w:val="21"/>
                <w:szCs w:val="21"/>
                <w:shd w:val="clear" w:color="auto" w:fill="FFFFFF"/>
              </w:rPr>
              <w:br w:type="textWrapping" w:clear="all"/>
            </w:r>
            <w:r>
              <w:rPr>
                <w:rFonts w:hint="eastAsia" w:ascii="宋体" w:hAnsi="宋体" w:eastAsia="宋体" w:cs="宋体"/>
                <w:b w:val="0"/>
                <w:bCs w:val="0"/>
                <w:i w:val="0"/>
                <w:iCs w:val="0"/>
                <w:caps w:val="0"/>
                <w:color w:val="auto"/>
                <w:spacing w:val="0"/>
                <w:sz w:val="21"/>
                <w:szCs w:val="21"/>
                <w:shd w:val="clear" w:color="auto" w:fill="FFFFFF"/>
              </w:rPr>
              <w:t>（1）监理规划及实施细则：监理合同签订后7个工作日内提交监理规划；收到施工图设计文件后10个工作日内，提交相关专业监理实施细则。文件须报委托人审查备案。</w:t>
            </w:r>
            <w:r>
              <w:rPr>
                <w:rFonts w:hint="eastAsia" w:ascii="宋体" w:hAnsi="宋体" w:eastAsia="宋体" w:cs="宋体"/>
                <w:b w:val="0"/>
                <w:bCs w:val="0"/>
                <w:i w:val="0"/>
                <w:iCs w:val="0"/>
                <w:caps w:val="0"/>
                <w:color w:val="auto"/>
                <w:spacing w:val="0"/>
                <w:sz w:val="21"/>
                <w:szCs w:val="21"/>
                <w:shd w:val="clear" w:color="auto" w:fill="FFFFFF"/>
              </w:rPr>
              <w:br w:type="textWrapping" w:clear="all"/>
            </w:r>
            <w:r>
              <w:rPr>
                <w:rFonts w:hint="eastAsia" w:ascii="宋体" w:hAnsi="宋体" w:eastAsia="宋体" w:cs="宋体"/>
                <w:b w:val="0"/>
                <w:bCs w:val="0"/>
                <w:i w:val="0"/>
                <w:iCs w:val="0"/>
                <w:caps w:val="0"/>
                <w:color w:val="auto"/>
                <w:spacing w:val="0"/>
                <w:sz w:val="21"/>
                <w:szCs w:val="21"/>
                <w:shd w:val="clear" w:color="auto" w:fill="FFFFFF"/>
              </w:rPr>
              <w:t>（2）监理月报：每月5日前提交上月监理月报，一式四份。内容应包括工程进度、质量、安全、投资控制情况，合同管理及信息管理情况，存在问题及建议，下月工作计划等，并附必要的图表和影像资料。</w:t>
            </w:r>
            <w:r>
              <w:rPr>
                <w:rFonts w:hint="eastAsia" w:ascii="宋体" w:hAnsi="宋体" w:eastAsia="宋体" w:cs="宋体"/>
                <w:b w:val="0"/>
                <w:bCs w:val="0"/>
                <w:i w:val="0"/>
                <w:iCs w:val="0"/>
                <w:caps w:val="0"/>
                <w:color w:val="auto"/>
                <w:spacing w:val="0"/>
                <w:sz w:val="21"/>
                <w:szCs w:val="21"/>
                <w:shd w:val="clear" w:color="auto" w:fill="FFFFFF"/>
              </w:rPr>
              <w:br w:type="textWrapping" w:clear="all"/>
            </w:r>
            <w:r>
              <w:rPr>
                <w:rFonts w:hint="eastAsia" w:ascii="宋体" w:hAnsi="宋体" w:eastAsia="宋体" w:cs="宋体"/>
                <w:b w:val="0"/>
                <w:bCs w:val="0"/>
                <w:i w:val="0"/>
                <w:iCs w:val="0"/>
                <w:caps w:val="0"/>
                <w:color w:val="auto"/>
                <w:spacing w:val="0"/>
                <w:sz w:val="21"/>
                <w:szCs w:val="21"/>
                <w:shd w:val="clear" w:color="auto" w:fill="FFFFFF"/>
              </w:rPr>
              <w:t>（3）会议纪要：各类监理会议结束后24小时内形成纪要初稿，经与会主要方确认后48小时内发出正式纪要。</w:t>
            </w:r>
            <w:r>
              <w:rPr>
                <w:rFonts w:hint="eastAsia" w:ascii="宋体" w:hAnsi="宋体" w:eastAsia="宋体" w:cs="宋体"/>
                <w:b w:val="0"/>
                <w:bCs w:val="0"/>
                <w:i w:val="0"/>
                <w:iCs w:val="0"/>
                <w:caps w:val="0"/>
                <w:color w:val="auto"/>
                <w:spacing w:val="0"/>
                <w:sz w:val="21"/>
                <w:szCs w:val="21"/>
                <w:shd w:val="clear" w:color="auto" w:fill="FFFFFF"/>
              </w:rPr>
              <w:br w:type="textWrapping" w:clear="all"/>
            </w:r>
            <w:r>
              <w:rPr>
                <w:rFonts w:hint="eastAsia" w:ascii="宋体" w:hAnsi="宋体" w:eastAsia="宋体" w:cs="宋体"/>
                <w:b w:val="0"/>
                <w:bCs w:val="0"/>
                <w:i w:val="0"/>
                <w:iCs w:val="0"/>
                <w:caps w:val="0"/>
                <w:color w:val="auto"/>
                <w:spacing w:val="0"/>
                <w:sz w:val="21"/>
                <w:szCs w:val="21"/>
                <w:shd w:val="clear" w:color="auto" w:fill="FFFFFF"/>
              </w:rPr>
              <w:t>（4）监理通知单/工作联系单：对发现的问题，应及时以书面形式发出监理通知单或工作联系单，明确事由、要求及整改时限，并跟踪复核闭合。所有通知单及回复须归档。</w:t>
            </w:r>
            <w:r>
              <w:rPr>
                <w:rFonts w:hint="eastAsia" w:ascii="宋体" w:hAnsi="宋体" w:eastAsia="宋体" w:cs="宋体"/>
                <w:b w:val="0"/>
                <w:bCs w:val="0"/>
                <w:i w:val="0"/>
                <w:iCs w:val="0"/>
                <w:caps w:val="0"/>
                <w:color w:val="auto"/>
                <w:spacing w:val="0"/>
                <w:sz w:val="21"/>
                <w:szCs w:val="21"/>
                <w:shd w:val="clear" w:color="auto" w:fill="FFFFFF"/>
              </w:rPr>
              <w:br w:type="textWrapping" w:clear="all"/>
            </w:r>
            <w:r>
              <w:rPr>
                <w:rFonts w:hint="eastAsia" w:ascii="宋体" w:hAnsi="宋体" w:eastAsia="宋体" w:cs="宋体"/>
                <w:b w:val="0"/>
                <w:bCs w:val="0"/>
                <w:i w:val="0"/>
                <w:iCs w:val="0"/>
                <w:caps w:val="0"/>
                <w:color w:val="auto"/>
                <w:spacing w:val="0"/>
                <w:sz w:val="21"/>
                <w:szCs w:val="21"/>
                <w:shd w:val="clear" w:color="auto" w:fill="FFFFFF"/>
              </w:rPr>
              <w:t>（5）工程质量评估报告：在单位工程竣工预验收合格后7个工作日内，提交工程质量评估报告。</w:t>
            </w:r>
            <w:r>
              <w:rPr>
                <w:rFonts w:hint="eastAsia" w:ascii="宋体" w:hAnsi="宋体" w:eastAsia="宋体" w:cs="宋体"/>
                <w:b w:val="0"/>
                <w:bCs w:val="0"/>
                <w:i w:val="0"/>
                <w:iCs w:val="0"/>
                <w:caps w:val="0"/>
                <w:color w:val="auto"/>
                <w:spacing w:val="0"/>
                <w:sz w:val="21"/>
                <w:szCs w:val="21"/>
                <w:shd w:val="clear" w:color="auto" w:fill="FFFFFF"/>
              </w:rPr>
              <w:br w:type="textWrapping" w:clear="all"/>
            </w:r>
            <w:r>
              <w:rPr>
                <w:rFonts w:hint="eastAsia" w:ascii="宋体" w:hAnsi="宋体" w:eastAsia="宋体" w:cs="宋体"/>
                <w:b w:val="0"/>
                <w:bCs w:val="0"/>
                <w:i w:val="0"/>
                <w:iCs w:val="0"/>
                <w:caps w:val="0"/>
                <w:color w:val="auto"/>
                <w:spacing w:val="0"/>
                <w:sz w:val="21"/>
                <w:szCs w:val="21"/>
                <w:shd w:val="clear" w:color="auto" w:fill="FFFFFF"/>
              </w:rPr>
              <w:t>（6）监理工作总结报告：在全部监理工作完成后28个工作日内，提交项目监理工作总结报告，全面总结监理合同履行情况。</w:t>
            </w:r>
            <w:r>
              <w:rPr>
                <w:rFonts w:hint="eastAsia" w:ascii="宋体" w:hAnsi="宋体" w:eastAsia="宋体" w:cs="宋体"/>
                <w:b w:val="0"/>
                <w:bCs w:val="0"/>
                <w:i w:val="0"/>
                <w:iCs w:val="0"/>
                <w:caps w:val="0"/>
                <w:color w:val="auto"/>
                <w:spacing w:val="0"/>
                <w:sz w:val="21"/>
                <w:szCs w:val="21"/>
                <w:shd w:val="clear" w:color="auto" w:fill="FFFFFF"/>
              </w:rPr>
              <w:br w:type="textWrapping" w:clear="all"/>
            </w:r>
            <w:r>
              <w:rPr>
                <w:rFonts w:hint="eastAsia" w:ascii="宋体" w:hAnsi="宋体" w:eastAsia="宋体" w:cs="宋体"/>
                <w:b w:val="0"/>
                <w:bCs w:val="0"/>
                <w:i w:val="0"/>
                <w:iCs w:val="0"/>
                <w:caps w:val="0"/>
                <w:color w:val="auto"/>
                <w:spacing w:val="0"/>
                <w:sz w:val="21"/>
                <w:szCs w:val="21"/>
                <w:shd w:val="clear" w:color="auto" w:fill="FFFFFF"/>
              </w:rPr>
              <w:t>（7）监理日志：每日记录，内容详实，能反映当日监理工作、施工情况、问题及处理结果。应按月装订成册，随时备查，工程竣工后移交委托人归档。</w:t>
            </w:r>
            <w:r>
              <w:rPr>
                <w:rFonts w:hint="eastAsia" w:ascii="宋体" w:hAnsi="宋体" w:eastAsia="宋体" w:cs="宋体"/>
                <w:b w:val="0"/>
                <w:bCs w:val="0"/>
                <w:i w:val="0"/>
                <w:iCs w:val="0"/>
                <w:caps w:val="0"/>
                <w:color w:val="auto"/>
                <w:spacing w:val="0"/>
                <w:sz w:val="21"/>
                <w:szCs w:val="21"/>
                <w:shd w:val="clear" w:color="auto" w:fill="FFFFFF"/>
              </w:rPr>
              <w:br w:type="textWrapping" w:clear="all"/>
            </w:r>
            <w:r>
              <w:rPr>
                <w:rFonts w:hint="eastAsia" w:ascii="宋体" w:hAnsi="宋体" w:eastAsia="宋体" w:cs="宋体"/>
                <w:b w:val="0"/>
                <w:bCs w:val="0"/>
                <w:i w:val="0"/>
                <w:iCs w:val="0"/>
                <w:caps w:val="0"/>
                <w:color w:val="auto"/>
                <w:spacing w:val="0"/>
                <w:sz w:val="21"/>
                <w:szCs w:val="21"/>
                <w:shd w:val="clear" w:color="auto" w:fill="FFFFFF"/>
              </w:rPr>
              <w:t>（8）影像资料档案：对隐蔽工程、关键工序、材料进场验收、安全事故隐患、质量问题处理过程等，应保留清晰的数码照片或视频资料，并附有文字说明（时间、部位、事由）。影像资料应按单位工程或分部工程分类整理，随工程进度定期拷贝提交委托人。</w:t>
            </w:r>
            <w:r>
              <w:rPr>
                <w:rFonts w:hint="eastAsia" w:ascii="宋体" w:hAnsi="宋体" w:eastAsia="宋体" w:cs="宋体"/>
                <w:b w:val="0"/>
                <w:bCs w:val="0"/>
                <w:i w:val="0"/>
                <w:iCs w:val="0"/>
                <w:caps w:val="0"/>
                <w:color w:val="auto"/>
                <w:spacing w:val="0"/>
                <w:sz w:val="21"/>
                <w:szCs w:val="21"/>
                <w:shd w:val="clear" w:color="auto" w:fill="FFFFFF"/>
              </w:rPr>
              <w:br w:type="textWrapping" w:clear="all"/>
            </w:r>
            <w:r>
              <w:rPr>
                <w:rFonts w:hint="eastAsia" w:ascii="宋体" w:hAnsi="宋体" w:eastAsia="宋体" w:cs="宋体"/>
                <w:b w:val="0"/>
                <w:bCs w:val="0"/>
                <w:i w:val="0"/>
                <w:iCs w:val="0"/>
                <w:caps w:val="0"/>
                <w:color w:val="auto"/>
                <w:spacing w:val="0"/>
                <w:sz w:val="21"/>
                <w:szCs w:val="21"/>
                <w:shd w:val="clear" w:color="auto" w:fill="FFFFFF"/>
              </w:rPr>
              <w:t>（9）竣工移交资料：工程竣工验收合格后，监理人应负责督促并审核</w:t>
            </w:r>
            <w:r>
              <w:rPr>
                <w:rFonts w:hint="eastAsia" w:ascii="宋体" w:hAnsi="宋体" w:cs="宋体"/>
                <w:b w:val="0"/>
                <w:bCs w:val="0"/>
                <w:i w:val="0"/>
                <w:iCs w:val="0"/>
                <w:caps w:val="0"/>
                <w:color w:val="auto"/>
                <w:spacing w:val="0"/>
                <w:sz w:val="21"/>
                <w:szCs w:val="21"/>
                <w:shd w:val="clear" w:color="auto" w:fill="FFFFFF"/>
                <w:lang w:eastAsia="zh-CN"/>
              </w:rPr>
              <w:t>施工单位</w:t>
            </w:r>
            <w:r>
              <w:rPr>
                <w:rFonts w:hint="eastAsia" w:ascii="宋体" w:hAnsi="宋体" w:eastAsia="宋体" w:cs="宋体"/>
                <w:b w:val="0"/>
                <w:bCs w:val="0"/>
                <w:i w:val="0"/>
                <w:iCs w:val="0"/>
                <w:caps w:val="0"/>
                <w:color w:val="auto"/>
                <w:spacing w:val="0"/>
                <w:sz w:val="21"/>
                <w:szCs w:val="21"/>
                <w:shd w:val="clear" w:color="auto" w:fill="FFFFFF"/>
              </w:rPr>
              <w:t>编制的竣工图及竣工资料，同时整理本项目完整的监理档案资料（包括上述所有文件），按照国家及地方档案管理规定和委托人要求，编制成册，在合同约定期限内提交给委托人。</w:t>
            </w:r>
          </w:p>
          <w:p w14:paraId="4052E3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ascii="Segoe UI" w:hAnsi="Segoe UI" w:eastAsia="Segoe UI" w:cs="Segoe UI"/>
                <w:b w:val="0"/>
                <w:bCs w:val="0"/>
                <w:i w:val="0"/>
                <w:iCs w:val="0"/>
                <w:caps w:val="0"/>
                <w:color w:val="auto"/>
                <w:spacing w:val="0"/>
                <w:sz w:val="21"/>
                <w:szCs w:val="21"/>
              </w:rPr>
            </w:pPr>
            <w:r>
              <w:rPr>
                <w:rFonts w:hint="eastAsia" w:ascii="宋体" w:hAnsi="宋体" w:eastAsia="宋体" w:cs="宋体"/>
                <w:b w:val="0"/>
                <w:bCs w:val="0"/>
                <w:i w:val="0"/>
                <w:iCs w:val="0"/>
                <w:caps w:val="0"/>
                <w:color w:val="auto"/>
                <w:spacing w:val="0"/>
                <w:sz w:val="21"/>
                <w:szCs w:val="21"/>
                <w:shd w:val="clear" w:color="auto" w:fill="FFFFFF"/>
                <w:lang w:val="en-US" w:eastAsia="zh-CN"/>
              </w:rPr>
              <w:t>6.3</w:t>
            </w:r>
            <w:r>
              <w:rPr>
                <w:rFonts w:hint="eastAsia" w:ascii="宋体" w:hAnsi="宋体" w:eastAsia="宋体" w:cs="宋体"/>
                <w:b w:val="0"/>
                <w:bCs w:val="0"/>
                <w:i w:val="0"/>
                <w:iCs w:val="0"/>
                <w:caps w:val="0"/>
                <w:color w:val="auto"/>
                <w:spacing w:val="0"/>
                <w:sz w:val="21"/>
                <w:szCs w:val="21"/>
                <w:shd w:val="clear" w:color="auto" w:fill="FFFFFF"/>
              </w:rPr>
              <w:t>文件质量与归档责任</w:t>
            </w:r>
            <w:r>
              <w:rPr>
                <w:rFonts w:hint="eastAsia" w:ascii="宋体" w:hAnsi="宋体" w:eastAsia="宋体" w:cs="宋体"/>
                <w:b w:val="0"/>
                <w:bCs w:val="0"/>
                <w:i w:val="0"/>
                <w:iCs w:val="0"/>
                <w:caps w:val="0"/>
                <w:color w:val="auto"/>
                <w:spacing w:val="0"/>
                <w:sz w:val="21"/>
                <w:szCs w:val="21"/>
                <w:shd w:val="clear" w:color="auto" w:fill="FFFFFF"/>
              </w:rPr>
              <w:br w:type="textWrapping" w:clear="all"/>
            </w:r>
            <w:r>
              <w:rPr>
                <w:rFonts w:hint="eastAsia" w:ascii="宋体" w:hAnsi="宋体" w:eastAsia="宋体" w:cs="宋体"/>
                <w:b w:val="0"/>
                <w:bCs w:val="0"/>
                <w:i w:val="0"/>
                <w:iCs w:val="0"/>
                <w:caps w:val="0"/>
                <w:color w:val="auto"/>
                <w:spacing w:val="0"/>
                <w:sz w:val="21"/>
                <w:szCs w:val="21"/>
                <w:shd w:val="clear" w:color="auto" w:fill="FFFFFF"/>
              </w:rPr>
              <w:t>（1）所有监理成果文件应符合国家、行业及地方现行规范、标准及档案管理要求。</w:t>
            </w:r>
            <w:r>
              <w:rPr>
                <w:rFonts w:hint="eastAsia" w:ascii="宋体" w:hAnsi="宋体" w:eastAsia="宋体" w:cs="宋体"/>
                <w:b w:val="0"/>
                <w:bCs w:val="0"/>
                <w:i w:val="0"/>
                <w:iCs w:val="0"/>
                <w:caps w:val="0"/>
                <w:color w:val="auto"/>
                <w:spacing w:val="0"/>
                <w:sz w:val="21"/>
                <w:szCs w:val="21"/>
                <w:shd w:val="clear" w:color="auto" w:fill="FFFFFF"/>
              </w:rPr>
              <w:br w:type="textWrapping" w:clear="all"/>
            </w:r>
            <w:r>
              <w:rPr>
                <w:rFonts w:hint="eastAsia" w:ascii="宋体" w:hAnsi="宋体" w:eastAsia="宋体" w:cs="宋体"/>
                <w:b w:val="0"/>
                <w:bCs w:val="0"/>
                <w:i w:val="0"/>
                <w:iCs w:val="0"/>
                <w:caps w:val="0"/>
                <w:color w:val="auto"/>
                <w:spacing w:val="0"/>
                <w:sz w:val="21"/>
                <w:szCs w:val="21"/>
                <w:shd w:val="clear" w:color="auto" w:fill="FFFFFF"/>
              </w:rPr>
              <w:t>（2）监理人对提交的所有成果文件的真实性、准确性和完整性负责。因文件错误、遗漏或失实导致委托人损失的，监理人应承担相应责任。</w:t>
            </w:r>
            <w:r>
              <w:rPr>
                <w:rFonts w:hint="eastAsia" w:ascii="宋体" w:hAnsi="宋体" w:eastAsia="宋体" w:cs="宋体"/>
                <w:b w:val="0"/>
                <w:bCs w:val="0"/>
                <w:i w:val="0"/>
                <w:iCs w:val="0"/>
                <w:caps w:val="0"/>
                <w:color w:val="auto"/>
                <w:spacing w:val="0"/>
                <w:sz w:val="21"/>
                <w:szCs w:val="21"/>
                <w:shd w:val="clear" w:color="auto" w:fill="FFFFFF"/>
              </w:rPr>
              <w:br w:type="textWrapping" w:clear="all"/>
            </w:r>
            <w:r>
              <w:rPr>
                <w:rFonts w:hint="eastAsia" w:ascii="宋体" w:hAnsi="宋体" w:eastAsia="宋体" w:cs="宋体"/>
                <w:b w:val="0"/>
                <w:bCs w:val="0"/>
                <w:i w:val="0"/>
                <w:iCs w:val="0"/>
                <w:caps w:val="0"/>
                <w:color w:val="auto"/>
                <w:spacing w:val="0"/>
                <w:sz w:val="21"/>
                <w:szCs w:val="21"/>
                <w:shd w:val="clear" w:color="auto" w:fill="FFFFFF"/>
              </w:rPr>
              <w:t>（3）监理档案是工程档案的重要组成部</w:t>
            </w:r>
            <w:r>
              <w:rPr>
                <w:rFonts w:ascii="Segoe UI" w:hAnsi="Segoe UI" w:eastAsia="Segoe UI" w:cs="Segoe UI"/>
                <w:b w:val="0"/>
                <w:bCs w:val="0"/>
                <w:i w:val="0"/>
                <w:iCs w:val="0"/>
                <w:caps w:val="0"/>
                <w:color w:val="auto"/>
                <w:spacing w:val="0"/>
                <w:sz w:val="21"/>
                <w:szCs w:val="21"/>
                <w:shd w:val="clear" w:color="auto" w:fill="FFFFFF"/>
              </w:rPr>
              <w:t>分，监理人应履行好审核、整理、移交责任。</w:t>
            </w:r>
          </w:p>
          <w:p w14:paraId="65A2A3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7、其他要求：</w:t>
            </w:r>
            <w:r>
              <w:rPr>
                <w:rFonts w:ascii="Segoe UI" w:hAnsi="Segoe UI" w:eastAsia="Segoe UI" w:cs="Segoe UI"/>
                <w:b w:val="0"/>
                <w:bCs w:val="0"/>
                <w:i w:val="0"/>
                <w:iCs w:val="0"/>
                <w:caps w:val="0"/>
                <w:color w:val="auto"/>
                <w:spacing w:val="0"/>
                <w:sz w:val="21"/>
                <w:szCs w:val="21"/>
                <w:shd w:val="clear" w:color="auto" w:fill="FFFFFF"/>
              </w:rPr>
              <w:t>按时保证质量完成本合同约定的全部监理服务工作。对于超出本合同约定范围的其他工作，双方应另行签订补充协议。</w:t>
            </w:r>
          </w:p>
        </w:tc>
      </w:tr>
      <w:tr w14:paraId="3C92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256" w:type="dxa"/>
            <w:tcBorders>
              <w:top w:val="single" w:color="auto" w:sz="4" w:space="0"/>
              <w:left w:val="single" w:color="auto" w:sz="4" w:space="0"/>
              <w:bottom w:val="single" w:color="auto" w:sz="4" w:space="0"/>
              <w:right w:val="single" w:color="auto" w:sz="4" w:space="0"/>
            </w:tcBorders>
            <w:vAlign w:val="top"/>
          </w:tcPr>
          <w:p w14:paraId="2E8164E8">
            <w:pPr>
              <w:pStyle w:val="16"/>
              <w:pageBreakBefore w:val="0"/>
              <w:numPr>
                <w:ilvl w:val="0"/>
                <w:numId w:val="5"/>
              </w:numPr>
              <w:suppressLineNumbers w:val="0"/>
              <w:kinsoku/>
              <w:wordWrap/>
              <w:overflowPunct/>
              <w:topLinePunct w:val="0"/>
              <w:autoSpaceDE/>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b w:val="0"/>
                <w:bCs w:val="0"/>
                <w:color w:val="auto"/>
                <w:sz w:val="21"/>
                <w:szCs w:val="21"/>
                <w:highlight w:val="none"/>
                <w:lang w:eastAsia="zh-CN"/>
              </w:rPr>
            </w:pPr>
            <w:bookmarkStart w:id="64" w:name="_Toc3015"/>
            <w:r>
              <w:rPr>
                <w:rFonts w:hint="eastAsia" w:ascii="宋体" w:hAnsi="宋体" w:eastAsia="宋体" w:cs="宋体"/>
                <w:b w:val="0"/>
                <w:bCs w:val="0"/>
                <w:color w:val="auto"/>
                <w:sz w:val="21"/>
                <w:szCs w:val="21"/>
                <w:highlight w:val="none"/>
                <w:lang w:val="en-US" w:eastAsia="zh-CN"/>
              </w:rPr>
              <w:t>商务条款</w:t>
            </w:r>
            <w:r>
              <w:rPr>
                <w:rFonts w:hint="eastAsia" w:ascii="宋体" w:hAnsi="宋体" w:eastAsia="宋体" w:cs="宋体"/>
                <w:b w:val="0"/>
                <w:bCs w:val="0"/>
                <w:color w:val="auto"/>
                <w:sz w:val="21"/>
                <w:szCs w:val="21"/>
                <w:highlight w:val="none"/>
                <w:lang w:eastAsia="zh-CN"/>
              </w:rPr>
              <w:t>要求</w:t>
            </w:r>
            <w:bookmarkEnd w:id="64"/>
          </w:p>
        </w:tc>
      </w:tr>
      <w:bookmarkEnd w:id="61"/>
      <w:bookmarkEnd w:id="62"/>
      <w:bookmarkEnd w:id="63"/>
      <w:tr w14:paraId="1AED1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6" w:type="dxa"/>
            <w:tcBorders>
              <w:top w:val="single" w:color="auto" w:sz="4" w:space="0"/>
              <w:left w:val="single" w:color="auto" w:sz="4" w:space="0"/>
              <w:bottom w:val="single" w:color="auto" w:sz="4" w:space="0"/>
              <w:right w:val="single" w:color="auto" w:sz="4" w:space="0"/>
            </w:tcBorders>
            <w:vAlign w:val="top"/>
          </w:tcPr>
          <w:p w14:paraId="0902C39A">
            <w:pPr>
              <w:keepNext w:val="0"/>
              <w:keepLines w:val="0"/>
              <w:pageBreakBefore w:val="0"/>
              <w:numPr>
                <w:ilvl w:val="0"/>
                <w:numId w:val="8"/>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textAlignment w:val="auto"/>
              <w:rPr>
                <w:rFonts w:ascii="宋体" w:hAnsi="宋体" w:eastAsia="宋体" w:cs="宋体"/>
                <w:sz w:val="21"/>
                <w:szCs w:val="21"/>
              </w:rPr>
            </w:pPr>
            <w:bookmarkStart w:id="65" w:name="_Toc395312595"/>
            <w:bookmarkStart w:id="66" w:name="_Toc392940999"/>
            <w:bookmarkStart w:id="67" w:name="_Toc318213159"/>
            <w:r>
              <w:rPr>
                <w:rFonts w:ascii="宋体" w:hAnsi="宋体" w:eastAsia="宋体" w:cs="宋体"/>
                <w:sz w:val="21"/>
                <w:szCs w:val="21"/>
              </w:rPr>
              <w:t>▲合同签订期：供应商应在收到中标通知书之日起15个日历日内，按照招标文件、投标文件的实质性内容与采购人签订书面监理服务合同。逾期未签订且无正当理由的，视为自动放弃中标资格，并可按相关规定处理；</w:t>
            </w:r>
          </w:p>
          <w:p w14:paraId="57A22A4E">
            <w:pPr>
              <w:keepNext w:val="0"/>
              <w:keepLines w:val="0"/>
              <w:pageBreakBefore w:val="0"/>
              <w:numPr>
                <w:ilvl w:val="0"/>
                <w:numId w:val="8"/>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textAlignment w:val="auto"/>
              <w:rPr>
                <w:rFonts w:hint="eastAsia" w:ascii="Times New Roman" w:hAnsi="Times New Roman" w:eastAsia="宋体" w:cs="Times New Roman"/>
                <w:color w:val="auto"/>
                <w:sz w:val="21"/>
                <w:szCs w:val="21"/>
                <w:lang w:val="en-US" w:eastAsia="zh-CN"/>
              </w:rPr>
            </w:pPr>
            <w:r>
              <w:rPr>
                <w:rFonts w:ascii="宋体" w:hAnsi="宋体" w:eastAsia="宋体" w:cs="宋体"/>
                <w:sz w:val="21"/>
                <w:szCs w:val="21"/>
              </w:rPr>
              <w:t>▲合同履行期限：本合同项下监理服务按各子项目独立履行。单个子项目的监理服务期自该子项目开工令载明的开工日期起，至该子项目工程竣工验收合格之日止，</w:t>
            </w:r>
            <w:r>
              <w:rPr>
                <w:rStyle w:val="14"/>
                <w:rFonts w:ascii="宋体" w:hAnsi="宋体" w:eastAsia="宋体" w:cs="宋体"/>
                <w:b/>
                <w:bCs/>
                <w:color w:val="000000"/>
                <w:sz w:val="21"/>
                <w:szCs w:val="21"/>
              </w:rPr>
              <w:t>工程保修期为工程竣工验收合格之日起1年（若行业有特殊规定的，按行业规定执行）</w:t>
            </w:r>
            <w:r>
              <w:rPr>
                <w:rFonts w:ascii="宋体" w:hAnsi="宋体" w:eastAsia="宋体" w:cs="宋体"/>
                <w:sz w:val="21"/>
                <w:szCs w:val="21"/>
              </w:rPr>
              <w:t>。监理人应按采购人要求提供保修期阶段的相关服务。若各子项目分期实施，监理服务相应分段执行。</w:t>
            </w:r>
          </w:p>
          <w:p w14:paraId="424369DD">
            <w:pPr>
              <w:keepNext w:val="0"/>
              <w:keepLines w:val="0"/>
              <w:pageBreakBefore w:val="0"/>
              <w:numPr>
                <w:ilvl w:val="0"/>
                <w:numId w:val="8"/>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textAlignment w:val="auto"/>
              <w:rPr>
                <w:rFonts w:hint="eastAsia" w:ascii="Times New Roman" w:hAnsi="Times New Roman" w:eastAsia="宋体" w:cs="Times New Roman"/>
                <w:color w:val="auto"/>
                <w:sz w:val="21"/>
                <w:szCs w:val="21"/>
                <w:lang w:val="en-US" w:eastAsia="zh-CN"/>
              </w:rPr>
            </w:pPr>
            <w:r>
              <w:rPr>
                <w:rFonts w:ascii="宋体" w:hAnsi="宋体" w:eastAsia="宋体" w:cs="宋体"/>
                <w:sz w:val="21"/>
                <w:szCs w:val="21"/>
              </w:rPr>
              <w:t>服务地点：崇左市天等县，采购人指定地点；</w:t>
            </w:r>
          </w:p>
          <w:p w14:paraId="64EDE900">
            <w:pPr>
              <w:keepNext w:val="0"/>
              <w:keepLines w:val="0"/>
              <w:pageBreakBefore w:val="0"/>
              <w:numPr>
                <w:ilvl w:val="0"/>
                <w:numId w:val="8"/>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textAlignment w:val="auto"/>
              <w:rPr>
                <w:rFonts w:hint="eastAsia" w:ascii="Times New Roman" w:hAnsi="Times New Roman" w:eastAsia="宋体" w:cs="Times New Roman"/>
                <w:color w:val="auto"/>
                <w:sz w:val="21"/>
                <w:szCs w:val="21"/>
                <w:lang w:val="en-US" w:eastAsia="zh-CN"/>
              </w:rPr>
            </w:pPr>
            <w:r>
              <w:rPr>
                <w:rFonts w:ascii="宋体" w:hAnsi="宋体" w:eastAsia="宋体" w:cs="宋体"/>
                <w:sz w:val="21"/>
                <w:szCs w:val="21"/>
              </w:rPr>
              <w:t>▲付款方式：</w:t>
            </w:r>
          </w:p>
          <w:p w14:paraId="5DB0AA04">
            <w:pPr>
              <w:keepNext w:val="0"/>
              <w:keepLines w:val="0"/>
              <w:pageBreakBefore w:val="0"/>
              <w:numPr>
                <w:ilvl w:val="0"/>
                <w:numId w:val="9"/>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textAlignment w:val="auto"/>
              <w:rPr>
                <w:rFonts w:ascii="宋体" w:hAnsi="宋体" w:eastAsia="宋体" w:cs="宋体"/>
                <w:sz w:val="21"/>
                <w:szCs w:val="21"/>
              </w:rPr>
            </w:pPr>
            <w:r>
              <w:rPr>
                <w:rFonts w:ascii="宋体" w:hAnsi="宋体" w:eastAsia="宋体" w:cs="宋体"/>
                <w:sz w:val="21"/>
                <w:szCs w:val="21"/>
              </w:rPr>
              <w:t>计价与结算方式：</w:t>
            </w:r>
          </w:p>
          <w:p w14:paraId="3A6F1001">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textAlignment w:val="auto"/>
              <w:rPr>
                <w:rFonts w:ascii="宋体" w:hAnsi="宋体" w:eastAsia="宋体" w:cs="宋体"/>
                <w:sz w:val="21"/>
                <w:szCs w:val="21"/>
              </w:rPr>
            </w:pPr>
            <w:r>
              <w:rPr>
                <w:rFonts w:ascii="宋体" w:hAnsi="宋体" w:eastAsia="宋体" w:cs="宋体"/>
                <w:sz w:val="21"/>
                <w:szCs w:val="21"/>
              </w:rPr>
              <w:t>①中标折扣率：中标折扣率=中标价/采购预算金额。</w:t>
            </w:r>
          </w:p>
          <w:p w14:paraId="60720BD5">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textAlignment w:val="auto"/>
              <w:rPr>
                <w:rFonts w:ascii="宋体" w:hAnsi="宋体" w:eastAsia="宋体" w:cs="宋体"/>
                <w:sz w:val="21"/>
                <w:szCs w:val="21"/>
              </w:rPr>
            </w:pPr>
            <w:r>
              <w:rPr>
                <w:rFonts w:ascii="宋体" w:hAnsi="宋体" w:eastAsia="宋体" w:cs="宋体"/>
                <w:sz w:val="21"/>
                <w:szCs w:val="21"/>
              </w:rPr>
              <w:t>②计费基数：单个子项目的计费基数，以该子项目的施工合同金额为准。</w:t>
            </w:r>
          </w:p>
          <w:p w14:paraId="7354C4C7">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textAlignment w:val="auto"/>
              <w:rPr>
                <w:rFonts w:ascii="宋体" w:hAnsi="宋体" w:eastAsia="宋体" w:cs="宋体"/>
                <w:sz w:val="21"/>
                <w:szCs w:val="21"/>
              </w:rPr>
            </w:pPr>
            <w:r>
              <w:rPr>
                <w:rFonts w:ascii="宋体" w:hAnsi="宋体" w:eastAsia="宋体" w:cs="宋体"/>
                <w:sz w:val="21"/>
                <w:szCs w:val="21"/>
              </w:rPr>
              <w:t>③结算公式：单个子项目结算监理费=该子项目的施工合同金额×1.6%×中标折扣率。</w:t>
            </w:r>
          </w:p>
          <w:p w14:paraId="1876046B">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textAlignment w:val="auto"/>
              <w:rPr>
                <w:rFonts w:ascii="宋体" w:hAnsi="宋体" w:eastAsia="宋体" w:cs="宋体"/>
                <w:sz w:val="21"/>
                <w:szCs w:val="21"/>
              </w:rPr>
            </w:pPr>
            <w:r>
              <w:rPr>
                <w:rFonts w:ascii="宋体" w:hAnsi="宋体" w:eastAsia="宋体" w:cs="宋体"/>
                <w:sz w:val="21"/>
                <w:szCs w:val="21"/>
              </w:rPr>
              <w:t>④最高限价：本合同项下全部子项目结算监理费总和不超过采购预算金额。</w:t>
            </w:r>
          </w:p>
          <w:p w14:paraId="52354C43">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textAlignment w:val="auto"/>
              <w:rPr>
                <w:rFonts w:hint="eastAsia" w:ascii="宋体" w:hAnsi="宋体" w:eastAsia="宋体" w:cs="宋体"/>
                <w:sz w:val="21"/>
                <w:szCs w:val="21"/>
                <w:lang w:eastAsia="zh-CN"/>
              </w:rPr>
            </w:pPr>
            <w:r>
              <w:rPr>
                <w:rFonts w:ascii="宋体" w:hAnsi="宋体" w:eastAsia="宋体" w:cs="宋体"/>
                <w:sz w:val="21"/>
                <w:szCs w:val="21"/>
              </w:rPr>
              <w:t>⑤最终结算：合同最终结算总价=∑（所有已实施子项目结算监理费），且不超过上述最高限价</w:t>
            </w:r>
            <w:r>
              <w:rPr>
                <w:rFonts w:hint="eastAsia" w:ascii="宋体" w:hAnsi="宋体" w:cs="宋体"/>
                <w:sz w:val="21"/>
                <w:szCs w:val="21"/>
                <w:lang w:eastAsia="zh-CN"/>
              </w:rPr>
              <w:t>。</w:t>
            </w:r>
          </w:p>
          <w:p w14:paraId="7DF3ED75">
            <w:pPr>
              <w:keepNext w:val="0"/>
              <w:keepLines w:val="0"/>
              <w:pageBreakBefore w:val="0"/>
              <w:numPr>
                <w:ilvl w:val="0"/>
                <w:numId w:val="9"/>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rPr>
                <w:rFonts w:ascii="宋体" w:hAnsi="宋体" w:eastAsia="宋体" w:cs="宋体"/>
                <w:sz w:val="21"/>
                <w:szCs w:val="21"/>
              </w:rPr>
            </w:pPr>
            <w:r>
              <w:rPr>
                <w:rFonts w:ascii="宋体" w:hAnsi="宋体" w:eastAsia="宋体" w:cs="宋体"/>
                <w:sz w:val="21"/>
                <w:szCs w:val="21"/>
              </w:rPr>
              <w:t>支付方式：</w:t>
            </w:r>
          </w:p>
          <w:p w14:paraId="0589625D">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textAlignment w:val="auto"/>
              <w:rPr>
                <w:rFonts w:ascii="宋体" w:hAnsi="宋体" w:eastAsia="宋体" w:cs="宋体"/>
                <w:sz w:val="21"/>
                <w:szCs w:val="21"/>
              </w:rPr>
            </w:pPr>
            <w:r>
              <w:rPr>
                <w:rFonts w:ascii="宋体" w:hAnsi="宋体" w:eastAsia="宋体" w:cs="宋体"/>
                <w:sz w:val="21"/>
                <w:szCs w:val="21"/>
              </w:rPr>
              <w:t>①本项目无预付款。</w:t>
            </w:r>
          </w:p>
          <w:p w14:paraId="654A622A">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textAlignment w:val="auto"/>
              <w:rPr>
                <w:rFonts w:ascii="宋体" w:hAnsi="宋体" w:eastAsia="宋体" w:cs="宋体"/>
                <w:sz w:val="21"/>
                <w:szCs w:val="21"/>
              </w:rPr>
            </w:pPr>
            <w:r>
              <w:rPr>
                <w:rFonts w:ascii="宋体" w:hAnsi="宋体" w:eastAsia="宋体" w:cs="宋体"/>
                <w:sz w:val="21"/>
                <w:szCs w:val="21"/>
              </w:rPr>
              <w:t>②进度款：单个子项目施工进场后，监理人向采购人提交支付申请，采购人审核后，在供应商开具等额发票后10个工作日内，支付该子项目</w:t>
            </w:r>
            <w:r>
              <w:rPr>
                <w:rFonts w:hint="eastAsia" w:ascii="宋体" w:hAnsi="宋体" w:eastAsia="宋体" w:cs="宋体"/>
                <w:sz w:val="21"/>
                <w:szCs w:val="21"/>
              </w:rPr>
              <w:t>按施工合同</w:t>
            </w:r>
            <w:r>
              <w:rPr>
                <w:rFonts w:hint="eastAsia" w:ascii="宋体" w:hAnsi="宋体" w:cs="宋体"/>
                <w:sz w:val="21"/>
                <w:szCs w:val="21"/>
                <w:lang w:val="en-US" w:eastAsia="zh-CN"/>
              </w:rPr>
              <w:t>金额</w:t>
            </w:r>
            <w:r>
              <w:rPr>
                <w:rFonts w:hint="eastAsia" w:ascii="宋体" w:hAnsi="宋体" w:eastAsia="宋体" w:cs="宋体"/>
                <w:sz w:val="21"/>
                <w:szCs w:val="21"/>
              </w:rPr>
              <w:t>计取监理费</w:t>
            </w:r>
            <w:r>
              <w:rPr>
                <w:rFonts w:ascii="宋体" w:hAnsi="宋体" w:eastAsia="宋体" w:cs="宋体"/>
                <w:sz w:val="21"/>
                <w:szCs w:val="21"/>
              </w:rPr>
              <w:t>的40%。</w:t>
            </w:r>
            <w:r>
              <w:rPr>
                <w:rStyle w:val="14"/>
                <w:rFonts w:ascii="宋体" w:hAnsi="宋体" w:eastAsia="宋体" w:cs="宋体"/>
                <w:b/>
                <w:bCs/>
                <w:color w:val="000000"/>
                <w:sz w:val="21"/>
                <w:szCs w:val="21"/>
              </w:rPr>
              <w:t>进度款支付以该子项目对应阶段监理服务过程验收合格为前提</w:t>
            </w:r>
            <w:r>
              <w:rPr>
                <w:rFonts w:ascii="宋体" w:hAnsi="宋体" w:eastAsia="宋体" w:cs="宋体"/>
                <w:sz w:val="21"/>
                <w:szCs w:val="21"/>
              </w:rPr>
              <w:t>。</w:t>
            </w:r>
          </w:p>
          <w:p w14:paraId="3D80AB95">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textAlignment w:val="auto"/>
              <w:rPr>
                <w:rFonts w:ascii="宋体" w:hAnsi="宋体" w:eastAsia="宋体" w:cs="宋体"/>
                <w:sz w:val="21"/>
                <w:szCs w:val="21"/>
              </w:rPr>
            </w:pPr>
            <w:r>
              <w:rPr>
                <w:rFonts w:ascii="宋体" w:hAnsi="宋体" w:eastAsia="宋体" w:cs="宋体"/>
                <w:sz w:val="21"/>
                <w:szCs w:val="21"/>
              </w:rPr>
              <w:t>③竣工款：单个子项目工程竣工验收合格且监理档案资料移交完毕经采购人签收后，监理人向采购人提交支付申请。采购人审核后，在供应商开具等额发票后10个工作日内，支付至该子项目</w:t>
            </w:r>
            <w:r>
              <w:rPr>
                <w:rFonts w:hint="eastAsia" w:ascii="宋体" w:hAnsi="宋体" w:eastAsia="宋体" w:cs="宋体"/>
                <w:sz w:val="21"/>
                <w:szCs w:val="21"/>
              </w:rPr>
              <w:t>按施工合同</w:t>
            </w:r>
            <w:r>
              <w:rPr>
                <w:rFonts w:hint="eastAsia" w:ascii="宋体" w:hAnsi="宋体" w:cs="宋体"/>
                <w:sz w:val="21"/>
                <w:szCs w:val="21"/>
                <w:lang w:val="en-US" w:eastAsia="zh-CN"/>
              </w:rPr>
              <w:t>金额</w:t>
            </w:r>
            <w:r>
              <w:rPr>
                <w:rFonts w:hint="eastAsia" w:ascii="宋体" w:hAnsi="宋体" w:eastAsia="宋体" w:cs="宋体"/>
                <w:sz w:val="21"/>
                <w:szCs w:val="21"/>
              </w:rPr>
              <w:t>计取监理费</w:t>
            </w:r>
            <w:r>
              <w:rPr>
                <w:rFonts w:ascii="宋体" w:hAnsi="宋体" w:eastAsia="宋体" w:cs="宋体"/>
                <w:sz w:val="21"/>
                <w:szCs w:val="21"/>
              </w:rPr>
              <w:t>的90%。</w:t>
            </w:r>
            <w:r>
              <w:rPr>
                <w:rStyle w:val="14"/>
                <w:rFonts w:ascii="宋体" w:hAnsi="宋体" w:eastAsia="宋体" w:cs="宋体"/>
                <w:b/>
                <w:bCs/>
                <w:color w:val="000000"/>
                <w:sz w:val="21"/>
                <w:szCs w:val="21"/>
              </w:rPr>
              <w:t>竣工款支付以该子项目监理服务竣工验收合格为前提</w:t>
            </w:r>
            <w:r>
              <w:rPr>
                <w:rFonts w:ascii="宋体" w:hAnsi="宋体" w:eastAsia="宋体" w:cs="宋体"/>
                <w:sz w:val="21"/>
                <w:szCs w:val="21"/>
              </w:rPr>
              <w:t>。</w:t>
            </w:r>
          </w:p>
          <w:p w14:paraId="3576C229">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textAlignment w:val="auto"/>
              <w:rPr>
                <w:rFonts w:ascii="宋体" w:hAnsi="宋体" w:eastAsia="宋体" w:cs="宋体"/>
                <w:sz w:val="21"/>
                <w:szCs w:val="21"/>
              </w:rPr>
            </w:pPr>
            <w:r>
              <w:rPr>
                <w:rFonts w:ascii="宋体" w:hAnsi="宋体" w:eastAsia="宋体" w:cs="宋体"/>
                <w:sz w:val="21"/>
                <w:szCs w:val="21"/>
              </w:rPr>
              <w:t>④尾款：单个子项目工程保修期届满且无因监理人责任导致的遗留问题后，监理人向采购人提交支付申请。采购人审核后，在供应商开具等额发票后10个工作日内，一次性付清该子项目余款（即支付至100%）。</w:t>
            </w:r>
            <w:r>
              <w:rPr>
                <w:rStyle w:val="14"/>
                <w:rFonts w:ascii="宋体" w:hAnsi="宋体" w:eastAsia="宋体" w:cs="宋体"/>
                <w:b/>
                <w:bCs/>
                <w:color w:val="000000"/>
                <w:sz w:val="21"/>
                <w:szCs w:val="21"/>
              </w:rPr>
              <w:t>尾款支付以该子项目监理服务保修期验收合格为前提</w:t>
            </w:r>
            <w:r>
              <w:rPr>
                <w:rFonts w:ascii="宋体" w:hAnsi="宋体" w:eastAsia="宋体" w:cs="宋体"/>
                <w:sz w:val="21"/>
                <w:szCs w:val="21"/>
              </w:rPr>
              <w:t>。</w:t>
            </w:r>
          </w:p>
          <w:p w14:paraId="5320B18F">
            <w:pPr>
              <w:keepNext w:val="0"/>
              <w:keepLines w:val="0"/>
              <w:pageBreakBefore w:val="0"/>
              <w:numPr>
                <w:ilvl w:val="0"/>
                <w:numId w:val="9"/>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rPr>
                <w:rFonts w:ascii="宋体" w:hAnsi="宋体" w:eastAsia="宋体" w:cs="宋体"/>
                <w:sz w:val="21"/>
                <w:szCs w:val="21"/>
              </w:rPr>
            </w:pPr>
            <w:r>
              <w:rPr>
                <w:rFonts w:ascii="宋体" w:hAnsi="宋体" w:eastAsia="宋体" w:cs="宋体"/>
                <w:sz w:val="21"/>
                <w:szCs w:val="21"/>
              </w:rPr>
              <w:t>特别说明：</w:t>
            </w:r>
          </w:p>
          <w:p w14:paraId="159128C1">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textAlignment w:val="auto"/>
              <w:rPr>
                <w:rFonts w:ascii="宋体" w:hAnsi="宋体" w:eastAsia="宋体" w:cs="宋体"/>
                <w:sz w:val="21"/>
                <w:szCs w:val="21"/>
              </w:rPr>
            </w:pPr>
            <w:r>
              <w:rPr>
                <w:rFonts w:ascii="宋体" w:hAnsi="宋体" w:eastAsia="宋体" w:cs="宋体"/>
                <w:sz w:val="21"/>
                <w:szCs w:val="21"/>
              </w:rPr>
              <w:t>①每个子项目的监理费均独立按上述（1）、（2）款进行计量与支付。片区尾款待该片区全部子项目保修期满后统一结算支付。</w:t>
            </w:r>
          </w:p>
          <w:p w14:paraId="170F6287">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textAlignment w:val="auto"/>
              <w:rPr>
                <w:rFonts w:ascii="宋体" w:hAnsi="宋体" w:eastAsia="宋体" w:cs="宋体"/>
                <w:sz w:val="21"/>
                <w:szCs w:val="21"/>
              </w:rPr>
            </w:pPr>
            <w:r>
              <w:rPr>
                <w:rFonts w:ascii="宋体" w:hAnsi="宋体" w:eastAsia="宋体" w:cs="宋体"/>
                <w:sz w:val="21"/>
                <w:szCs w:val="21"/>
              </w:rPr>
              <w:t>②“暂定监理费”仅用于进度款支付的临时估算，最终支付总额以“结算监理费”为准进行清算，实行多退少补。清算在子项目竣工款支付时或片区最终结算时进行。③监理人申请付款时，应同时提交经采购人确认的、能够证明付款条件已成就的相应书面文件（如开工令、竣工验收备案表、资料移交签收单、保修期届满确认书、</w:t>
            </w:r>
            <w:r>
              <w:rPr>
                <w:rStyle w:val="14"/>
                <w:rFonts w:ascii="宋体" w:hAnsi="宋体" w:eastAsia="宋体" w:cs="宋体"/>
                <w:b w:val="0"/>
                <w:bCs w:val="0"/>
                <w:color w:val="000000"/>
                <w:sz w:val="21"/>
                <w:szCs w:val="21"/>
              </w:rPr>
              <w:t>监理服务验收合格意见书</w:t>
            </w:r>
            <w:r>
              <w:rPr>
                <w:rFonts w:ascii="宋体" w:hAnsi="宋体" w:eastAsia="宋体" w:cs="宋体"/>
                <w:sz w:val="21"/>
                <w:szCs w:val="21"/>
              </w:rPr>
              <w:t>等）。</w:t>
            </w:r>
          </w:p>
          <w:p w14:paraId="71FF07B4">
            <w:pPr>
              <w:keepNext w:val="0"/>
              <w:keepLines w:val="0"/>
              <w:pageBreakBefore w:val="0"/>
              <w:numPr>
                <w:ilvl w:val="0"/>
                <w:numId w:val="8"/>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rPr>
                <w:rFonts w:ascii="宋体" w:hAnsi="宋体" w:eastAsia="宋体" w:cs="宋体"/>
                <w:sz w:val="21"/>
                <w:szCs w:val="21"/>
              </w:rPr>
            </w:pPr>
            <w:r>
              <w:rPr>
                <w:rFonts w:ascii="宋体" w:hAnsi="宋体" w:eastAsia="宋体" w:cs="宋体"/>
                <w:sz w:val="21"/>
                <w:szCs w:val="21"/>
              </w:rPr>
              <w:t>其他事项：</w:t>
            </w:r>
          </w:p>
          <w:p w14:paraId="67EB4E1F">
            <w:pPr>
              <w:keepNext w:val="0"/>
              <w:keepLines w:val="0"/>
              <w:pageBreakBefore w:val="0"/>
              <w:numPr>
                <w:ilvl w:val="0"/>
                <w:numId w:val="1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textAlignment w:val="auto"/>
              <w:rPr>
                <w:rFonts w:ascii="宋体" w:hAnsi="宋体" w:eastAsia="宋体" w:cs="宋体"/>
                <w:sz w:val="21"/>
                <w:szCs w:val="21"/>
              </w:rPr>
            </w:pPr>
            <w:r>
              <w:rPr>
                <w:rFonts w:ascii="宋体" w:hAnsi="宋体" w:eastAsia="宋体" w:cs="宋体"/>
                <w:sz w:val="21"/>
                <w:szCs w:val="21"/>
              </w:rPr>
              <w:t>采购人应提供的设施与服务工作：采购人向监理人提供开展监理服务工作所必须的办公用房、生活用房。</w:t>
            </w:r>
          </w:p>
          <w:p w14:paraId="30F5855C">
            <w:pPr>
              <w:keepNext w:val="0"/>
              <w:keepLines w:val="0"/>
              <w:pageBreakBefore w:val="0"/>
              <w:numPr>
                <w:ilvl w:val="0"/>
                <w:numId w:val="1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textAlignment w:val="auto"/>
              <w:rPr>
                <w:rFonts w:hint="eastAsia" w:ascii="Times New Roman" w:hAnsi="Times New Roman" w:eastAsia="宋体" w:cs="Times New Roman"/>
                <w:color w:val="auto"/>
                <w:sz w:val="21"/>
                <w:szCs w:val="21"/>
                <w:lang w:val="en-US" w:eastAsia="zh-CN"/>
              </w:rPr>
            </w:pPr>
            <w:r>
              <w:rPr>
                <w:rFonts w:ascii="宋体" w:hAnsi="宋体" w:eastAsia="宋体" w:cs="宋体"/>
                <w:sz w:val="21"/>
                <w:szCs w:val="21"/>
              </w:rPr>
              <w:t>需要监理人提供的设备：监理人员的生活用品、交通工具、通讯、办公用品、监理用具、保险由监理人自行解决，在谈判报价时应考虑此费用。监理人应根据本工程的特点提供必要的监理仪器。</w:t>
            </w:r>
          </w:p>
          <w:p w14:paraId="631D974A">
            <w:pPr>
              <w:keepNext w:val="0"/>
              <w:keepLines w:val="0"/>
              <w:pageBreakBefore w:val="0"/>
              <w:numPr>
                <w:ilvl w:val="0"/>
                <w:numId w:val="1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textAlignment w:val="auto"/>
              <w:rPr>
                <w:rFonts w:hint="eastAsia" w:ascii="Times New Roman" w:hAnsi="Times New Roman" w:eastAsia="宋体" w:cs="Times New Roman"/>
                <w:color w:val="auto"/>
                <w:sz w:val="21"/>
                <w:szCs w:val="21"/>
                <w:lang w:val="en-US" w:eastAsia="zh-CN"/>
              </w:rPr>
            </w:pPr>
            <w:r>
              <w:rPr>
                <w:rFonts w:ascii="宋体" w:hAnsi="宋体" w:eastAsia="宋体" w:cs="宋体"/>
                <w:sz w:val="21"/>
                <w:szCs w:val="21"/>
              </w:rPr>
              <w:t>本项目按片区采购，监理服务实际启动以采购人书面通知为准。采购人将根据各片区子项目具体落实情况，提前不少于10个工作日向监理人发出书面进场通知。监理人应在收到通知后7个日历日内按要求组建项目监理机构并进驻现场。在等待具体子项目通知期间，监理人应确保其承诺的关键人员（尤其是总监理工程师）能够随时响应采购人要求。因采购人原因导致具体子项目长期无法落实，双方可协商顺延整体服务期限或就等待期进行适当补偿，具体办法在合同中约定。</w:t>
            </w:r>
          </w:p>
          <w:p w14:paraId="4CC03023">
            <w:pPr>
              <w:keepNext w:val="0"/>
              <w:keepLines w:val="0"/>
              <w:pageBreakBefore w:val="0"/>
              <w:numPr>
                <w:ilvl w:val="0"/>
                <w:numId w:val="8"/>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rPr>
                <w:rFonts w:ascii="宋体" w:hAnsi="宋体" w:eastAsia="宋体" w:cs="宋体"/>
                <w:sz w:val="21"/>
                <w:szCs w:val="21"/>
              </w:rPr>
            </w:pPr>
            <w:r>
              <w:rPr>
                <w:rFonts w:ascii="宋体" w:hAnsi="宋体" w:eastAsia="宋体" w:cs="宋体"/>
                <w:sz w:val="21"/>
                <w:szCs w:val="21"/>
              </w:rPr>
              <w:t>▲保险：监理人应为其派赴项目现场的工作人员购买足额的雇主责任险或人身意外伤害保险，并为其监理行为可能造成的第三方损失购买相应的职业责任险（如适用）。监理人应在进场前向采购人提交有效的保单复印件。因监理人未购买保险或保险不足而产生的所有责任和费用，由监理人自行承担。</w:t>
            </w:r>
          </w:p>
          <w:p w14:paraId="6ED0F720">
            <w:pPr>
              <w:keepNext w:val="0"/>
              <w:keepLines w:val="0"/>
              <w:pageBreakBefore w:val="0"/>
              <w:numPr>
                <w:ilvl w:val="0"/>
                <w:numId w:val="8"/>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rPr>
                <w:rFonts w:hint="eastAsia" w:ascii="Times New Roman" w:hAnsi="Times New Roman" w:eastAsia="宋体" w:cs="Times New Roman"/>
                <w:color w:val="auto"/>
                <w:sz w:val="21"/>
                <w:szCs w:val="21"/>
                <w:lang w:val="en-US" w:eastAsia="zh-CN"/>
              </w:rPr>
            </w:pPr>
            <w:r>
              <w:rPr>
                <w:rFonts w:ascii="宋体" w:hAnsi="宋体" w:eastAsia="宋体" w:cs="宋体"/>
                <w:sz w:val="21"/>
                <w:szCs w:val="21"/>
              </w:rPr>
              <w:t>▲特别违约责任：（1）若监理人提交的成果文件（如监理月报、评估报告）存在重大错漏、失实，或未按本章‘监理工作制度与成果文件要求’规定的时限、格式提交，采购人有权要求其限期纠正，并可按次处以一定金额的违约金，或按比例</w:t>
            </w:r>
            <w:r>
              <w:rPr>
                <w:rFonts w:ascii="宋体" w:hAnsi="宋体" w:eastAsia="宋体" w:cs="宋体"/>
                <w:b w:val="0"/>
                <w:bCs w:val="0"/>
                <w:sz w:val="21"/>
                <w:szCs w:val="21"/>
              </w:rPr>
              <w:t>扣减当期监理费，具体标准在合同中明确。（2）监理人员违反本章‘人员更换与考勤’规定的，按该条款约定承担违约责任。</w:t>
            </w:r>
            <w:r>
              <w:rPr>
                <w:rStyle w:val="14"/>
                <w:rFonts w:ascii="宋体" w:hAnsi="宋体" w:eastAsia="宋体" w:cs="宋体"/>
                <w:b w:val="0"/>
                <w:bCs w:val="0"/>
                <w:color w:val="000000"/>
                <w:sz w:val="21"/>
                <w:szCs w:val="21"/>
              </w:rPr>
              <w:t>本合同约定的违约金，采购人有权从当期应付监理费中直接扣除，违约金累计金额不超过该标项采购预算的20%，若违约金不足以弥补采购人损失的，监理人应另行赔偿</w:t>
            </w:r>
            <w:r>
              <w:rPr>
                <w:rFonts w:ascii="宋体" w:hAnsi="宋体" w:eastAsia="宋体" w:cs="宋体"/>
                <w:b w:val="0"/>
                <w:bCs w:val="0"/>
                <w:sz w:val="21"/>
                <w:szCs w:val="21"/>
              </w:rPr>
              <w:t>。（3）因监理人失职（如对不合格材料予以签认、对隐蔽工程未验收即放行、未及时发现重大</w:t>
            </w:r>
            <w:r>
              <w:rPr>
                <w:rFonts w:ascii="宋体" w:hAnsi="宋体" w:eastAsia="宋体" w:cs="宋体"/>
                <w:sz w:val="21"/>
                <w:szCs w:val="21"/>
              </w:rPr>
              <w:t>安全质量隐患等）直接导致工程质量问题、安全事故或投资损失的，除按合同通用条款承担赔偿责任外，采购人还有权视情节轻重扣减直至拒付部分监理费。</w:t>
            </w:r>
          </w:p>
          <w:p w14:paraId="1557A36D">
            <w:pPr>
              <w:keepNext w:val="0"/>
              <w:keepLines w:val="0"/>
              <w:pageBreakBefore w:val="0"/>
              <w:numPr>
                <w:ilvl w:val="0"/>
                <w:numId w:val="8"/>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rPr>
                <w:rFonts w:hint="eastAsia" w:ascii="宋体" w:hAnsi="宋体" w:eastAsia="宋体" w:cs="宋体"/>
                <w:sz w:val="21"/>
                <w:szCs w:val="21"/>
                <w:lang w:val="en-US" w:eastAsia="zh-CN"/>
              </w:rPr>
            </w:pPr>
            <w:r>
              <w:rPr>
                <w:rFonts w:ascii="宋体" w:hAnsi="宋体" w:eastAsia="宋体" w:cs="宋体"/>
                <w:sz w:val="21"/>
                <w:szCs w:val="21"/>
              </w:rPr>
              <w:t>不可抗力与合同解除：发生不可抗力影响合同履行的，受影响方应及时通知对方，并提供证明。双方协商可部分或全部免除责任，或延期履行。除法律及合同约定情形外，任何一方不得单方解除合同。确需解除的，应提前书面通知对方，并协商善后事宜及费用清算。</w:t>
            </w:r>
          </w:p>
          <w:p w14:paraId="43A25644">
            <w:pPr>
              <w:keepNext w:val="0"/>
              <w:keepLines w:val="0"/>
              <w:pageBreakBefore w:val="0"/>
              <w:numPr>
                <w:ilvl w:val="0"/>
                <w:numId w:val="8"/>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rPr>
                <w:rFonts w:hint="eastAsia" w:ascii="Times New Roman" w:hAnsi="Times New Roman" w:eastAsia="宋体" w:cs="Times New Roman"/>
                <w:color w:val="auto"/>
                <w:sz w:val="21"/>
                <w:szCs w:val="21"/>
                <w:lang w:val="en-US" w:eastAsia="zh-CN"/>
              </w:rPr>
            </w:pPr>
            <w:r>
              <w:rPr>
                <w:rFonts w:ascii="宋体" w:hAnsi="宋体" w:eastAsia="宋体" w:cs="宋体"/>
                <w:sz w:val="21"/>
                <w:szCs w:val="21"/>
              </w:rPr>
              <w:t>知识产权与保密：监理人为履行本合同所产生的成果文件（如图纸、报告、数据）的知识产权归采购人所有，监理人可在不泄露商业秘密的前提下用于技术交流。双方对于在合同履行过程中知悉的对方及本项目的任何商业秘密、技术资料、信息负有保密义务，未经对方书面同意，不得向任何第三方泄露。此义务不因合同终止而解除。</w:t>
            </w:r>
          </w:p>
          <w:p w14:paraId="26160803">
            <w:pPr>
              <w:keepNext w:val="0"/>
              <w:keepLines w:val="0"/>
              <w:pageBreakBefore w:val="0"/>
              <w:numPr>
                <w:ilvl w:val="0"/>
                <w:numId w:val="8"/>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rPr>
                <w:rFonts w:hint="eastAsia" w:ascii="Times New Roman" w:hAnsi="Times New Roman" w:eastAsia="宋体" w:cs="Times New Roman"/>
                <w:color w:val="auto"/>
                <w:sz w:val="21"/>
                <w:szCs w:val="21"/>
                <w:lang w:val="en-US" w:eastAsia="zh-CN"/>
              </w:rPr>
            </w:pPr>
            <w:r>
              <w:rPr>
                <w:rFonts w:ascii="宋体" w:hAnsi="宋体" w:eastAsia="宋体" w:cs="宋体"/>
                <w:sz w:val="21"/>
                <w:szCs w:val="21"/>
              </w:rPr>
              <w:t>争议解决：因履行本合同所发生的一切争议，双方应首先友好协商解决。协商不成的，任何一方均有权向项目所在地人民法院提起诉讼。（此条虽合同文本中有，在需求章节明确可起强调作用）</w:t>
            </w:r>
            <w:r>
              <w:rPr>
                <w:rFonts w:hint="eastAsia" w:ascii="宋体" w:hAnsi="宋体" w:cs="宋体"/>
                <w:sz w:val="21"/>
                <w:szCs w:val="21"/>
                <w:lang w:eastAsia="zh-CN"/>
              </w:rPr>
              <w:t>。</w:t>
            </w:r>
          </w:p>
          <w:p w14:paraId="64D51C2C">
            <w:pPr>
              <w:keepNext w:val="0"/>
              <w:keepLines w:val="0"/>
              <w:pageBreakBefore w:val="0"/>
              <w:numPr>
                <w:ilvl w:val="0"/>
                <w:numId w:val="8"/>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rPr>
                <w:rFonts w:hint="eastAsia" w:ascii="Times New Roman" w:hAnsi="Times New Roman" w:eastAsia="宋体" w:cs="Times New Roman"/>
                <w:color w:val="auto"/>
                <w:sz w:val="21"/>
                <w:szCs w:val="21"/>
                <w:lang w:val="en-US" w:eastAsia="zh-CN"/>
              </w:rPr>
            </w:pPr>
            <w:r>
              <w:rPr>
                <w:rFonts w:ascii="宋体" w:hAnsi="宋体" w:eastAsia="宋体" w:cs="宋体"/>
                <w:sz w:val="21"/>
                <w:szCs w:val="21"/>
              </w:rPr>
              <w:t>▲项目启动与等待期：采购人将根据各片区子项目具体落实情况，向监理人发出书面进场通知。监理人应在收到通知后规定时间内进驻现场。自本合同生效之日起，如超过12个月采购人仍未发出任何子项目的进场通知，监理人有权书面提出解除本合同，双方互不承担违约责任。在等待具体子项目通知期间，监理人仅需保持关键人员（总监理工程师）的可联络状态，无需常驻待命。</w:t>
            </w:r>
          </w:p>
        </w:tc>
      </w:tr>
    </w:tbl>
    <w:tbl>
      <w:tblPr>
        <w:tblStyle w:val="12"/>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5"/>
      </w:tblGrid>
      <w:tr w14:paraId="0F1E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4" w:hRule="atLeast"/>
        </w:trPr>
        <w:tc>
          <w:tcPr>
            <w:tcW w:w="9255" w:type="dxa"/>
          </w:tcPr>
          <w:p w14:paraId="006187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1"/>
                <w:szCs w:val="21"/>
              </w:rPr>
            </w:pPr>
            <w:bookmarkStart w:id="68" w:name="_Toc8431"/>
            <w:r>
              <w:rPr>
                <w:color w:val="000000"/>
                <w:sz w:val="21"/>
                <w:szCs w:val="21"/>
              </w:rPr>
              <w:t>三、▲监理服务验收标准要求</w:t>
            </w:r>
          </w:p>
          <w:p w14:paraId="013666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color w:val="000000"/>
                <w:sz w:val="21"/>
                <w:szCs w:val="21"/>
              </w:rPr>
            </w:pPr>
            <w:r>
              <w:rPr>
                <w:rFonts w:ascii="宋体" w:hAnsi="宋体" w:eastAsia="宋体" w:cs="宋体"/>
                <w:color w:val="000000"/>
                <w:kern w:val="0"/>
                <w:sz w:val="21"/>
                <w:szCs w:val="21"/>
                <w:lang w:val="en-US" w:eastAsia="zh-CN" w:bidi="ar"/>
              </w:rPr>
              <w:t>本验收标准适用于本项目标项一至四各片区子项目</w:t>
            </w:r>
            <w:r>
              <w:rPr>
                <w:rFonts w:ascii="宋体" w:hAnsi="宋体" w:eastAsia="宋体" w:cs="宋体"/>
                <w:b w:val="0"/>
                <w:bCs w:val="0"/>
                <w:color w:val="000000"/>
                <w:kern w:val="0"/>
                <w:sz w:val="21"/>
                <w:szCs w:val="21"/>
                <w:lang w:val="en-US" w:eastAsia="zh-CN" w:bidi="ar"/>
              </w:rPr>
              <w:t>监理服务的</w:t>
            </w:r>
            <w:r>
              <w:rPr>
                <w:rStyle w:val="14"/>
                <w:rFonts w:ascii="宋体" w:hAnsi="宋体" w:eastAsia="宋体" w:cs="宋体"/>
                <w:b w:val="0"/>
                <w:bCs w:val="0"/>
                <w:color w:val="000000"/>
                <w:kern w:val="0"/>
                <w:sz w:val="21"/>
                <w:szCs w:val="21"/>
                <w:lang w:val="en-US" w:eastAsia="zh-CN" w:bidi="ar"/>
              </w:rPr>
              <w:t>过程验收、竣工总体验收及保修期服务验收</w:t>
            </w:r>
            <w:r>
              <w:rPr>
                <w:rFonts w:ascii="宋体" w:hAnsi="宋体" w:eastAsia="宋体" w:cs="宋体"/>
                <w:b w:val="0"/>
                <w:bCs w:val="0"/>
                <w:color w:val="000000"/>
                <w:kern w:val="0"/>
                <w:sz w:val="21"/>
                <w:szCs w:val="21"/>
                <w:lang w:val="en-US" w:eastAsia="zh-CN" w:bidi="ar"/>
              </w:rPr>
              <w:t>，验收主体为采购人天等县农</w:t>
            </w:r>
            <w:r>
              <w:rPr>
                <w:rFonts w:ascii="宋体" w:hAnsi="宋体" w:eastAsia="宋体" w:cs="宋体"/>
                <w:color w:val="000000"/>
                <w:kern w:val="0"/>
                <w:sz w:val="21"/>
                <w:szCs w:val="21"/>
                <w:lang w:val="en-US" w:eastAsia="zh-CN" w:bidi="ar"/>
              </w:rPr>
              <w:t>业农村局，验收结果作为监理费支付、履约评价、违约责任追究的核心依据，监理人未满足本验收标准任何一项▲实质性条款要求的，直接判定验收不合格。</w:t>
            </w:r>
          </w:p>
          <w:p w14:paraId="4E20A2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1"/>
                <w:szCs w:val="21"/>
              </w:rPr>
            </w:pPr>
            <w:r>
              <w:rPr>
                <w:color w:val="000000"/>
                <w:sz w:val="21"/>
                <w:szCs w:val="21"/>
              </w:rPr>
              <w:t>（一）验收总体原则</w:t>
            </w:r>
          </w:p>
          <w:p w14:paraId="73FAE7D5">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b w:val="0"/>
                <w:bCs w:val="0"/>
                <w:color w:val="000000"/>
                <w:sz w:val="21"/>
                <w:szCs w:val="21"/>
              </w:rPr>
            </w:pPr>
            <w:r>
              <w:rPr>
                <w:color w:val="000000"/>
                <w:sz w:val="21"/>
                <w:szCs w:val="21"/>
              </w:rPr>
              <w:t>监理服务验收实</w:t>
            </w:r>
            <w:r>
              <w:rPr>
                <w:b w:val="0"/>
                <w:bCs w:val="0"/>
                <w:color w:val="000000"/>
                <w:sz w:val="21"/>
                <w:szCs w:val="21"/>
              </w:rPr>
              <w:t>行**「子项目独立验收、标项汇总验收」**，单个子项目监理服务完成后开展独立验收，同一标项下所有子项目验收合格后进行标项总体验收。</w:t>
            </w:r>
          </w:p>
          <w:p w14:paraId="52047633">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b w:val="0"/>
                <w:bCs w:val="0"/>
                <w:color w:val="000000"/>
                <w:sz w:val="21"/>
                <w:szCs w:val="21"/>
              </w:rPr>
            </w:pPr>
            <w:r>
              <w:rPr>
                <w:b w:val="0"/>
                <w:bCs w:val="0"/>
                <w:color w:val="000000"/>
                <w:sz w:val="21"/>
                <w:szCs w:val="21"/>
              </w:rPr>
              <w:t>验收以</w:t>
            </w:r>
            <w:r>
              <w:rPr>
                <w:rStyle w:val="14"/>
                <w:b w:val="0"/>
                <w:bCs w:val="0"/>
                <w:color w:val="000000"/>
                <w:sz w:val="21"/>
                <w:szCs w:val="21"/>
              </w:rPr>
              <w:t>招标文件实质性要求、监理服务合同、国家及行业现行监理规范</w:t>
            </w:r>
            <w:r>
              <w:rPr>
                <w:b w:val="0"/>
                <w:bCs w:val="0"/>
                <w:color w:val="000000"/>
                <w:sz w:val="21"/>
                <w:szCs w:val="21"/>
              </w:rPr>
              <w:t>为唯一依据，未按要求完成监理服务内容、未达到履职标准的，按本标准扣减相应分值并追究违约责任。</w:t>
            </w:r>
          </w:p>
          <w:p w14:paraId="1ADE5DAD">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color w:val="000000"/>
                <w:sz w:val="21"/>
                <w:szCs w:val="21"/>
              </w:rPr>
            </w:pPr>
            <w:r>
              <w:rPr>
                <w:b w:val="0"/>
                <w:bCs w:val="0"/>
                <w:color w:val="000000"/>
                <w:sz w:val="21"/>
                <w:szCs w:val="21"/>
              </w:rPr>
              <w:t>验收实行</w:t>
            </w:r>
            <w:r>
              <w:rPr>
                <w:rStyle w:val="14"/>
                <w:b w:val="0"/>
                <w:bCs w:val="0"/>
                <w:color w:val="000000"/>
                <w:sz w:val="21"/>
                <w:szCs w:val="21"/>
              </w:rPr>
              <w:t>量化评分制</w:t>
            </w:r>
            <w:r>
              <w:rPr>
                <w:b w:val="0"/>
                <w:bCs w:val="0"/>
                <w:color w:val="000000"/>
                <w:sz w:val="21"/>
                <w:szCs w:val="21"/>
              </w:rPr>
              <w:t>，</w:t>
            </w:r>
            <w:r>
              <w:rPr>
                <w:color w:val="000000"/>
                <w:sz w:val="21"/>
                <w:szCs w:val="21"/>
              </w:rPr>
              <w:t>总分100分，80分及以上为合格，80分以下为不合格；存在本标准约定的一票否决情形的，直接判定验收不合格。</w:t>
            </w:r>
          </w:p>
          <w:p w14:paraId="0299C3C9">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color w:val="000000"/>
                <w:sz w:val="21"/>
                <w:szCs w:val="21"/>
              </w:rPr>
            </w:pPr>
            <w:r>
              <w:rPr>
                <w:color w:val="000000"/>
                <w:sz w:val="21"/>
                <w:szCs w:val="21"/>
              </w:rPr>
              <w:t>验收结果分为**「合格、整改后合格、不合格」**三类，验收不合格的监理人需在5个工作日内完成整改，整改后仍不合格的，采购人有权扣除相应监理费、终止合同并追究违约责任。</w:t>
            </w:r>
          </w:p>
          <w:p w14:paraId="60BD76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1"/>
                <w:szCs w:val="21"/>
              </w:rPr>
            </w:pPr>
            <w:r>
              <w:rPr>
                <w:color w:val="000000"/>
                <w:sz w:val="21"/>
                <w:szCs w:val="21"/>
              </w:rPr>
              <w:t>（二）验收阶段及验收节点</w:t>
            </w:r>
          </w:p>
          <w:p w14:paraId="62437BC1">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b w:val="0"/>
                <w:bCs w:val="0"/>
                <w:color w:val="000000"/>
                <w:sz w:val="21"/>
                <w:szCs w:val="21"/>
              </w:rPr>
            </w:pPr>
            <w:r>
              <w:rPr>
                <w:rStyle w:val="14"/>
                <w:b w:val="0"/>
                <w:bCs w:val="0"/>
                <w:color w:val="000000"/>
                <w:sz w:val="21"/>
                <w:szCs w:val="21"/>
              </w:rPr>
              <w:t>过程验收</w:t>
            </w:r>
            <w:r>
              <w:rPr>
                <w:b w:val="0"/>
                <w:bCs w:val="0"/>
                <w:color w:val="000000"/>
                <w:sz w:val="21"/>
                <w:szCs w:val="21"/>
              </w:rPr>
              <w:t>：针对单个子项目监理服务全流程开展，每季度一次，或根据子项目施工进度关键节点（开工、基础完工、主体完工、竣工预验收）开展，验收结果作为</w:t>
            </w:r>
            <w:r>
              <w:rPr>
                <w:rStyle w:val="14"/>
                <w:b w:val="0"/>
                <w:bCs w:val="0"/>
                <w:color w:val="000000"/>
                <w:sz w:val="21"/>
                <w:szCs w:val="21"/>
              </w:rPr>
              <w:t>监理进度款支付</w:t>
            </w:r>
            <w:r>
              <w:rPr>
                <w:b w:val="0"/>
                <w:bCs w:val="0"/>
                <w:color w:val="000000"/>
                <w:sz w:val="21"/>
                <w:szCs w:val="21"/>
              </w:rPr>
              <w:t>的唯一依据，未通过过程验收的，采购人有权暂停支付当期进度款。</w:t>
            </w:r>
          </w:p>
          <w:p w14:paraId="2BA7EDA6">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b w:val="0"/>
                <w:bCs w:val="0"/>
                <w:color w:val="000000"/>
                <w:sz w:val="21"/>
                <w:szCs w:val="21"/>
              </w:rPr>
            </w:pPr>
            <w:r>
              <w:rPr>
                <w:rStyle w:val="14"/>
                <w:b w:val="0"/>
                <w:bCs w:val="0"/>
                <w:color w:val="000000"/>
                <w:sz w:val="21"/>
                <w:szCs w:val="21"/>
              </w:rPr>
              <w:t>竣工验收</w:t>
            </w:r>
            <w:r>
              <w:rPr>
                <w:b w:val="0"/>
                <w:bCs w:val="0"/>
                <w:color w:val="000000"/>
                <w:sz w:val="21"/>
                <w:szCs w:val="21"/>
              </w:rPr>
              <w:t>：单个子项目工程竣工验收合格后15个工作日内，开展该子项目监理服务竣工验收；验收内容为监理服务全流程成果及履职情况，验收结果作为</w:t>
            </w:r>
            <w:r>
              <w:rPr>
                <w:rStyle w:val="14"/>
                <w:b w:val="0"/>
                <w:bCs w:val="0"/>
                <w:color w:val="000000"/>
                <w:sz w:val="21"/>
                <w:szCs w:val="21"/>
              </w:rPr>
              <w:t>监理竣工款支付</w:t>
            </w:r>
            <w:r>
              <w:rPr>
                <w:b w:val="0"/>
                <w:bCs w:val="0"/>
                <w:color w:val="000000"/>
                <w:sz w:val="21"/>
                <w:szCs w:val="21"/>
              </w:rPr>
              <w:t>的唯一依据。</w:t>
            </w:r>
          </w:p>
          <w:p w14:paraId="3ADD257C">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b w:val="0"/>
                <w:bCs w:val="0"/>
                <w:color w:val="000000"/>
                <w:sz w:val="21"/>
                <w:szCs w:val="21"/>
              </w:rPr>
            </w:pPr>
            <w:r>
              <w:rPr>
                <w:rStyle w:val="14"/>
                <w:b w:val="0"/>
                <w:bCs w:val="0"/>
                <w:color w:val="000000"/>
                <w:sz w:val="21"/>
                <w:szCs w:val="21"/>
              </w:rPr>
              <w:t>保修期服务验收</w:t>
            </w:r>
            <w:r>
              <w:rPr>
                <w:b w:val="0"/>
                <w:bCs w:val="0"/>
                <w:color w:val="000000"/>
                <w:sz w:val="21"/>
                <w:szCs w:val="21"/>
              </w:rPr>
              <w:t>：单个子项目保修期届满后10个工作日内，开展保修期监理服务验收；验收结果作为</w:t>
            </w:r>
            <w:r>
              <w:rPr>
                <w:rStyle w:val="14"/>
                <w:b w:val="0"/>
                <w:bCs w:val="0"/>
                <w:color w:val="000000"/>
                <w:sz w:val="21"/>
                <w:szCs w:val="21"/>
              </w:rPr>
              <w:t>监理尾款支付</w:t>
            </w:r>
            <w:r>
              <w:rPr>
                <w:b w:val="0"/>
                <w:bCs w:val="0"/>
                <w:color w:val="000000"/>
                <w:sz w:val="21"/>
                <w:szCs w:val="21"/>
              </w:rPr>
              <w:t>的唯一依据。</w:t>
            </w:r>
          </w:p>
          <w:p w14:paraId="6ADD333C">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color w:val="000000"/>
                <w:sz w:val="21"/>
                <w:szCs w:val="21"/>
              </w:rPr>
            </w:pPr>
            <w:r>
              <w:rPr>
                <w:rStyle w:val="14"/>
                <w:b w:val="0"/>
                <w:bCs w:val="0"/>
                <w:color w:val="000000"/>
                <w:sz w:val="21"/>
                <w:szCs w:val="21"/>
              </w:rPr>
              <w:t>标项总体验收</w:t>
            </w:r>
            <w:r>
              <w:rPr>
                <w:b w:val="0"/>
                <w:bCs w:val="0"/>
                <w:color w:val="000000"/>
                <w:sz w:val="21"/>
                <w:szCs w:val="21"/>
              </w:rPr>
              <w:t>：同一标项下所有子项目均完成保修期服务验收后30个工作日内，开展该标项监理服务总体验收，验收合格后出具《监理服务验收合格证书》；同一标项下多个子项目验收不合格的，该标项总体验收直接判定为不合格</w:t>
            </w:r>
            <w:r>
              <w:rPr>
                <w:color w:val="000000"/>
                <w:sz w:val="21"/>
                <w:szCs w:val="21"/>
              </w:rPr>
              <w:t>。</w:t>
            </w:r>
          </w:p>
          <w:p w14:paraId="30EFD4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1"/>
                <w:szCs w:val="21"/>
              </w:rPr>
            </w:pPr>
            <w:r>
              <w:rPr>
                <w:color w:val="000000"/>
                <w:sz w:val="21"/>
                <w:szCs w:val="21"/>
              </w:rPr>
              <w:t>（三）核心验收指标及量化评分标准（总分100分）</w:t>
            </w:r>
          </w:p>
          <w:p w14:paraId="1C0B07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1"/>
                <w:szCs w:val="21"/>
              </w:rPr>
            </w:pPr>
            <w:r>
              <w:rPr>
                <w:color w:val="000000"/>
                <w:sz w:val="21"/>
                <w:szCs w:val="21"/>
              </w:rPr>
              <w:t>1.监理履职行为验收（30分，▲实质性指标，本部分得分低于20分整体验收不合格）</w:t>
            </w:r>
          </w:p>
          <w:tbl>
            <w:tblPr>
              <w:tblStyle w:val="11"/>
              <w:tblW w:w="926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080"/>
              <w:gridCol w:w="4736"/>
              <w:gridCol w:w="2370"/>
            </w:tblGrid>
            <w:tr w14:paraId="49661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C45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验收内容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BA8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5FE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验收标准</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744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扣分规则</w:t>
                  </w:r>
                </w:p>
              </w:tc>
            </w:tr>
            <w:tr w14:paraId="7C28F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FC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总监驻场履职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7A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10分</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63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总监理工程师每月驻场时间不少于当月日历天数80%（法定节假日除外）；区外企业总监无广西行政区域外在监项目</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AF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每少1个百分点扣1分，扣完为止；区外企业总监有广西外在监项目的，本项0分</w:t>
                  </w:r>
                </w:p>
              </w:tc>
            </w:tr>
            <w:tr w14:paraId="7AB64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5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监理人员稳定性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B9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8分</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6A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总监及主要监理工程师无采购人书面同意不得擅自更换；采购人要求更换不称职人员的，7个工作日内完成更换</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1A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擅自更换总监扣10分/次、擅自更换其他关键人员扣5分/次；未按时更换不称职人员的，扣5分/人</w:t>
                  </w:r>
                </w:p>
              </w:tc>
            </w:tr>
            <w:tr w14:paraId="61CF2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BE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现场人员履职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89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7分</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15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其他监理人员全过程常驻现场，无无故缺勤、脱岗；现场监理办公室及办公、检测、通讯设备配置齐全</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7F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每发现1次缺勤/脱岗扣2分；设备配置不全的，扣1-5分</w:t>
                  </w:r>
                </w:p>
              </w:tc>
            </w:tr>
            <w:tr w14:paraId="740DF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0B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考勤管理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E8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5分</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CC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严格执行人脸识别/现场签到考勤，考勤记录每月汇总并随监理月报提交，记录真实完整</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B1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考勤记录不真实、不完整的，扣1-5分</w:t>
                  </w:r>
                </w:p>
              </w:tc>
            </w:tr>
          </w:tbl>
          <w:p w14:paraId="7B8131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1"/>
                <w:szCs w:val="21"/>
              </w:rPr>
            </w:pPr>
            <w:r>
              <w:rPr>
                <w:color w:val="000000"/>
                <w:sz w:val="21"/>
                <w:szCs w:val="21"/>
              </w:rPr>
              <w:t>2.监理服务内容完成验收（40分）</w:t>
            </w:r>
          </w:p>
          <w:tbl>
            <w:tblPr>
              <w:tblStyle w:val="11"/>
              <w:tblW w:w="926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080"/>
              <w:gridCol w:w="4766"/>
              <w:gridCol w:w="2340"/>
            </w:tblGrid>
            <w:tr w14:paraId="41090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097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验收内容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96F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w:t>
                  </w:r>
                </w:p>
              </w:tc>
              <w:tc>
                <w:tcPr>
                  <w:tcW w:w="4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8E3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验收标准</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716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扣分规则</w:t>
                  </w:r>
                </w:p>
              </w:tc>
            </w:tr>
            <w:tr w14:paraId="5E3EB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58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施工准备阶段监理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31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8分</w:t>
                  </w:r>
                </w:p>
              </w:tc>
              <w:tc>
                <w:tcPr>
                  <w:tcW w:w="4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F0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完成图纸会审配合、施工方案审查、分包资质审核等工作，审查意见书面化可追溯；合规签发开工令</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46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每缺失1项工作扣3分；违规签发或未签发开工令的扣5分</w:t>
                  </w:r>
                </w:p>
              </w:tc>
            </w:tr>
            <w:tr w14:paraId="2B836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70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施工阶段监理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F3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15分</w:t>
                  </w:r>
                </w:p>
              </w:tc>
              <w:tc>
                <w:tcPr>
                  <w:tcW w:w="4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E9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严格执行质量/进度/投资三控，关键工序/隐蔽工程全程旁站并留存影像资料；及时处理不合格材料；工程款支付证书审核真实准确</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6B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未旁站或影像资料缺失的，扣2分/处；未处理不合格材料的扣5分/次；违规审核支付证书的本项0分</w:t>
                  </w:r>
                </w:p>
              </w:tc>
            </w:tr>
            <w:tr w14:paraId="010F0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4D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安全文明施工监理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CC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7分</w:t>
                  </w:r>
                </w:p>
              </w:tc>
              <w:tc>
                <w:tcPr>
                  <w:tcW w:w="4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2E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定期开展安全隐患排查，发出监理通知单并跟踪整改闭合；监督落实文明施工与环境保护措施</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C9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未开展排查或整改未闭合的，扣3分/次；未监督环保措施的，扣1-3分</w:t>
                  </w:r>
                </w:p>
              </w:tc>
            </w:tr>
            <w:tr w14:paraId="53580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02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竣工验收及保修期服务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DB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10分</w:t>
                  </w:r>
                </w:p>
              </w:tc>
              <w:tc>
                <w:tcPr>
                  <w:tcW w:w="4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3C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组织完成分部分项工程验收及单位工程初验，编写质量评估报告；保修期内及时鉴定质量责任、督促保修，超保修期问题负责到底</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A4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未完成验收或未编写评估报告的扣5分；保修期服务不到位的，扣5分/项</w:t>
                  </w:r>
                </w:p>
              </w:tc>
            </w:tr>
          </w:tbl>
          <w:p w14:paraId="3CF3E40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1"/>
                <w:szCs w:val="21"/>
              </w:rPr>
            </w:pPr>
            <w:r>
              <w:rPr>
                <w:color w:val="000000"/>
                <w:sz w:val="21"/>
                <w:szCs w:val="21"/>
              </w:rPr>
              <w:t>3.监理成果文件验收（20分）</w:t>
            </w:r>
          </w:p>
          <w:tbl>
            <w:tblPr>
              <w:tblStyle w:val="11"/>
              <w:tblW w:w="926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080"/>
              <w:gridCol w:w="4511"/>
              <w:gridCol w:w="2595"/>
            </w:tblGrid>
            <w:tr w14:paraId="12D72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EF1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验收内容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6A6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w:t>
                  </w:r>
                </w:p>
              </w:tc>
              <w:tc>
                <w:tcPr>
                  <w:tcW w:w="4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E1D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验收标准</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D0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扣分规则</w:t>
                  </w:r>
                </w:p>
              </w:tc>
            </w:tr>
            <w:tr w14:paraId="136C6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73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提交及时性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D3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6分</w:t>
                  </w:r>
                </w:p>
              </w:tc>
              <w:tc>
                <w:tcPr>
                  <w:tcW w:w="4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A3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监理规划、实施细则、监理月报等按本章约定时限提交</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2E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每逾期1天扣1分，扣完对应文件分值</w:t>
                  </w:r>
                </w:p>
              </w:tc>
            </w:tr>
            <w:tr w14:paraId="3C8A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0D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格式与份数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D7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4分</w:t>
                  </w:r>
                </w:p>
              </w:tc>
              <w:tc>
                <w:tcPr>
                  <w:tcW w:w="4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CA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所有成果文件加盖监理机构印章、对应人员签字；按约定份数提交</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6B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格式不符或份数不足的，扣1分/份</w:t>
                  </w:r>
                </w:p>
              </w:tc>
            </w:tr>
            <w:tr w14:paraId="5DE09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35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完整性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F5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6分</w:t>
                  </w:r>
                </w:p>
              </w:tc>
              <w:tc>
                <w:tcPr>
                  <w:tcW w:w="4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3B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监理规划、细则、月报、会议纪要、通知单、日志、影像资料、竣工移交资料等全套文件齐全</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48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每缺失1类文件扣3分</w:t>
                  </w:r>
                </w:p>
              </w:tc>
            </w:tr>
            <w:tr w14:paraId="5A14A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0B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真实性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DC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4分</w:t>
                  </w:r>
                </w:p>
              </w:tc>
              <w:tc>
                <w:tcPr>
                  <w:tcW w:w="4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8B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成果文件内容真实、准确，无错漏、失实、虚假记录</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43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发现1处错漏/失实扣2分；发现虚假记录的本项0分</w:t>
                  </w:r>
                </w:p>
              </w:tc>
            </w:tr>
          </w:tbl>
          <w:p w14:paraId="0374C6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1"/>
                <w:szCs w:val="21"/>
              </w:rPr>
            </w:pPr>
            <w:r>
              <w:rPr>
                <w:color w:val="000000"/>
                <w:sz w:val="21"/>
                <w:szCs w:val="21"/>
              </w:rPr>
              <w:t>4.监理服务成效验收（10分）</w:t>
            </w:r>
          </w:p>
          <w:tbl>
            <w:tblPr>
              <w:tblStyle w:val="11"/>
              <w:tblW w:w="9246"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6"/>
              <w:gridCol w:w="1314"/>
              <w:gridCol w:w="3486"/>
              <w:gridCol w:w="2520"/>
            </w:tblGrid>
            <w:tr w14:paraId="57A3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19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D9168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验收内容</w:t>
                  </w:r>
                </w:p>
              </w:tc>
              <w:tc>
                <w:tcPr>
                  <w:tcW w:w="13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8405A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w:t>
                  </w:r>
                </w:p>
              </w:tc>
              <w:tc>
                <w:tcPr>
                  <w:tcW w:w="3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17C02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验收标准</w:t>
                  </w:r>
                </w:p>
              </w:tc>
              <w:tc>
                <w:tcPr>
                  <w:tcW w:w="25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2CF5F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扣分规则</w:t>
                  </w:r>
                </w:p>
              </w:tc>
            </w:tr>
            <w:tr w14:paraId="178DD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9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007F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工程质量</w:t>
                  </w:r>
                </w:p>
              </w:tc>
              <w:tc>
                <w:tcPr>
                  <w:tcW w:w="13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BE37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4分</w:t>
                  </w:r>
                </w:p>
              </w:tc>
              <w:tc>
                <w:tcPr>
                  <w:tcW w:w="3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C473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子项目工程竣工验收达到施工合同约定合格标准</w:t>
                  </w:r>
                </w:p>
              </w:tc>
              <w:tc>
                <w:tcPr>
                  <w:tcW w:w="25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96C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因监理失职导致质量问题的，本项0分</w:t>
                  </w:r>
                </w:p>
              </w:tc>
            </w:tr>
            <w:tr w14:paraId="2A25E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9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B454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工程进度</w:t>
                  </w:r>
                </w:p>
              </w:tc>
              <w:tc>
                <w:tcPr>
                  <w:tcW w:w="13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FCD0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3分</w:t>
                  </w:r>
                </w:p>
              </w:tc>
              <w:tc>
                <w:tcPr>
                  <w:tcW w:w="3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D713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子项目工程按施工合同约定工期完成</w:t>
                  </w:r>
                </w:p>
              </w:tc>
              <w:tc>
                <w:tcPr>
                  <w:tcW w:w="25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E99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因监理管控不到位导致工期延误的，扣2-4分</w:t>
                  </w:r>
                </w:p>
              </w:tc>
            </w:tr>
            <w:tr w14:paraId="1A171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9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2B6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工程投资</w:t>
                  </w:r>
                </w:p>
              </w:tc>
              <w:tc>
                <w:tcPr>
                  <w:tcW w:w="13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D5BA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3分</w:t>
                  </w:r>
                </w:p>
              </w:tc>
              <w:tc>
                <w:tcPr>
                  <w:tcW w:w="3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88D9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子项目投资控制在批准概算/合同价款范围内</w:t>
                  </w:r>
                </w:p>
              </w:tc>
              <w:tc>
                <w:tcPr>
                  <w:tcW w:w="25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C50C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因监理审核失误导致投资超支的，扣1-3分</w:t>
                  </w:r>
                </w:p>
              </w:tc>
            </w:tr>
          </w:tbl>
          <w:p w14:paraId="6DABC3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1"/>
                <w:szCs w:val="21"/>
              </w:rPr>
            </w:pPr>
            <w:r>
              <w:rPr>
                <w:color w:val="000000"/>
                <w:sz w:val="21"/>
                <w:szCs w:val="21"/>
              </w:rPr>
              <w:t>（四）验收否决项（▲实质性条款，一票否决直接判定验收不合格）</w:t>
            </w:r>
          </w:p>
          <w:p w14:paraId="1A6E85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000000"/>
                <w:sz w:val="21"/>
                <w:szCs w:val="21"/>
              </w:rPr>
            </w:pPr>
            <w:r>
              <w:rPr>
                <w:rFonts w:ascii="宋体" w:hAnsi="宋体" w:eastAsia="宋体" w:cs="宋体"/>
                <w:color w:val="000000"/>
                <w:kern w:val="0"/>
                <w:sz w:val="21"/>
                <w:szCs w:val="21"/>
                <w:lang w:val="en-US" w:eastAsia="zh-CN" w:bidi="ar"/>
              </w:rPr>
              <w:t>监理人存在下列情形之一的，本次监理服务验收直接判定为不合格，采购人有权拒付相应监理费，并按合同约定追究违约责任：</w:t>
            </w:r>
          </w:p>
          <w:p w14:paraId="4AF9BBFF">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color w:val="000000"/>
                <w:sz w:val="21"/>
                <w:szCs w:val="21"/>
              </w:rPr>
            </w:pPr>
            <w:r>
              <w:rPr>
                <w:color w:val="000000"/>
                <w:sz w:val="21"/>
                <w:szCs w:val="21"/>
              </w:rPr>
              <w:t>总监理工程师及主要监理工程师擅自更换，或驻场履职时间未达要求且情节严重的；</w:t>
            </w:r>
          </w:p>
          <w:p w14:paraId="4758B3AD">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color w:val="000000"/>
                <w:sz w:val="21"/>
                <w:szCs w:val="21"/>
              </w:rPr>
            </w:pPr>
            <w:r>
              <w:rPr>
                <w:color w:val="000000"/>
                <w:sz w:val="21"/>
                <w:szCs w:val="21"/>
              </w:rPr>
              <w:t>因监理失职（如不合格材料签认、隐蔽工程未验收即放行、未及时发现重大安全质量隐患）导致工程质量事故、安全事故或重大投资损失的；</w:t>
            </w:r>
          </w:p>
          <w:p w14:paraId="56B9EC0F">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color w:val="000000"/>
                <w:sz w:val="21"/>
                <w:szCs w:val="21"/>
              </w:rPr>
            </w:pPr>
            <w:r>
              <w:rPr>
                <w:color w:val="000000"/>
                <w:sz w:val="21"/>
                <w:szCs w:val="21"/>
              </w:rPr>
              <w:t>监理成果文件存在重大错漏、失实，或伪造监理记录、影像资料等虚假行为的；</w:t>
            </w:r>
          </w:p>
          <w:p w14:paraId="3C88348F">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color w:val="000000"/>
                <w:sz w:val="21"/>
                <w:szCs w:val="21"/>
              </w:rPr>
            </w:pPr>
            <w:r>
              <w:rPr>
                <w:color w:val="000000"/>
                <w:sz w:val="21"/>
                <w:szCs w:val="21"/>
              </w:rPr>
              <w:t>未按招标文件及合同约定履行监理职责，导致子项目工程无法正常竣工验收的；</w:t>
            </w:r>
          </w:p>
          <w:p w14:paraId="2ADB2EBC">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color w:val="000000"/>
                <w:sz w:val="21"/>
                <w:szCs w:val="21"/>
              </w:rPr>
            </w:pPr>
            <w:r>
              <w:rPr>
                <w:color w:val="000000"/>
                <w:sz w:val="21"/>
                <w:szCs w:val="21"/>
              </w:rPr>
              <w:t>验收期间被列入失信被执行人、重大税收违法失信主体、政府采购严重违法失信行为记录名单的；</w:t>
            </w:r>
          </w:p>
          <w:p w14:paraId="60307D92">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color w:val="000000"/>
                <w:sz w:val="21"/>
                <w:szCs w:val="21"/>
              </w:rPr>
            </w:pPr>
            <w:r>
              <w:rPr>
                <w:color w:val="000000"/>
                <w:sz w:val="21"/>
                <w:szCs w:val="21"/>
              </w:rPr>
              <w:t>存在串通投标、行贿等违法违规行为，被有关部门查处的。</w:t>
            </w:r>
          </w:p>
          <w:p w14:paraId="3AD474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1"/>
                <w:szCs w:val="21"/>
              </w:rPr>
            </w:pPr>
            <w:r>
              <w:rPr>
                <w:color w:val="000000"/>
                <w:sz w:val="21"/>
                <w:szCs w:val="21"/>
              </w:rPr>
              <w:t>（五）验收资料要求（▲实质性条款，资料不齐不予受理验收申请）</w:t>
            </w:r>
          </w:p>
          <w:p w14:paraId="2693FF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000000"/>
                <w:sz w:val="21"/>
                <w:szCs w:val="21"/>
              </w:rPr>
            </w:pPr>
            <w:r>
              <w:rPr>
                <w:rFonts w:ascii="宋体" w:hAnsi="宋体" w:eastAsia="宋体" w:cs="宋体"/>
                <w:color w:val="000000"/>
                <w:kern w:val="0"/>
                <w:sz w:val="21"/>
                <w:szCs w:val="21"/>
                <w:lang w:val="en-US" w:eastAsia="zh-CN" w:bidi="ar"/>
              </w:rPr>
              <w:t>监理人申请验收时，需向采购人提交完整的验收申请资料，所有资料加盖监理人公章及总监理工程师签字，资料不齐的，采购人在5个工作日内书面通知监理人限期补正，补正仍不齐的，驳回验收申请，验收资料包括但不限于：</w:t>
            </w:r>
          </w:p>
          <w:p w14:paraId="62B050D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3" w:leftChars="0" w:right="0" w:rightChars="0" w:firstLine="840" w:firstLineChars="400"/>
              <w:jc w:val="left"/>
              <w:textAlignment w:val="auto"/>
              <w:rPr>
                <w:color w:val="000000"/>
                <w:sz w:val="21"/>
                <w:szCs w:val="21"/>
              </w:rPr>
            </w:pPr>
            <w:r>
              <w:rPr>
                <w:color w:val="000000"/>
                <w:sz w:val="21"/>
                <w:szCs w:val="21"/>
              </w:rPr>
              <w:t>《监理服务验收申请表》（按标项/子项目单独提交）；</w:t>
            </w:r>
          </w:p>
          <w:p w14:paraId="68E50DD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3" w:leftChars="0" w:right="0" w:rightChars="0" w:firstLine="840" w:firstLineChars="400"/>
              <w:jc w:val="left"/>
              <w:textAlignment w:val="auto"/>
              <w:rPr>
                <w:color w:val="000000"/>
                <w:sz w:val="21"/>
                <w:szCs w:val="21"/>
              </w:rPr>
            </w:pPr>
            <w:r>
              <w:rPr>
                <w:color w:val="000000"/>
                <w:sz w:val="21"/>
                <w:szCs w:val="21"/>
              </w:rPr>
              <w:t>监理人员履职资料：考勤记录、驻场证明、人员资质证书、人员更换审批文件（如有）；</w:t>
            </w:r>
          </w:p>
          <w:p w14:paraId="1A20EC7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3" w:leftChars="0" w:right="0" w:rightChars="0" w:firstLine="840" w:firstLineChars="400"/>
              <w:jc w:val="left"/>
              <w:textAlignment w:val="auto"/>
              <w:rPr>
                <w:color w:val="000000"/>
                <w:sz w:val="21"/>
                <w:szCs w:val="21"/>
              </w:rPr>
            </w:pPr>
            <w:r>
              <w:rPr>
                <w:color w:val="000000"/>
                <w:sz w:val="21"/>
                <w:szCs w:val="21"/>
              </w:rPr>
              <w:t>监理服务成果文件全套资料（含纸质版及电子版，按本章要求整理成册）；</w:t>
            </w:r>
          </w:p>
          <w:p w14:paraId="7E8163D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3" w:leftChars="0" w:right="0" w:rightChars="0" w:firstLine="840" w:firstLineChars="400"/>
              <w:jc w:val="left"/>
              <w:textAlignment w:val="auto"/>
              <w:rPr>
                <w:color w:val="000000"/>
                <w:sz w:val="21"/>
                <w:szCs w:val="21"/>
              </w:rPr>
            </w:pPr>
            <w:r>
              <w:rPr>
                <w:color w:val="000000"/>
                <w:sz w:val="21"/>
                <w:szCs w:val="21"/>
              </w:rPr>
              <w:t>监理通知单、工作联系单、整改回复单等闭环管理资料；</w:t>
            </w:r>
          </w:p>
          <w:p w14:paraId="3A34011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3" w:leftChars="0" w:right="0" w:rightChars="0" w:firstLine="840" w:firstLineChars="400"/>
              <w:jc w:val="left"/>
              <w:textAlignment w:val="auto"/>
              <w:rPr>
                <w:color w:val="000000"/>
                <w:sz w:val="21"/>
                <w:szCs w:val="21"/>
              </w:rPr>
            </w:pPr>
            <w:r>
              <w:rPr>
                <w:color w:val="000000"/>
                <w:sz w:val="21"/>
                <w:szCs w:val="21"/>
              </w:rPr>
              <w:t>工程质量、进度、投资控制相关证明资料；</w:t>
            </w:r>
          </w:p>
          <w:p w14:paraId="454D72F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3" w:leftChars="0" w:right="0" w:rightChars="0" w:firstLine="840" w:firstLineChars="400"/>
              <w:jc w:val="left"/>
              <w:textAlignment w:val="auto"/>
              <w:rPr>
                <w:color w:val="000000"/>
                <w:sz w:val="21"/>
                <w:szCs w:val="21"/>
              </w:rPr>
            </w:pPr>
            <w:r>
              <w:rPr>
                <w:color w:val="000000"/>
                <w:sz w:val="21"/>
                <w:szCs w:val="21"/>
              </w:rPr>
              <w:t>保修期服务工作记录（仅保修期验收及总体验收提供）；</w:t>
            </w:r>
          </w:p>
          <w:p w14:paraId="49BA3C1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3" w:leftChars="0" w:right="0" w:rightChars="0" w:firstLine="840" w:firstLineChars="400"/>
              <w:jc w:val="left"/>
              <w:textAlignment w:val="auto"/>
              <w:rPr>
                <w:color w:val="000000"/>
                <w:sz w:val="21"/>
                <w:szCs w:val="21"/>
              </w:rPr>
            </w:pPr>
            <w:r>
              <w:rPr>
                <w:color w:val="000000"/>
                <w:sz w:val="21"/>
                <w:szCs w:val="21"/>
              </w:rPr>
              <w:t>采购人要求提交的其他验收佐证资料。</w:t>
            </w:r>
          </w:p>
          <w:p w14:paraId="1544AC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1"/>
                <w:szCs w:val="21"/>
              </w:rPr>
            </w:pPr>
            <w:r>
              <w:rPr>
                <w:color w:val="000000"/>
                <w:sz w:val="21"/>
                <w:szCs w:val="21"/>
              </w:rPr>
              <w:t>（六）验收流程及结果处理</w:t>
            </w:r>
          </w:p>
          <w:p w14:paraId="21AB7438">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color w:val="000000"/>
                <w:sz w:val="21"/>
                <w:szCs w:val="21"/>
              </w:rPr>
            </w:pPr>
            <w:r>
              <w:rPr>
                <w:rStyle w:val="14"/>
                <w:b/>
                <w:bCs/>
                <w:color w:val="000000"/>
                <w:sz w:val="21"/>
                <w:szCs w:val="21"/>
              </w:rPr>
              <w:t>验收申请</w:t>
            </w:r>
            <w:r>
              <w:rPr>
                <w:color w:val="000000"/>
                <w:sz w:val="21"/>
                <w:szCs w:val="21"/>
              </w:rPr>
              <w:t>：监理人完成对应阶段监理服务后，在本标准约定时限内向采购人提交《监理服务验收申请表》及全套验收资料；</w:t>
            </w:r>
          </w:p>
          <w:p w14:paraId="7F463879">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color w:val="000000"/>
                <w:sz w:val="21"/>
                <w:szCs w:val="21"/>
              </w:rPr>
            </w:pPr>
            <w:r>
              <w:rPr>
                <w:rStyle w:val="14"/>
                <w:b/>
                <w:bCs/>
                <w:color w:val="000000"/>
                <w:sz w:val="21"/>
                <w:szCs w:val="21"/>
              </w:rPr>
              <w:t>资料核查</w:t>
            </w:r>
            <w:r>
              <w:rPr>
                <w:color w:val="000000"/>
                <w:sz w:val="21"/>
                <w:szCs w:val="21"/>
              </w:rPr>
              <w:t>：采购人在收到验收申请后5个工作日内完成资料核查，资料齐全的，组织验收小组开展现场验收；</w:t>
            </w:r>
          </w:p>
          <w:p w14:paraId="426F7970">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color w:val="000000"/>
                <w:sz w:val="21"/>
                <w:szCs w:val="21"/>
              </w:rPr>
            </w:pPr>
            <w:r>
              <w:rPr>
                <w:rStyle w:val="14"/>
                <w:b/>
                <w:bCs/>
                <w:color w:val="000000"/>
                <w:sz w:val="21"/>
                <w:szCs w:val="21"/>
              </w:rPr>
              <w:t>现场验收</w:t>
            </w:r>
            <w:r>
              <w:rPr>
                <w:color w:val="000000"/>
                <w:sz w:val="21"/>
                <w:szCs w:val="21"/>
              </w:rPr>
              <w:t>：验收小组由采购人项目负责人、技术人员及相关专业人员组成（必要时可邀请第三方专业机构参与），通过</w:t>
            </w:r>
            <w:r>
              <w:rPr>
                <w:rStyle w:val="14"/>
                <w:b/>
                <w:bCs/>
                <w:color w:val="000000"/>
                <w:sz w:val="21"/>
                <w:szCs w:val="21"/>
              </w:rPr>
              <w:t>资料核查、现场核实、履职问询</w:t>
            </w:r>
            <w:r>
              <w:rPr>
                <w:color w:val="000000"/>
                <w:sz w:val="21"/>
                <w:szCs w:val="21"/>
              </w:rPr>
              <w:t>等方式开展验收，现场形成《监理服务验收记录表》，由验收小组成员及监理人代表签字确认；</w:t>
            </w:r>
          </w:p>
          <w:p w14:paraId="5DC348DB">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color w:val="000000"/>
                <w:sz w:val="21"/>
                <w:szCs w:val="21"/>
              </w:rPr>
            </w:pPr>
            <w:r>
              <w:rPr>
                <w:rStyle w:val="14"/>
                <w:b/>
                <w:bCs/>
                <w:color w:val="000000"/>
                <w:sz w:val="21"/>
                <w:szCs w:val="21"/>
              </w:rPr>
              <w:t>结果反馈</w:t>
            </w:r>
            <w:r>
              <w:rPr>
                <w:color w:val="000000"/>
                <w:sz w:val="21"/>
                <w:szCs w:val="21"/>
              </w:rPr>
              <w:t>：采购人在现场验收完成后3个工作日内出具《监理服务验收意见书》，明确验收结果（合格/整改后合格/不合格），并书面送达监理人；</w:t>
            </w:r>
          </w:p>
          <w:p w14:paraId="0606A143">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color w:val="000000"/>
                <w:sz w:val="21"/>
                <w:szCs w:val="21"/>
              </w:rPr>
            </w:pPr>
            <w:r>
              <w:rPr>
                <w:rStyle w:val="14"/>
                <w:b/>
                <w:bCs/>
                <w:color w:val="000000"/>
                <w:sz w:val="21"/>
                <w:szCs w:val="21"/>
              </w:rPr>
              <w:t>结果处理</w:t>
            </w:r>
            <w:r>
              <w:rPr>
                <w:color w:val="000000"/>
                <w:sz w:val="21"/>
                <w:szCs w:val="21"/>
              </w:rPr>
              <w:t>：</w:t>
            </w:r>
          </w:p>
          <w:p w14:paraId="0E514E9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3" w:leftChars="0" w:right="0" w:rightChars="0" w:firstLine="420" w:firstLineChars="200"/>
              <w:jc w:val="left"/>
              <w:textAlignment w:val="auto"/>
              <w:rPr>
                <w:color w:val="000000"/>
                <w:sz w:val="21"/>
                <w:szCs w:val="21"/>
              </w:rPr>
            </w:pPr>
            <w:r>
              <w:rPr>
                <w:color w:val="000000"/>
                <w:sz w:val="21"/>
                <w:szCs w:val="21"/>
              </w:rPr>
              <w:t>验收合格：按合同约定支付相应监理费；</w:t>
            </w:r>
          </w:p>
          <w:p w14:paraId="4E025DD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3" w:leftChars="0" w:right="0" w:rightChars="0" w:firstLine="420" w:firstLineChars="200"/>
              <w:jc w:val="left"/>
              <w:textAlignment w:val="auto"/>
              <w:rPr>
                <w:color w:val="000000"/>
                <w:sz w:val="21"/>
                <w:szCs w:val="21"/>
              </w:rPr>
            </w:pPr>
            <w:r>
              <w:rPr>
                <w:color w:val="000000"/>
                <w:sz w:val="21"/>
                <w:szCs w:val="21"/>
              </w:rPr>
              <w:t>整改后合格：监理人按《监理服务验收意见书》要求在5个工作日内完成整改，整改完成后重新申请验收，验收合格后支付监理费，整改期间产生的费用由监理人自行承担；</w:t>
            </w:r>
          </w:p>
          <w:p w14:paraId="669C1EF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3" w:leftChars="0" w:right="0" w:rightChars="0" w:firstLine="420" w:firstLineChars="200"/>
              <w:jc w:val="left"/>
              <w:textAlignment w:val="auto"/>
              <w:rPr>
                <w:color w:val="000000"/>
                <w:sz w:val="21"/>
                <w:szCs w:val="21"/>
              </w:rPr>
            </w:pPr>
            <w:r>
              <w:rPr>
                <w:color w:val="000000"/>
                <w:sz w:val="21"/>
                <w:szCs w:val="21"/>
              </w:rPr>
              <w:t>验收不合格：整改后仍不合格的，采购人有权扣除该子项目/标项全部或部分监理费，终止监理服务合同，并按招标文件及合同约定追究监理人违约责任，同时将履约情况纳入政府采购信用评价体系。</w:t>
            </w:r>
          </w:p>
          <w:p w14:paraId="33CBB5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1"/>
                <w:szCs w:val="21"/>
              </w:rPr>
            </w:pPr>
            <w:r>
              <w:rPr>
                <w:color w:val="000000"/>
                <w:sz w:val="21"/>
                <w:szCs w:val="21"/>
              </w:rPr>
              <w:t>（七）验收异议处理</w:t>
            </w:r>
          </w:p>
          <w:p w14:paraId="0BE2B6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000000"/>
                <w:sz w:val="21"/>
                <w:szCs w:val="21"/>
              </w:rPr>
            </w:pPr>
            <w:r>
              <w:rPr>
                <w:rFonts w:ascii="宋体" w:hAnsi="宋体" w:eastAsia="宋体" w:cs="宋体"/>
                <w:color w:val="000000"/>
                <w:kern w:val="0"/>
                <w:sz w:val="21"/>
                <w:szCs w:val="21"/>
                <w:lang w:val="en-US" w:eastAsia="zh-CN" w:bidi="ar"/>
              </w:rPr>
              <w:t>监理人对验收结果有异议的，可在收到《监理服务验收意见书》后3个工作日内，向采购人提出书面复核申请并提交相关佐证资料，采购人在收到复核申请后5个工作日内完成复核并出具复核结果，</w:t>
            </w:r>
            <w:r>
              <w:rPr>
                <w:rStyle w:val="14"/>
                <w:rFonts w:ascii="宋体" w:hAnsi="宋体" w:eastAsia="宋体" w:cs="宋体"/>
                <w:b/>
                <w:bCs/>
                <w:color w:val="000000"/>
                <w:kern w:val="0"/>
                <w:sz w:val="21"/>
                <w:szCs w:val="21"/>
                <w:lang w:val="en-US" w:eastAsia="zh-CN" w:bidi="ar"/>
              </w:rPr>
              <w:t>复核结果为最终验收结果</w:t>
            </w:r>
            <w:r>
              <w:rPr>
                <w:rFonts w:ascii="宋体" w:hAnsi="宋体" w:eastAsia="宋体" w:cs="宋体"/>
                <w:color w:val="000000"/>
                <w:kern w:val="0"/>
                <w:sz w:val="21"/>
                <w:szCs w:val="21"/>
                <w:lang w:val="en-US" w:eastAsia="zh-CN" w:bidi="ar"/>
              </w:rPr>
              <w:t>，复核期间不影响监理费支付相关约定的执行。</w:t>
            </w:r>
          </w:p>
          <w:p w14:paraId="08FB0B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1"/>
                <w:szCs w:val="21"/>
              </w:rPr>
            </w:pPr>
            <w:r>
              <w:rPr>
                <w:color w:val="000000"/>
                <w:sz w:val="21"/>
                <w:szCs w:val="21"/>
              </w:rPr>
              <w:t>（八）其他约定</w:t>
            </w:r>
          </w:p>
          <w:p w14:paraId="3DB0EF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cs="宋体"/>
                <w:color w:val="auto"/>
                <w:sz w:val="21"/>
                <w:szCs w:val="21"/>
                <w:highlight w:val="none"/>
                <w:vertAlign w:val="baseline"/>
              </w:rPr>
            </w:pPr>
            <w:r>
              <w:rPr>
                <w:rFonts w:ascii="宋体" w:hAnsi="宋体" w:eastAsia="宋体" w:cs="宋体"/>
                <w:color w:val="000000"/>
                <w:kern w:val="0"/>
                <w:sz w:val="21"/>
                <w:szCs w:val="21"/>
                <w:lang w:val="en-US" w:eastAsia="zh-CN" w:bidi="ar"/>
              </w:rPr>
              <w:t>本验收标准作为本次招标文件及监理服务合同的补充条款，与招标文件、合同具有同等法律效力；本验收标准未明确的，按国家及行业现行监理规范、标准执行。</w:t>
            </w:r>
          </w:p>
        </w:tc>
      </w:tr>
    </w:tbl>
    <w:p w14:paraId="5FC0CA39">
      <w:pPr>
        <w:pStyle w:val="15"/>
        <w:keepNext w:val="0"/>
        <w:keepLines w:val="0"/>
        <w:tabs>
          <w:tab w:val="left" w:pos="0"/>
          <w:tab w:val="left" w:pos="3165"/>
          <w:tab w:val="center" w:pos="4153"/>
        </w:tabs>
        <w:autoSpaceDE w:val="0"/>
        <w:autoSpaceDN w:val="0"/>
        <w:spacing w:before="0" w:after="0" w:line="360" w:lineRule="auto"/>
        <w:jc w:val="center"/>
        <w:rPr>
          <w:rFonts w:hint="eastAsia" w:ascii="宋体" w:hAnsi="宋体" w:cs="宋体"/>
          <w:color w:val="auto"/>
          <w:highlight w:val="none"/>
        </w:rPr>
      </w:pPr>
    </w:p>
    <w:p w14:paraId="04D4293E">
      <w:pPr>
        <w:pStyle w:val="15"/>
        <w:keepNext w:val="0"/>
        <w:keepLines w:val="0"/>
        <w:tabs>
          <w:tab w:val="left" w:pos="0"/>
          <w:tab w:val="left" w:pos="3165"/>
          <w:tab w:val="center" w:pos="4153"/>
        </w:tabs>
        <w:autoSpaceDE w:val="0"/>
        <w:autoSpaceDN w:val="0"/>
        <w:spacing w:before="0" w:after="0" w:line="360" w:lineRule="auto"/>
        <w:jc w:val="center"/>
        <w:rPr>
          <w:rFonts w:hint="eastAsia" w:ascii="宋体" w:hAnsi="宋体" w:cs="宋体"/>
          <w:color w:val="auto"/>
          <w:highlight w:val="none"/>
        </w:rPr>
      </w:pPr>
    </w:p>
    <w:p w14:paraId="67933FFD">
      <w:pPr>
        <w:pStyle w:val="15"/>
        <w:keepNext w:val="0"/>
        <w:keepLines w:val="0"/>
        <w:tabs>
          <w:tab w:val="left" w:pos="0"/>
          <w:tab w:val="left" w:pos="3165"/>
          <w:tab w:val="center" w:pos="4153"/>
        </w:tabs>
        <w:autoSpaceDE w:val="0"/>
        <w:autoSpaceDN w:val="0"/>
        <w:spacing w:before="0" w:after="0" w:line="360" w:lineRule="auto"/>
        <w:jc w:val="center"/>
        <w:rPr>
          <w:rFonts w:hint="eastAsia" w:ascii="宋体" w:hAnsi="宋体" w:cs="宋体"/>
          <w:color w:val="auto"/>
          <w:highlight w:val="none"/>
        </w:rPr>
      </w:pPr>
    </w:p>
    <w:p w14:paraId="4ECDB007">
      <w:pPr>
        <w:pStyle w:val="15"/>
        <w:keepNext w:val="0"/>
        <w:keepLines w:val="0"/>
        <w:tabs>
          <w:tab w:val="left" w:pos="0"/>
          <w:tab w:val="left" w:pos="3165"/>
          <w:tab w:val="center" w:pos="4153"/>
        </w:tabs>
        <w:autoSpaceDE w:val="0"/>
        <w:autoSpaceDN w:val="0"/>
        <w:spacing w:before="0" w:after="0" w:line="360" w:lineRule="auto"/>
        <w:jc w:val="center"/>
        <w:rPr>
          <w:rFonts w:hint="eastAsia" w:ascii="宋体" w:hAnsi="宋体" w:cs="宋体"/>
          <w:color w:val="auto"/>
          <w:highlight w:val="none"/>
        </w:rPr>
      </w:pPr>
    </w:p>
    <w:p w14:paraId="0913C68C">
      <w:pPr>
        <w:pStyle w:val="15"/>
        <w:keepNext w:val="0"/>
        <w:keepLines w:val="0"/>
        <w:tabs>
          <w:tab w:val="left" w:pos="0"/>
          <w:tab w:val="left" w:pos="3165"/>
          <w:tab w:val="center" w:pos="4153"/>
        </w:tabs>
        <w:autoSpaceDE w:val="0"/>
        <w:autoSpaceDN w:val="0"/>
        <w:spacing w:before="0" w:after="0" w:line="360" w:lineRule="auto"/>
        <w:jc w:val="center"/>
        <w:rPr>
          <w:rFonts w:hint="eastAsia" w:ascii="宋体" w:hAnsi="宋体" w:cs="宋体"/>
          <w:color w:val="auto"/>
          <w:highlight w:val="none"/>
        </w:rPr>
      </w:pPr>
    </w:p>
    <w:p w14:paraId="1414A6DC">
      <w:pPr>
        <w:pStyle w:val="15"/>
        <w:keepNext w:val="0"/>
        <w:keepLines w:val="0"/>
        <w:tabs>
          <w:tab w:val="left" w:pos="0"/>
          <w:tab w:val="left" w:pos="3165"/>
          <w:tab w:val="center" w:pos="4153"/>
        </w:tabs>
        <w:autoSpaceDE w:val="0"/>
        <w:autoSpaceDN w:val="0"/>
        <w:spacing w:before="0" w:after="0" w:line="360" w:lineRule="auto"/>
        <w:jc w:val="center"/>
        <w:rPr>
          <w:rFonts w:hint="eastAsia" w:ascii="宋体" w:hAnsi="宋体" w:cs="宋体"/>
          <w:color w:val="auto"/>
          <w:highlight w:val="none"/>
        </w:rPr>
      </w:pPr>
    </w:p>
    <w:p w14:paraId="232A0BFC">
      <w:pPr>
        <w:pStyle w:val="15"/>
        <w:keepNext w:val="0"/>
        <w:keepLines w:val="0"/>
        <w:tabs>
          <w:tab w:val="left" w:pos="0"/>
          <w:tab w:val="left" w:pos="3165"/>
          <w:tab w:val="center" w:pos="4153"/>
        </w:tabs>
        <w:autoSpaceDE w:val="0"/>
        <w:autoSpaceDN w:val="0"/>
        <w:spacing w:before="0" w:after="0" w:line="360" w:lineRule="auto"/>
        <w:jc w:val="center"/>
        <w:rPr>
          <w:rFonts w:hint="eastAsia" w:ascii="宋体" w:hAnsi="宋体" w:cs="宋体"/>
          <w:color w:val="auto"/>
          <w:highlight w:val="none"/>
        </w:rPr>
      </w:pPr>
    </w:p>
    <w:p w14:paraId="79C457E7">
      <w:pPr>
        <w:pStyle w:val="15"/>
        <w:keepNext w:val="0"/>
        <w:keepLines w:val="0"/>
        <w:tabs>
          <w:tab w:val="left" w:pos="0"/>
          <w:tab w:val="left" w:pos="3165"/>
          <w:tab w:val="center" w:pos="4153"/>
        </w:tabs>
        <w:autoSpaceDE w:val="0"/>
        <w:autoSpaceDN w:val="0"/>
        <w:spacing w:before="0" w:after="0" w:line="360" w:lineRule="auto"/>
        <w:jc w:val="center"/>
        <w:rPr>
          <w:rFonts w:hint="eastAsia" w:ascii="宋体" w:hAnsi="宋体" w:cs="宋体"/>
          <w:color w:val="auto"/>
          <w:highlight w:val="none"/>
        </w:rPr>
      </w:pPr>
    </w:p>
    <w:p w14:paraId="0CE349C2">
      <w:pPr>
        <w:pStyle w:val="15"/>
        <w:keepNext w:val="0"/>
        <w:keepLines w:val="0"/>
        <w:tabs>
          <w:tab w:val="left" w:pos="0"/>
          <w:tab w:val="left" w:pos="3165"/>
          <w:tab w:val="center" w:pos="4153"/>
        </w:tabs>
        <w:autoSpaceDE w:val="0"/>
        <w:autoSpaceDN w:val="0"/>
        <w:spacing w:before="0" w:after="0" w:line="360" w:lineRule="auto"/>
        <w:jc w:val="center"/>
        <w:rPr>
          <w:rFonts w:hint="eastAsia" w:ascii="宋体" w:hAnsi="宋体" w:cs="宋体"/>
          <w:color w:val="auto"/>
          <w:highlight w:val="none"/>
        </w:rPr>
      </w:pPr>
    </w:p>
    <w:p w14:paraId="1C8D92DD">
      <w:pPr>
        <w:pStyle w:val="15"/>
        <w:keepNext w:val="0"/>
        <w:keepLines w:val="0"/>
        <w:tabs>
          <w:tab w:val="left" w:pos="0"/>
          <w:tab w:val="left" w:pos="3165"/>
          <w:tab w:val="center" w:pos="4153"/>
        </w:tabs>
        <w:autoSpaceDE w:val="0"/>
        <w:autoSpaceDN w:val="0"/>
        <w:spacing w:before="0" w:after="0" w:line="360" w:lineRule="auto"/>
        <w:jc w:val="center"/>
        <w:rPr>
          <w:rFonts w:hint="eastAsia" w:ascii="宋体" w:hAnsi="宋体" w:cs="宋体"/>
          <w:color w:val="auto"/>
          <w:highlight w:val="none"/>
        </w:rPr>
      </w:pPr>
    </w:p>
    <w:p w14:paraId="2CA66DBD">
      <w:pPr>
        <w:pStyle w:val="15"/>
        <w:keepNext w:val="0"/>
        <w:keepLines w:val="0"/>
        <w:tabs>
          <w:tab w:val="left" w:pos="0"/>
          <w:tab w:val="left" w:pos="3165"/>
          <w:tab w:val="center" w:pos="4153"/>
        </w:tabs>
        <w:autoSpaceDE w:val="0"/>
        <w:autoSpaceDN w:val="0"/>
        <w:spacing w:before="0" w:after="0" w:line="360" w:lineRule="auto"/>
        <w:jc w:val="center"/>
        <w:rPr>
          <w:rFonts w:hint="eastAsia" w:ascii="宋体" w:hAnsi="宋体" w:cs="宋体"/>
          <w:color w:val="auto"/>
          <w:highlight w:val="none"/>
        </w:rPr>
      </w:pPr>
    </w:p>
    <w:p w14:paraId="75FBB90C">
      <w:pPr>
        <w:pStyle w:val="15"/>
        <w:keepNext w:val="0"/>
        <w:keepLines w:val="0"/>
        <w:tabs>
          <w:tab w:val="left" w:pos="0"/>
          <w:tab w:val="left" w:pos="3165"/>
          <w:tab w:val="center" w:pos="4153"/>
        </w:tabs>
        <w:autoSpaceDE w:val="0"/>
        <w:autoSpaceDN w:val="0"/>
        <w:spacing w:before="0" w:after="0" w:line="360" w:lineRule="auto"/>
        <w:jc w:val="center"/>
        <w:rPr>
          <w:rFonts w:hint="eastAsia" w:ascii="宋体" w:hAnsi="宋体" w:cs="宋体"/>
          <w:color w:val="auto"/>
          <w:highlight w:val="none"/>
        </w:rPr>
      </w:pPr>
    </w:p>
    <w:p w14:paraId="4D4B9090">
      <w:pPr>
        <w:pStyle w:val="15"/>
        <w:keepNext w:val="0"/>
        <w:keepLines w:val="0"/>
        <w:tabs>
          <w:tab w:val="left" w:pos="0"/>
          <w:tab w:val="left" w:pos="3165"/>
          <w:tab w:val="center" w:pos="4153"/>
        </w:tabs>
        <w:autoSpaceDE w:val="0"/>
        <w:autoSpaceDN w:val="0"/>
        <w:spacing w:before="0" w:after="0" w:line="360" w:lineRule="auto"/>
        <w:jc w:val="center"/>
        <w:rPr>
          <w:rFonts w:hint="eastAsia" w:ascii="宋体" w:hAnsi="宋体" w:cs="宋体"/>
          <w:color w:val="auto"/>
          <w:highlight w:val="none"/>
        </w:rPr>
      </w:pPr>
    </w:p>
    <w:p w14:paraId="2D39B575">
      <w:pPr>
        <w:pStyle w:val="15"/>
        <w:keepNext w:val="0"/>
        <w:keepLines w:val="0"/>
        <w:tabs>
          <w:tab w:val="left" w:pos="0"/>
          <w:tab w:val="left" w:pos="3165"/>
          <w:tab w:val="center" w:pos="4153"/>
        </w:tabs>
        <w:autoSpaceDE w:val="0"/>
        <w:autoSpaceDN w:val="0"/>
        <w:spacing w:before="0" w:after="0" w:line="360" w:lineRule="auto"/>
        <w:jc w:val="center"/>
        <w:rPr>
          <w:rFonts w:hint="eastAsia" w:ascii="宋体" w:hAnsi="宋体" w:cs="宋体"/>
          <w:color w:val="auto"/>
          <w:highlight w:val="none"/>
        </w:rPr>
      </w:pPr>
    </w:p>
    <w:p w14:paraId="33A6E7C6">
      <w:pPr>
        <w:pStyle w:val="15"/>
        <w:keepNext w:val="0"/>
        <w:keepLines w:val="0"/>
        <w:tabs>
          <w:tab w:val="left" w:pos="0"/>
          <w:tab w:val="left" w:pos="3165"/>
          <w:tab w:val="center" w:pos="4153"/>
        </w:tabs>
        <w:autoSpaceDE w:val="0"/>
        <w:autoSpaceDN w:val="0"/>
        <w:spacing w:before="0" w:after="0" w:line="360" w:lineRule="auto"/>
        <w:jc w:val="center"/>
        <w:rPr>
          <w:rFonts w:hint="eastAsia" w:ascii="宋体" w:hAnsi="宋体" w:cs="宋体"/>
          <w:color w:val="auto"/>
          <w:highlight w:val="none"/>
        </w:rPr>
      </w:pPr>
    </w:p>
    <w:p w14:paraId="2DFC74E8">
      <w:pPr>
        <w:pStyle w:val="15"/>
        <w:keepNext w:val="0"/>
        <w:keepLines w:val="0"/>
        <w:tabs>
          <w:tab w:val="left" w:pos="0"/>
          <w:tab w:val="left" w:pos="3165"/>
          <w:tab w:val="center" w:pos="4153"/>
        </w:tabs>
        <w:autoSpaceDE w:val="0"/>
        <w:autoSpaceDN w:val="0"/>
        <w:spacing w:before="0" w:after="0" w:line="360" w:lineRule="auto"/>
        <w:jc w:val="center"/>
        <w:rPr>
          <w:rFonts w:hint="eastAsia" w:ascii="宋体" w:hAnsi="宋体" w:cs="宋体"/>
          <w:color w:val="auto"/>
          <w:highlight w:val="none"/>
        </w:rPr>
      </w:pPr>
    </w:p>
    <w:p w14:paraId="6D531743">
      <w:pPr>
        <w:pStyle w:val="15"/>
        <w:keepNext w:val="0"/>
        <w:keepLines w:val="0"/>
        <w:tabs>
          <w:tab w:val="left" w:pos="0"/>
          <w:tab w:val="left" w:pos="3165"/>
          <w:tab w:val="center" w:pos="4153"/>
        </w:tabs>
        <w:autoSpaceDE w:val="0"/>
        <w:autoSpaceDN w:val="0"/>
        <w:spacing w:before="0" w:after="0" w:line="360" w:lineRule="auto"/>
        <w:jc w:val="center"/>
        <w:rPr>
          <w:rFonts w:hint="eastAsia" w:ascii="宋体" w:hAnsi="宋体" w:cs="宋体"/>
          <w:color w:val="auto"/>
          <w:highlight w:val="none"/>
        </w:rPr>
      </w:pPr>
    </w:p>
    <w:p w14:paraId="5B13AE01">
      <w:pPr>
        <w:pStyle w:val="15"/>
        <w:keepNext w:val="0"/>
        <w:keepLines w:val="0"/>
        <w:tabs>
          <w:tab w:val="left" w:pos="0"/>
          <w:tab w:val="left" w:pos="3165"/>
          <w:tab w:val="center" w:pos="4153"/>
        </w:tabs>
        <w:autoSpaceDE w:val="0"/>
        <w:autoSpaceDN w:val="0"/>
        <w:spacing w:before="0" w:after="0" w:line="360" w:lineRule="auto"/>
        <w:jc w:val="center"/>
        <w:rPr>
          <w:rFonts w:hint="eastAsia" w:ascii="宋体" w:hAnsi="宋体" w:cs="宋体"/>
          <w:color w:val="auto"/>
          <w:highlight w:val="none"/>
        </w:rPr>
      </w:pPr>
    </w:p>
    <w:p w14:paraId="35CF06EF">
      <w:pPr>
        <w:pStyle w:val="15"/>
        <w:keepNext w:val="0"/>
        <w:keepLines w:val="0"/>
        <w:tabs>
          <w:tab w:val="left" w:pos="0"/>
          <w:tab w:val="left" w:pos="3165"/>
          <w:tab w:val="center" w:pos="4153"/>
        </w:tabs>
        <w:autoSpaceDE w:val="0"/>
        <w:autoSpaceDN w:val="0"/>
        <w:spacing w:before="0" w:after="0" w:line="360" w:lineRule="auto"/>
        <w:jc w:val="center"/>
        <w:rPr>
          <w:rFonts w:hint="eastAsia" w:ascii="宋体" w:hAnsi="宋体" w:cs="宋体"/>
          <w:color w:val="auto"/>
          <w:highlight w:val="none"/>
        </w:rPr>
      </w:pPr>
    </w:p>
    <w:p w14:paraId="06307118">
      <w:pPr>
        <w:pStyle w:val="15"/>
        <w:keepNext w:val="0"/>
        <w:keepLines w:val="0"/>
        <w:tabs>
          <w:tab w:val="left" w:pos="0"/>
          <w:tab w:val="left" w:pos="3165"/>
          <w:tab w:val="center" w:pos="4153"/>
        </w:tabs>
        <w:autoSpaceDE w:val="0"/>
        <w:autoSpaceDN w:val="0"/>
        <w:spacing w:before="0" w:after="0" w:line="360" w:lineRule="auto"/>
        <w:jc w:val="center"/>
        <w:rPr>
          <w:rFonts w:hint="eastAsia" w:ascii="宋体" w:hAnsi="宋体" w:cs="宋体"/>
          <w:color w:val="auto"/>
          <w:highlight w:val="none"/>
        </w:rPr>
      </w:pPr>
      <w:r>
        <w:rPr>
          <w:rFonts w:hint="eastAsia" w:ascii="宋体" w:hAnsi="宋体" w:cs="宋体"/>
          <w:color w:val="auto"/>
          <w:highlight w:val="none"/>
        </w:rPr>
        <w:t>第三章投标人须知</w:t>
      </w:r>
      <w:bookmarkEnd w:id="65"/>
      <w:bookmarkEnd w:id="66"/>
      <w:bookmarkEnd w:id="67"/>
      <w:bookmarkEnd w:id="68"/>
    </w:p>
    <w:p w14:paraId="31F4857E">
      <w:pPr>
        <w:pStyle w:val="16"/>
        <w:spacing w:before="0" w:after="0" w:line="360" w:lineRule="auto"/>
        <w:jc w:val="center"/>
        <w:rPr>
          <w:rFonts w:hint="eastAsia" w:ascii="宋体" w:hAnsi="宋体" w:eastAsia="宋体"/>
          <w:color w:val="auto"/>
          <w:highlight w:val="none"/>
        </w:rPr>
      </w:pPr>
      <w:bookmarkStart w:id="69" w:name="_Toc3968"/>
      <w:bookmarkStart w:id="70" w:name="_Toc19584"/>
      <w:bookmarkStart w:id="71" w:name="_Toc254970526"/>
      <w:bookmarkStart w:id="72" w:name="_Toc254970667"/>
      <w:bookmarkStart w:id="73" w:name="_Toc12068"/>
      <w:r>
        <w:rPr>
          <w:rFonts w:hint="eastAsia" w:ascii="宋体" w:hAnsi="宋体" w:eastAsia="宋体"/>
          <w:color w:val="auto"/>
          <w:highlight w:val="none"/>
        </w:rPr>
        <w:t>投标人须知前附表</w:t>
      </w:r>
      <w:bookmarkEnd w:id="69"/>
      <w:bookmarkEnd w:id="70"/>
      <w:bookmarkEnd w:id="71"/>
      <w:bookmarkEnd w:id="72"/>
      <w:bookmarkEnd w:id="73"/>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6"/>
        <w:gridCol w:w="8809"/>
      </w:tblGrid>
      <w:tr w14:paraId="5B735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4C7E1845">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条款号</w:t>
            </w:r>
          </w:p>
        </w:tc>
        <w:tc>
          <w:tcPr>
            <w:tcW w:w="8809" w:type="dxa"/>
            <w:tcBorders>
              <w:top w:val="single" w:color="auto" w:sz="4" w:space="0"/>
              <w:left w:val="single" w:color="auto" w:sz="4" w:space="0"/>
              <w:bottom w:val="single" w:color="auto" w:sz="4" w:space="0"/>
              <w:right w:val="single" w:color="auto" w:sz="4" w:space="0"/>
            </w:tcBorders>
            <w:vAlign w:val="center"/>
          </w:tcPr>
          <w:p w14:paraId="73930DFD">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编列内容</w:t>
            </w:r>
          </w:p>
        </w:tc>
      </w:tr>
      <w:tr w14:paraId="3A9B84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0E6EC793">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8809" w:type="dxa"/>
            <w:tcBorders>
              <w:top w:val="single" w:color="auto" w:sz="4" w:space="0"/>
              <w:left w:val="single" w:color="auto" w:sz="4" w:space="0"/>
              <w:bottom w:val="single" w:color="auto" w:sz="4" w:space="0"/>
              <w:right w:val="single" w:color="auto" w:sz="4" w:space="0"/>
            </w:tcBorders>
            <w:vAlign w:val="center"/>
          </w:tcPr>
          <w:p w14:paraId="12EFF212">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投标人的资格要求详见“招标公告”。</w:t>
            </w:r>
          </w:p>
        </w:tc>
      </w:tr>
      <w:tr w14:paraId="2821F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29FF32F3">
            <w:pPr>
              <w:spacing w:line="360" w:lineRule="auto"/>
              <w:rPr>
                <w:rFonts w:hint="eastAsia" w:ascii="宋体" w:hAnsi="宋体" w:cs="宋体"/>
                <w:color w:val="auto"/>
                <w:sz w:val="21"/>
                <w:szCs w:val="21"/>
                <w:highlight w:val="none"/>
              </w:rPr>
            </w:pPr>
            <w:bookmarkStart w:id="74" w:name="_8.1"/>
            <w:bookmarkEnd w:id="74"/>
            <w:bookmarkStart w:id="75" w:name="_9.2"/>
            <w:bookmarkEnd w:id="75"/>
            <w:bookmarkStart w:id="76" w:name="_5"/>
            <w:bookmarkEnd w:id="76"/>
            <w:r>
              <w:rPr>
                <w:rFonts w:hint="eastAsia" w:ascii="宋体" w:hAnsi="宋体" w:cs="宋体"/>
                <w:color w:val="auto"/>
                <w:sz w:val="21"/>
                <w:szCs w:val="21"/>
                <w:highlight w:val="none"/>
              </w:rPr>
              <w:t>6.1</w:t>
            </w:r>
          </w:p>
        </w:tc>
        <w:tc>
          <w:tcPr>
            <w:tcW w:w="8809" w:type="dxa"/>
            <w:tcBorders>
              <w:top w:val="single" w:color="auto" w:sz="4" w:space="0"/>
              <w:left w:val="single" w:color="auto" w:sz="4" w:space="0"/>
              <w:bottom w:val="single" w:color="auto" w:sz="4" w:space="0"/>
              <w:right w:val="single" w:color="auto" w:sz="4" w:space="0"/>
            </w:tcBorders>
            <w:vAlign w:val="center"/>
          </w:tcPr>
          <w:p w14:paraId="4985ACCD">
            <w:pPr>
              <w:pStyle w:val="38"/>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本项目是否接受联合体投标：详见招标公告。</w:t>
            </w:r>
          </w:p>
        </w:tc>
      </w:tr>
      <w:tr w14:paraId="10BBDB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545921AA">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7.2</w:t>
            </w:r>
          </w:p>
        </w:tc>
        <w:tc>
          <w:tcPr>
            <w:tcW w:w="8809" w:type="dxa"/>
            <w:tcBorders>
              <w:top w:val="single" w:color="auto" w:sz="4" w:space="0"/>
              <w:left w:val="single" w:color="auto" w:sz="4" w:space="0"/>
              <w:bottom w:val="single" w:color="auto" w:sz="4" w:space="0"/>
              <w:right w:val="single" w:color="auto" w:sz="4" w:space="0"/>
            </w:tcBorders>
            <w:vAlign w:val="center"/>
          </w:tcPr>
          <w:p w14:paraId="2CACE51D">
            <w:pPr>
              <w:pStyle w:val="38"/>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sym w:font="Wingdings" w:char="00FE"/>
            </w:r>
            <w:r>
              <w:rPr>
                <w:rFonts w:hint="eastAsia" w:ascii="宋体" w:hAnsi="宋体" w:cs="宋体"/>
                <w:color w:val="auto"/>
                <w:sz w:val="21"/>
                <w:szCs w:val="21"/>
                <w:highlight w:val="none"/>
                <w:lang w:val="en-US" w:eastAsia="zh-CN"/>
              </w:rPr>
              <w:t>不允许分包</w:t>
            </w:r>
          </w:p>
          <w:p w14:paraId="1A576A0D">
            <w:pPr>
              <w:pStyle w:val="38"/>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sym w:font="Wingdings" w:char="00A8"/>
            </w:r>
            <w:r>
              <w:rPr>
                <w:rFonts w:hint="eastAsia" w:ascii="宋体" w:hAnsi="宋体" w:cs="宋体"/>
                <w:color w:val="auto"/>
                <w:sz w:val="21"/>
                <w:szCs w:val="21"/>
                <w:highlight w:val="none"/>
                <w:lang w:val="en-US" w:eastAsia="zh-CN"/>
              </w:rPr>
              <w:t>允许分包</w:t>
            </w:r>
          </w:p>
          <w:p w14:paraId="678174E6">
            <w:pPr>
              <w:tabs>
                <w:tab w:val="left" w:pos="0"/>
                <w:tab w:val="left" w:pos="1286"/>
                <w:tab w:val="left" w:pos="1929"/>
              </w:tabs>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分包内容：</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w:t>
            </w:r>
          </w:p>
          <w:p w14:paraId="52F37F82">
            <w:pPr>
              <w:tabs>
                <w:tab w:val="left" w:pos="0"/>
                <w:tab w:val="left" w:pos="1286"/>
                <w:tab w:val="left" w:pos="1929"/>
              </w:tabs>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分包人的资格要求：</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w:t>
            </w:r>
          </w:p>
          <w:p w14:paraId="62C9F735">
            <w:pPr>
              <w:pStyle w:val="38"/>
              <w:spacing w:line="360" w:lineRule="auto"/>
              <w:jc w:val="both"/>
              <w:rPr>
                <w:rFonts w:hint="eastAsia" w:ascii="宋体" w:hAnsi="宋体" w:cs="宋体"/>
                <w:color w:val="auto"/>
                <w:sz w:val="21"/>
                <w:szCs w:val="21"/>
                <w:highlight w:val="none"/>
                <w:u w:val="single"/>
                <w:lang w:val="en-US" w:eastAsia="zh-CN"/>
              </w:rPr>
            </w:pPr>
            <w:r>
              <w:rPr>
                <w:rFonts w:hint="eastAsia" w:ascii="宋体" w:hAnsi="宋体" w:cs="宋体"/>
                <w:color w:val="auto"/>
                <w:sz w:val="21"/>
                <w:szCs w:val="21"/>
                <w:highlight w:val="none"/>
                <w:lang w:val="en-US" w:eastAsia="zh-CN"/>
              </w:rPr>
              <w:t>分包金额或者比例：</w:t>
            </w:r>
            <w:r>
              <w:rPr>
                <w:rFonts w:hint="eastAsia" w:ascii="宋体" w:hAnsi="宋体" w:cs="宋体"/>
                <w:color w:val="auto"/>
                <w:sz w:val="21"/>
                <w:szCs w:val="21"/>
                <w:highlight w:val="none"/>
                <w:u w:val="single"/>
                <w:lang w:val="en-US" w:eastAsia="zh-CN"/>
              </w:rPr>
              <w:t>/。</w:t>
            </w:r>
          </w:p>
        </w:tc>
      </w:tr>
      <w:tr w14:paraId="2E2E36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1B35E7EF">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11.2</w:t>
            </w:r>
          </w:p>
        </w:tc>
        <w:tc>
          <w:tcPr>
            <w:tcW w:w="8809" w:type="dxa"/>
            <w:tcBorders>
              <w:top w:val="single" w:color="auto" w:sz="4" w:space="0"/>
              <w:left w:val="single" w:color="auto" w:sz="4" w:space="0"/>
              <w:bottom w:val="single" w:color="auto" w:sz="4" w:space="0"/>
              <w:right w:val="single" w:color="auto" w:sz="4" w:space="0"/>
            </w:tcBorders>
            <w:vAlign w:val="center"/>
          </w:tcPr>
          <w:p w14:paraId="040B4E8F">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☑不组织现场考察</w:t>
            </w:r>
          </w:p>
          <w:p w14:paraId="2DEB2E85">
            <w:pPr>
              <w:spacing w:line="360" w:lineRule="auto"/>
              <w:rPr>
                <w:rFonts w:hint="eastAsia" w:ascii="宋体" w:hAnsi="宋体" w:eastAsia="宋体" w:cs="宋体"/>
                <w:color w:val="auto"/>
                <w:sz w:val="21"/>
                <w:szCs w:val="21"/>
                <w:highlight w:val="none"/>
                <w:u w:val="single"/>
                <w:lang w:eastAsia="zh-CN"/>
              </w:rPr>
            </w:pPr>
            <w:r>
              <w:rPr>
                <w:rFonts w:hint="eastAsia" w:ascii="宋体" w:hAnsi="宋体" w:cs="宋体"/>
                <w:color w:val="auto"/>
                <w:sz w:val="21"/>
                <w:szCs w:val="21"/>
                <w:highlight w:val="none"/>
              </w:rPr>
              <w:t>□组织现场考察：集中时间：年月日时</w:t>
            </w:r>
            <w:r>
              <w:rPr>
                <w:rFonts w:hint="eastAsia" w:ascii="宋体" w:hAnsi="宋体" w:cs="宋体"/>
                <w:color w:val="auto"/>
                <w:sz w:val="21"/>
                <w:szCs w:val="21"/>
                <w:highlight w:val="none"/>
                <w:u w:val="single"/>
              </w:rPr>
              <w:t>分</w:t>
            </w:r>
            <w:r>
              <w:rPr>
                <w:rFonts w:hint="eastAsia" w:ascii="宋体" w:hAnsi="宋体" w:cs="宋体"/>
                <w:color w:val="auto"/>
                <w:sz w:val="21"/>
                <w:szCs w:val="21"/>
                <w:highlight w:val="none"/>
              </w:rPr>
              <w:t>，逾期后果自负。集中地点：</w:t>
            </w:r>
          </w:p>
          <w:p w14:paraId="0783422B">
            <w:pPr>
              <w:spacing w:line="360" w:lineRule="auto"/>
              <w:rPr>
                <w:rFonts w:hint="eastAsia" w:ascii="宋体" w:hAnsi="宋体" w:eastAsia="宋体" w:cs="宋体"/>
                <w:color w:val="auto"/>
                <w:sz w:val="21"/>
                <w:szCs w:val="21"/>
                <w:highlight w:val="none"/>
                <w:u w:val="single"/>
                <w:lang w:eastAsia="zh-CN"/>
              </w:rPr>
            </w:pPr>
            <w:r>
              <w:rPr>
                <w:rFonts w:hint="eastAsia" w:ascii="宋体" w:hAnsi="宋体" w:cs="宋体"/>
                <w:color w:val="auto"/>
                <w:sz w:val="21"/>
                <w:szCs w:val="21"/>
                <w:highlight w:val="none"/>
              </w:rPr>
              <w:t>联系人：；联系电话：</w:t>
            </w:r>
          </w:p>
          <w:p w14:paraId="5B679381">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☑不组织召开开标前答疑会</w:t>
            </w:r>
          </w:p>
          <w:p w14:paraId="0FF83FF6">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□组织召开开标前答疑会</w:t>
            </w:r>
          </w:p>
          <w:p w14:paraId="276AB46C">
            <w:pPr>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会议开始时间：年月日时</w:t>
            </w:r>
            <w:r>
              <w:rPr>
                <w:rFonts w:hint="eastAsia" w:ascii="宋体" w:hAnsi="宋体" w:cs="宋体"/>
                <w:color w:val="auto"/>
                <w:sz w:val="21"/>
                <w:szCs w:val="21"/>
                <w:highlight w:val="none"/>
                <w:u w:val="single"/>
              </w:rPr>
              <w:t>分</w:t>
            </w:r>
            <w:r>
              <w:rPr>
                <w:rFonts w:hint="eastAsia" w:ascii="宋体" w:hAnsi="宋体" w:cs="宋体"/>
                <w:color w:val="auto"/>
                <w:sz w:val="21"/>
                <w:szCs w:val="21"/>
                <w:highlight w:val="none"/>
              </w:rPr>
              <w:t>，逾期后果自负。会议地点：</w:t>
            </w:r>
          </w:p>
        </w:tc>
      </w:tr>
      <w:tr w14:paraId="49BDEE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vMerge w:val="restart"/>
            <w:tcBorders>
              <w:top w:val="single" w:color="auto" w:sz="4" w:space="0"/>
              <w:left w:val="single" w:color="auto" w:sz="4" w:space="0"/>
              <w:bottom w:val="single" w:color="auto" w:sz="4" w:space="0"/>
              <w:right w:val="single" w:color="auto" w:sz="4" w:space="0"/>
            </w:tcBorders>
            <w:vAlign w:val="center"/>
          </w:tcPr>
          <w:p w14:paraId="5242F7E5">
            <w:pPr>
              <w:spacing w:line="360" w:lineRule="auto"/>
              <w:rPr>
                <w:rFonts w:hint="eastAsia" w:ascii="宋体" w:hAnsi="宋体" w:cs="宋体"/>
                <w:color w:val="auto"/>
                <w:sz w:val="21"/>
                <w:szCs w:val="21"/>
                <w:highlight w:val="none"/>
              </w:rPr>
            </w:pPr>
            <w:bookmarkStart w:id="77" w:name="_13.1"/>
            <w:bookmarkEnd w:id="77"/>
            <w:r>
              <w:rPr>
                <w:rFonts w:hint="eastAsia" w:ascii="宋体" w:hAnsi="宋体" w:cs="宋体"/>
                <w:color w:val="auto"/>
                <w:sz w:val="21"/>
                <w:szCs w:val="21"/>
                <w:highlight w:val="none"/>
              </w:rPr>
              <w:t>13.</w:t>
            </w:r>
            <w:bookmarkStart w:id="78" w:name="_Hlt19632543"/>
            <w:r>
              <w:rPr>
                <w:rFonts w:hint="eastAsia" w:ascii="宋体" w:hAnsi="宋体" w:cs="宋体"/>
                <w:color w:val="auto"/>
                <w:sz w:val="21"/>
                <w:szCs w:val="21"/>
                <w:highlight w:val="none"/>
              </w:rPr>
              <w:t>1</w:t>
            </w:r>
            <w:bookmarkEnd w:id="78"/>
          </w:p>
        </w:tc>
        <w:tc>
          <w:tcPr>
            <w:tcW w:w="8809" w:type="dxa"/>
            <w:tcBorders>
              <w:top w:val="single" w:color="auto" w:sz="4" w:space="0"/>
              <w:left w:val="single" w:color="auto" w:sz="4" w:space="0"/>
              <w:bottom w:val="single" w:color="auto" w:sz="4" w:space="0"/>
              <w:right w:val="single" w:color="auto" w:sz="4" w:space="0"/>
            </w:tcBorders>
            <w:vAlign w:val="center"/>
          </w:tcPr>
          <w:p w14:paraId="3805547E">
            <w:pPr>
              <w:spacing w:line="360" w:lineRule="auto"/>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报价文件：</w:t>
            </w:r>
          </w:p>
          <w:p w14:paraId="430887B0">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1.投标函（格式后附）；（必须提供，否则作无效投标处理）</w:t>
            </w:r>
          </w:p>
          <w:p w14:paraId="11D9E23C">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2.开标一览表（格式后附）；（必须提供，否则作无效投标处理）</w:t>
            </w:r>
          </w:p>
          <w:p w14:paraId="5660066B">
            <w:pPr>
              <w:spacing w:line="360" w:lineRule="auto"/>
              <w:rPr>
                <w:rFonts w:hint="eastAsia" w:ascii="宋体" w:hAnsi="宋体" w:cs="宋体"/>
                <w:b/>
                <w:bCs/>
                <w:color w:val="auto"/>
                <w:sz w:val="21"/>
                <w:szCs w:val="21"/>
                <w:highlight w:val="none"/>
              </w:rPr>
            </w:pPr>
            <w:r>
              <w:rPr>
                <w:rFonts w:hint="eastAsia" w:ascii="宋体" w:hAnsi="宋体" w:cs="宋体"/>
                <w:color w:val="auto"/>
                <w:sz w:val="21"/>
                <w:szCs w:val="21"/>
                <w:highlight w:val="none"/>
              </w:rPr>
              <w:t>3.投标人针对报价需要说明的其他文件和说明（格式自拟）。</w:t>
            </w:r>
          </w:p>
          <w:p w14:paraId="2F9B56B9">
            <w:pPr>
              <w:spacing w:line="360" w:lineRule="auto"/>
              <w:jc w:val="left"/>
              <w:rPr>
                <w:rFonts w:hint="eastAsia" w:ascii="宋体" w:hAnsi="宋体" w:cs="宋体"/>
                <w:color w:val="auto"/>
                <w:sz w:val="21"/>
                <w:szCs w:val="21"/>
                <w:highlight w:val="none"/>
              </w:rPr>
            </w:pPr>
            <w:r>
              <w:rPr>
                <w:rFonts w:hint="eastAsia" w:ascii="宋体" w:hAnsi="宋体" w:cs="宋体"/>
                <w:b/>
                <w:bCs/>
                <w:color w:val="auto"/>
                <w:sz w:val="21"/>
                <w:szCs w:val="21"/>
                <w:highlight w:val="none"/>
              </w:rPr>
              <w:t>注：投标函、开标一览表必须由法定代表人或者委托代理人在规定签章处逐一签字并加盖投标人公章，否则</w:t>
            </w:r>
            <w:r>
              <w:rPr>
                <w:rFonts w:hint="eastAsia" w:ascii="宋体" w:hAnsi="宋体" w:cs="宋体"/>
                <w:b/>
                <w:color w:val="auto"/>
                <w:sz w:val="21"/>
                <w:szCs w:val="21"/>
                <w:highlight w:val="none"/>
              </w:rPr>
              <w:t>作无效投标处理</w:t>
            </w:r>
            <w:r>
              <w:rPr>
                <w:rFonts w:hint="eastAsia" w:ascii="宋体" w:hAnsi="宋体" w:cs="宋体"/>
                <w:b/>
                <w:bCs/>
                <w:color w:val="auto"/>
                <w:sz w:val="21"/>
                <w:szCs w:val="21"/>
                <w:highlight w:val="none"/>
              </w:rPr>
              <w:t>。</w:t>
            </w:r>
          </w:p>
        </w:tc>
      </w:tr>
      <w:tr w14:paraId="35821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vMerge w:val="continue"/>
            <w:tcBorders>
              <w:top w:val="single" w:color="auto" w:sz="4" w:space="0"/>
              <w:left w:val="single" w:color="auto" w:sz="4" w:space="0"/>
              <w:bottom w:val="single" w:color="auto" w:sz="4" w:space="0"/>
              <w:right w:val="single" w:color="auto" w:sz="4" w:space="0"/>
            </w:tcBorders>
            <w:vAlign w:val="center"/>
          </w:tcPr>
          <w:p w14:paraId="5FECB9A6">
            <w:pPr>
              <w:spacing w:line="360" w:lineRule="auto"/>
              <w:rPr>
                <w:rFonts w:hint="eastAsia" w:ascii="宋体" w:hAnsi="宋体" w:cs="宋体"/>
                <w:color w:val="auto"/>
                <w:sz w:val="21"/>
                <w:szCs w:val="21"/>
                <w:highlight w:val="none"/>
              </w:rPr>
            </w:pPr>
            <w:bookmarkStart w:id="79" w:name="_13.2"/>
            <w:bookmarkEnd w:id="79"/>
          </w:p>
        </w:tc>
        <w:tc>
          <w:tcPr>
            <w:tcW w:w="8809" w:type="dxa"/>
            <w:tcBorders>
              <w:top w:val="single" w:color="auto" w:sz="4" w:space="0"/>
              <w:left w:val="single" w:color="auto" w:sz="4" w:space="0"/>
              <w:bottom w:val="single" w:color="auto" w:sz="4" w:space="0"/>
              <w:right w:val="single" w:color="auto" w:sz="4" w:space="0"/>
            </w:tcBorders>
            <w:vAlign w:val="center"/>
          </w:tcPr>
          <w:p w14:paraId="52610A89">
            <w:pPr>
              <w:spacing w:line="360" w:lineRule="auto"/>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资格证明文件</w:t>
            </w:r>
          </w:p>
          <w:p w14:paraId="20E6E874">
            <w:pPr>
              <w:spacing w:line="360" w:lineRule="auto"/>
              <w:jc w:val="left"/>
              <w:rPr>
                <w:rFonts w:hint="eastAsia" w:ascii="宋体" w:hAnsi="宋体" w:cs="宋体"/>
                <w:b/>
                <w:color w:val="auto"/>
                <w:sz w:val="21"/>
                <w:szCs w:val="21"/>
                <w:highlight w:val="none"/>
              </w:rPr>
            </w:pPr>
            <w:r>
              <w:rPr>
                <w:rFonts w:hint="eastAsia" w:ascii="宋体" w:hAnsi="宋体" w:cs="宋体"/>
                <w:color w:val="auto"/>
                <w:sz w:val="21"/>
                <w:szCs w:val="21"/>
                <w:highlight w:val="none"/>
              </w:rPr>
              <w:t>1.</w:t>
            </w:r>
            <w:r>
              <w:rPr>
                <w:rFonts w:hint="eastAsia" w:ascii="宋体" w:hAnsi="宋体"/>
                <w:color w:val="auto"/>
                <w:szCs w:val="21"/>
                <w:highlight w:val="none"/>
                <w:lang w:eastAsia="zh-CN"/>
              </w:rPr>
              <w:t>崇左市政府采购供应商信用承诺</w:t>
            </w:r>
            <w:r>
              <w:rPr>
                <w:rFonts w:hint="eastAsia" w:ascii="宋体" w:hAnsi="宋体" w:cs="Times New Roman"/>
                <w:color w:val="auto"/>
                <w:szCs w:val="21"/>
                <w:highlight w:val="none"/>
                <w:lang w:eastAsia="zh-CN"/>
              </w:rPr>
              <w:t>函</w:t>
            </w:r>
            <w:r>
              <w:rPr>
                <w:rFonts w:hint="eastAsia" w:ascii="宋体" w:hAnsi="宋体" w:cs="宋体"/>
                <w:bCs/>
                <w:color w:val="auto"/>
                <w:sz w:val="21"/>
                <w:szCs w:val="21"/>
                <w:highlight w:val="none"/>
              </w:rPr>
              <w:t>（</w:t>
            </w:r>
            <w:r>
              <w:rPr>
                <w:rFonts w:hint="eastAsia" w:ascii="宋体" w:hAnsi="宋体" w:cs="宋体"/>
                <w:bCs/>
                <w:color w:val="auto"/>
                <w:sz w:val="21"/>
                <w:szCs w:val="21"/>
                <w:highlight w:val="none"/>
                <w:lang w:val="en-US" w:eastAsia="zh-CN"/>
              </w:rPr>
              <w:t>格式后附）</w:t>
            </w:r>
            <w:r>
              <w:rPr>
                <w:rFonts w:hint="eastAsia" w:ascii="宋体" w:hAnsi="宋体" w:cs="宋体"/>
                <w:color w:val="auto"/>
                <w:sz w:val="21"/>
                <w:szCs w:val="21"/>
                <w:highlight w:val="none"/>
              </w:rPr>
              <w:t>；</w:t>
            </w:r>
            <w:r>
              <w:rPr>
                <w:rFonts w:hint="eastAsia" w:ascii="宋体" w:hAnsi="宋体" w:cs="宋体"/>
                <w:bCs/>
                <w:color w:val="auto"/>
                <w:sz w:val="21"/>
                <w:szCs w:val="21"/>
                <w:highlight w:val="none"/>
                <w:lang w:val="en-US" w:eastAsia="zh-CN"/>
              </w:rPr>
              <w:t>（</w:t>
            </w:r>
            <w:r>
              <w:rPr>
                <w:rFonts w:hint="eastAsia" w:ascii="宋体" w:hAnsi="宋体" w:cs="宋体"/>
                <w:b/>
                <w:color w:val="auto"/>
                <w:sz w:val="21"/>
                <w:szCs w:val="21"/>
                <w:highlight w:val="none"/>
              </w:rPr>
              <w:t>必须提供，否则响应文件按无效响应处理</w:t>
            </w:r>
            <w:r>
              <w:rPr>
                <w:rFonts w:hint="eastAsia" w:ascii="宋体" w:hAnsi="宋体" w:cs="宋体"/>
                <w:bCs/>
                <w:color w:val="auto"/>
                <w:sz w:val="21"/>
                <w:szCs w:val="21"/>
                <w:highlight w:val="none"/>
              </w:rPr>
              <w:t>）</w:t>
            </w:r>
          </w:p>
          <w:p w14:paraId="5EBFE305">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有效的资质证书副本复印件</w:t>
            </w:r>
            <w:r>
              <w:rPr>
                <w:rFonts w:hint="eastAsia" w:ascii="宋体" w:hAnsi="宋体" w:cs="宋体"/>
                <w:color w:val="auto"/>
                <w:sz w:val="21"/>
                <w:szCs w:val="21"/>
                <w:highlight w:val="none"/>
              </w:rPr>
              <w:t>（</w:t>
            </w:r>
            <w:r>
              <w:rPr>
                <w:rFonts w:hint="eastAsia" w:ascii="宋体" w:hAnsi="宋体" w:cs="宋体"/>
                <w:b/>
                <w:color w:val="auto"/>
                <w:sz w:val="21"/>
                <w:szCs w:val="21"/>
                <w:highlight w:val="none"/>
              </w:rPr>
              <w:t>必须提供，否则作无效投标处理</w:t>
            </w:r>
            <w:r>
              <w:rPr>
                <w:rFonts w:hint="eastAsia" w:ascii="宋体" w:hAnsi="宋体" w:cs="宋体"/>
                <w:color w:val="auto"/>
                <w:sz w:val="21"/>
                <w:szCs w:val="21"/>
                <w:highlight w:val="none"/>
              </w:rPr>
              <w:t>）</w:t>
            </w:r>
          </w:p>
          <w:p w14:paraId="7B259119">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投标人直接控股、管理关系信息表（格式后附）；（</w:t>
            </w:r>
            <w:r>
              <w:rPr>
                <w:rFonts w:hint="eastAsia" w:ascii="宋体" w:hAnsi="宋体" w:cs="宋体"/>
                <w:b/>
                <w:color w:val="auto"/>
                <w:sz w:val="21"/>
                <w:szCs w:val="21"/>
                <w:highlight w:val="none"/>
              </w:rPr>
              <w:t>必须提供，否则作无效投标处理</w:t>
            </w:r>
            <w:r>
              <w:rPr>
                <w:rFonts w:hint="eastAsia" w:ascii="宋体" w:hAnsi="宋体" w:cs="宋体"/>
                <w:color w:val="auto"/>
                <w:sz w:val="21"/>
                <w:szCs w:val="21"/>
                <w:highlight w:val="none"/>
              </w:rPr>
              <w:t>）</w:t>
            </w:r>
          </w:p>
          <w:p w14:paraId="1A8B2E36">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.投标声明（格式后附）；（</w:t>
            </w:r>
            <w:r>
              <w:rPr>
                <w:rFonts w:hint="eastAsia" w:ascii="宋体" w:hAnsi="宋体" w:cs="宋体"/>
                <w:b/>
                <w:color w:val="auto"/>
                <w:sz w:val="21"/>
                <w:szCs w:val="21"/>
                <w:highlight w:val="none"/>
              </w:rPr>
              <w:t>必须提供，否则作无效投标处理</w:t>
            </w:r>
            <w:r>
              <w:rPr>
                <w:rFonts w:hint="eastAsia" w:ascii="宋体" w:hAnsi="宋体" w:cs="宋体"/>
                <w:color w:val="auto"/>
                <w:sz w:val="21"/>
                <w:szCs w:val="21"/>
                <w:highlight w:val="none"/>
              </w:rPr>
              <w:t>）</w:t>
            </w:r>
          </w:p>
          <w:p w14:paraId="5A2A4A5F">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w:t>
            </w:r>
            <w:r>
              <w:rPr>
                <w:rFonts w:hint="eastAsia" w:ascii="宋体" w:hAnsi="宋体" w:eastAsia="宋体" w:cs="宋体"/>
                <w:color w:val="auto"/>
                <w:sz w:val="21"/>
                <w:szCs w:val="21"/>
                <w:highlight w:val="none"/>
              </w:rPr>
              <w:t>中小企业声明函</w:t>
            </w:r>
            <w:r>
              <w:rPr>
                <w:rFonts w:hint="eastAsia" w:ascii="宋体" w:hAnsi="宋体" w:eastAsia="宋体" w:cs="宋体"/>
                <w:color w:val="auto"/>
                <w:sz w:val="21"/>
                <w:szCs w:val="21"/>
                <w:highlight w:val="none"/>
                <w:lang w:val="en-US" w:eastAsia="zh-CN"/>
              </w:rPr>
              <w:t>或</w:t>
            </w:r>
            <w:r>
              <w:rPr>
                <w:rFonts w:hint="eastAsia" w:ascii="宋体" w:hAnsi="宋体" w:cs="宋体"/>
                <w:color w:val="auto"/>
                <w:sz w:val="21"/>
                <w:szCs w:val="21"/>
                <w:highlight w:val="none"/>
                <w:lang w:eastAsia="zh-CN"/>
              </w:rPr>
              <w:t>《政府采购促进中小企业发展管理办法》（财库〔2020〕46号）</w:t>
            </w:r>
            <w:r>
              <w:rPr>
                <w:rFonts w:hint="eastAsia" w:ascii="宋体" w:hAnsi="宋体" w:eastAsia="宋体" w:cs="宋体"/>
                <w:color w:val="auto"/>
                <w:sz w:val="21"/>
                <w:szCs w:val="21"/>
                <w:highlight w:val="none"/>
              </w:rPr>
              <w:t>规定的证明文件</w:t>
            </w:r>
            <w:r>
              <w:rPr>
                <w:rFonts w:hint="eastAsia" w:ascii="宋体" w:hAnsi="宋体" w:cs="宋体"/>
                <w:color w:val="auto"/>
                <w:sz w:val="21"/>
                <w:szCs w:val="21"/>
                <w:highlight w:val="none"/>
              </w:rPr>
              <w:t>；</w:t>
            </w:r>
            <w:r>
              <w:rPr>
                <w:rFonts w:hint="eastAsia" w:ascii="宋体" w:hAnsi="宋体" w:cs="宋体"/>
                <w:b/>
                <w:color w:val="auto"/>
                <w:sz w:val="21"/>
                <w:szCs w:val="21"/>
                <w:highlight w:val="none"/>
              </w:rPr>
              <w:t>（必须提供，否则作无效投标处理）</w:t>
            </w:r>
          </w:p>
          <w:p w14:paraId="4123313C">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总监理工程师执业资格证书和在广西行政区域之外无在监项目承诺书</w:t>
            </w:r>
            <w:r>
              <w:rPr>
                <w:rFonts w:hint="eastAsia" w:ascii="宋体" w:hAnsi="宋体" w:cs="宋体"/>
                <w:b/>
                <w:color w:val="auto"/>
                <w:sz w:val="21"/>
                <w:szCs w:val="21"/>
                <w:highlight w:val="none"/>
              </w:rPr>
              <w:t>（必须提供，否则作无效投标处理）</w:t>
            </w:r>
          </w:p>
          <w:p w14:paraId="5F70DB34">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除招标文件规定必须提供以外，投标人认为需要提供的其他证明材料。</w:t>
            </w:r>
          </w:p>
          <w:p w14:paraId="594287E2">
            <w:pPr>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注：</w:t>
            </w:r>
          </w:p>
          <w:p w14:paraId="4E62E8FF">
            <w:pPr>
              <w:spacing w:line="360" w:lineRule="auto"/>
              <w:rPr>
                <w:rFonts w:hint="eastAsia" w:ascii="宋体" w:hAnsi="宋体" w:cs="宋体"/>
                <w:b/>
                <w:color w:val="auto"/>
                <w:sz w:val="21"/>
                <w:szCs w:val="21"/>
                <w:highlight w:val="none"/>
              </w:rPr>
            </w:pPr>
            <w:r>
              <w:rPr>
                <w:rFonts w:hint="eastAsia" w:ascii="宋体" w:hAnsi="宋体" w:cs="宋体"/>
                <w:b/>
                <w:bCs/>
                <w:color w:val="auto"/>
                <w:sz w:val="21"/>
                <w:szCs w:val="21"/>
                <w:highlight w:val="none"/>
              </w:rPr>
              <w:t>1.以上标明“必须提供”的材料属于复印件的，必须加盖投标人公章，否则</w:t>
            </w:r>
            <w:r>
              <w:rPr>
                <w:rFonts w:hint="eastAsia" w:ascii="宋体" w:hAnsi="宋体" w:cs="宋体"/>
                <w:b/>
                <w:color w:val="auto"/>
                <w:sz w:val="21"/>
                <w:szCs w:val="21"/>
                <w:highlight w:val="none"/>
              </w:rPr>
              <w:t>作无效投标处理。</w:t>
            </w:r>
          </w:p>
          <w:p w14:paraId="2A139AC4">
            <w:pPr>
              <w:spacing w:line="360" w:lineRule="auto"/>
              <w:rPr>
                <w:rFonts w:hint="eastAsia" w:ascii="宋体" w:hAnsi="宋体" w:cs="宋体"/>
                <w:b/>
                <w:bCs/>
                <w:color w:val="auto"/>
                <w:sz w:val="21"/>
                <w:szCs w:val="21"/>
                <w:highlight w:val="none"/>
              </w:rPr>
            </w:pPr>
            <w:r>
              <w:rPr>
                <w:rFonts w:hint="eastAsia" w:ascii="宋体" w:hAnsi="宋体" w:cs="宋体"/>
                <w:b/>
                <w:color w:val="auto"/>
                <w:sz w:val="21"/>
                <w:szCs w:val="21"/>
                <w:highlight w:val="none"/>
              </w:rPr>
              <w:t>2.</w:t>
            </w:r>
            <w:r>
              <w:rPr>
                <w:rFonts w:hint="eastAsia" w:ascii="宋体" w:hAnsi="宋体" w:cs="宋体"/>
                <w:b/>
                <w:bCs/>
                <w:color w:val="auto"/>
                <w:sz w:val="21"/>
                <w:szCs w:val="21"/>
                <w:highlight w:val="none"/>
              </w:rPr>
              <w:t>投标声明必须由法定代表人在规定签章处签字并加盖投标人公章，否则作无效投标处理。</w:t>
            </w:r>
          </w:p>
          <w:p w14:paraId="62273805">
            <w:pPr>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3.投标人直接控股、管理关系信息表必须由法定代表人或者委托代理人在规定签章处签字并加盖投标人公章，否则</w:t>
            </w:r>
            <w:r>
              <w:rPr>
                <w:rFonts w:hint="eastAsia" w:ascii="宋体" w:hAnsi="宋体" w:cs="宋体"/>
                <w:b/>
                <w:color w:val="auto"/>
                <w:sz w:val="21"/>
                <w:szCs w:val="21"/>
                <w:highlight w:val="none"/>
              </w:rPr>
              <w:t>作无效投标处理</w:t>
            </w:r>
            <w:r>
              <w:rPr>
                <w:rFonts w:hint="eastAsia" w:ascii="宋体" w:hAnsi="宋体" w:cs="宋体"/>
                <w:b/>
                <w:bCs/>
                <w:color w:val="auto"/>
                <w:sz w:val="21"/>
                <w:szCs w:val="21"/>
                <w:highlight w:val="none"/>
              </w:rPr>
              <w:t>。</w:t>
            </w:r>
          </w:p>
        </w:tc>
      </w:tr>
      <w:tr w14:paraId="3D7A4D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vMerge w:val="continue"/>
            <w:tcBorders>
              <w:top w:val="single" w:color="auto" w:sz="4" w:space="0"/>
              <w:left w:val="single" w:color="auto" w:sz="4" w:space="0"/>
              <w:bottom w:val="single" w:color="auto" w:sz="4" w:space="0"/>
              <w:right w:val="single" w:color="auto" w:sz="4" w:space="0"/>
            </w:tcBorders>
            <w:vAlign w:val="center"/>
          </w:tcPr>
          <w:p w14:paraId="133EBAC3">
            <w:pPr>
              <w:spacing w:line="360" w:lineRule="auto"/>
              <w:rPr>
                <w:rFonts w:hint="eastAsia" w:ascii="宋体" w:hAnsi="宋体" w:cs="宋体"/>
                <w:color w:val="auto"/>
                <w:sz w:val="21"/>
                <w:szCs w:val="21"/>
                <w:highlight w:val="none"/>
              </w:rPr>
            </w:pPr>
            <w:bookmarkStart w:id="80" w:name="_13.3"/>
            <w:bookmarkEnd w:id="80"/>
          </w:p>
        </w:tc>
        <w:tc>
          <w:tcPr>
            <w:tcW w:w="8809" w:type="dxa"/>
            <w:tcBorders>
              <w:top w:val="single" w:color="auto" w:sz="4" w:space="0"/>
              <w:left w:val="single" w:color="auto" w:sz="4" w:space="0"/>
              <w:bottom w:val="single" w:color="auto" w:sz="4" w:space="0"/>
              <w:right w:val="single" w:color="auto" w:sz="4" w:space="0"/>
            </w:tcBorders>
            <w:vAlign w:val="center"/>
          </w:tcPr>
          <w:p w14:paraId="6BC730EA">
            <w:pPr>
              <w:spacing w:line="360" w:lineRule="auto"/>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商务文件：</w:t>
            </w:r>
          </w:p>
          <w:p w14:paraId="19083C93">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1.无串通投标行为的承诺函（格式后附）；（</w:t>
            </w:r>
            <w:r>
              <w:rPr>
                <w:rFonts w:hint="eastAsia" w:ascii="宋体" w:hAnsi="宋体" w:cs="宋体"/>
                <w:b/>
                <w:color w:val="auto"/>
                <w:sz w:val="21"/>
                <w:szCs w:val="21"/>
                <w:highlight w:val="none"/>
              </w:rPr>
              <w:t>必须提供，否则作无效投标处理</w:t>
            </w:r>
            <w:r>
              <w:rPr>
                <w:rFonts w:hint="eastAsia" w:ascii="宋体" w:hAnsi="宋体" w:cs="宋体"/>
                <w:color w:val="auto"/>
                <w:sz w:val="21"/>
                <w:szCs w:val="21"/>
                <w:highlight w:val="none"/>
              </w:rPr>
              <w:t>）</w:t>
            </w:r>
          </w:p>
          <w:p w14:paraId="40C16D3B">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2.法定代表人身份证明及法定代表人有效身份证正反面复印件（格式后附）；（</w:t>
            </w:r>
            <w:r>
              <w:rPr>
                <w:rFonts w:hint="eastAsia" w:ascii="宋体" w:hAnsi="宋体" w:cs="宋体"/>
                <w:b/>
                <w:bCs/>
                <w:color w:val="auto"/>
                <w:sz w:val="21"/>
                <w:szCs w:val="21"/>
                <w:highlight w:val="none"/>
              </w:rPr>
              <w:t>除自然人投标</w:t>
            </w:r>
            <w:r>
              <w:rPr>
                <w:rFonts w:hint="eastAsia" w:ascii="宋体" w:hAnsi="宋体" w:cs="宋体"/>
                <w:b/>
                <w:bCs/>
                <w:color w:val="auto"/>
                <w:sz w:val="21"/>
                <w:szCs w:val="21"/>
                <w:highlight w:val="none"/>
                <w:lang w:val="en-US" w:eastAsia="zh-CN"/>
              </w:rPr>
              <w:t>人</w:t>
            </w:r>
            <w:r>
              <w:rPr>
                <w:rFonts w:hint="eastAsia" w:ascii="宋体" w:hAnsi="宋体" w:cs="宋体"/>
                <w:b/>
                <w:bCs/>
                <w:color w:val="auto"/>
                <w:sz w:val="21"/>
                <w:szCs w:val="21"/>
                <w:highlight w:val="none"/>
              </w:rPr>
              <w:t>外</w:t>
            </w:r>
            <w:r>
              <w:rPr>
                <w:rFonts w:hint="eastAsia" w:ascii="宋体" w:hAnsi="宋体" w:cs="宋体"/>
                <w:b/>
                <w:color w:val="auto"/>
                <w:sz w:val="21"/>
                <w:szCs w:val="21"/>
                <w:highlight w:val="none"/>
              </w:rPr>
              <w:t>必须提供，否则作无效投标处理</w:t>
            </w:r>
            <w:r>
              <w:rPr>
                <w:rFonts w:hint="eastAsia" w:ascii="宋体" w:hAnsi="宋体" w:cs="宋体"/>
                <w:color w:val="auto"/>
                <w:sz w:val="21"/>
                <w:szCs w:val="21"/>
                <w:highlight w:val="none"/>
              </w:rPr>
              <w:t>）</w:t>
            </w:r>
          </w:p>
          <w:p w14:paraId="19E209D9">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3.法定代表人授权委托书及委托代理人有效身份证正反面复印件（格式后附）；（</w:t>
            </w:r>
            <w:r>
              <w:rPr>
                <w:rFonts w:hint="eastAsia" w:ascii="宋体" w:hAnsi="宋体" w:cs="宋体"/>
                <w:b/>
                <w:color w:val="auto"/>
                <w:sz w:val="21"/>
                <w:szCs w:val="21"/>
                <w:highlight w:val="none"/>
              </w:rPr>
              <w:t>委托时必须提供，否则作无效投标处理</w:t>
            </w:r>
            <w:r>
              <w:rPr>
                <w:rFonts w:hint="eastAsia" w:ascii="宋体" w:hAnsi="宋体" w:cs="宋体"/>
                <w:color w:val="auto"/>
                <w:sz w:val="21"/>
                <w:szCs w:val="21"/>
                <w:highlight w:val="none"/>
              </w:rPr>
              <w:t>）</w:t>
            </w:r>
          </w:p>
          <w:p w14:paraId="74DF36F3">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4.商务条款偏离表（格式后附）；（</w:t>
            </w:r>
            <w:r>
              <w:rPr>
                <w:rFonts w:hint="eastAsia" w:ascii="宋体" w:hAnsi="宋体" w:cs="宋体"/>
                <w:b/>
                <w:color w:val="auto"/>
                <w:sz w:val="21"/>
                <w:szCs w:val="21"/>
                <w:highlight w:val="none"/>
              </w:rPr>
              <w:t>必须提供，否则作无效投标处理</w:t>
            </w:r>
            <w:r>
              <w:rPr>
                <w:rFonts w:hint="eastAsia" w:ascii="宋体" w:hAnsi="宋体" w:cs="宋体"/>
                <w:color w:val="auto"/>
                <w:sz w:val="21"/>
                <w:szCs w:val="21"/>
                <w:highlight w:val="none"/>
              </w:rPr>
              <w:t>）</w:t>
            </w:r>
          </w:p>
          <w:p w14:paraId="5EEA9FBD">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5.投标人类似的业绩证明文件（</w:t>
            </w:r>
            <w:r>
              <w:rPr>
                <w:rFonts w:hint="eastAsia" w:ascii="宋体" w:hAnsi="宋体" w:cs="宋体"/>
                <w:color w:val="auto"/>
                <w:sz w:val="21"/>
                <w:szCs w:val="21"/>
                <w:highlight w:val="none"/>
                <w:lang w:val="en-US" w:eastAsia="zh-CN"/>
              </w:rPr>
              <w:t>如有，请提供</w:t>
            </w:r>
            <w:r>
              <w:rPr>
                <w:rFonts w:hint="eastAsia" w:ascii="宋体" w:hAnsi="宋体" w:cs="宋体"/>
                <w:color w:val="auto"/>
                <w:sz w:val="21"/>
                <w:szCs w:val="21"/>
                <w:highlight w:val="none"/>
              </w:rPr>
              <w:t>）</w:t>
            </w:r>
          </w:p>
          <w:p w14:paraId="27C9A696">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6.后续服务承诺（格式自拟）；</w:t>
            </w:r>
          </w:p>
          <w:p w14:paraId="4F026C7F">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7.投标人情况介绍（格式自拟）；</w:t>
            </w:r>
          </w:p>
          <w:p w14:paraId="3CD10662">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8.除招标文件规定必须提供以外，投标人认为需要提供的其他证明材料（格式自</w:t>
            </w:r>
            <w:r>
              <w:rPr>
                <w:rFonts w:hint="eastAsia" w:ascii="宋体" w:hAnsi="宋体" w:cs="宋体"/>
                <w:color w:val="auto"/>
                <w:sz w:val="21"/>
                <w:szCs w:val="21"/>
                <w:highlight w:val="none"/>
                <w:lang w:val="en-US" w:eastAsia="zh-CN"/>
              </w:rPr>
              <w:t>拟</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）（投标人根据“第二章采购需求”及“第四章评标方法及评标标准”提供有关证明材料）。</w:t>
            </w:r>
          </w:p>
          <w:p w14:paraId="57953750">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008FF153">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1.法定代表人授权委托书必须由法定代表人及委托代理人签字，并加盖投标人公章，否则作无效投标处理。</w:t>
            </w:r>
          </w:p>
          <w:p w14:paraId="49A50032">
            <w:pPr>
              <w:spacing w:line="360" w:lineRule="auto"/>
              <w:rPr>
                <w:rFonts w:hint="eastAsia" w:ascii="宋体" w:hAnsi="宋体" w:cs="宋体"/>
                <w:b/>
                <w:color w:val="auto"/>
                <w:sz w:val="21"/>
                <w:szCs w:val="21"/>
                <w:highlight w:val="none"/>
              </w:rPr>
            </w:pPr>
            <w:r>
              <w:rPr>
                <w:rFonts w:hint="eastAsia" w:ascii="宋体" w:hAnsi="宋体" w:cs="宋体"/>
                <w:color w:val="auto"/>
                <w:sz w:val="21"/>
                <w:szCs w:val="21"/>
                <w:highlight w:val="none"/>
              </w:rPr>
              <w:t>2.以上标明“必须提供”的材料属于复印件的，必须加盖投标人公章，否则作无效投标处理。</w:t>
            </w:r>
          </w:p>
        </w:tc>
      </w:tr>
      <w:tr w14:paraId="2AE2F8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vMerge w:val="continue"/>
            <w:tcBorders>
              <w:top w:val="single" w:color="auto" w:sz="4" w:space="0"/>
              <w:left w:val="single" w:color="auto" w:sz="4" w:space="0"/>
              <w:bottom w:val="single" w:color="auto" w:sz="4" w:space="0"/>
              <w:right w:val="single" w:color="auto" w:sz="4" w:space="0"/>
            </w:tcBorders>
            <w:vAlign w:val="center"/>
          </w:tcPr>
          <w:p w14:paraId="308728C7">
            <w:pPr>
              <w:spacing w:line="360" w:lineRule="auto"/>
              <w:rPr>
                <w:rFonts w:hint="eastAsia" w:ascii="宋体" w:hAnsi="宋体" w:cs="宋体"/>
                <w:color w:val="auto"/>
                <w:sz w:val="21"/>
                <w:szCs w:val="21"/>
                <w:highlight w:val="none"/>
              </w:rPr>
            </w:pPr>
            <w:bookmarkStart w:id="81" w:name="_13.4"/>
            <w:bookmarkEnd w:id="81"/>
          </w:p>
        </w:tc>
        <w:tc>
          <w:tcPr>
            <w:tcW w:w="8809" w:type="dxa"/>
            <w:tcBorders>
              <w:top w:val="single" w:color="auto" w:sz="4" w:space="0"/>
              <w:left w:val="single" w:color="auto" w:sz="4" w:space="0"/>
              <w:bottom w:val="single" w:color="auto" w:sz="4" w:space="0"/>
              <w:right w:val="single" w:color="auto" w:sz="4" w:space="0"/>
            </w:tcBorders>
            <w:vAlign w:val="center"/>
          </w:tcPr>
          <w:p w14:paraId="76ED525E">
            <w:pPr>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技术文件：</w:t>
            </w:r>
          </w:p>
          <w:p w14:paraId="07C0A9AE">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1.技术需求偏离表（格式后附，可根据实际情况自行扩展格式）；</w:t>
            </w:r>
            <w:r>
              <w:rPr>
                <w:rFonts w:hint="eastAsia" w:ascii="宋体" w:hAnsi="宋体" w:cs="宋体"/>
                <w:b/>
                <w:color w:val="auto"/>
                <w:sz w:val="21"/>
                <w:szCs w:val="21"/>
                <w:highlight w:val="none"/>
              </w:rPr>
              <w:t>（必须提供，否则作无效投标处理）</w:t>
            </w:r>
          </w:p>
          <w:p w14:paraId="6DCDCD8B">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2.服务方案</w:t>
            </w:r>
            <w:r>
              <w:rPr>
                <w:rFonts w:hint="eastAsia" w:ascii="宋体" w:hAnsi="宋体" w:cs="宋体"/>
                <w:b/>
                <w:bCs/>
                <w:color w:val="auto"/>
                <w:sz w:val="21"/>
                <w:szCs w:val="21"/>
                <w:highlight w:val="none"/>
              </w:rPr>
              <w:t>（格式自拟）</w:t>
            </w:r>
            <w:r>
              <w:rPr>
                <w:rFonts w:hint="eastAsia" w:ascii="宋体" w:hAnsi="宋体" w:cs="宋体"/>
                <w:color w:val="auto"/>
                <w:sz w:val="21"/>
                <w:szCs w:val="21"/>
                <w:highlight w:val="none"/>
              </w:rPr>
              <w:t>；</w:t>
            </w:r>
          </w:p>
          <w:p w14:paraId="438F694D">
            <w:pPr>
              <w:spacing w:line="360" w:lineRule="auto"/>
              <w:rPr>
                <w:rFonts w:hint="eastAsia" w:ascii="宋体" w:hAnsi="宋体" w:cs="宋体"/>
                <w:b/>
                <w:color w:val="auto"/>
                <w:sz w:val="21"/>
                <w:szCs w:val="21"/>
                <w:highlight w:val="none"/>
              </w:rPr>
            </w:pPr>
            <w:r>
              <w:rPr>
                <w:rFonts w:hint="eastAsia" w:ascii="宋体" w:hAnsi="宋体" w:cs="宋体"/>
                <w:color w:val="auto"/>
                <w:sz w:val="21"/>
                <w:szCs w:val="21"/>
                <w:highlight w:val="none"/>
              </w:rPr>
              <w:t>3.</w:t>
            </w:r>
            <w:r>
              <w:rPr>
                <w:rFonts w:hint="eastAsia" w:ascii="宋体" w:hAnsi="宋体" w:eastAsia="宋体" w:cs="宋体"/>
                <w:color w:val="auto"/>
                <w:highlight w:val="none"/>
              </w:rPr>
              <w:t>拟项目总监理工程师简历表</w:t>
            </w:r>
            <w:r>
              <w:rPr>
                <w:rFonts w:hint="eastAsia" w:ascii="宋体" w:hAnsi="宋体" w:eastAsia="宋体" w:cs="宋体"/>
                <w:color w:val="auto"/>
                <w:highlight w:val="none"/>
                <w:lang w:val="en-US" w:eastAsia="zh-CN"/>
              </w:rPr>
              <w:t>和</w:t>
            </w:r>
            <w:r>
              <w:rPr>
                <w:rFonts w:hint="eastAsia" w:ascii="宋体" w:hAnsi="宋体" w:eastAsia="宋体" w:cs="宋体"/>
                <w:color w:val="auto"/>
                <w:highlight w:val="none"/>
              </w:rPr>
              <w:t>本项目人员情况汇总表</w:t>
            </w:r>
            <w:r>
              <w:rPr>
                <w:rFonts w:hint="eastAsia" w:ascii="宋体" w:hAnsi="宋体" w:cs="宋体"/>
                <w:b/>
                <w:color w:val="auto"/>
                <w:sz w:val="21"/>
                <w:szCs w:val="21"/>
                <w:highlight w:val="none"/>
              </w:rPr>
              <w:t>（格式后附，可根据实际情况自行扩展格式）；</w:t>
            </w:r>
          </w:p>
          <w:p w14:paraId="22199E31">
            <w:pPr>
              <w:spacing w:line="360" w:lineRule="auto"/>
              <w:rPr>
                <w:rFonts w:hint="eastAsia" w:ascii="宋体" w:hAnsi="宋体" w:cs="宋体"/>
                <w:bCs/>
                <w:color w:val="auto"/>
                <w:sz w:val="21"/>
                <w:szCs w:val="21"/>
                <w:highlight w:val="none"/>
              </w:rPr>
            </w:pPr>
            <w:r>
              <w:rPr>
                <w:rFonts w:hint="eastAsia" w:ascii="宋体" w:hAnsi="宋体" w:cs="宋体"/>
                <w:color w:val="auto"/>
                <w:sz w:val="21"/>
                <w:szCs w:val="21"/>
                <w:highlight w:val="none"/>
              </w:rPr>
              <w:t>4.除招标文件规定必须提供以外，投标人需要说明的其他文件和说明</w:t>
            </w:r>
            <w:r>
              <w:rPr>
                <w:rFonts w:hint="eastAsia" w:ascii="宋体" w:hAnsi="宋体" w:eastAsia="宋体" w:cs="宋体"/>
                <w:b/>
                <w:color w:val="auto"/>
                <w:sz w:val="21"/>
                <w:szCs w:val="21"/>
                <w:highlight w:val="none"/>
              </w:rPr>
              <w:t>（格式自拟</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如</w:t>
            </w:r>
            <w:r>
              <w:rPr>
                <w:rFonts w:hint="eastAsia" w:ascii="宋体" w:hAnsi="宋体" w:eastAsia="宋体" w:cs="宋体"/>
                <w:b/>
                <w:color w:val="auto"/>
                <w:sz w:val="21"/>
                <w:szCs w:val="21"/>
                <w:highlight w:val="none"/>
              </w:rPr>
              <w:t>近三年工程项目监理获奖情况表；已完成工程监理类似项</w:t>
            </w:r>
            <w:r>
              <w:rPr>
                <w:rFonts w:hint="eastAsia" w:ascii="宋体" w:hAnsi="宋体" w:eastAsia="宋体" w:cs="宋体"/>
                <w:b/>
                <w:color w:val="auto"/>
                <w:sz w:val="21"/>
                <w:szCs w:val="21"/>
                <w:highlight w:val="none"/>
                <w:lang w:eastAsia="zh-CN"/>
              </w:rPr>
              <w:t>目情况表</w:t>
            </w:r>
            <w:r>
              <w:rPr>
                <w:rFonts w:hint="eastAsia" w:ascii="宋体" w:hAnsi="宋体" w:eastAsia="宋体" w:cs="宋体"/>
                <w:b/>
                <w:color w:val="auto"/>
                <w:sz w:val="21"/>
                <w:szCs w:val="21"/>
                <w:highlight w:val="none"/>
              </w:rPr>
              <w:t>）</w:t>
            </w:r>
            <w:r>
              <w:rPr>
                <w:rFonts w:hint="eastAsia" w:ascii="宋体" w:hAnsi="宋体" w:cs="宋体"/>
                <w:color w:val="auto"/>
                <w:sz w:val="21"/>
                <w:szCs w:val="21"/>
                <w:highlight w:val="none"/>
              </w:rPr>
              <w:t>。</w:t>
            </w:r>
          </w:p>
          <w:p w14:paraId="21B5CF49">
            <w:pPr>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注：以上标明“必须提供”的材料属于复印件的，必须加盖投标人公章，否则</w:t>
            </w:r>
            <w:r>
              <w:rPr>
                <w:rFonts w:hint="eastAsia" w:ascii="宋体" w:hAnsi="宋体" w:cs="宋体"/>
                <w:b/>
                <w:color w:val="auto"/>
                <w:sz w:val="21"/>
                <w:szCs w:val="21"/>
                <w:highlight w:val="none"/>
              </w:rPr>
              <w:t>作无效投标处理</w:t>
            </w:r>
            <w:r>
              <w:rPr>
                <w:rFonts w:hint="eastAsia" w:ascii="宋体" w:hAnsi="宋体" w:cs="宋体"/>
                <w:b/>
                <w:bCs/>
                <w:color w:val="auto"/>
                <w:sz w:val="21"/>
                <w:szCs w:val="21"/>
                <w:highlight w:val="none"/>
              </w:rPr>
              <w:t>。</w:t>
            </w:r>
          </w:p>
        </w:tc>
      </w:tr>
      <w:tr w14:paraId="699DA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1232CFFA">
            <w:pPr>
              <w:spacing w:line="360" w:lineRule="auto"/>
              <w:rPr>
                <w:rFonts w:hint="eastAsia" w:ascii="宋体" w:hAnsi="宋体" w:cs="宋体"/>
                <w:color w:val="auto"/>
                <w:sz w:val="21"/>
                <w:szCs w:val="21"/>
                <w:highlight w:val="none"/>
              </w:rPr>
            </w:pPr>
            <w:bookmarkStart w:id="82" w:name="_13.5"/>
            <w:bookmarkEnd w:id="82"/>
            <w:r>
              <w:rPr>
                <w:rFonts w:hint="eastAsia" w:ascii="宋体" w:hAnsi="宋体" w:cs="宋体"/>
                <w:color w:val="auto"/>
                <w:sz w:val="21"/>
                <w:szCs w:val="21"/>
                <w:highlight w:val="none"/>
              </w:rPr>
              <w:t>13.2</w:t>
            </w:r>
          </w:p>
        </w:tc>
        <w:tc>
          <w:tcPr>
            <w:tcW w:w="8809" w:type="dxa"/>
            <w:tcBorders>
              <w:top w:val="single" w:color="auto" w:sz="4" w:space="0"/>
              <w:left w:val="single" w:color="auto" w:sz="4" w:space="0"/>
              <w:bottom w:val="single" w:color="auto" w:sz="4" w:space="0"/>
              <w:right w:val="single" w:color="auto" w:sz="4" w:space="0"/>
            </w:tcBorders>
            <w:vAlign w:val="center"/>
          </w:tcPr>
          <w:p w14:paraId="100EF05D">
            <w:pPr>
              <w:pStyle w:val="16"/>
              <w:spacing w:line="360" w:lineRule="auto"/>
              <w:rPr>
                <w:rFonts w:hint="eastAsia" w:ascii="宋体" w:hAnsi="宋体" w:cs="宋体"/>
                <w:color w:val="auto"/>
                <w:sz w:val="21"/>
                <w:szCs w:val="21"/>
                <w:highlight w:val="none"/>
                <w:lang w:val="en-US" w:eastAsia="zh-CN"/>
              </w:rPr>
            </w:pPr>
            <w:bookmarkStart w:id="83" w:name="_Toc18719"/>
            <w:bookmarkStart w:id="84" w:name="_Toc21615"/>
            <w:bookmarkStart w:id="85" w:name="_Toc31052"/>
            <w:r>
              <w:rPr>
                <w:rFonts w:hint="eastAsia" w:ascii="宋体" w:hAnsi="宋体" w:eastAsia="宋体" w:cs="宋体"/>
                <w:bCs w:val="0"/>
                <w:color w:val="auto"/>
                <w:sz w:val="21"/>
                <w:szCs w:val="21"/>
                <w:highlight w:val="none"/>
                <w:lang w:val="en-US" w:eastAsia="zh-CN"/>
              </w:rPr>
              <w:t>在线投标（电子投标）说明</w:t>
            </w:r>
            <w:bookmarkEnd w:id="83"/>
            <w:bookmarkEnd w:id="84"/>
            <w:bookmarkEnd w:id="85"/>
            <w:r>
              <w:rPr>
                <w:rFonts w:hint="eastAsia" w:ascii="宋体" w:hAnsi="宋体" w:cs="宋体"/>
                <w:bCs w:val="0"/>
                <w:color w:val="auto"/>
                <w:sz w:val="21"/>
                <w:szCs w:val="21"/>
                <w:highlight w:val="none"/>
                <w:lang w:val="en-US" w:eastAsia="zh-CN"/>
              </w:rPr>
              <w:t>：</w:t>
            </w:r>
          </w:p>
          <w:p w14:paraId="4115409F">
            <w:pPr>
              <w:spacing w:line="360" w:lineRule="auto"/>
              <w:ind w:firstLine="420" w:firstLineChars="20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1.本项目通过</w:t>
            </w:r>
            <w:r>
              <w:rPr>
                <w:rFonts w:hint="eastAsia" w:ascii="宋体" w:hAnsi="宋体" w:cs="宋体"/>
                <w:color w:val="auto"/>
                <w:sz w:val="21"/>
                <w:szCs w:val="21"/>
                <w:highlight w:val="none"/>
                <w:shd w:val="clear" w:color="auto" w:fill="FFFFFF"/>
                <w:lang w:eastAsia="zh-CN"/>
              </w:rPr>
              <w:t>广西政府采购云平台</w:t>
            </w:r>
            <w:r>
              <w:rPr>
                <w:rFonts w:hint="eastAsia" w:ascii="宋体" w:hAnsi="宋体" w:cs="宋体"/>
                <w:color w:val="auto"/>
                <w:sz w:val="21"/>
                <w:szCs w:val="21"/>
                <w:highlight w:val="none"/>
                <w:shd w:val="clear" w:color="auto" w:fill="FFFFFF"/>
              </w:rPr>
              <w:t>实行在线</w:t>
            </w:r>
            <w:r>
              <w:rPr>
                <w:rFonts w:hint="eastAsia" w:ascii="宋体" w:hAnsi="宋体" w:cs="宋体"/>
                <w:color w:val="auto"/>
                <w:sz w:val="21"/>
                <w:szCs w:val="21"/>
                <w:highlight w:val="none"/>
                <w:shd w:val="clear" w:color="auto" w:fill="FFFFFF"/>
                <w:lang w:eastAsia="zh-CN"/>
              </w:rPr>
              <w:t>投标</w:t>
            </w:r>
            <w:r>
              <w:rPr>
                <w:rFonts w:hint="eastAsia" w:ascii="宋体" w:hAnsi="宋体" w:cs="宋体"/>
                <w:color w:val="auto"/>
                <w:sz w:val="21"/>
                <w:szCs w:val="21"/>
                <w:highlight w:val="none"/>
                <w:shd w:val="clear" w:color="auto" w:fill="FFFFFF"/>
              </w:rPr>
              <w:t>（电子投标），供应商需要先安装“</w:t>
            </w:r>
            <w:r>
              <w:rPr>
                <w:rFonts w:hint="eastAsia" w:ascii="宋体" w:hAnsi="宋体" w:cs="宋体"/>
                <w:color w:val="auto"/>
                <w:sz w:val="21"/>
                <w:szCs w:val="21"/>
                <w:highlight w:val="none"/>
                <w:shd w:val="clear" w:color="auto" w:fill="FFFFFF"/>
                <w:lang w:eastAsia="zh-CN"/>
              </w:rPr>
              <w:t>广西政府采购云电子交易客户端</w:t>
            </w:r>
            <w:r>
              <w:rPr>
                <w:rFonts w:hint="eastAsia" w:ascii="宋体" w:hAnsi="宋体" w:cs="宋体"/>
                <w:color w:val="auto"/>
                <w:sz w:val="21"/>
                <w:szCs w:val="21"/>
                <w:highlight w:val="none"/>
                <w:shd w:val="clear" w:color="auto" w:fill="FFFFFF"/>
              </w:rPr>
              <w:t>”，并按照本招标文件和</w:t>
            </w:r>
            <w:r>
              <w:rPr>
                <w:rFonts w:hint="eastAsia" w:ascii="宋体" w:hAnsi="宋体" w:cs="宋体"/>
                <w:color w:val="auto"/>
                <w:sz w:val="21"/>
                <w:szCs w:val="21"/>
                <w:highlight w:val="none"/>
                <w:shd w:val="clear" w:color="auto" w:fill="FFFFFF"/>
                <w:lang w:eastAsia="zh-CN"/>
              </w:rPr>
              <w:t>广西政府采购云平台</w:t>
            </w:r>
            <w:r>
              <w:rPr>
                <w:rFonts w:hint="eastAsia" w:ascii="宋体" w:hAnsi="宋体" w:cs="宋体"/>
                <w:color w:val="auto"/>
                <w:sz w:val="21"/>
                <w:szCs w:val="21"/>
                <w:highlight w:val="none"/>
                <w:shd w:val="clear" w:color="auto" w:fill="FFFFFF"/>
              </w:rPr>
              <w:t>的要求，通过“</w:t>
            </w:r>
            <w:r>
              <w:rPr>
                <w:rFonts w:hint="eastAsia" w:ascii="宋体" w:hAnsi="宋体" w:cs="宋体"/>
                <w:color w:val="auto"/>
                <w:sz w:val="21"/>
                <w:szCs w:val="21"/>
                <w:highlight w:val="none"/>
                <w:shd w:val="clear" w:color="auto" w:fill="FFFFFF"/>
                <w:lang w:val="en-US" w:eastAsia="zh-CN"/>
              </w:rPr>
              <w:t>广西政府采购云</w:t>
            </w:r>
            <w:r>
              <w:rPr>
                <w:rFonts w:hint="eastAsia" w:ascii="宋体" w:hAnsi="宋体" w:cs="宋体"/>
                <w:color w:val="auto"/>
                <w:sz w:val="21"/>
                <w:szCs w:val="21"/>
                <w:highlight w:val="none"/>
                <w:shd w:val="clear" w:color="auto" w:fill="FFFFFF"/>
              </w:rPr>
              <w:t>电子交易客户端”编制并加密投标文件。供应商未按规定编制并加密投标文件，</w:t>
            </w:r>
            <w:r>
              <w:rPr>
                <w:rFonts w:hint="eastAsia" w:ascii="宋体" w:hAnsi="宋体" w:cs="宋体"/>
                <w:color w:val="auto"/>
                <w:sz w:val="21"/>
                <w:szCs w:val="21"/>
                <w:highlight w:val="none"/>
                <w:shd w:val="clear" w:color="auto" w:fill="FFFFFF"/>
                <w:lang w:eastAsia="zh-CN"/>
              </w:rPr>
              <w:t>广西政府采购云平台</w:t>
            </w:r>
            <w:r>
              <w:rPr>
                <w:rFonts w:hint="eastAsia" w:ascii="宋体" w:hAnsi="宋体" w:cs="宋体"/>
                <w:color w:val="auto"/>
                <w:sz w:val="21"/>
                <w:szCs w:val="21"/>
                <w:highlight w:val="none"/>
                <w:shd w:val="clear" w:color="auto" w:fill="FFFFFF"/>
              </w:rPr>
              <w:t>将予以拒收。</w:t>
            </w:r>
          </w:p>
          <w:p w14:paraId="3115E091">
            <w:pPr>
              <w:spacing w:line="360" w:lineRule="auto"/>
              <w:ind w:firstLine="420" w:firstLineChars="20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w:t>
            </w:r>
            <w:r>
              <w:rPr>
                <w:rFonts w:hint="eastAsia" w:ascii="宋体" w:hAnsi="宋体" w:cs="宋体"/>
                <w:color w:val="auto"/>
                <w:sz w:val="21"/>
                <w:szCs w:val="21"/>
                <w:highlight w:val="none"/>
                <w:shd w:val="clear" w:color="auto" w:fill="FFFFFF"/>
                <w:lang w:eastAsia="zh-CN"/>
              </w:rPr>
              <w:t>广西政府采购云电子交易客户端</w:t>
            </w:r>
            <w:r>
              <w:rPr>
                <w:rFonts w:hint="eastAsia" w:ascii="宋体" w:hAnsi="宋体" w:cs="宋体"/>
                <w:color w:val="auto"/>
                <w:sz w:val="21"/>
                <w:szCs w:val="21"/>
                <w:highlight w:val="none"/>
                <w:shd w:val="clear" w:color="auto" w:fill="FFFFFF"/>
              </w:rPr>
              <w:t>”请自行前往广西政府采购网下载并安装；电子投标具体操作流程参考</w:t>
            </w:r>
            <w:r>
              <w:rPr>
                <w:color w:val="auto"/>
              </w:rPr>
              <w:t>《政府采购项目电子交易管理操作指南——供应商》</w:t>
            </w:r>
            <w:r>
              <w:rPr>
                <w:rFonts w:hint="eastAsia" w:ascii="宋体" w:hAnsi="宋体" w:cs="宋体"/>
                <w:color w:val="auto"/>
                <w:sz w:val="21"/>
                <w:szCs w:val="21"/>
                <w:highlight w:val="none"/>
                <w:shd w:val="clear" w:color="auto" w:fill="FFFFFF"/>
              </w:rPr>
              <w:t>；在使用投标客户端时，建议使用</w:t>
            </w:r>
            <w:r>
              <w:rPr>
                <w:color w:val="auto"/>
              </w:rPr>
              <w:t>Windows7</w:t>
            </w:r>
            <w:r>
              <w:rPr>
                <w:rFonts w:hint="eastAsia" w:ascii="宋体" w:hAnsi="宋体" w:cs="宋体"/>
                <w:color w:val="auto"/>
                <w:sz w:val="21"/>
                <w:szCs w:val="21"/>
                <w:highlight w:val="none"/>
                <w:shd w:val="clear" w:color="auto" w:fill="FFFFFF"/>
              </w:rPr>
              <w:t>及以上操作系统</w:t>
            </w:r>
            <w:r>
              <w:rPr>
                <w:rFonts w:hint="eastAsia" w:ascii="宋体" w:hAnsi="宋体" w:cs="宋体"/>
                <w:color w:val="auto"/>
                <w:sz w:val="21"/>
                <w:szCs w:val="21"/>
                <w:highlight w:val="none"/>
                <w:shd w:val="clear" w:color="auto" w:fill="FFFFFF"/>
                <w:lang w:eastAsia="zh-CN"/>
              </w:rPr>
              <w:t>，</w:t>
            </w:r>
            <w:r>
              <w:rPr>
                <w:rFonts w:hint="eastAsia" w:ascii="宋体" w:hAnsi="宋体" w:cs="宋体"/>
                <w:color w:val="auto"/>
                <w:sz w:val="21"/>
                <w:szCs w:val="21"/>
                <w:highlight w:val="none"/>
                <w:shd w:val="clear" w:color="auto" w:fill="FFFFFF"/>
              </w:rPr>
              <w:t>通过</w:t>
            </w:r>
            <w:r>
              <w:rPr>
                <w:rFonts w:hint="eastAsia" w:ascii="宋体" w:hAnsi="宋体" w:cs="宋体"/>
                <w:color w:val="auto"/>
                <w:sz w:val="21"/>
                <w:szCs w:val="21"/>
                <w:highlight w:val="none"/>
                <w:shd w:val="clear" w:color="auto" w:fill="FFFFFF"/>
                <w:lang w:eastAsia="zh-CN"/>
              </w:rPr>
              <w:t>广西政府采购云平台</w:t>
            </w:r>
            <w:r>
              <w:rPr>
                <w:rFonts w:hint="eastAsia" w:ascii="宋体" w:hAnsi="宋体" w:cs="宋体"/>
                <w:color w:val="auto"/>
                <w:sz w:val="21"/>
                <w:szCs w:val="21"/>
                <w:highlight w:val="none"/>
                <w:shd w:val="clear" w:color="auto" w:fill="FFFFFF"/>
              </w:rPr>
              <w:t>参与在线投标时如遇平台技术问题详询</w:t>
            </w:r>
            <w:r>
              <w:rPr>
                <w:rFonts w:hint="eastAsia" w:ascii="宋体" w:hAnsi="宋体" w:cs="宋体"/>
                <w:color w:val="auto"/>
                <w:sz w:val="21"/>
                <w:szCs w:val="21"/>
                <w:highlight w:val="none"/>
                <w:shd w:val="clear" w:color="auto" w:fill="FFFFFF"/>
                <w:lang w:eastAsia="zh-CN"/>
              </w:rPr>
              <w:t>95763</w:t>
            </w:r>
            <w:r>
              <w:rPr>
                <w:rFonts w:hint="eastAsia" w:ascii="宋体" w:hAnsi="宋体" w:cs="宋体"/>
                <w:color w:val="auto"/>
                <w:sz w:val="21"/>
                <w:szCs w:val="21"/>
                <w:highlight w:val="none"/>
                <w:shd w:val="clear" w:color="auto" w:fill="FFFFFF"/>
              </w:rPr>
              <w:t>。</w:t>
            </w:r>
          </w:p>
          <w:p w14:paraId="635D16E7">
            <w:pPr>
              <w:spacing w:line="360" w:lineRule="auto"/>
              <w:ind w:firstLine="420" w:firstLineChars="20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2.为确保网上操作合法、有效和安全，供应商应当在投标截止时间前完成在“</w:t>
            </w:r>
            <w:r>
              <w:rPr>
                <w:color w:val="auto"/>
              </w:rPr>
              <w:t>“广西政府采购云平台</w:t>
            </w:r>
            <w:r>
              <w:rPr>
                <w:rFonts w:hint="eastAsia" w:ascii="宋体" w:hAnsi="宋体" w:cs="宋体"/>
                <w:color w:val="auto"/>
                <w:sz w:val="21"/>
                <w:szCs w:val="21"/>
                <w:highlight w:val="none"/>
                <w:shd w:val="clear" w:color="auto" w:fill="FFFFFF"/>
              </w:rPr>
              <w:t>”的身份认证，确保在电子投标过程中能够对相关数据电文进行加密和使用电子签章。使用“</w:t>
            </w:r>
            <w:r>
              <w:rPr>
                <w:rFonts w:hint="eastAsia" w:ascii="宋体" w:hAnsi="宋体" w:cs="宋体"/>
                <w:color w:val="auto"/>
                <w:sz w:val="21"/>
                <w:szCs w:val="21"/>
                <w:highlight w:val="none"/>
                <w:shd w:val="clear" w:color="auto" w:fill="FFFFFF"/>
                <w:lang w:eastAsia="zh-CN"/>
              </w:rPr>
              <w:t>广西政府采购云电子交易客户端</w:t>
            </w:r>
            <w:r>
              <w:rPr>
                <w:rFonts w:hint="eastAsia" w:ascii="宋体" w:hAnsi="宋体" w:cs="宋体"/>
                <w:color w:val="auto"/>
                <w:sz w:val="21"/>
                <w:szCs w:val="21"/>
                <w:highlight w:val="none"/>
                <w:shd w:val="clear" w:color="auto" w:fill="FFFFFF"/>
              </w:rPr>
              <w:t>”需要提前申领CA数字证书，申领流程请自行前往相关网站进行查阅；（完成CA数字证书办理预计一周左右，建议供应商获取招标文件后立即办理。）</w:t>
            </w:r>
          </w:p>
          <w:p w14:paraId="54B054CB">
            <w:pPr>
              <w:spacing w:line="360" w:lineRule="auto"/>
              <w:ind w:firstLine="420" w:firstLineChars="20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3.供应商应当在投标截止时间前，将生成的“电子投标文件”上传递交至</w:t>
            </w:r>
            <w:r>
              <w:rPr>
                <w:rFonts w:hint="eastAsia" w:ascii="宋体" w:hAnsi="宋体" w:cs="宋体"/>
                <w:color w:val="auto"/>
                <w:sz w:val="21"/>
                <w:szCs w:val="21"/>
                <w:highlight w:val="none"/>
                <w:shd w:val="clear" w:color="auto" w:fill="FFFFFF"/>
                <w:lang w:eastAsia="zh-CN"/>
              </w:rPr>
              <w:t>广西政府采购云平台</w:t>
            </w:r>
            <w:r>
              <w:rPr>
                <w:rFonts w:hint="eastAsia" w:ascii="宋体" w:hAnsi="宋体" w:cs="宋体"/>
                <w:color w:val="auto"/>
                <w:sz w:val="21"/>
                <w:szCs w:val="21"/>
                <w:highlight w:val="none"/>
                <w:shd w:val="clear" w:color="auto" w:fill="FFFFFF"/>
              </w:rPr>
              <w:t>。投标截止时</w:t>
            </w:r>
            <w:r>
              <w:rPr>
                <w:rFonts w:hint="eastAsia" w:ascii="宋体" w:hAnsi="宋体" w:cs="宋体"/>
                <w:color w:val="auto"/>
                <w:sz w:val="21"/>
                <w:szCs w:val="21"/>
                <w:highlight w:val="none"/>
                <w:shd w:val="clear" w:color="auto" w:fill="FFFFFF"/>
                <w:lang w:eastAsia="zh-CN"/>
              </w:rPr>
              <w:t>间之</w:t>
            </w:r>
            <w:r>
              <w:rPr>
                <w:rFonts w:hint="eastAsia" w:ascii="宋体" w:hAnsi="宋体" w:cs="宋体"/>
                <w:color w:val="auto"/>
                <w:sz w:val="21"/>
                <w:szCs w:val="21"/>
                <w:highlight w:val="none"/>
                <w:shd w:val="clear" w:color="auto" w:fill="FFFFFF"/>
              </w:rPr>
              <w:t>前可以补充、修改或者撤回电子投标文件。补充或者修改电子投标文件的，应当先行撤回原文件，补充、修改后重新传输递交，投标截止时间前未完成传输的，视为撤回电子投标文件。</w:t>
            </w:r>
          </w:p>
          <w:p w14:paraId="6E08ED10">
            <w:pPr>
              <w:spacing w:line="360" w:lineRule="auto"/>
              <w:ind w:firstLine="420" w:firstLineChars="20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4.本项目实行全流程电子化招投标交易，供应商如有需要，可以参与现场开标（所需在线</w:t>
            </w:r>
            <w:r>
              <w:rPr>
                <w:rFonts w:hint="eastAsia" w:ascii="宋体" w:hAnsi="宋体" w:cs="宋体"/>
                <w:color w:val="auto"/>
                <w:sz w:val="21"/>
                <w:szCs w:val="21"/>
                <w:highlight w:val="none"/>
                <w:shd w:val="clear" w:color="auto" w:fill="FFFFFF"/>
                <w:lang w:eastAsia="zh-CN"/>
              </w:rPr>
              <w:t>投标</w:t>
            </w:r>
            <w:r>
              <w:rPr>
                <w:rFonts w:hint="eastAsia" w:ascii="宋体" w:hAnsi="宋体" w:cs="宋体"/>
                <w:color w:val="auto"/>
                <w:sz w:val="21"/>
                <w:szCs w:val="21"/>
                <w:highlight w:val="none"/>
                <w:shd w:val="clear" w:color="auto" w:fill="FFFFFF"/>
              </w:rPr>
              <w:t>及解密开启设备自带）并可在开标截止时间前提供以介质（U盘或光盘等）存储的数据电文形成的电子备份电子投标文件。电子备份电子投标文件应当由法定代表人或授权委托代理人（需携带法定代表人身份证明书或授权委托书原件等有效证明材料）在开标截止时间前按要求密封并提交至开标地址或按要求密封邮寄并送达</w:t>
            </w:r>
            <w:r>
              <w:rPr>
                <w:rFonts w:hint="eastAsia" w:ascii="宋体" w:hAnsi="宋体" w:cs="宋体"/>
                <w:color w:val="auto"/>
                <w:sz w:val="21"/>
                <w:szCs w:val="21"/>
                <w:highlight w:val="none"/>
                <w:shd w:val="clear" w:color="auto" w:fill="FFFFFF"/>
                <w:lang w:val="en-US" w:eastAsia="zh-CN"/>
              </w:rPr>
              <w:t>采购文件指定的开标</w:t>
            </w:r>
            <w:r>
              <w:rPr>
                <w:rFonts w:hint="eastAsia" w:ascii="宋体" w:hAnsi="宋体" w:cs="宋体"/>
                <w:color w:val="auto"/>
                <w:sz w:val="21"/>
                <w:szCs w:val="21"/>
                <w:highlight w:val="none"/>
                <w:shd w:val="clear" w:color="auto" w:fill="FFFFFF"/>
              </w:rPr>
              <w:t>地址。逾期送达或未按要求密封将被拒收。电子备份电子投标文件应当密封包装并在包装上标注投标项目名称、单位名称并加盖单位公章。</w:t>
            </w:r>
          </w:p>
          <w:p w14:paraId="7DBBEA6A">
            <w:pPr>
              <w:spacing w:line="360" w:lineRule="auto"/>
              <w:ind w:firstLine="420" w:firstLineChars="20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5.投标文件网上提交截止后，</w:t>
            </w:r>
            <w:r>
              <w:rPr>
                <w:rFonts w:hint="eastAsia" w:ascii="宋体" w:hAnsi="宋体" w:cs="宋体"/>
                <w:color w:val="auto"/>
                <w:sz w:val="21"/>
                <w:szCs w:val="21"/>
                <w:highlight w:val="none"/>
                <w:shd w:val="clear" w:color="auto" w:fill="FFFFFF"/>
                <w:lang w:eastAsia="zh-CN"/>
              </w:rPr>
              <w:t>广西政府采购云平台</w:t>
            </w:r>
            <w:r>
              <w:rPr>
                <w:rFonts w:hint="eastAsia" w:ascii="宋体" w:hAnsi="宋体" w:cs="宋体"/>
                <w:color w:val="auto"/>
                <w:sz w:val="21"/>
                <w:szCs w:val="21"/>
                <w:highlight w:val="none"/>
                <w:shd w:val="clear" w:color="auto" w:fill="FFFFFF"/>
              </w:rPr>
              <w:t>自动提取所有投标文件，各供应商须在提交投标文件截止后30分钟内对上传</w:t>
            </w:r>
            <w:r>
              <w:rPr>
                <w:rFonts w:hint="eastAsia" w:ascii="宋体" w:hAnsi="宋体" w:cs="宋体"/>
                <w:color w:val="auto"/>
                <w:sz w:val="21"/>
                <w:szCs w:val="21"/>
                <w:highlight w:val="none"/>
                <w:shd w:val="clear" w:color="auto" w:fill="FFFFFF"/>
                <w:lang w:eastAsia="zh-CN"/>
              </w:rPr>
              <w:t>广西政府采购云平台</w:t>
            </w:r>
            <w:r>
              <w:rPr>
                <w:rFonts w:hint="eastAsia" w:ascii="宋体" w:hAnsi="宋体" w:cs="宋体"/>
                <w:color w:val="auto"/>
                <w:sz w:val="21"/>
                <w:szCs w:val="21"/>
                <w:highlight w:val="none"/>
                <w:shd w:val="clear" w:color="auto" w:fill="FFFFFF"/>
              </w:rPr>
              <w:t>的投标文件进行解密，所有供应商在规定的解密时限内解密完成或解密时限到后，采购代理机构开启投标文件；供应商超过解密时限的，系统默认自动放弃。</w:t>
            </w:r>
          </w:p>
          <w:p w14:paraId="0B1FD5F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6.通过</w:t>
            </w:r>
            <w:r>
              <w:rPr>
                <w:rFonts w:hint="eastAsia" w:ascii="宋体" w:hAnsi="宋体" w:cs="宋体"/>
                <w:color w:val="auto"/>
                <w:sz w:val="21"/>
                <w:szCs w:val="21"/>
                <w:highlight w:val="none"/>
                <w:shd w:val="clear" w:color="auto" w:fill="FFFFFF"/>
                <w:lang w:eastAsia="zh-CN"/>
              </w:rPr>
              <w:t>广西政府采购云平台</w:t>
            </w:r>
            <w:r>
              <w:rPr>
                <w:rFonts w:hint="eastAsia" w:ascii="宋体" w:hAnsi="宋体" w:cs="宋体"/>
                <w:color w:val="auto"/>
                <w:sz w:val="21"/>
                <w:szCs w:val="21"/>
                <w:highlight w:val="none"/>
                <w:shd w:val="clear" w:color="auto" w:fill="FFFFFF"/>
              </w:rPr>
              <w:t>（电子交易平台）上传递交的“电子加密投标文件”无法按时解密，供应商递交了备份投标文件的，以备份投标文件为依据，否则视为投标文件撤回。通过</w:t>
            </w:r>
            <w:r>
              <w:rPr>
                <w:rFonts w:hint="eastAsia" w:ascii="宋体" w:hAnsi="宋体" w:cs="宋体"/>
                <w:color w:val="auto"/>
                <w:sz w:val="21"/>
                <w:szCs w:val="21"/>
                <w:highlight w:val="none"/>
                <w:shd w:val="clear" w:color="auto" w:fill="FFFFFF"/>
                <w:lang w:eastAsia="zh-CN"/>
              </w:rPr>
              <w:t>广西政府采购云平台</w:t>
            </w:r>
            <w:r>
              <w:rPr>
                <w:rFonts w:hint="eastAsia" w:ascii="宋体" w:hAnsi="宋体" w:cs="宋体"/>
                <w:color w:val="auto"/>
                <w:sz w:val="21"/>
                <w:szCs w:val="21"/>
                <w:highlight w:val="none"/>
                <w:shd w:val="clear" w:color="auto" w:fill="FFFFFF"/>
              </w:rPr>
              <w:t>（电子交易平台）上传递交的“电子加密投标文件”已按时解密的，“备份投标文件”自动失效。供应商仅递交备份投标文件的，</w:t>
            </w:r>
            <w:r>
              <w:rPr>
                <w:rFonts w:hint="eastAsia" w:ascii="宋体" w:hAnsi="宋体" w:cs="宋体"/>
                <w:color w:val="auto"/>
                <w:sz w:val="21"/>
                <w:szCs w:val="21"/>
                <w:highlight w:val="none"/>
                <w:shd w:val="clear" w:color="auto" w:fill="FFFFFF"/>
                <w:lang w:val="en-US" w:eastAsia="zh-CN"/>
              </w:rPr>
              <w:t>投标</w:t>
            </w:r>
            <w:r>
              <w:rPr>
                <w:rFonts w:hint="eastAsia" w:ascii="宋体" w:hAnsi="宋体" w:cs="宋体"/>
                <w:color w:val="auto"/>
                <w:sz w:val="21"/>
                <w:szCs w:val="21"/>
                <w:highlight w:val="none"/>
                <w:shd w:val="clear" w:color="auto" w:fill="FFFFFF"/>
              </w:rPr>
              <w:t>无效。</w:t>
            </w:r>
          </w:p>
        </w:tc>
      </w:tr>
      <w:tr w14:paraId="36968B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556DF911">
            <w:pPr>
              <w:spacing w:line="360" w:lineRule="auto"/>
              <w:rPr>
                <w:rFonts w:hint="eastAsia" w:ascii="宋体" w:hAnsi="宋体" w:cs="宋体"/>
                <w:color w:val="auto"/>
                <w:sz w:val="21"/>
                <w:szCs w:val="21"/>
                <w:highlight w:val="none"/>
              </w:rPr>
            </w:pPr>
            <w:bookmarkStart w:id="86" w:name="_16.2"/>
            <w:bookmarkEnd w:id="86"/>
            <w:r>
              <w:rPr>
                <w:rFonts w:hint="eastAsia" w:ascii="宋体" w:hAnsi="宋体" w:cs="宋体"/>
                <w:color w:val="auto"/>
                <w:sz w:val="21"/>
                <w:szCs w:val="21"/>
                <w:highlight w:val="none"/>
              </w:rPr>
              <w:t>16</w:t>
            </w:r>
            <w:bookmarkStart w:id="87" w:name="_Hlt19194066"/>
            <w:bookmarkStart w:id="88" w:name="_Hlt19693759"/>
            <w:bookmarkStart w:id="89" w:name="_Hlt19693758"/>
            <w:bookmarkStart w:id="90" w:name="_Hlt19194067"/>
            <w:r>
              <w:rPr>
                <w:rFonts w:hint="eastAsia" w:ascii="宋体" w:hAnsi="宋体" w:cs="宋体"/>
                <w:color w:val="auto"/>
                <w:sz w:val="21"/>
                <w:szCs w:val="21"/>
                <w:highlight w:val="none"/>
              </w:rPr>
              <w:t>.</w:t>
            </w:r>
            <w:bookmarkEnd w:id="87"/>
            <w:bookmarkEnd w:id="88"/>
            <w:bookmarkEnd w:id="89"/>
            <w:bookmarkEnd w:id="90"/>
            <w:r>
              <w:rPr>
                <w:rFonts w:hint="eastAsia" w:ascii="宋体" w:hAnsi="宋体" w:cs="宋体"/>
                <w:color w:val="auto"/>
                <w:sz w:val="21"/>
                <w:szCs w:val="21"/>
                <w:highlight w:val="none"/>
              </w:rPr>
              <w:t>2</w:t>
            </w:r>
          </w:p>
        </w:tc>
        <w:tc>
          <w:tcPr>
            <w:tcW w:w="8809" w:type="dxa"/>
            <w:tcBorders>
              <w:top w:val="single" w:color="auto" w:sz="4" w:space="0"/>
              <w:left w:val="single" w:color="auto" w:sz="4" w:space="0"/>
              <w:bottom w:val="single" w:color="auto" w:sz="4" w:space="0"/>
              <w:right w:val="single" w:color="auto" w:sz="4" w:space="0"/>
            </w:tcBorders>
            <w:vAlign w:val="center"/>
          </w:tcPr>
          <w:p w14:paraId="2D520D26">
            <w:pPr>
              <w:spacing w:line="360" w:lineRule="auto"/>
              <w:ind w:firstLine="420" w:firstLineChars="200"/>
              <w:rPr>
                <w:rFonts w:hint="eastAsia" w:ascii="宋体" w:hAnsi="宋体" w:cs="宋体"/>
                <w:b/>
                <w:color w:val="auto"/>
                <w:sz w:val="21"/>
                <w:szCs w:val="21"/>
                <w:highlight w:val="none"/>
              </w:rPr>
            </w:pPr>
            <w:r>
              <w:rPr>
                <w:rFonts w:hint="eastAsia" w:ascii="宋体" w:hAnsi="宋体" w:eastAsia="宋体" w:cs="Times New Roman"/>
                <w:color w:val="auto"/>
                <w:sz w:val="21"/>
                <w:szCs w:val="21"/>
                <w:highlight w:val="none"/>
                <w:lang w:val="en-US" w:eastAsia="zh-CN"/>
              </w:rPr>
              <w:t>投标报价是履行合同的最终价格，投标报价已经包括了实施和完成服务所需的劳务费、技术服务费、交通、通讯、管理费、税费和利润等费用和政策性文件规定及合同包含的所有风险、责任等各项应有的费用。各投标人应该根据项目实际情况结合市场报价进行投标单价及总额报价。</w:t>
            </w:r>
          </w:p>
        </w:tc>
      </w:tr>
      <w:tr w14:paraId="49B47E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54FBDAF5">
            <w:pPr>
              <w:spacing w:line="360" w:lineRule="auto"/>
              <w:rPr>
                <w:rFonts w:hint="eastAsia" w:ascii="宋体" w:hAnsi="宋体" w:cs="宋体"/>
                <w:color w:val="auto"/>
                <w:sz w:val="21"/>
                <w:szCs w:val="21"/>
                <w:highlight w:val="none"/>
              </w:rPr>
            </w:pPr>
            <w:bookmarkStart w:id="91" w:name="_17.1"/>
            <w:bookmarkEnd w:id="91"/>
            <w:r>
              <w:rPr>
                <w:rFonts w:hint="eastAsia" w:ascii="宋体" w:hAnsi="宋体" w:cs="宋体"/>
                <w:color w:val="auto"/>
                <w:sz w:val="21"/>
                <w:szCs w:val="21"/>
                <w:highlight w:val="none"/>
              </w:rPr>
              <w:t>17.2</w:t>
            </w:r>
          </w:p>
        </w:tc>
        <w:tc>
          <w:tcPr>
            <w:tcW w:w="8809" w:type="dxa"/>
            <w:tcBorders>
              <w:top w:val="single" w:color="auto" w:sz="4" w:space="0"/>
              <w:left w:val="single" w:color="auto" w:sz="4" w:space="0"/>
              <w:bottom w:val="single" w:color="auto" w:sz="4" w:space="0"/>
              <w:right w:val="single" w:color="auto" w:sz="4" w:space="0"/>
            </w:tcBorders>
            <w:vAlign w:val="center"/>
          </w:tcPr>
          <w:p w14:paraId="2247DCA3">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投标有效期：自投标截止之日起</w:t>
            </w:r>
            <w:r>
              <w:rPr>
                <w:rFonts w:hint="eastAsia" w:ascii="宋体" w:hAnsi="宋体" w:cs="宋体"/>
                <w:color w:val="auto"/>
                <w:sz w:val="21"/>
                <w:szCs w:val="21"/>
                <w:highlight w:val="none"/>
                <w:u w:val="single"/>
              </w:rPr>
              <w:t>45</w:t>
            </w:r>
            <w:r>
              <w:rPr>
                <w:rFonts w:hint="eastAsia" w:ascii="宋体" w:hAnsi="宋体" w:cs="宋体"/>
                <w:color w:val="auto"/>
                <w:sz w:val="21"/>
                <w:szCs w:val="21"/>
                <w:highlight w:val="none"/>
              </w:rPr>
              <w:t>日。</w:t>
            </w:r>
          </w:p>
        </w:tc>
      </w:tr>
      <w:tr w14:paraId="1D61D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04C06D1F">
            <w:pPr>
              <w:spacing w:line="360" w:lineRule="auto"/>
              <w:rPr>
                <w:rFonts w:hint="eastAsia" w:ascii="宋体" w:hAnsi="宋体" w:cs="宋体"/>
                <w:color w:val="auto"/>
                <w:sz w:val="21"/>
                <w:szCs w:val="21"/>
                <w:highlight w:val="none"/>
              </w:rPr>
            </w:pPr>
            <w:bookmarkStart w:id="92" w:name="_18"/>
            <w:bookmarkEnd w:id="92"/>
            <w:r>
              <w:rPr>
                <w:rFonts w:hint="eastAsia" w:ascii="宋体" w:hAnsi="宋体" w:cs="宋体"/>
                <w:color w:val="auto"/>
                <w:sz w:val="21"/>
                <w:szCs w:val="21"/>
                <w:highlight w:val="none"/>
              </w:rPr>
              <w:t>18.1</w:t>
            </w:r>
          </w:p>
        </w:tc>
        <w:tc>
          <w:tcPr>
            <w:tcW w:w="8809" w:type="dxa"/>
            <w:tcBorders>
              <w:top w:val="single" w:color="auto" w:sz="4" w:space="0"/>
              <w:left w:val="single" w:color="auto" w:sz="4" w:space="0"/>
              <w:bottom w:val="single" w:color="auto" w:sz="4" w:space="0"/>
              <w:right w:val="single" w:color="auto" w:sz="4" w:space="0"/>
            </w:tcBorders>
            <w:vAlign w:val="center"/>
          </w:tcPr>
          <w:p w14:paraId="6E08C099">
            <w:pPr>
              <w:spacing w:line="360" w:lineRule="auto"/>
              <w:rPr>
                <w:rFonts w:hint="eastAsia" w:ascii="宋体" w:hAnsi="宋体" w:cs="宋体"/>
                <w:b/>
                <w:color w:val="auto"/>
                <w:sz w:val="21"/>
                <w:szCs w:val="21"/>
                <w:highlight w:val="none"/>
              </w:rPr>
            </w:pPr>
            <w:r>
              <w:rPr>
                <w:rFonts w:hint="eastAsia" w:ascii="宋体" w:hAnsi="宋体" w:cs="宋体"/>
                <w:color w:val="auto"/>
                <w:sz w:val="21"/>
                <w:szCs w:val="21"/>
                <w:highlight w:val="none"/>
              </w:rPr>
              <w:sym w:font="Wingdings" w:char="00FE"/>
            </w:r>
            <w:r>
              <w:rPr>
                <w:rFonts w:hint="eastAsia" w:ascii="宋体" w:hAnsi="宋体" w:cs="宋体"/>
                <w:color w:val="auto"/>
                <w:sz w:val="21"/>
                <w:szCs w:val="21"/>
                <w:highlight w:val="none"/>
              </w:rPr>
              <w:t>本项目不收取投标保证金。</w:t>
            </w:r>
          </w:p>
        </w:tc>
      </w:tr>
      <w:tr w14:paraId="77D064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75A990C6">
            <w:pPr>
              <w:spacing w:line="360" w:lineRule="auto"/>
              <w:rPr>
                <w:rFonts w:hint="eastAsia" w:ascii="宋体" w:hAnsi="宋体" w:cs="宋体"/>
                <w:color w:val="auto"/>
                <w:sz w:val="21"/>
                <w:szCs w:val="21"/>
                <w:highlight w:val="none"/>
              </w:rPr>
            </w:pPr>
            <w:bookmarkStart w:id="93" w:name="_19.2"/>
            <w:bookmarkEnd w:id="93"/>
            <w:r>
              <w:rPr>
                <w:rFonts w:hint="eastAsia" w:ascii="宋体" w:hAnsi="宋体" w:cs="宋体"/>
                <w:color w:val="auto"/>
                <w:sz w:val="21"/>
                <w:szCs w:val="21"/>
                <w:highlight w:val="none"/>
              </w:rPr>
              <w:t>19.2</w:t>
            </w:r>
          </w:p>
        </w:tc>
        <w:tc>
          <w:tcPr>
            <w:tcW w:w="8809" w:type="dxa"/>
            <w:tcBorders>
              <w:top w:val="single" w:color="auto" w:sz="4" w:space="0"/>
              <w:left w:val="single" w:color="auto" w:sz="4" w:space="0"/>
              <w:bottom w:val="single" w:color="auto" w:sz="4" w:space="0"/>
              <w:right w:val="single" w:color="auto" w:sz="4" w:space="0"/>
            </w:tcBorders>
            <w:vAlign w:val="center"/>
          </w:tcPr>
          <w:p w14:paraId="2B6E9F6A">
            <w:pPr>
              <w:autoSpaceDE w:val="0"/>
              <w:autoSpaceDN w:val="0"/>
              <w:spacing w:line="360" w:lineRule="auto"/>
              <w:rPr>
                <w:rFonts w:hint="eastAsia" w:eastAsia="宋体"/>
                <w:color w:val="auto"/>
                <w:sz w:val="21"/>
                <w:szCs w:val="21"/>
                <w:highlight w:val="none"/>
                <w:lang w:eastAsia="zh-CN"/>
              </w:rPr>
            </w:pPr>
            <w:r>
              <w:rPr>
                <w:rFonts w:hint="eastAsia"/>
                <w:color w:val="auto"/>
                <w:sz w:val="21"/>
                <w:szCs w:val="21"/>
                <w:highlight w:val="none"/>
              </w:rPr>
              <w:t>投标文件备份：电子备份电子投标文件光盘（或U盘）密封方式：单独放入一个密封袋中，加贴封条，并在封套封口处加盖供应商单位公章，在封套上标记“电子投标文件”字样，在投标截止时间前提交。（由供应商自行选择是否提交电子备份电子投标文件，但不提交电子备份电子投标文件的，不作为否决条件；若供应商在规定时间内无法解密或解密失败，供应商未在投标截止时间前递交电子备份电子投标文件的，自行承担后果）。</w:t>
            </w:r>
          </w:p>
        </w:tc>
      </w:tr>
      <w:tr w14:paraId="05D7D6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756" w:type="dxa"/>
            <w:tcBorders>
              <w:top w:val="single" w:color="auto" w:sz="4" w:space="0"/>
              <w:left w:val="single" w:color="auto" w:sz="4" w:space="0"/>
              <w:bottom w:val="single" w:color="auto" w:sz="4" w:space="0"/>
              <w:right w:val="single" w:color="auto" w:sz="4" w:space="0"/>
            </w:tcBorders>
            <w:vAlign w:val="center"/>
          </w:tcPr>
          <w:p w14:paraId="2EC17FB9">
            <w:pPr>
              <w:spacing w:line="360" w:lineRule="auto"/>
              <w:rPr>
                <w:rFonts w:hint="eastAsia" w:ascii="宋体" w:hAnsi="宋体" w:cs="宋体"/>
                <w:color w:val="auto"/>
                <w:sz w:val="21"/>
                <w:szCs w:val="21"/>
                <w:highlight w:val="none"/>
              </w:rPr>
            </w:pPr>
            <w:bookmarkStart w:id="94" w:name="_21.1"/>
            <w:bookmarkEnd w:id="94"/>
            <w:r>
              <w:rPr>
                <w:rFonts w:hint="eastAsia" w:ascii="宋体" w:hAnsi="宋体" w:cs="宋体"/>
                <w:color w:val="auto"/>
                <w:sz w:val="21"/>
                <w:szCs w:val="21"/>
                <w:highlight w:val="none"/>
              </w:rPr>
              <w:t>21.1</w:t>
            </w:r>
          </w:p>
        </w:tc>
        <w:tc>
          <w:tcPr>
            <w:tcW w:w="8809" w:type="dxa"/>
            <w:tcBorders>
              <w:top w:val="single" w:color="auto" w:sz="4" w:space="0"/>
              <w:left w:val="single" w:color="auto" w:sz="4" w:space="0"/>
              <w:bottom w:val="single" w:color="auto" w:sz="4" w:space="0"/>
              <w:right w:val="single" w:color="auto" w:sz="4" w:space="0"/>
            </w:tcBorders>
            <w:vAlign w:val="center"/>
          </w:tcPr>
          <w:p w14:paraId="4EBDE40E">
            <w:pPr>
              <w:spacing w:line="360" w:lineRule="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1.投标截止时间：详见招标公告</w:t>
            </w:r>
          </w:p>
          <w:p w14:paraId="62963DC8">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2.投标文件提交起止时间：详见招标公告</w:t>
            </w:r>
          </w:p>
          <w:p w14:paraId="3F8F3C40">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3.投标地点：详见招标公告</w:t>
            </w:r>
          </w:p>
        </w:tc>
      </w:tr>
      <w:tr w14:paraId="11DAB5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68F29E6F">
            <w:pPr>
              <w:spacing w:line="360" w:lineRule="auto"/>
              <w:rPr>
                <w:rFonts w:hint="eastAsia" w:ascii="宋体" w:hAnsi="宋体" w:cs="宋体"/>
                <w:color w:val="auto"/>
                <w:sz w:val="21"/>
                <w:szCs w:val="21"/>
                <w:highlight w:val="none"/>
              </w:rPr>
            </w:pPr>
            <w:bookmarkStart w:id="95" w:name="_23"/>
            <w:bookmarkEnd w:id="95"/>
            <w:r>
              <w:rPr>
                <w:rFonts w:hint="eastAsia" w:ascii="宋体" w:hAnsi="宋体" w:cs="宋体"/>
                <w:color w:val="auto"/>
                <w:sz w:val="21"/>
                <w:szCs w:val="21"/>
                <w:highlight w:val="none"/>
              </w:rPr>
              <w:t>23</w:t>
            </w:r>
          </w:p>
        </w:tc>
        <w:tc>
          <w:tcPr>
            <w:tcW w:w="8809" w:type="dxa"/>
            <w:tcBorders>
              <w:top w:val="single" w:color="auto" w:sz="4" w:space="0"/>
              <w:left w:val="single" w:color="auto" w:sz="4" w:space="0"/>
              <w:bottom w:val="single" w:color="auto" w:sz="4" w:space="0"/>
              <w:right w:val="single" w:color="auto" w:sz="4" w:space="0"/>
            </w:tcBorders>
            <w:vAlign w:val="center"/>
          </w:tcPr>
          <w:p w14:paraId="447A4FBE">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1.开标时间：详见招标公告</w:t>
            </w:r>
          </w:p>
          <w:p w14:paraId="243EE462">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2.开标地点：详见招标公告</w:t>
            </w:r>
          </w:p>
        </w:tc>
      </w:tr>
      <w:tr w14:paraId="3BDFF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5F5B5ABA">
            <w:pPr>
              <w:spacing w:line="360" w:lineRule="auto"/>
              <w:rPr>
                <w:rFonts w:hint="eastAsia" w:ascii="宋体" w:hAnsi="宋体" w:cs="宋体"/>
                <w:color w:val="auto"/>
                <w:sz w:val="21"/>
                <w:szCs w:val="21"/>
                <w:highlight w:val="none"/>
              </w:rPr>
            </w:pPr>
            <w:bookmarkStart w:id="96" w:name="_25.3"/>
            <w:bookmarkEnd w:id="96"/>
            <w:r>
              <w:rPr>
                <w:rFonts w:hint="eastAsia" w:ascii="宋体" w:hAnsi="宋体" w:cs="宋体"/>
                <w:color w:val="auto"/>
                <w:sz w:val="21"/>
                <w:szCs w:val="21"/>
                <w:highlight w:val="none"/>
              </w:rPr>
              <w:t>25.3（2）</w:t>
            </w:r>
          </w:p>
        </w:tc>
        <w:tc>
          <w:tcPr>
            <w:tcW w:w="8809" w:type="dxa"/>
            <w:tcBorders>
              <w:top w:val="single" w:color="auto" w:sz="4" w:space="0"/>
              <w:left w:val="single" w:color="auto" w:sz="4" w:space="0"/>
              <w:bottom w:val="single" w:color="auto" w:sz="4" w:space="0"/>
              <w:right w:val="single" w:color="auto" w:sz="4" w:space="0"/>
            </w:tcBorders>
            <w:vAlign w:val="center"/>
          </w:tcPr>
          <w:p w14:paraId="69A0B8B5">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采购人或者采购代理机构在资格审查结束前，对投标人进行信用查询。</w:t>
            </w:r>
          </w:p>
          <w:p w14:paraId="16522E58">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查询渠道：“信用中国”网站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www.creditchina.gov.cn</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、中国政府采购网</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www.ccgp.gov.cn</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t>
            </w:r>
          </w:p>
          <w:p w14:paraId="3C2A93BB">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信用查询截止时点：资格审查结束前</w:t>
            </w:r>
          </w:p>
          <w:p w14:paraId="6ED6B5C6">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查询记录和证据留存方式：在查询网站中直接打印查询记录，打印材料作为评审资料保存。</w:t>
            </w:r>
          </w:p>
          <w:p w14:paraId="15319255">
            <w:pPr>
              <w:spacing w:line="360" w:lineRule="auto"/>
              <w:rPr>
                <w:rFonts w:hint="eastAsia" w:ascii="宋体" w:hAnsi="宋体" w:cs="宋体"/>
                <w:b/>
                <w:color w:val="auto"/>
                <w:sz w:val="21"/>
                <w:szCs w:val="21"/>
                <w:highlight w:val="none"/>
              </w:rPr>
            </w:pPr>
            <w:r>
              <w:rPr>
                <w:rFonts w:hint="eastAsia" w:ascii="宋体" w:hAnsi="宋体" w:cs="宋体"/>
                <w:color w:val="auto"/>
                <w:sz w:val="21"/>
                <w:szCs w:val="21"/>
                <w:highlight w:val="none"/>
              </w:rPr>
              <w:t>信用信息使用规则：对在“信用中国”网站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www.creditchina.gov.cn</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、中国政府采购网</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www.ccgp.gov.cn</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被列入失信被执行人、</w:t>
            </w:r>
            <w:r>
              <w:rPr>
                <w:rFonts w:hint="eastAsia" w:ascii="宋体" w:hAnsi="宋体" w:cs="宋体"/>
                <w:color w:val="auto"/>
                <w:sz w:val="21"/>
                <w:szCs w:val="21"/>
                <w:highlight w:val="none"/>
                <w:lang w:eastAsia="zh-CN"/>
              </w:rPr>
              <w:t>重大税收违法失信主体</w:t>
            </w:r>
            <w:r>
              <w:rPr>
                <w:rFonts w:hint="eastAsia" w:ascii="宋体" w:hAnsi="宋体" w:cs="宋体"/>
                <w:color w:val="auto"/>
                <w:sz w:val="21"/>
                <w:szCs w:val="21"/>
                <w:highlight w:val="none"/>
              </w:rPr>
              <w:t>、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476FD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18791534">
            <w:pPr>
              <w:spacing w:line="360" w:lineRule="auto"/>
              <w:rPr>
                <w:rFonts w:hint="eastAsia" w:ascii="宋体" w:hAnsi="宋体" w:cs="宋体"/>
                <w:color w:val="auto"/>
                <w:sz w:val="21"/>
                <w:szCs w:val="21"/>
                <w:highlight w:val="none"/>
              </w:rPr>
            </w:pPr>
            <w:bookmarkStart w:id="97" w:name="_26"/>
            <w:bookmarkEnd w:id="97"/>
            <w:r>
              <w:rPr>
                <w:rFonts w:hint="eastAsia" w:ascii="宋体" w:hAnsi="宋体" w:cs="宋体"/>
                <w:color w:val="auto"/>
                <w:sz w:val="21"/>
                <w:szCs w:val="21"/>
                <w:highlight w:val="none"/>
              </w:rPr>
              <w:t>26</w:t>
            </w:r>
          </w:p>
        </w:tc>
        <w:tc>
          <w:tcPr>
            <w:tcW w:w="8809" w:type="dxa"/>
            <w:tcBorders>
              <w:top w:val="single" w:color="auto" w:sz="4" w:space="0"/>
              <w:left w:val="single" w:color="auto" w:sz="4" w:space="0"/>
              <w:bottom w:val="single" w:color="auto" w:sz="4" w:space="0"/>
              <w:right w:val="single" w:color="auto" w:sz="4" w:space="0"/>
            </w:tcBorders>
            <w:vAlign w:val="center"/>
          </w:tcPr>
          <w:p w14:paraId="57EF20E1">
            <w:pPr>
              <w:autoSpaceDE w:val="0"/>
              <w:autoSpaceDN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评标委员会的人数：评标委员会由采购人代表和评审专家组成，成员人数应当为5人以上单数，其中评审专家不得少于成员总数的三分之二。</w:t>
            </w:r>
          </w:p>
        </w:tc>
      </w:tr>
      <w:tr w14:paraId="11BB5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20E0DCB6">
            <w:pPr>
              <w:spacing w:line="360" w:lineRule="auto"/>
              <w:rPr>
                <w:rFonts w:hint="eastAsia" w:ascii="宋体" w:hAnsi="宋体" w:cs="宋体"/>
                <w:color w:val="auto"/>
                <w:sz w:val="21"/>
                <w:szCs w:val="21"/>
                <w:highlight w:val="none"/>
              </w:rPr>
            </w:pPr>
            <w:bookmarkStart w:id="98" w:name="_28.3"/>
            <w:bookmarkEnd w:id="98"/>
            <w:r>
              <w:rPr>
                <w:rFonts w:hint="eastAsia" w:ascii="宋体" w:hAnsi="宋体" w:cs="宋体"/>
                <w:color w:val="auto"/>
                <w:sz w:val="21"/>
                <w:szCs w:val="21"/>
                <w:highlight w:val="none"/>
              </w:rPr>
              <w:t>29.1</w:t>
            </w:r>
          </w:p>
        </w:tc>
        <w:tc>
          <w:tcPr>
            <w:tcW w:w="8809" w:type="dxa"/>
            <w:tcBorders>
              <w:top w:val="single" w:color="auto" w:sz="4" w:space="0"/>
              <w:left w:val="single" w:color="auto" w:sz="4" w:space="0"/>
              <w:bottom w:val="single" w:color="auto" w:sz="4" w:space="0"/>
              <w:right w:val="single" w:color="auto" w:sz="4" w:space="0"/>
            </w:tcBorders>
            <w:vAlign w:val="center"/>
          </w:tcPr>
          <w:p w14:paraId="71F6A0F5">
            <w:pPr>
              <w:autoSpaceDE w:val="0"/>
              <w:autoSpaceDN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评标方法：☑综合评分法</w:t>
            </w:r>
          </w:p>
        </w:tc>
      </w:tr>
      <w:tr w14:paraId="174DB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56" w:type="dxa"/>
            <w:tcBorders>
              <w:top w:val="single" w:color="auto" w:sz="4" w:space="0"/>
              <w:left w:val="single" w:color="auto" w:sz="4" w:space="0"/>
              <w:bottom w:val="single" w:color="auto" w:sz="4" w:space="0"/>
              <w:right w:val="single" w:color="auto" w:sz="4" w:space="0"/>
            </w:tcBorders>
            <w:vAlign w:val="center"/>
          </w:tcPr>
          <w:p w14:paraId="6EB55B2E">
            <w:pPr>
              <w:spacing w:line="360" w:lineRule="auto"/>
              <w:rPr>
                <w:rFonts w:hint="eastAsia" w:ascii="宋体" w:hAnsi="宋体" w:cs="宋体"/>
                <w:color w:val="auto"/>
                <w:sz w:val="21"/>
                <w:szCs w:val="21"/>
                <w:highlight w:val="none"/>
              </w:rPr>
            </w:pPr>
            <w:bookmarkStart w:id="99" w:name="_29.2.2（2）"/>
            <w:bookmarkEnd w:id="99"/>
            <w:r>
              <w:rPr>
                <w:rFonts w:hint="eastAsia" w:ascii="宋体" w:hAnsi="宋体" w:cs="宋体"/>
                <w:color w:val="auto"/>
                <w:sz w:val="21"/>
                <w:szCs w:val="21"/>
                <w:highlight w:val="none"/>
              </w:rPr>
              <w:t>29.2</w:t>
            </w:r>
          </w:p>
        </w:tc>
        <w:tc>
          <w:tcPr>
            <w:tcW w:w="8809" w:type="dxa"/>
            <w:tcBorders>
              <w:top w:val="single" w:color="auto" w:sz="4" w:space="0"/>
              <w:left w:val="single" w:color="auto" w:sz="4" w:space="0"/>
              <w:bottom w:val="single" w:color="auto" w:sz="4" w:space="0"/>
              <w:right w:val="single" w:color="auto" w:sz="4" w:space="0"/>
            </w:tcBorders>
            <w:vAlign w:val="center"/>
          </w:tcPr>
          <w:p w14:paraId="7980CFB1">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商务条款评审中允许负偏离的条款数为</w:t>
            </w:r>
            <w:r>
              <w:rPr>
                <w:rFonts w:hint="eastAsia" w:ascii="宋体" w:hAnsi="宋体" w:cs="宋体"/>
                <w:color w:val="auto"/>
                <w:sz w:val="21"/>
                <w:szCs w:val="21"/>
                <w:highlight w:val="none"/>
                <w:u w:val="single"/>
                <w:lang w:val="en-US" w:eastAsia="zh-CN"/>
              </w:rPr>
              <w:t>2</w:t>
            </w:r>
            <w:r>
              <w:rPr>
                <w:rFonts w:hint="eastAsia" w:ascii="宋体" w:hAnsi="宋体" w:cs="宋体"/>
                <w:color w:val="auto"/>
                <w:sz w:val="21"/>
                <w:szCs w:val="21"/>
                <w:highlight w:val="none"/>
              </w:rPr>
              <w:t>项。</w:t>
            </w:r>
          </w:p>
          <w:p w14:paraId="2F0F2DA9">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技术需求评审中允许负偏离的条款数为</w:t>
            </w:r>
            <w:r>
              <w:rPr>
                <w:rFonts w:hint="eastAsia" w:ascii="宋体" w:hAnsi="宋体" w:cs="宋体"/>
                <w:color w:val="auto"/>
                <w:sz w:val="21"/>
                <w:szCs w:val="21"/>
                <w:highlight w:val="none"/>
                <w:u w:val="single"/>
                <w:lang w:val="en-US" w:eastAsia="zh-CN"/>
              </w:rPr>
              <w:t>0</w:t>
            </w:r>
            <w:r>
              <w:rPr>
                <w:rFonts w:hint="eastAsia" w:ascii="宋体" w:hAnsi="宋体" w:cs="宋体"/>
                <w:color w:val="auto"/>
                <w:sz w:val="21"/>
                <w:szCs w:val="21"/>
                <w:highlight w:val="none"/>
              </w:rPr>
              <w:t>项。</w:t>
            </w:r>
          </w:p>
        </w:tc>
      </w:tr>
      <w:tr w14:paraId="5570A8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57ED10D6">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30.1</w:t>
            </w:r>
          </w:p>
        </w:tc>
        <w:tc>
          <w:tcPr>
            <w:tcW w:w="8809" w:type="dxa"/>
            <w:tcBorders>
              <w:top w:val="single" w:color="auto" w:sz="4" w:space="0"/>
              <w:left w:val="single" w:color="auto" w:sz="4" w:space="0"/>
              <w:bottom w:val="single" w:color="auto" w:sz="4" w:space="0"/>
              <w:right w:val="single" w:color="auto" w:sz="4" w:space="0"/>
            </w:tcBorders>
            <w:vAlign w:val="center"/>
          </w:tcPr>
          <w:p w14:paraId="4D3D5DE8">
            <w:pPr>
              <w:autoSpaceDE w:val="0"/>
              <w:autoSpaceDN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采购人确定</w:t>
            </w:r>
            <w:r>
              <w:rPr>
                <w:rFonts w:hint="eastAsia" w:ascii="宋体" w:hAnsi="宋体" w:cs="宋体"/>
                <w:color w:val="auto"/>
                <w:sz w:val="21"/>
                <w:szCs w:val="21"/>
                <w:highlight w:val="none"/>
                <w:lang w:eastAsia="zh-CN"/>
              </w:rPr>
              <w:t>中标供应商</w:t>
            </w:r>
            <w:r>
              <w:rPr>
                <w:rFonts w:hint="eastAsia" w:ascii="宋体" w:hAnsi="宋体" w:cs="宋体"/>
                <w:color w:val="auto"/>
                <w:sz w:val="21"/>
                <w:szCs w:val="21"/>
                <w:highlight w:val="none"/>
              </w:rPr>
              <w:t>时，出</w:t>
            </w:r>
            <w:r>
              <w:rPr>
                <w:rFonts w:hint="eastAsia" w:ascii="宋体" w:hAnsi="宋体" w:eastAsia="宋体" w:cs="宋体"/>
                <w:color w:val="auto"/>
                <w:sz w:val="21"/>
                <w:szCs w:val="21"/>
                <w:highlight w:val="none"/>
              </w:rPr>
              <w:t>现中标候选人并列的情形，采购人按</w:t>
            </w:r>
            <w:r>
              <w:rPr>
                <w:rFonts w:hint="eastAsia" w:ascii="宋体" w:hAnsi="宋体" w:eastAsia="宋体" w:cs="宋体"/>
                <w:color w:val="auto"/>
                <w:sz w:val="21"/>
                <w:szCs w:val="21"/>
                <w:highlight w:val="none"/>
                <w:lang w:eastAsia="zh-CN"/>
              </w:rPr>
              <w:t>以下</w:t>
            </w:r>
            <w:r>
              <w:rPr>
                <w:rFonts w:hint="eastAsia" w:ascii="宋体" w:hAnsi="宋体" w:eastAsia="宋体" w:cs="宋体"/>
                <w:color w:val="auto"/>
                <w:sz w:val="21"/>
                <w:szCs w:val="21"/>
                <w:highlight w:val="none"/>
              </w:rPr>
              <w:t>方式确定</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w:t>
            </w:r>
          </w:p>
          <w:p w14:paraId="4F31B21F">
            <w:pPr>
              <w:autoSpaceDE w:val="0"/>
              <w:autoSpaceDN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1.技术分得分高者优先；2.技术分相同时，商务分得分高者优先；3.上述均相同时，由采购人采用随机抽取方式确定。</w:t>
            </w:r>
          </w:p>
          <w:p w14:paraId="436F415B">
            <w:pPr>
              <w:spacing w:line="360" w:lineRule="auto"/>
              <w:rPr>
                <w:rFonts w:hint="eastAsia" w:ascii="宋体" w:hAnsi="宋体" w:cs="宋体"/>
                <w:b/>
                <w:color w:val="auto"/>
                <w:sz w:val="21"/>
                <w:szCs w:val="21"/>
                <w:highlight w:val="none"/>
              </w:rPr>
            </w:pPr>
            <w:r>
              <w:rPr>
                <w:rFonts w:hint="eastAsia" w:ascii="宋体" w:hAnsi="宋体" w:cs="宋体"/>
                <w:color w:val="auto"/>
                <w:sz w:val="21"/>
                <w:szCs w:val="21"/>
                <w:highlight w:val="none"/>
              </w:rPr>
              <w:t>□随机抽取</w:t>
            </w:r>
          </w:p>
        </w:tc>
      </w:tr>
      <w:tr w14:paraId="798870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6" w:type="dxa"/>
            <w:tcBorders>
              <w:top w:val="single" w:color="auto" w:sz="4" w:space="0"/>
              <w:left w:val="single" w:color="auto" w:sz="4" w:space="0"/>
              <w:bottom w:val="single" w:color="auto" w:sz="4" w:space="0"/>
              <w:right w:val="single" w:color="auto" w:sz="4" w:space="0"/>
            </w:tcBorders>
            <w:vAlign w:val="center"/>
          </w:tcPr>
          <w:p w14:paraId="4717D6E2">
            <w:pPr>
              <w:spacing w:line="360" w:lineRule="auto"/>
              <w:rPr>
                <w:rFonts w:hint="eastAsia" w:ascii="宋体" w:hAnsi="宋体" w:cs="宋体"/>
                <w:color w:val="auto"/>
                <w:sz w:val="21"/>
                <w:szCs w:val="21"/>
                <w:highlight w:val="none"/>
              </w:rPr>
            </w:pPr>
            <w:bookmarkStart w:id="100" w:name="_39.1"/>
            <w:bookmarkEnd w:id="100"/>
            <w:r>
              <w:rPr>
                <w:rFonts w:hint="eastAsia" w:ascii="宋体" w:hAnsi="宋体" w:cs="宋体"/>
                <w:color w:val="auto"/>
                <w:sz w:val="21"/>
                <w:szCs w:val="21"/>
                <w:highlight w:val="none"/>
              </w:rPr>
              <w:t>35.1</w:t>
            </w:r>
          </w:p>
        </w:tc>
        <w:tc>
          <w:tcPr>
            <w:tcW w:w="8809" w:type="dxa"/>
            <w:tcBorders>
              <w:top w:val="single" w:color="auto" w:sz="4" w:space="0"/>
              <w:left w:val="single" w:color="auto" w:sz="4" w:space="0"/>
              <w:bottom w:val="single" w:color="auto" w:sz="4" w:space="0"/>
              <w:right w:val="single" w:color="auto" w:sz="4" w:space="0"/>
            </w:tcBorders>
            <w:vAlign w:val="center"/>
          </w:tcPr>
          <w:p w14:paraId="5349E0CC">
            <w:pPr>
              <w:spacing w:line="360" w:lineRule="auto"/>
              <w:jc w:val="left"/>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履约保证金金额：按中标金额的</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%（注：履约保证金不超过5%）</w:t>
            </w:r>
          </w:p>
        </w:tc>
      </w:tr>
      <w:tr w14:paraId="4DE4B9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363BA249">
            <w:pPr>
              <w:spacing w:line="360" w:lineRule="auto"/>
              <w:rPr>
                <w:rFonts w:hint="eastAsia" w:ascii="宋体" w:hAnsi="宋体" w:cs="宋体"/>
                <w:color w:val="auto"/>
                <w:sz w:val="21"/>
                <w:szCs w:val="21"/>
                <w:highlight w:val="none"/>
              </w:rPr>
            </w:pPr>
            <w:bookmarkStart w:id="101" w:name="_40.1"/>
            <w:bookmarkEnd w:id="101"/>
            <w:r>
              <w:rPr>
                <w:rFonts w:hint="eastAsia" w:ascii="宋体" w:hAnsi="宋体" w:cs="宋体"/>
                <w:color w:val="auto"/>
                <w:sz w:val="21"/>
                <w:szCs w:val="21"/>
                <w:highlight w:val="none"/>
              </w:rPr>
              <w:t>36.1</w:t>
            </w:r>
          </w:p>
        </w:tc>
        <w:tc>
          <w:tcPr>
            <w:tcW w:w="8809" w:type="dxa"/>
            <w:tcBorders>
              <w:top w:val="single" w:color="auto" w:sz="4" w:space="0"/>
              <w:left w:val="single" w:color="auto" w:sz="4" w:space="0"/>
              <w:bottom w:val="single" w:color="auto" w:sz="4" w:space="0"/>
              <w:right w:val="single" w:color="auto" w:sz="4" w:space="0"/>
            </w:tcBorders>
            <w:vAlign w:val="center"/>
          </w:tcPr>
          <w:p w14:paraId="1A5D63D2">
            <w:pPr>
              <w:autoSpaceDE w:val="0"/>
              <w:autoSpaceDN w:val="0"/>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签订合同携带的证明材料：</w:t>
            </w:r>
          </w:p>
          <w:p w14:paraId="0DB034ED">
            <w:pPr>
              <w:autoSpaceDE w:val="0"/>
              <w:autoSpaceDN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委托代理人负责签订合同的，须携带授权委托书及委托代理人身份证原件等其他资格证件。</w:t>
            </w:r>
          </w:p>
          <w:p w14:paraId="4709DE95">
            <w:pPr>
              <w:autoSpaceDE w:val="0"/>
              <w:autoSpaceDN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法定代表人负责签订合同的，须携带法定代表人身份证明原件及身份证原件等其他证明材料。</w:t>
            </w:r>
          </w:p>
        </w:tc>
      </w:tr>
      <w:tr w14:paraId="30EBF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770161C9">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38.2</w:t>
            </w:r>
          </w:p>
        </w:tc>
        <w:tc>
          <w:tcPr>
            <w:tcW w:w="8809" w:type="dxa"/>
            <w:tcBorders>
              <w:top w:val="single" w:color="auto" w:sz="4" w:space="0"/>
              <w:left w:val="single" w:color="auto" w:sz="4" w:space="0"/>
              <w:bottom w:val="single" w:color="auto" w:sz="4" w:space="0"/>
              <w:right w:val="single" w:color="auto" w:sz="4" w:space="0"/>
            </w:tcBorders>
            <w:vAlign w:val="center"/>
          </w:tcPr>
          <w:p w14:paraId="77C87699">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接收质疑函方式：以书面形式</w:t>
            </w:r>
          </w:p>
          <w:p w14:paraId="2A2CC84E">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质疑联系部门及联系方式：详见招标公告</w:t>
            </w:r>
          </w:p>
          <w:p w14:paraId="314DCDD4">
            <w:pPr>
              <w:autoSpaceDE w:val="0"/>
              <w:autoSpaceDN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现场提交质疑办理业务时间：每天8时00分到12时00分，15时00分到18时00分，业务时间以外、双休日和法定节假日不办理业务。</w:t>
            </w:r>
          </w:p>
        </w:tc>
      </w:tr>
      <w:tr w14:paraId="10F1E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59448C85">
            <w:pPr>
              <w:spacing w:line="360" w:lineRule="auto"/>
              <w:rPr>
                <w:rFonts w:hint="eastAsia" w:ascii="宋体" w:hAnsi="宋体" w:cs="宋体"/>
                <w:color w:val="auto"/>
                <w:sz w:val="21"/>
                <w:szCs w:val="21"/>
                <w:highlight w:val="none"/>
              </w:rPr>
            </w:pPr>
            <w:bookmarkStart w:id="102" w:name="_41"/>
            <w:bookmarkEnd w:id="102"/>
            <w:bookmarkStart w:id="103" w:name="_42"/>
            <w:bookmarkEnd w:id="103"/>
            <w:bookmarkStart w:id="104" w:name="_Hlt17709148"/>
            <w:r>
              <w:rPr>
                <w:rFonts w:hint="eastAsia" w:ascii="宋体" w:hAnsi="宋体" w:cs="宋体"/>
                <w:color w:val="auto"/>
                <w:sz w:val="21"/>
                <w:szCs w:val="21"/>
                <w:highlight w:val="none"/>
              </w:rPr>
              <w:t>3</w:t>
            </w:r>
            <w:bookmarkEnd w:id="104"/>
            <w:r>
              <w:rPr>
                <w:rFonts w:hint="eastAsia" w:ascii="宋体" w:hAnsi="宋体" w:cs="宋体"/>
                <w:color w:val="auto"/>
                <w:sz w:val="21"/>
                <w:szCs w:val="21"/>
                <w:highlight w:val="none"/>
              </w:rPr>
              <w:t>9.1</w:t>
            </w:r>
          </w:p>
        </w:tc>
        <w:tc>
          <w:tcPr>
            <w:tcW w:w="8809" w:type="dxa"/>
            <w:tcBorders>
              <w:top w:val="single" w:color="auto" w:sz="4" w:space="0"/>
              <w:left w:val="single" w:color="auto" w:sz="4" w:space="0"/>
              <w:bottom w:val="single" w:color="auto" w:sz="4" w:space="0"/>
              <w:right w:val="single" w:color="auto" w:sz="4" w:space="0"/>
            </w:tcBorders>
            <w:vAlign w:val="center"/>
          </w:tcPr>
          <w:p w14:paraId="513475AE">
            <w:pPr>
              <w:pStyle w:val="50"/>
              <w:spacing w:line="360" w:lineRule="auto"/>
              <w:rPr>
                <w:rFonts w:hint="eastAsia" w:hAnsi="宋体" w:cs="宋体"/>
                <w:color w:val="auto"/>
                <w:sz w:val="21"/>
                <w:highlight w:val="none"/>
              </w:rPr>
            </w:pPr>
            <w:r>
              <w:rPr>
                <w:rFonts w:hint="eastAsia" w:hAnsi="宋体" w:cs="宋体"/>
                <w:color w:val="auto"/>
                <w:sz w:val="21"/>
                <w:highlight w:val="none"/>
              </w:rPr>
              <w:t>1.采购代理费支付方式：</w:t>
            </w:r>
          </w:p>
          <w:p w14:paraId="64C5329A">
            <w:pPr>
              <w:pStyle w:val="50"/>
              <w:spacing w:line="360" w:lineRule="auto"/>
              <w:rPr>
                <w:rFonts w:hint="eastAsia"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lang w:eastAsia="zh-CN"/>
              </w:rPr>
              <w:t>中标供应商</w:t>
            </w:r>
            <w:r>
              <w:rPr>
                <w:rFonts w:hint="eastAsia" w:hAnsi="宋体" w:cs="宋体"/>
                <w:color w:val="auto"/>
                <w:sz w:val="21"/>
                <w:highlight w:val="none"/>
              </w:rPr>
              <w:t>领取</w:t>
            </w:r>
            <w:r>
              <w:rPr>
                <w:rFonts w:hint="eastAsia" w:hAnsi="宋体" w:cs="宋体"/>
                <w:color w:val="auto"/>
                <w:sz w:val="21"/>
                <w:highlight w:val="none"/>
                <w:lang w:eastAsia="zh-CN"/>
              </w:rPr>
              <w:t>中标</w:t>
            </w:r>
            <w:r>
              <w:rPr>
                <w:rFonts w:hint="eastAsia" w:hAnsi="宋体" w:cs="宋体"/>
                <w:color w:val="auto"/>
                <w:sz w:val="21"/>
                <w:highlight w:val="none"/>
              </w:rPr>
              <w:t>通知书前，一次性向采购代理机构支付。</w:t>
            </w:r>
          </w:p>
          <w:p w14:paraId="5983DA46">
            <w:pPr>
              <w:pStyle w:val="50"/>
              <w:spacing w:line="360" w:lineRule="auto"/>
              <w:rPr>
                <w:rFonts w:hint="eastAsia" w:hAnsi="宋体" w:cs="宋体"/>
                <w:color w:val="auto"/>
                <w:sz w:val="21"/>
                <w:highlight w:val="none"/>
              </w:rPr>
            </w:pPr>
            <w:r>
              <w:rPr>
                <w:rFonts w:hint="eastAsia" w:hAnsi="宋体" w:cs="宋体"/>
                <w:color w:val="auto"/>
                <w:sz w:val="21"/>
                <w:highlight w:val="none"/>
              </w:rPr>
              <w:t>□采购人支付。</w:t>
            </w:r>
          </w:p>
          <w:p w14:paraId="18595DC1">
            <w:pPr>
              <w:pStyle w:val="50"/>
              <w:spacing w:line="360" w:lineRule="auto"/>
              <w:rPr>
                <w:rFonts w:hint="eastAsia" w:hAnsi="宋体" w:cs="宋体"/>
                <w:color w:val="auto"/>
                <w:sz w:val="21"/>
                <w:highlight w:val="none"/>
              </w:rPr>
            </w:pPr>
            <w:r>
              <w:rPr>
                <w:rFonts w:hint="eastAsia" w:hAnsi="宋体" w:cs="宋体"/>
                <w:color w:val="auto"/>
                <w:sz w:val="21"/>
                <w:highlight w:val="none"/>
              </w:rPr>
              <w:t>2.采购代理费收取标准：</w:t>
            </w:r>
          </w:p>
          <w:p w14:paraId="3344E113">
            <w:pPr>
              <w:pStyle w:val="50"/>
              <w:spacing w:line="360" w:lineRule="auto"/>
              <w:rPr>
                <w:rFonts w:hint="eastAsia" w:hAnsi="宋体" w:cs="宋体"/>
                <w:color w:val="auto"/>
                <w:sz w:val="21"/>
                <w:highlight w:val="none"/>
              </w:rPr>
            </w:pPr>
            <w:r>
              <w:rPr>
                <w:rFonts w:hint="eastAsia" w:hAnsi="宋体" w:cs="宋体"/>
                <w:color w:val="auto"/>
                <w:sz w:val="21"/>
                <w:highlight w:val="none"/>
                <w:lang w:eastAsia="zh-CN"/>
              </w:rPr>
              <w:t>□</w:t>
            </w:r>
            <w:r>
              <w:rPr>
                <w:rFonts w:hint="eastAsia" w:hAnsi="宋体" w:cs="宋体"/>
                <w:color w:val="auto"/>
                <w:sz w:val="21"/>
                <w:highlight w:val="none"/>
              </w:rPr>
              <w:t>以分标（</w:t>
            </w:r>
            <w:r>
              <w:rPr>
                <w:rFonts w:hint="eastAsia" w:hAnsi="宋体" w:cs="宋体"/>
                <w:color w:val="auto"/>
                <w:sz w:val="21"/>
                <w:highlight w:val="none"/>
                <w:lang w:eastAsia="zh-CN"/>
              </w:rPr>
              <w:t>□中标</w:t>
            </w:r>
            <w:r>
              <w:rPr>
                <w:rFonts w:hint="eastAsia" w:hAnsi="宋体" w:cs="宋体"/>
                <w:color w:val="auto"/>
                <w:sz w:val="21"/>
                <w:highlight w:val="none"/>
              </w:rPr>
              <w:t>金额/</w:t>
            </w:r>
            <w:r>
              <w:rPr>
                <w:rFonts w:hint="eastAsia" w:hAnsi="宋体" w:cs="宋体"/>
                <w:color w:val="auto"/>
                <w:sz w:val="21"/>
                <w:highlight w:val="none"/>
                <w:lang w:eastAsia="zh-CN"/>
              </w:rPr>
              <w:t>☑</w:t>
            </w:r>
            <w:r>
              <w:rPr>
                <w:rFonts w:hint="eastAsia" w:hAnsi="宋体" w:cs="宋体"/>
                <w:color w:val="auto"/>
                <w:sz w:val="21"/>
                <w:highlight w:val="none"/>
              </w:rPr>
              <w:t>采购预算/□暂定</w:t>
            </w:r>
            <w:r>
              <w:rPr>
                <w:rFonts w:hint="eastAsia" w:hAnsi="宋体" w:cs="宋体"/>
                <w:color w:val="auto"/>
                <w:sz w:val="21"/>
                <w:highlight w:val="none"/>
                <w:lang w:eastAsia="zh-CN"/>
              </w:rPr>
              <w:t>中标</w:t>
            </w:r>
            <w:r>
              <w:rPr>
                <w:rFonts w:hint="eastAsia" w:hAnsi="宋体" w:cs="宋体"/>
                <w:color w:val="auto"/>
                <w:sz w:val="21"/>
                <w:highlight w:val="none"/>
              </w:rPr>
              <w:t>金额/</w:t>
            </w:r>
            <w:r>
              <w:rPr>
                <w:rFonts w:hint="eastAsia" w:hAnsi="宋体" w:cs="宋体"/>
                <w:color w:val="auto"/>
                <w:sz w:val="21"/>
                <w:highlight w:val="none"/>
                <w:lang w:eastAsia="zh-CN"/>
              </w:rPr>
              <w:t>☑</w:t>
            </w:r>
            <w:r>
              <w:rPr>
                <w:rFonts w:hint="eastAsia" w:hAnsi="宋体" w:cs="宋体"/>
                <w:color w:val="auto"/>
                <w:sz w:val="21"/>
                <w:highlight w:val="none"/>
              </w:rPr>
              <w:t>其他）为计费额，按本须知正文第</w:t>
            </w:r>
            <w:r>
              <w:rPr>
                <w:rFonts w:hAnsi="宋体" w:cs="宋体"/>
                <w:color w:val="auto"/>
                <w:sz w:val="21"/>
                <w:highlight w:val="none"/>
              </w:rPr>
              <w:t>32</w:t>
            </w:r>
            <w:r>
              <w:rPr>
                <w:rFonts w:hint="eastAsia" w:hAnsi="宋体" w:cs="宋体"/>
                <w:color w:val="auto"/>
                <w:sz w:val="21"/>
                <w:highlight w:val="none"/>
              </w:rPr>
              <w:t>.</w:t>
            </w:r>
            <w:r>
              <w:rPr>
                <w:rFonts w:hAnsi="宋体" w:cs="宋体"/>
                <w:color w:val="auto"/>
                <w:sz w:val="21"/>
                <w:highlight w:val="none"/>
              </w:rPr>
              <w:t>2</w:t>
            </w:r>
            <w:r>
              <w:rPr>
                <w:rFonts w:hint="eastAsia" w:hAnsi="宋体" w:cs="宋体"/>
                <w:color w:val="auto"/>
                <w:sz w:val="21"/>
                <w:highlight w:val="none"/>
              </w:rPr>
              <w:t>条规定的收费计算标准（□货物类/☑服务类/□工程类）采用差额定率累进法计算出收费基准价格，采购代理收费以（☑收费基准价格/□收费基准价格下浮</w:t>
            </w:r>
            <w:r>
              <w:rPr>
                <w:rFonts w:hint="eastAsia" w:hAnsi="宋体" w:cs="宋体"/>
                <w:color w:val="auto"/>
                <w:sz w:val="21"/>
                <w:highlight w:val="none"/>
                <w:u w:val="single"/>
              </w:rPr>
              <w:t>%</w:t>
            </w:r>
            <w:r>
              <w:rPr>
                <w:rFonts w:hAnsi="宋体" w:cs="宋体"/>
                <w:color w:val="auto"/>
                <w:sz w:val="21"/>
                <w:highlight w:val="none"/>
              </w:rPr>
              <w:t>/</w:t>
            </w:r>
            <w:r>
              <w:rPr>
                <w:rFonts w:hint="eastAsia" w:hAnsi="宋体" w:cs="宋体"/>
                <w:color w:val="auto"/>
                <w:sz w:val="21"/>
                <w:highlight w:val="none"/>
              </w:rPr>
              <w:t>□收费基准价格上浮</w:t>
            </w:r>
            <w:r>
              <w:rPr>
                <w:rFonts w:hint="eastAsia" w:hAnsi="宋体" w:cs="宋体"/>
                <w:color w:val="auto"/>
                <w:sz w:val="21"/>
                <w:highlight w:val="none"/>
                <w:u w:val="single"/>
              </w:rPr>
              <w:t>%</w:t>
            </w:r>
            <w:r>
              <w:rPr>
                <w:rFonts w:hint="eastAsia" w:hAnsi="宋体" w:cs="宋体"/>
                <w:color w:val="auto"/>
                <w:sz w:val="21"/>
                <w:highlight w:val="none"/>
              </w:rPr>
              <w:t>）收取。</w:t>
            </w:r>
          </w:p>
          <w:p w14:paraId="59EF3398">
            <w:pPr>
              <w:pStyle w:val="50"/>
              <w:spacing w:line="360" w:lineRule="auto"/>
              <w:rPr>
                <w:rFonts w:hint="eastAsia" w:hAnsi="宋体" w:cs="宋体"/>
                <w:color w:val="auto"/>
                <w:sz w:val="21"/>
                <w:szCs w:val="21"/>
                <w:highlight w:val="none"/>
                <w:lang w:val="en-US" w:eastAsia="zh-CN"/>
              </w:rPr>
            </w:pPr>
            <w:r>
              <w:rPr>
                <w:rFonts w:hint="eastAsia" w:hAnsi="宋体" w:cs="宋体"/>
                <w:color w:val="auto"/>
                <w:sz w:val="21"/>
                <w:highlight w:val="none"/>
              </w:rPr>
              <w:t>□固定采购代理收费</w:t>
            </w:r>
            <w:r>
              <w:rPr>
                <w:rFonts w:hint="eastAsia" w:hAnsi="宋体" w:cs="宋体"/>
                <w:color w:val="auto"/>
                <w:sz w:val="21"/>
                <w:highlight w:val="none"/>
                <w:u w:val="single"/>
              </w:rPr>
              <w:t>。</w:t>
            </w:r>
          </w:p>
        </w:tc>
      </w:tr>
      <w:tr w14:paraId="4509F5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289817A7">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40.1</w:t>
            </w:r>
          </w:p>
        </w:tc>
        <w:tc>
          <w:tcPr>
            <w:tcW w:w="8809" w:type="dxa"/>
            <w:tcBorders>
              <w:top w:val="single" w:color="auto" w:sz="4" w:space="0"/>
              <w:left w:val="single" w:color="auto" w:sz="4" w:space="0"/>
              <w:bottom w:val="single" w:color="auto" w:sz="4" w:space="0"/>
              <w:right w:val="single" w:color="auto" w:sz="4" w:space="0"/>
            </w:tcBorders>
            <w:vAlign w:val="center"/>
          </w:tcPr>
          <w:p w14:paraId="0588E2B3">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2474CD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12716958">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40.2</w:t>
            </w:r>
          </w:p>
        </w:tc>
        <w:tc>
          <w:tcPr>
            <w:tcW w:w="8809" w:type="dxa"/>
            <w:tcBorders>
              <w:top w:val="single" w:color="auto" w:sz="4" w:space="0"/>
              <w:left w:val="single" w:color="auto" w:sz="4" w:space="0"/>
              <w:bottom w:val="single" w:color="auto" w:sz="4" w:space="0"/>
              <w:right w:val="single" w:color="auto" w:sz="4" w:space="0"/>
            </w:tcBorders>
            <w:vAlign w:val="center"/>
          </w:tcPr>
          <w:p w14:paraId="4360204A">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等</w:t>
            </w:r>
            <w:r>
              <w:rPr>
                <w:rFonts w:hint="eastAsia" w:ascii="宋体" w:hAnsi="宋体" w:cs="宋体"/>
                <w:color w:val="auto"/>
                <w:sz w:val="21"/>
                <w:szCs w:val="21"/>
                <w:highlight w:val="none"/>
                <w:lang w:eastAsia="zh-CN"/>
              </w:rPr>
              <w:t>其他形式</w:t>
            </w:r>
            <w:r>
              <w:rPr>
                <w:rFonts w:hint="eastAsia" w:ascii="宋体" w:hAnsi="宋体" w:cs="宋体"/>
                <w:color w:val="auto"/>
                <w:sz w:val="21"/>
                <w:szCs w:val="21"/>
                <w:highlight w:val="none"/>
              </w:rPr>
              <w:t>印章均不能代替公章。</w:t>
            </w:r>
          </w:p>
          <w:p w14:paraId="7B5E5D73">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2.本招标文件中描述投标人的“签字”是指投标人的法定代表人或被授权人亲自在招标文件规定签署处亲笔写上个人的名字的行为</w:t>
            </w:r>
            <w:r>
              <w:rPr>
                <w:rFonts w:hint="eastAsia" w:ascii="宋体" w:hAnsi="宋体" w:cs="宋体"/>
                <w:color w:val="auto"/>
                <w:sz w:val="21"/>
                <w:szCs w:val="21"/>
                <w:highlight w:val="none"/>
                <w:lang w:val="en-US" w:eastAsia="zh-CN"/>
              </w:rPr>
              <w:t>或通过CA加盖的签字章</w:t>
            </w:r>
            <w:r>
              <w:rPr>
                <w:rFonts w:hint="eastAsia" w:ascii="宋体" w:hAnsi="宋体" w:cs="宋体"/>
                <w:color w:val="auto"/>
                <w:sz w:val="21"/>
                <w:szCs w:val="21"/>
                <w:highlight w:val="none"/>
              </w:rPr>
              <w:t>，私章、签字章、印鉴、影印等</w:t>
            </w:r>
            <w:r>
              <w:rPr>
                <w:rFonts w:hint="eastAsia" w:ascii="宋体" w:hAnsi="宋体" w:cs="宋体"/>
                <w:color w:val="auto"/>
                <w:sz w:val="21"/>
                <w:szCs w:val="21"/>
                <w:highlight w:val="none"/>
                <w:lang w:eastAsia="zh-CN"/>
              </w:rPr>
              <w:t>其他形式</w:t>
            </w:r>
            <w:r>
              <w:rPr>
                <w:rFonts w:hint="eastAsia" w:ascii="宋体" w:hAnsi="宋体" w:cs="宋体"/>
                <w:color w:val="auto"/>
                <w:sz w:val="21"/>
                <w:szCs w:val="21"/>
                <w:highlight w:val="none"/>
              </w:rPr>
              <w:t>均不能代替亲笔签字。</w:t>
            </w:r>
          </w:p>
          <w:p w14:paraId="1BF40D2A">
            <w:pPr>
              <w:spacing w:line="360" w:lineRule="auto"/>
              <w:rPr>
                <w:rFonts w:hint="eastAsia" w:ascii="宋体" w:hAnsi="宋体" w:cs="宋体"/>
                <w:b/>
                <w:bCs/>
                <w:color w:val="auto"/>
                <w:sz w:val="21"/>
                <w:szCs w:val="21"/>
                <w:highlight w:val="none"/>
              </w:rPr>
            </w:pPr>
            <w:r>
              <w:rPr>
                <w:rFonts w:hint="eastAsia" w:ascii="宋体" w:hAnsi="宋体" w:cs="宋体"/>
                <w:color w:val="auto"/>
                <w:sz w:val="21"/>
                <w:szCs w:val="21"/>
                <w:highlight w:val="none"/>
              </w:rPr>
              <w:t>3.</w:t>
            </w:r>
            <w:r>
              <w:rPr>
                <w:rFonts w:hint="eastAsia" w:ascii="宋体" w:hAnsi="宋体" w:cs="宋体"/>
                <w:b/>
                <w:bCs/>
                <w:color w:val="auto"/>
                <w:sz w:val="21"/>
                <w:szCs w:val="21"/>
                <w:highlight w:val="none"/>
              </w:rPr>
              <w:t>电子投标文件中须加盖供应商公章部分均采用CA签章，并根据“政府采购项目电子交易管理操作指南</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供应商”及本招标文件规定的格式和顺序编制电子投标文件并进行关联定位，以便评标委员会在评审时，点击评分项可直接定位到该评分项内容。如对招标文件的某项要求，供应商的电子投标文件未能关联定位提供相应的内容与其对应，则评标委员会在评审时如做出对供应商不利的评审由供应商自行承担。电子投标文件如内容不完整、编排混乱导致投标文件被误读、漏读，或者</w:t>
            </w:r>
            <w:r>
              <w:rPr>
                <w:rFonts w:hint="eastAsia" w:ascii="宋体" w:hAnsi="宋体" w:cs="宋体"/>
                <w:b/>
                <w:bCs/>
                <w:color w:val="auto"/>
                <w:sz w:val="21"/>
                <w:szCs w:val="21"/>
                <w:highlight w:val="none"/>
                <w:lang w:eastAsia="zh-CN"/>
              </w:rPr>
              <w:t>在</w:t>
            </w:r>
            <w:r>
              <w:rPr>
                <w:rFonts w:hint="eastAsia" w:ascii="宋体" w:hAnsi="宋体" w:cs="宋体"/>
                <w:b/>
                <w:bCs/>
                <w:color w:val="auto"/>
                <w:sz w:val="21"/>
                <w:szCs w:val="21"/>
                <w:highlight w:val="none"/>
              </w:rPr>
              <w:t>采购文件规定的部位查找不到相关内容的，由供应商自行承担。</w:t>
            </w:r>
          </w:p>
          <w:p w14:paraId="6C42D113">
            <w:pPr>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4.CA签章上目前没有法人（负责人）或授权代表签字信息，但供应商在投标文件中</w:t>
            </w:r>
            <w:r>
              <w:rPr>
                <w:rFonts w:hint="eastAsia" w:ascii="宋体" w:hAnsi="宋体" w:cs="宋体"/>
                <w:b/>
                <w:bCs/>
                <w:color w:val="auto"/>
                <w:sz w:val="21"/>
                <w:szCs w:val="21"/>
                <w:highlight w:val="none"/>
                <w:lang w:eastAsia="zh-CN"/>
              </w:rPr>
              <w:t>涉及</w:t>
            </w:r>
            <w:r>
              <w:rPr>
                <w:rFonts w:hint="eastAsia" w:ascii="宋体" w:hAnsi="宋体" w:cs="宋体"/>
                <w:b/>
                <w:bCs/>
                <w:color w:val="auto"/>
                <w:sz w:val="21"/>
                <w:szCs w:val="21"/>
                <w:highlight w:val="none"/>
              </w:rPr>
              <w:t>签字的位置线下签好字然后扫描或拍照后制作成PDF格式亦可。投标文件中</w:t>
            </w:r>
            <w:r>
              <w:rPr>
                <w:rFonts w:hint="eastAsia" w:ascii="宋体" w:hAnsi="宋体" w:cs="宋体"/>
                <w:b/>
                <w:bCs/>
                <w:color w:val="auto"/>
                <w:sz w:val="21"/>
                <w:szCs w:val="21"/>
                <w:highlight w:val="none"/>
                <w:lang w:eastAsia="zh-CN"/>
              </w:rPr>
              <w:t>涉及</w:t>
            </w:r>
            <w:r>
              <w:rPr>
                <w:rFonts w:hint="eastAsia" w:ascii="宋体" w:hAnsi="宋体" w:cs="宋体"/>
                <w:b/>
                <w:bCs/>
                <w:color w:val="auto"/>
                <w:sz w:val="21"/>
                <w:szCs w:val="21"/>
                <w:highlight w:val="none"/>
              </w:rPr>
              <w:t>签字的位置未按要求签字的，提供的材料视为无效。</w:t>
            </w:r>
          </w:p>
          <w:p w14:paraId="61247E83">
            <w:pPr>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5.本招标文件所称的“以上”“以下”“以内”“届满”，包括本数；所称的“不满”“超过”“以外”，不包括本数</w:t>
            </w:r>
            <w:r>
              <w:rPr>
                <w:rFonts w:hint="eastAsia" w:ascii="宋体" w:hAnsi="宋体" w:cs="宋体"/>
                <w:color w:val="auto"/>
                <w:sz w:val="21"/>
                <w:szCs w:val="21"/>
                <w:highlight w:val="none"/>
                <w:lang w:eastAsia="zh-CN"/>
              </w:rPr>
              <w:t>。</w:t>
            </w:r>
          </w:p>
        </w:tc>
      </w:tr>
    </w:tbl>
    <w:p w14:paraId="5D40A17B">
      <w:pPr>
        <w:spacing w:line="360" w:lineRule="auto"/>
        <w:rPr>
          <w:rFonts w:ascii="宋体" w:hAnsi="宋体" w:cs="宋体"/>
          <w:color w:val="auto"/>
          <w:sz w:val="24"/>
          <w:szCs w:val="20"/>
          <w:highlight w:val="none"/>
        </w:rPr>
        <w:sectPr>
          <w:pgSz w:w="11906" w:h="16838"/>
          <w:pgMar w:top="1134" w:right="1247" w:bottom="1560" w:left="1247" w:header="851" w:footer="992" w:gutter="0"/>
          <w:cols w:space="720" w:num="1"/>
          <w:titlePg/>
          <w:docGrid w:linePitch="312" w:charSpace="0"/>
        </w:sectPr>
      </w:pPr>
    </w:p>
    <w:p w14:paraId="2055EDEC">
      <w:pPr>
        <w:pStyle w:val="16"/>
        <w:spacing w:before="0" w:after="0" w:line="360" w:lineRule="auto"/>
        <w:jc w:val="center"/>
        <w:rPr>
          <w:rFonts w:hint="eastAsia" w:ascii="宋体" w:hAnsi="宋体" w:eastAsia="宋体"/>
          <w:color w:val="auto"/>
          <w:highlight w:val="none"/>
        </w:rPr>
      </w:pPr>
      <w:bookmarkStart w:id="105" w:name="_Toc32187"/>
      <w:bookmarkStart w:id="106" w:name="_Toc18820"/>
      <w:bookmarkStart w:id="107" w:name="_Toc22218"/>
      <w:r>
        <w:rPr>
          <w:rFonts w:hint="eastAsia" w:ascii="宋体" w:hAnsi="宋体" w:eastAsia="宋体"/>
          <w:color w:val="auto"/>
          <w:highlight w:val="none"/>
        </w:rPr>
        <w:t>投标人须知正文</w:t>
      </w:r>
      <w:bookmarkEnd w:id="105"/>
      <w:bookmarkEnd w:id="106"/>
      <w:bookmarkEnd w:id="107"/>
    </w:p>
    <w:p w14:paraId="7E6CEF31">
      <w:pPr>
        <w:pStyle w:val="17"/>
        <w:keepNext w:val="0"/>
        <w:keepLines w:val="0"/>
        <w:spacing w:before="0" w:after="0" w:line="360" w:lineRule="auto"/>
        <w:jc w:val="center"/>
        <w:rPr>
          <w:rFonts w:hint="eastAsia" w:ascii="宋体" w:hAnsi="宋体" w:cs="宋体"/>
          <w:color w:val="auto"/>
          <w:highlight w:val="none"/>
        </w:rPr>
      </w:pPr>
      <w:r>
        <w:rPr>
          <w:rFonts w:hint="eastAsia" w:ascii="宋体" w:hAnsi="宋体" w:cs="宋体"/>
          <w:color w:val="auto"/>
          <w:highlight w:val="none"/>
        </w:rPr>
        <w:t>一、总则</w:t>
      </w:r>
    </w:p>
    <w:p w14:paraId="23A7102B">
      <w:pPr>
        <w:pStyle w:val="19"/>
        <w:keepNext w:val="0"/>
        <w:keepLines w:val="0"/>
        <w:spacing w:before="0" w:after="0" w:line="360" w:lineRule="auto"/>
        <w:ind w:left="420" w:leftChars="200"/>
        <w:rPr>
          <w:rFonts w:hint="eastAsia" w:ascii="宋体" w:hAnsi="宋体" w:cs="宋体"/>
          <w:color w:val="auto"/>
          <w:sz w:val="24"/>
          <w:highlight w:val="none"/>
        </w:rPr>
      </w:pPr>
      <w:bookmarkStart w:id="108" w:name="_Toc254970527"/>
      <w:bookmarkStart w:id="109" w:name="_Toc254970668"/>
      <w:r>
        <w:rPr>
          <w:rFonts w:hint="eastAsia" w:ascii="宋体" w:hAnsi="宋体" w:cs="宋体"/>
          <w:color w:val="auto"/>
          <w:sz w:val="24"/>
          <w:highlight w:val="none"/>
        </w:rPr>
        <w:t>1.适用范围</w:t>
      </w:r>
      <w:bookmarkEnd w:id="108"/>
      <w:bookmarkEnd w:id="109"/>
    </w:p>
    <w:p w14:paraId="6E037F4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w:t>
      </w:r>
      <w:r>
        <w:rPr>
          <w:rFonts w:hint="eastAsia" w:ascii="宋体" w:hAnsi="宋体" w:cs="宋体"/>
          <w:color w:val="auto"/>
          <w:szCs w:val="21"/>
          <w:highlight w:val="none"/>
          <w:lang w:val="en-US" w:eastAsia="zh-CN"/>
        </w:rPr>
        <w:t>规范</w:t>
      </w:r>
      <w:r>
        <w:rPr>
          <w:rFonts w:hint="eastAsia" w:ascii="宋体" w:hAnsi="宋体" w:cs="宋体"/>
          <w:color w:val="auto"/>
          <w:szCs w:val="21"/>
          <w:highlight w:val="none"/>
        </w:rPr>
        <w:t>。</w:t>
      </w:r>
    </w:p>
    <w:p w14:paraId="1C6B528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4440A9AC">
      <w:pPr>
        <w:pStyle w:val="19"/>
        <w:keepNext w:val="0"/>
        <w:keepLines w:val="0"/>
        <w:spacing w:before="0" w:after="0" w:line="360" w:lineRule="auto"/>
        <w:ind w:left="420" w:leftChars="200"/>
        <w:rPr>
          <w:rFonts w:hint="eastAsia" w:ascii="宋体" w:hAnsi="宋体" w:cs="宋体"/>
          <w:color w:val="auto"/>
          <w:sz w:val="24"/>
          <w:highlight w:val="none"/>
        </w:rPr>
      </w:pPr>
      <w:bookmarkStart w:id="110" w:name="_Toc254970669"/>
      <w:bookmarkStart w:id="111" w:name="_Toc254970528"/>
      <w:r>
        <w:rPr>
          <w:rFonts w:hint="eastAsia" w:ascii="宋体" w:hAnsi="宋体" w:cs="宋体"/>
          <w:color w:val="auto"/>
          <w:sz w:val="24"/>
          <w:highlight w:val="none"/>
        </w:rPr>
        <w:t>2.定义</w:t>
      </w:r>
      <w:bookmarkEnd w:id="110"/>
      <w:bookmarkEnd w:id="111"/>
    </w:p>
    <w:p w14:paraId="4444609E">
      <w:pPr>
        <w:pStyle w:val="19"/>
        <w:keepNext w:val="0"/>
        <w:keepLines w:val="0"/>
        <w:spacing w:before="0" w:after="0" w:line="360" w:lineRule="auto"/>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2.1“采购人”是指</w:t>
      </w:r>
      <w:r>
        <w:rPr>
          <w:rFonts w:hint="eastAsia" w:ascii="宋体" w:hAnsi="宋体" w:cs="宋体"/>
          <w:b w:val="0"/>
          <w:color w:val="auto"/>
          <w:sz w:val="21"/>
          <w:szCs w:val="21"/>
          <w:highlight w:val="none"/>
          <w:lang w:val="en-US" w:eastAsia="zh-CN"/>
        </w:rPr>
        <w:t>天等县农业农村局</w:t>
      </w:r>
      <w:r>
        <w:rPr>
          <w:rFonts w:hint="eastAsia" w:ascii="宋体" w:hAnsi="宋体" w:cs="宋体"/>
          <w:b w:val="0"/>
          <w:color w:val="auto"/>
          <w:sz w:val="21"/>
          <w:szCs w:val="21"/>
          <w:highlight w:val="none"/>
        </w:rPr>
        <w:t>。</w:t>
      </w:r>
    </w:p>
    <w:p w14:paraId="61896B46">
      <w:pPr>
        <w:pStyle w:val="19"/>
        <w:keepNext w:val="0"/>
        <w:keepLines w:val="0"/>
        <w:spacing w:before="0" w:after="0" w:line="360" w:lineRule="auto"/>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2.2“采购代理机构”是指</w:t>
      </w:r>
      <w:r>
        <w:rPr>
          <w:rFonts w:hint="eastAsia" w:ascii="宋体" w:hAnsi="宋体" w:cs="宋体"/>
          <w:b w:val="0"/>
          <w:color w:val="auto"/>
          <w:sz w:val="21"/>
          <w:szCs w:val="21"/>
          <w:highlight w:val="none"/>
          <w:lang w:val="en-US" w:eastAsia="zh-CN"/>
        </w:rPr>
        <w:t>广西崇善项目咨询有限公司</w:t>
      </w:r>
      <w:r>
        <w:rPr>
          <w:rFonts w:hint="eastAsia" w:ascii="宋体" w:hAnsi="宋体" w:cs="宋体"/>
          <w:b w:val="0"/>
          <w:color w:val="auto"/>
          <w:sz w:val="21"/>
          <w:szCs w:val="21"/>
          <w:highlight w:val="none"/>
        </w:rPr>
        <w:t>。</w:t>
      </w:r>
    </w:p>
    <w:p w14:paraId="1B9110F0">
      <w:pPr>
        <w:pStyle w:val="19"/>
        <w:keepNext w:val="0"/>
        <w:keepLines w:val="0"/>
        <w:spacing w:before="0" w:after="0" w:line="360" w:lineRule="auto"/>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2.3“供应商”是指向采购人提供货物、工程或者服务的法人、其他组织或者自然人。</w:t>
      </w:r>
    </w:p>
    <w:p w14:paraId="7F46B899">
      <w:pPr>
        <w:pStyle w:val="21"/>
        <w:spacing w:line="360" w:lineRule="auto"/>
        <w:rPr>
          <w:rFonts w:hint="eastAsia" w:ascii="宋体" w:hAnsi="宋体" w:cs="宋体"/>
          <w:color w:val="auto"/>
          <w:szCs w:val="21"/>
          <w:highlight w:val="none"/>
        </w:rPr>
      </w:pPr>
      <w:r>
        <w:rPr>
          <w:rFonts w:hint="eastAsia" w:ascii="宋体" w:hAnsi="宋体" w:cs="宋体"/>
          <w:color w:val="auto"/>
          <w:szCs w:val="21"/>
          <w:highlight w:val="none"/>
        </w:rPr>
        <w:t>2.4“投标人”是指响应招标、参加投标竞争的法人、非法人组织或者自然人。</w:t>
      </w:r>
    </w:p>
    <w:p w14:paraId="0FDDD746">
      <w:pPr>
        <w:pStyle w:val="19"/>
        <w:keepNext w:val="0"/>
        <w:keepLines w:val="0"/>
        <w:spacing w:before="0" w:after="0" w:line="360" w:lineRule="auto"/>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2.5“服务”是指除货物和工程以外的其他政府采购对象。</w:t>
      </w:r>
    </w:p>
    <w:p w14:paraId="5F772E90">
      <w:pPr>
        <w:pStyle w:val="19"/>
        <w:keepNext w:val="0"/>
        <w:keepLines w:val="0"/>
        <w:spacing w:before="0" w:after="0" w:line="360" w:lineRule="auto"/>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2.6“书面形式”是指合同书、信件和数据电文（包括电报、电传、传真、电子数据交换和电子邮件）等可以有形地表现所载内容的形式。</w:t>
      </w:r>
    </w:p>
    <w:p w14:paraId="60FB639C">
      <w:pPr>
        <w:pStyle w:val="19"/>
        <w:keepNext w:val="0"/>
        <w:keepLines w:val="0"/>
        <w:spacing w:before="0" w:after="0" w:line="360" w:lineRule="auto"/>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2.7“实质性要求”是指招标文件中已经指明不满足则投标无效的条款，或者不能负偏离的条款，或者采购需求中带“▲”或“★”的条款。</w:t>
      </w:r>
    </w:p>
    <w:p w14:paraId="2E2C37B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2.8“正偏离”，是指投标文件对招标文件“采购需求”中有关条款作出的响应优于条款要求并有利于采购人的情形。</w:t>
      </w:r>
    </w:p>
    <w:p w14:paraId="4895871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7D50BBD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bookmarkStart w:id="112" w:name="_Toc254970670"/>
      <w:bookmarkStart w:id="113" w:name="_Toc254970529"/>
    </w:p>
    <w:p w14:paraId="2607B8F5">
      <w:pPr>
        <w:pStyle w:val="19"/>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3.</w:t>
      </w:r>
      <w:bookmarkEnd w:id="112"/>
      <w:bookmarkEnd w:id="113"/>
      <w:r>
        <w:rPr>
          <w:rFonts w:hint="eastAsia" w:ascii="宋体" w:hAnsi="宋体" w:cs="宋体"/>
          <w:color w:val="auto"/>
          <w:sz w:val="24"/>
          <w:highlight w:val="none"/>
        </w:rPr>
        <w:t>投标人的资格要求</w:t>
      </w:r>
    </w:p>
    <w:p w14:paraId="7B70769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76E4D59C">
      <w:pPr>
        <w:pStyle w:val="19"/>
        <w:keepNext w:val="0"/>
        <w:keepLines w:val="0"/>
        <w:spacing w:before="0" w:after="0" w:line="360" w:lineRule="auto"/>
        <w:ind w:left="420" w:leftChars="200"/>
        <w:rPr>
          <w:rFonts w:hint="eastAsia" w:ascii="宋体" w:hAnsi="宋体" w:cs="宋体"/>
          <w:color w:val="auto"/>
          <w:sz w:val="24"/>
          <w:highlight w:val="none"/>
        </w:rPr>
      </w:pPr>
      <w:bookmarkStart w:id="114" w:name="_Toc254970530"/>
      <w:bookmarkStart w:id="115" w:name="_Toc254970671"/>
      <w:r>
        <w:rPr>
          <w:rFonts w:hint="eastAsia" w:ascii="宋体" w:hAnsi="宋体" w:cs="宋体"/>
          <w:color w:val="auto"/>
          <w:sz w:val="24"/>
          <w:highlight w:val="none"/>
        </w:rPr>
        <w:t>4.投标委托</w:t>
      </w:r>
      <w:bookmarkEnd w:id="114"/>
      <w:bookmarkEnd w:id="115"/>
    </w:p>
    <w:p w14:paraId="1E24C45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478FF050">
      <w:pPr>
        <w:pStyle w:val="19"/>
        <w:keepNext w:val="0"/>
        <w:keepLines w:val="0"/>
        <w:spacing w:before="0" w:after="0" w:line="360" w:lineRule="auto"/>
        <w:ind w:left="420" w:leftChars="200"/>
        <w:rPr>
          <w:rFonts w:hint="eastAsia" w:ascii="宋体" w:hAnsi="宋体" w:cs="宋体"/>
          <w:color w:val="auto"/>
          <w:sz w:val="24"/>
          <w:highlight w:val="none"/>
        </w:rPr>
      </w:pPr>
      <w:bookmarkStart w:id="116" w:name="_5.投标费用"/>
      <w:bookmarkEnd w:id="116"/>
      <w:bookmarkStart w:id="117" w:name="_Toc254970672"/>
      <w:bookmarkStart w:id="118" w:name="_Toc254970531"/>
      <w:r>
        <w:rPr>
          <w:rFonts w:hint="eastAsia" w:ascii="宋体" w:hAnsi="宋体" w:cs="宋体"/>
          <w:color w:val="auto"/>
          <w:sz w:val="24"/>
          <w:highlight w:val="none"/>
        </w:rPr>
        <w:t>5.投标费用</w:t>
      </w:r>
      <w:bookmarkEnd w:id="117"/>
      <w:bookmarkEnd w:id="118"/>
    </w:p>
    <w:p w14:paraId="385A841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4C105897">
      <w:pPr>
        <w:pStyle w:val="19"/>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6.联合体投标</w:t>
      </w:r>
    </w:p>
    <w:p w14:paraId="1CE9066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395EEA30">
      <w:p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48DDF6BB">
      <w:pPr>
        <w:pStyle w:val="19"/>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7.转包与分包</w:t>
      </w:r>
    </w:p>
    <w:p w14:paraId="08420F26">
      <w:pPr>
        <w:pStyle w:val="19"/>
        <w:keepNext w:val="0"/>
        <w:keepLines w:val="0"/>
        <w:spacing w:before="0" w:after="0" w:line="360" w:lineRule="auto"/>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7.1本项目不允许转包。</w:t>
      </w:r>
    </w:p>
    <w:p w14:paraId="1B46FB00">
      <w:pPr>
        <w:pStyle w:val="19"/>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296C73D4">
      <w:pPr>
        <w:pStyle w:val="19"/>
        <w:keepNext w:val="0"/>
        <w:keepLines w:val="0"/>
        <w:spacing w:before="0" w:after="0" w:line="360" w:lineRule="auto"/>
        <w:ind w:left="420" w:leftChars="200"/>
        <w:rPr>
          <w:rFonts w:hint="eastAsia" w:ascii="宋体" w:hAnsi="宋体" w:cs="宋体"/>
          <w:color w:val="auto"/>
          <w:sz w:val="24"/>
          <w:highlight w:val="none"/>
        </w:rPr>
      </w:pPr>
      <w:bookmarkStart w:id="119" w:name="_Toc254970532"/>
      <w:bookmarkStart w:id="120" w:name="_Toc254970673"/>
      <w:r>
        <w:rPr>
          <w:rFonts w:hint="eastAsia" w:ascii="宋体" w:hAnsi="宋体" w:cs="宋体"/>
          <w:color w:val="auto"/>
          <w:sz w:val="24"/>
          <w:highlight w:val="none"/>
        </w:rPr>
        <w:t>8.特别说明：</w:t>
      </w:r>
      <w:bookmarkEnd w:id="119"/>
      <w:bookmarkEnd w:id="120"/>
      <w:bookmarkStart w:id="121" w:name="_8.1提供相同品牌产品且通过资格审查、符合性审查的不同投标人参加同一合"/>
      <w:bookmarkEnd w:id="121"/>
    </w:p>
    <w:p w14:paraId="3095B775">
      <w:pPr>
        <w:pStyle w:val="19"/>
        <w:keepNext w:val="0"/>
        <w:keepLines w:val="0"/>
        <w:spacing w:before="0" w:after="0" w:line="360" w:lineRule="auto"/>
        <w:ind w:firstLine="369" w:firstLineChars="175"/>
        <w:rPr>
          <w:rFonts w:hint="eastAsia" w:ascii="宋体" w:hAnsi="宋体" w:cs="宋体"/>
          <w:color w:val="auto"/>
          <w:sz w:val="21"/>
          <w:szCs w:val="21"/>
          <w:highlight w:val="none"/>
        </w:rPr>
      </w:pPr>
      <w:r>
        <w:rPr>
          <w:rFonts w:hint="eastAsia" w:ascii="宋体" w:hAnsi="宋体" w:cs="宋体"/>
          <w:color w:val="auto"/>
          <w:sz w:val="21"/>
          <w:szCs w:val="21"/>
          <w:highlight w:val="none"/>
        </w:rPr>
        <w:t>8.1如果本招标文件要求投标人提供资格、信誉、荣誉、业绩与企业认证等材料的，则投标人所提供的以上材料必须为投标人所拥有。</w:t>
      </w:r>
    </w:p>
    <w:p w14:paraId="70D9EB84">
      <w:pPr>
        <w:pStyle w:val="19"/>
        <w:keepNext w:val="0"/>
        <w:keepLines w:val="0"/>
        <w:spacing w:before="0" w:after="0" w:line="360" w:lineRule="auto"/>
        <w:ind w:firstLine="369" w:firstLineChars="175"/>
        <w:rPr>
          <w:rFonts w:hint="eastAsia" w:ascii="宋体" w:hAnsi="宋体" w:cs="宋体"/>
          <w:color w:val="auto"/>
          <w:sz w:val="21"/>
          <w:szCs w:val="21"/>
          <w:highlight w:val="none"/>
        </w:rPr>
      </w:pPr>
      <w:r>
        <w:rPr>
          <w:rFonts w:hint="eastAsia" w:ascii="宋体" w:hAnsi="宋体" w:cs="宋体"/>
          <w:color w:val="auto"/>
          <w:sz w:val="21"/>
          <w:szCs w:val="21"/>
          <w:highlight w:val="none"/>
        </w:rPr>
        <w:t>8.2投标人应仔细阅读招标文件的所有内容，按照招标文件的要求提交投标文件，并对所提供的全部资料的真实性承担法律责任。</w:t>
      </w:r>
    </w:p>
    <w:p w14:paraId="2DE1ABDC">
      <w:pPr>
        <w:pStyle w:val="19"/>
        <w:keepNext w:val="0"/>
        <w:keepLines w:val="0"/>
        <w:spacing w:before="0" w:after="0" w:line="360" w:lineRule="auto"/>
        <w:ind w:firstLine="369" w:firstLineChars="175"/>
        <w:rPr>
          <w:rFonts w:hint="eastAsia" w:ascii="宋体" w:hAnsi="宋体" w:cs="宋体"/>
          <w:color w:val="auto"/>
          <w:sz w:val="21"/>
          <w:szCs w:val="21"/>
          <w:highlight w:val="none"/>
        </w:rPr>
      </w:pPr>
      <w:r>
        <w:rPr>
          <w:rFonts w:hint="eastAsia" w:ascii="宋体" w:hAnsi="宋体" w:cs="宋体"/>
          <w:color w:val="auto"/>
          <w:sz w:val="21"/>
          <w:szCs w:val="21"/>
          <w:highlight w:val="none"/>
        </w:rPr>
        <w:t>8.3投标人在投标活动中提供任何虚假材料，将报监管部门查处；中标后发现的，</w:t>
      </w:r>
      <w:r>
        <w:rPr>
          <w:rFonts w:hint="eastAsia" w:ascii="宋体" w:hAnsi="宋体" w:cs="宋体"/>
          <w:color w:val="auto"/>
          <w:sz w:val="21"/>
          <w:szCs w:val="21"/>
          <w:highlight w:val="none"/>
          <w:lang w:eastAsia="zh-CN"/>
        </w:rPr>
        <w:t>中标供应商</w:t>
      </w:r>
      <w:r>
        <w:rPr>
          <w:rFonts w:hint="eastAsia" w:ascii="宋体" w:hAnsi="宋体" w:cs="宋体"/>
          <w:color w:val="auto"/>
          <w:sz w:val="21"/>
          <w:szCs w:val="21"/>
          <w:highlight w:val="none"/>
        </w:rPr>
        <w:t>须依照《中华人民共和国消费者权益保护法》规定赔偿采购人，且民事赔偿并不免除违法投标人的行政与刑事责任。</w:t>
      </w:r>
    </w:p>
    <w:p w14:paraId="2DB66239">
      <w:pPr>
        <w:pStyle w:val="19"/>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9.回避与串通投标</w:t>
      </w:r>
    </w:p>
    <w:p w14:paraId="70EB1A65">
      <w:pPr>
        <w:pStyle w:val="19"/>
        <w:keepNext w:val="0"/>
        <w:keepLines w:val="0"/>
        <w:spacing w:before="0" w:after="0" w:line="360" w:lineRule="auto"/>
        <w:ind w:firstLine="369" w:firstLineChars="175"/>
        <w:rPr>
          <w:rFonts w:hint="eastAsia" w:ascii="宋体" w:hAnsi="宋体" w:cs="宋体"/>
          <w:color w:val="auto"/>
          <w:sz w:val="21"/>
          <w:szCs w:val="21"/>
          <w:highlight w:val="none"/>
        </w:rPr>
      </w:pPr>
      <w:r>
        <w:rPr>
          <w:rFonts w:hint="eastAsia" w:ascii="宋体" w:hAnsi="宋体" w:cs="宋体"/>
          <w:color w:val="auto"/>
          <w:sz w:val="21"/>
          <w:szCs w:val="21"/>
          <w:highlight w:val="none"/>
        </w:rPr>
        <w:t>9.1在政府采购活动中，采购人员及相关人员与供应商有下列利害关系之一的，应当回避：</w:t>
      </w:r>
    </w:p>
    <w:p w14:paraId="2A13D45E">
      <w:pPr>
        <w:pStyle w:val="50"/>
        <w:spacing w:line="360" w:lineRule="auto"/>
        <w:ind w:left="2" w:leftChars="1" w:firstLine="422" w:firstLineChars="200"/>
        <w:rPr>
          <w:rFonts w:hint="eastAsia" w:hAnsi="宋体" w:cs="宋体"/>
          <w:b/>
          <w:color w:val="auto"/>
          <w:kern w:val="2"/>
          <w:sz w:val="21"/>
          <w:highlight w:val="none"/>
        </w:rPr>
      </w:pPr>
      <w:r>
        <w:rPr>
          <w:rFonts w:hint="eastAsia" w:hAnsi="宋体" w:cs="宋体"/>
          <w:b/>
          <w:color w:val="auto"/>
          <w:kern w:val="2"/>
          <w:sz w:val="21"/>
          <w:highlight w:val="none"/>
        </w:rPr>
        <w:t>（1）参加采购活动前3年内与供应商存在劳动关系；</w:t>
      </w:r>
    </w:p>
    <w:p w14:paraId="6150AAEF">
      <w:pPr>
        <w:pStyle w:val="50"/>
        <w:spacing w:line="360" w:lineRule="auto"/>
        <w:ind w:left="2" w:leftChars="1" w:firstLine="422" w:firstLineChars="200"/>
        <w:rPr>
          <w:rFonts w:hint="eastAsia" w:hAnsi="宋体" w:cs="宋体"/>
          <w:b/>
          <w:color w:val="auto"/>
          <w:kern w:val="2"/>
          <w:sz w:val="21"/>
          <w:highlight w:val="none"/>
        </w:rPr>
      </w:pPr>
      <w:r>
        <w:rPr>
          <w:rFonts w:hint="eastAsia" w:hAnsi="宋体" w:cs="宋体"/>
          <w:b/>
          <w:color w:val="auto"/>
          <w:kern w:val="2"/>
          <w:sz w:val="21"/>
          <w:highlight w:val="none"/>
        </w:rPr>
        <w:t>（2）参加采购活动前3年内担任供应商的董事、监事；</w:t>
      </w:r>
    </w:p>
    <w:p w14:paraId="0870208F">
      <w:pPr>
        <w:pStyle w:val="50"/>
        <w:spacing w:line="360" w:lineRule="auto"/>
        <w:ind w:left="2" w:leftChars="1" w:firstLine="422" w:firstLineChars="200"/>
        <w:rPr>
          <w:rFonts w:hint="eastAsia" w:hAnsi="宋体" w:cs="宋体"/>
          <w:b/>
          <w:color w:val="auto"/>
          <w:kern w:val="2"/>
          <w:sz w:val="21"/>
          <w:highlight w:val="none"/>
        </w:rPr>
      </w:pPr>
      <w:r>
        <w:rPr>
          <w:rFonts w:hint="eastAsia" w:hAnsi="宋体" w:cs="宋体"/>
          <w:b/>
          <w:color w:val="auto"/>
          <w:kern w:val="2"/>
          <w:sz w:val="21"/>
          <w:highlight w:val="none"/>
        </w:rPr>
        <w:t>（3）参加采购活动前3年内是供应商的控股股东或者实际控制人；</w:t>
      </w:r>
    </w:p>
    <w:p w14:paraId="625E1B07">
      <w:pPr>
        <w:pStyle w:val="50"/>
        <w:spacing w:line="360" w:lineRule="auto"/>
        <w:ind w:left="2" w:leftChars="1" w:firstLine="422" w:firstLineChars="200"/>
        <w:rPr>
          <w:rFonts w:hint="eastAsia" w:hAnsi="宋体" w:cs="宋体"/>
          <w:b/>
          <w:color w:val="auto"/>
          <w:kern w:val="2"/>
          <w:sz w:val="21"/>
          <w:highlight w:val="none"/>
        </w:rPr>
      </w:pPr>
      <w:r>
        <w:rPr>
          <w:rFonts w:hint="eastAsia" w:hAnsi="宋体" w:cs="宋体"/>
          <w:b/>
          <w:color w:val="auto"/>
          <w:kern w:val="2"/>
          <w:sz w:val="21"/>
          <w:highlight w:val="none"/>
        </w:rPr>
        <w:t>（4）与供应商的法定代表人或者负责人有夫妻、直系血亲、三代以内旁系血亲或者近姻亲关系；</w:t>
      </w:r>
    </w:p>
    <w:p w14:paraId="0952ADB6">
      <w:pPr>
        <w:pStyle w:val="5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（5）与供应商有其他可能影响政府采购活动公平、公正进行的关系。</w:t>
      </w:r>
    </w:p>
    <w:p w14:paraId="3B46A53F">
      <w:pPr>
        <w:pStyle w:val="50"/>
        <w:spacing w:line="360" w:lineRule="auto"/>
        <w:ind w:left="2" w:leftChars="1" w:firstLine="422" w:firstLineChars="200"/>
        <w:rPr>
          <w:rFonts w:hint="eastAsia" w:hAnsi="宋体" w:cs="宋体"/>
          <w:b/>
          <w:color w:val="auto"/>
          <w:kern w:val="2"/>
          <w:sz w:val="21"/>
          <w:highlight w:val="none"/>
        </w:rPr>
      </w:pPr>
      <w:r>
        <w:rPr>
          <w:rFonts w:hint="eastAsia" w:hAnsi="宋体" w:cs="宋体"/>
          <w:b/>
          <w:color w:val="auto"/>
          <w:kern w:val="2"/>
          <w:sz w:val="21"/>
          <w:highlight w:val="none"/>
        </w:rPr>
        <w:t>（6）各采购服务内容分别对应的</w:t>
      </w:r>
      <w:r>
        <w:rPr>
          <w:rFonts w:hint="eastAsia" w:hAnsi="宋体" w:cs="宋体"/>
          <w:b/>
          <w:color w:val="auto"/>
          <w:kern w:val="2"/>
          <w:sz w:val="21"/>
          <w:highlight w:val="none"/>
          <w:lang w:eastAsia="zh-CN"/>
        </w:rPr>
        <w:t>工可编制、初步设计</w:t>
      </w:r>
      <w:r>
        <w:rPr>
          <w:rFonts w:hint="eastAsia" w:hAnsi="宋体" w:cs="宋体"/>
          <w:b/>
          <w:color w:val="auto"/>
          <w:kern w:val="2"/>
          <w:sz w:val="21"/>
          <w:highlight w:val="none"/>
        </w:rPr>
        <w:t>及施工图编制单位及其参股、控股或者实际控制人等利益相关方。</w:t>
      </w:r>
    </w:p>
    <w:p w14:paraId="64F49039">
      <w:pPr>
        <w:pStyle w:val="50"/>
        <w:spacing w:line="360" w:lineRule="auto"/>
        <w:ind w:left="2" w:leftChars="1" w:firstLine="422" w:firstLineChars="200"/>
        <w:rPr>
          <w:rFonts w:hint="eastAsia" w:hAnsi="宋体" w:cs="宋体"/>
          <w:b/>
          <w:color w:val="auto"/>
          <w:kern w:val="2"/>
          <w:sz w:val="21"/>
          <w:highlight w:val="none"/>
        </w:rPr>
      </w:pPr>
      <w:r>
        <w:rPr>
          <w:rFonts w:hint="eastAsia" w:hAnsi="宋体" w:cs="宋体"/>
          <w:b/>
          <w:color w:val="auto"/>
          <w:kern w:val="2"/>
          <w:sz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699F603">
      <w:pPr>
        <w:pStyle w:val="19"/>
        <w:keepNext w:val="0"/>
        <w:keepLines w:val="0"/>
        <w:spacing w:before="0" w:after="0" w:line="360" w:lineRule="auto"/>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9.2有下列情形之一的视为投标人相互串通投标，投标文件将被视为无效：</w:t>
      </w:r>
    </w:p>
    <w:p w14:paraId="44D30EA1">
      <w:pPr>
        <w:pStyle w:val="50"/>
        <w:spacing w:line="360" w:lineRule="auto"/>
        <w:ind w:left="2" w:leftChars="1" w:firstLine="422" w:firstLineChars="200"/>
        <w:rPr>
          <w:rFonts w:hint="eastAsia" w:hAnsi="宋体" w:cs="宋体"/>
          <w:b/>
          <w:color w:val="auto"/>
          <w:kern w:val="2"/>
          <w:sz w:val="21"/>
          <w:highlight w:val="none"/>
        </w:rPr>
      </w:pPr>
      <w:r>
        <w:rPr>
          <w:rFonts w:hint="eastAsia" w:hAnsi="宋体" w:cs="宋体"/>
          <w:b/>
          <w:color w:val="auto"/>
          <w:kern w:val="2"/>
          <w:sz w:val="21"/>
          <w:highlight w:val="none"/>
        </w:rPr>
        <w:t>（1）不同投标人的投标文件由同一单位或者个人编制；或者不同投标人报名或投标的IP地址一致的；</w:t>
      </w:r>
    </w:p>
    <w:p w14:paraId="620EA13B">
      <w:pPr>
        <w:pStyle w:val="50"/>
        <w:spacing w:line="360" w:lineRule="auto"/>
        <w:ind w:left="2" w:leftChars="1" w:firstLine="422" w:firstLineChars="200"/>
        <w:rPr>
          <w:rFonts w:hint="eastAsia" w:hAnsi="宋体" w:cs="宋体"/>
          <w:b/>
          <w:color w:val="auto"/>
          <w:kern w:val="2"/>
          <w:sz w:val="21"/>
          <w:highlight w:val="none"/>
        </w:rPr>
      </w:pPr>
      <w:r>
        <w:rPr>
          <w:rFonts w:hint="eastAsia" w:hAnsi="宋体" w:cs="宋体"/>
          <w:b/>
          <w:color w:val="auto"/>
          <w:kern w:val="2"/>
          <w:sz w:val="21"/>
          <w:highlight w:val="none"/>
        </w:rPr>
        <w:t>（2）不同投标人委托同一单位或者个人办理投标事宜；</w:t>
      </w:r>
    </w:p>
    <w:p w14:paraId="1719712D">
      <w:pPr>
        <w:pStyle w:val="50"/>
        <w:spacing w:line="360" w:lineRule="auto"/>
        <w:ind w:left="2" w:leftChars="1" w:firstLine="422" w:firstLineChars="200"/>
        <w:rPr>
          <w:rFonts w:hint="eastAsia" w:hAnsi="宋体" w:cs="宋体"/>
          <w:b/>
          <w:color w:val="auto"/>
          <w:kern w:val="2"/>
          <w:sz w:val="21"/>
          <w:highlight w:val="none"/>
        </w:rPr>
      </w:pPr>
      <w:r>
        <w:rPr>
          <w:rFonts w:hint="eastAsia" w:hAnsi="宋体" w:cs="宋体"/>
          <w:b/>
          <w:color w:val="auto"/>
          <w:kern w:val="2"/>
          <w:sz w:val="21"/>
          <w:highlight w:val="none"/>
        </w:rPr>
        <w:t>（3）不同的投标人的投标文件载明的项目管理员为同一个人；</w:t>
      </w:r>
    </w:p>
    <w:p w14:paraId="2653AC58">
      <w:pPr>
        <w:pStyle w:val="50"/>
        <w:spacing w:line="360" w:lineRule="auto"/>
        <w:ind w:left="2" w:leftChars="1" w:firstLine="422" w:firstLineChars="200"/>
        <w:rPr>
          <w:rFonts w:hint="eastAsia" w:hAnsi="宋体" w:cs="宋体"/>
          <w:b/>
          <w:color w:val="auto"/>
          <w:kern w:val="2"/>
          <w:sz w:val="21"/>
          <w:highlight w:val="none"/>
        </w:rPr>
      </w:pPr>
      <w:r>
        <w:rPr>
          <w:rFonts w:hint="eastAsia" w:hAnsi="宋体" w:cs="宋体"/>
          <w:b/>
          <w:color w:val="auto"/>
          <w:kern w:val="2"/>
          <w:sz w:val="21"/>
          <w:highlight w:val="none"/>
        </w:rPr>
        <w:t>（4）不同投标人的投标文件异常一致或者投标报价呈规律性差异；</w:t>
      </w:r>
    </w:p>
    <w:p w14:paraId="6445A514">
      <w:pPr>
        <w:pStyle w:val="50"/>
        <w:spacing w:line="360" w:lineRule="auto"/>
        <w:ind w:left="2" w:leftChars="1" w:firstLine="422" w:firstLineChars="200"/>
        <w:rPr>
          <w:rFonts w:hint="eastAsia" w:hAnsi="宋体" w:cs="宋体"/>
          <w:b/>
          <w:color w:val="auto"/>
          <w:kern w:val="2"/>
          <w:sz w:val="21"/>
          <w:highlight w:val="none"/>
        </w:rPr>
      </w:pPr>
      <w:r>
        <w:rPr>
          <w:rFonts w:hint="eastAsia" w:hAnsi="宋体" w:cs="宋体"/>
          <w:b/>
          <w:color w:val="auto"/>
          <w:kern w:val="2"/>
          <w:sz w:val="21"/>
          <w:highlight w:val="none"/>
        </w:rPr>
        <w:t>（5）不同投标人的投标文件相互混装；</w:t>
      </w:r>
    </w:p>
    <w:p w14:paraId="4E1F48EA">
      <w:pPr>
        <w:pStyle w:val="50"/>
        <w:spacing w:line="360" w:lineRule="auto"/>
        <w:ind w:left="2" w:leftChars="1" w:firstLine="422" w:firstLineChars="200"/>
        <w:rPr>
          <w:rFonts w:hint="eastAsia" w:hAnsi="宋体" w:cs="宋体"/>
          <w:b/>
          <w:color w:val="auto"/>
          <w:kern w:val="2"/>
          <w:sz w:val="21"/>
          <w:highlight w:val="none"/>
        </w:rPr>
      </w:pPr>
      <w:r>
        <w:rPr>
          <w:rFonts w:hint="eastAsia" w:hAnsi="宋体" w:cs="宋体"/>
          <w:b/>
          <w:color w:val="auto"/>
          <w:kern w:val="2"/>
          <w:sz w:val="21"/>
          <w:highlight w:val="none"/>
        </w:rPr>
        <w:t>（6）不同投标人的投标保证金从同一单位或者个人账户转出。</w:t>
      </w:r>
    </w:p>
    <w:p w14:paraId="481F2480">
      <w:pPr>
        <w:pStyle w:val="19"/>
        <w:keepNext w:val="0"/>
        <w:keepLines w:val="0"/>
        <w:spacing w:before="0" w:after="0" w:line="360" w:lineRule="auto"/>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9.3供应商有下列情形之一的，属于恶意串通行为，将报同级监督管理部门：</w:t>
      </w:r>
    </w:p>
    <w:p w14:paraId="71D5444C">
      <w:pPr>
        <w:pStyle w:val="50"/>
        <w:spacing w:line="360" w:lineRule="auto"/>
        <w:ind w:left="2" w:leftChars="1" w:firstLine="422" w:firstLineChars="200"/>
        <w:rPr>
          <w:rFonts w:hint="eastAsia" w:hAnsi="宋体" w:cs="宋体"/>
          <w:b/>
          <w:color w:val="auto"/>
          <w:kern w:val="2"/>
          <w:sz w:val="21"/>
          <w:highlight w:val="none"/>
        </w:rPr>
      </w:pPr>
      <w:r>
        <w:rPr>
          <w:rFonts w:hint="eastAsia" w:hAnsi="宋体" w:cs="宋体"/>
          <w:b/>
          <w:color w:val="auto"/>
          <w:kern w:val="2"/>
          <w:sz w:val="21"/>
          <w:highlight w:val="none"/>
        </w:rPr>
        <w:t>（1）供应商直接或者间接从采购人或者采购代理机构处获得其他供应商的相关信息并修改其投标文件或者投标文件；</w:t>
      </w:r>
    </w:p>
    <w:p w14:paraId="2DBB47C3">
      <w:pPr>
        <w:pStyle w:val="50"/>
        <w:spacing w:line="360" w:lineRule="auto"/>
        <w:ind w:left="2" w:leftChars="1" w:firstLine="422" w:firstLineChars="200"/>
        <w:rPr>
          <w:rFonts w:hint="eastAsia" w:hAnsi="宋体" w:cs="宋体"/>
          <w:b/>
          <w:color w:val="auto"/>
          <w:kern w:val="2"/>
          <w:sz w:val="21"/>
          <w:highlight w:val="none"/>
        </w:rPr>
      </w:pPr>
      <w:r>
        <w:rPr>
          <w:rFonts w:hint="eastAsia" w:hAnsi="宋体" w:cs="宋体"/>
          <w:b/>
          <w:color w:val="auto"/>
          <w:kern w:val="2"/>
          <w:sz w:val="21"/>
          <w:highlight w:val="none"/>
        </w:rPr>
        <w:t>（2）供应商按照采购人或者采购代理机构的授意撤换、修改投标文件或者投标文件；</w:t>
      </w:r>
    </w:p>
    <w:p w14:paraId="4DA09E96">
      <w:pPr>
        <w:pStyle w:val="50"/>
        <w:spacing w:line="360" w:lineRule="auto"/>
        <w:ind w:left="2" w:leftChars="1" w:firstLine="422" w:firstLineChars="200"/>
        <w:rPr>
          <w:rFonts w:hint="eastAsia" w:hAnsi="宋体" w:cs="宋体"/>
          <w:b/>
          <w:color w:val="auto"/>
          <w:kern w:val="2"/>
          <w:sz w:val="21"/>
          <w:highlight w:val="none"/>
        </w:rPr>
      </w:pPr>
      <w:r>
        <w:rPr>
          <w:rFonts w:hint="eastAsia" w:hAnsi="宋体" w:cs="宋体"/>
          <w:b/>
          <w:color w:val="auto"/>
          <w:kern w:val="2"/>
          <w:sz w:val="21"/>
          <w:highlight w:val="none"/>
        </w:rPr>
        <w:t>（3）供应商之间协商报价、技术方案等投标文件或者投标文件的实质性内容；</w:t>
      </w:r>
    </w:p>
    <w:p w14:paraId="552BB776">
      <w:pPr>
        <w:pStyle w:val="50"/>
        <w:spacing w:line="360" w:lineRule="auto"/>
        <w:ind w:left="2" w:leftChars="1" w:firstLine="422" w:firstLineChars="200"/>
        <w:rPr>
          <w:rFonts w:hint="eastAsia" w:hAnsi="宋体" w:cs="宋体"/>
          <w:b/>
          <w:color w:val="auto"/>
          <w:kern w:val="2"/>
          <w:sz w:val="21"/>
          <w:highlight w:val="none"/>
        </w:rPr>
      </w:pPr>
      <w:r>
        <w:rPr>
          <w:rFonts w:hint="eastAsia" w:hAnsi="宋体" w:cs="宋体"/>
          <w:b/>
          <w:color w:val="auto"/>
          <w:kern w:val="2"/>
          <w:sz w:val="21"/>
          <w:highlight w:val="none"/>
        </w:rPr>
        <w:t>（</w:t>
      </w:r>
      <w:r>
        <w:rPr>
          <w:rFonts w:hAnsi="宋体" w:cs="宋体"/>
          <w:b/>
          <w:color w:val="auto"/>
          <w:kern w:val="2"/>
          <w:sz w:val="21"/>
          <w:highlight w:val="none"/>
        </w:rPr>
        <w:t>4</w:t>
      </w:r>
      <w:r>
        <w:rPr>
          <w:rFonts w:hint="eastAsia" w:hAnsi="宋体" w:cs="宋体"/>
          <w:b/>
          <w:color w:val="auto"/>
          <w:kern w:val="2"/>
          <w:sz w:val="21"/>
          <w:highlight w:val="none"/>
        </w:rPr>
        <w:t>）供应商之间事先约定一致抬高或者压低投标报价，或者在招标项目中事先约定轮流以高价位或者低价位中标，或者事先约定由某一特定供应商中标，然后再参加投标；</w:t>
      </w:r>
    </w:p>
    <w:p w14:paraId="2AEE11C5">
      <w:pPr>
        <w:pStyle w:val="50"/>
        <w:spacing w:line="360" w:lineRule="auto"/>
        <w:ind w:left="2" w:leftChars="1" w:firstLine="422" w:firstLineChars="200"/>
        <w:rPr>
          <w:rFonts w:hint="eastAsia" w:hAnsi="宋体" w:cs="宋体"/>
          <w:b/>
          <w:color w:val="auto"/>
          <w:kern w:val="2"/>
          <w:sz w:val="21"/>
          <w:highlight w:val="none"/>
        </w:rPr>
      </w:pPr>
      <w:r>
        <w:rPr>
          <w:rFonts w:hint="eastAsia" w:hAnsi="宋体" w:cs="宋体"/>
          <w:b/>
          <w:color w:val="auto"/>
          <w:kern w:val="2"/>
          <w:sz w:val="21"/>
          <w:highlight w:val="none"/>
        </w:rPr>
        <w:t>（</w:t>
      </w:r>
      <w:r>
        <w:rPr>
          <w:rFonts w:hAnsi="宋体" w:cs="宋体"/>
          <w:b/>
          <w:color w:val="auto"/>
          <w:kern w:val="2"/>
          <w:sz w:val="21"/>
          <w:highlight w:val="none"/>
        </w:rPr>
        <w:t>5</w:t>
      </w:r>
      <w:r>
        <w:rPr>
          <w:rFonts w:hint="eastAsia" w:hAnsi="宋体" w:cs="宋体"/>
          <w:b/>
          <w:color w:val="auto"/>
          <w:kern w:val="2"/>
          <w:sz w:val="21"/>
          <w:highlight w:val="none"/>
        </w:rPr>
        <w:t>）供应商之间商定部分供应商放弃参加政府采购活动或者放弃中标；</w:t>
      </w:r>
    </w:p>
    <w:p w14:paraId="257FA5BF">
      <w:pPr>
        <w:pStyle w:val="50"/>
        <w:spacing w:line="360" w:lineRule="auto"/>
        <w:ind w:left="2" w:leftChars="1" w:firstLine="422" w:firstLineChars="200"/>
        <w:rPr>
          <w:rFonts w:hint="eastAsia" w:hAnsi="宋体" w:cs="宋体"/>
          <w:b/>
          <w:color w:val="auto"/>
          <w:kern w:val="2"/>
          <w:sz w:val="21"/>
          <w:highlight w:val="none"/>
        </w:rPr>
      </w:pPr>
      <w:r>
        <w:rPr>
          <w:rFonts w:hint="eastAsia" w:hAnsi="宋体" w:cs="宋体"/>
          <w:b/>
          <w:color w:val="auto"/>
          <w:kern w:val="2"/>
          <w:sz w:val="21"/>
          <w:highlight w:val="none"/>
        </w:rPr>
        <w:t>（</w:t>
      </w:r>
      <w:r>
        <w:rPr>
          <w:rFonts w:hAnsi="宋体" w:cs="宋体"/>
          <w:b/>
          <w:color w:val="auto"/>
          <w:kern w:val="2"/>
          <w:sz w:val="21"/>
          <w:highlight w:val="none"/>
        </w:rPr>
        <w:t>6</w:t>
      </w:r>
      <w:r>
        <w:rPr>
          <w:rFonts w:hint="eastAsia" w:hAnsi="宋体" w:cs="宋体"/>
          <w:b/>
          <w:color w:val="auto"/>
          <w:kern w:val="2"/>
          <w:sz w:val="21"/>
          <w:highlight w:val="none"/>
        </w:rPr>
        <w:t>）供应商与采购人或者采购代理机构之间、供应商相互之间，为谋求特定供应商中标或者排斥其他供应商的其他串通行为。</w:t>
      </w:r>
    </w:p>
    <w:p w14:paraId="62E31961">
      <w:pPr>
        <w:pStyle w:val="17"/>
        <w:keepNext w:val="0"/>
        <w:keepLines w:val="0"/>
        <w:spacing w:before="0" w:after="0" w:line="360" w:lineRule="auto"/>
        <w:jc w:val="center"/>
        <w:rPr>
          <w:rFonts w:hint="eastAsia" w:ascii="宋体" w:hAnsi="宋体" w:cs="宋体"/>
          <w:color w:val="auto"/>
          <w:highlight w:val="none"/>
        </w:rPr>
      </w:pPr>
      <w:bookmarkStart w:id="122" w:name="_Toc254970534"/>
      <w:bookmarkStart w:id="123" w:name="_Toc254970675"/>
      <w:r>
        <w:rPr>
          <w:rFonts w:hint="eastAsia" w:ascii="宋体" w:hAnsi="宋体" w:cs="宋体"/>
          <w:color w:val="auto"/>
          <w:highlight w:val="none"/>
        </w:rPr>
        <w:t>二、招标文件</w:t>
      </w:r>
      <w:bookmarkEnd w:id="122"/>
      <w:bookmarkEnd w:id="123"/>
    </w:p>
    <w:p w14:paraId="33672346">
      <w:pPr>
        <w:pStyle w:val="19"/>
        <w:keepNext w:val="0"/>
        <w:keepLines w:val="0"/>
        <w:spacing w:before="0" w:after="0"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10.招标文件的组成</w:t>
      </w:r>
    </w:p>
    <w:p w14:paraId="126EEC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（1）招标公告；</w:t>
      </w:r>
    </w:p>
    <w:p w14:paraId="5B6F4C17">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（2）采购需求；</w:t>
      </w:r>
    </w:p>
    <w:p w14:paraId="17DC45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（3）投标人须知；</w:t>
      </w:r>
    </w:p>
    <w:p w14:paraId="676321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（4）评标方法及评标标准；</w:t>
      </w:r>
    </w:p>
    <w:p w14:paraId="51B2F8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（5）拟签订的合同文本；</w:t>
      </w:r>
    </w:p>
    <w:p w14:paraId="0C264A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（6）投标文件格式。</w:t>
      </w:r>
    </w:p>
    <w:p w14:paraId="30459DB8">
      <w:pPr>
        <w:pStyle w:val="19"/>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11.招标文件的澄清、修改、现场考察和答疑会</w:t>
      </w:r>
    </w:p>
    <w:p w14:paraId="1C9C652E">
      <w:pPr>
        <w:pStyle w:val="19"/>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76D8E02E">
      <w:pPr>
        <w:pStyle w:val="5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投标人应当按照桂财采【2007】65号文件第二十九条规定，在澄清或者修改通知发出后24小时内以书面形式进行确认（采用网上下载招标文件形式的除外），否则视为已经收到。</w:t>
      </w:r>
    </w:p>
    <w:p w14:paraId="07D2BD62">
      <w:pPr>
        <w:pStyle w:val="5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11.2</w:t>
      </w:r>
      <w:bookmarkStart w:id="124" w:name="_Hlk53134511"/>
      <w:r>
        <w:rPr>
          <w:rFonts w:hint="eastAsia" w:hAnsi="宋体" w:cs="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124"/>
    <w:p w14:paraId="0F31D08A">
      <w:pPr>
        <w:pStyle w:val="17"/>
        <w:keepNext w:val="0"/>
        <w:keepLines w:val="0"/>
        <w:spacing w:before="0" w:after="0" w:line="360" w:lineRule="auto"/>
        <w:jc w:val="center"/>
        <w:rPr>
          <w:rFonts w:hint="eastAsia" w:ascii="宋体" w:hAnsi="宋体" w:cs="宋体"/>
          <w:color w:val="auto"/>
          <w:highlight w:val="none"/>
        </w:rPr>
      </w:pPr>
      <w:bookmarkStart w:id="125" w:name="_Toc254970535"/>
      <w:bookmarkStart w:id="126" w:name="_Toc254970676"/>
      <w:r>
        <w:rPr>
          <w:rFonts w:hint="eastAsia" w:ascii="宋体" w:hAnsi="宋体" w:cs="宋体"/>
          <w:color w:val="auto"/>
          <w:highlight w:val="none"/>
        </w:rPr>
        <w:t>三、投标文件的编制</w:t>
      </w:r>
      <w:bookmarkEnd w:id="125"/>
      <w:bookmarkEnd w:id="126"/>
    </w:p>
    <w:p w14:paraId="3F69911E">
      <w:pPr>
        <w:pStyle w:val="19"/>
        <w:keepNext w:val="0"/>
        <w:keepLines w:val="0"/>
        <w:spacing w:before="0" w:after="0" w:line="360" w:lineRule="auto"/>
        <w:ind w:left="420" w:leftChars="200"/>
        <w:rPr>
          <w:rFonts w:hint="eastAsia" w:ascii="宋体" w:hAnsi="宋体" w:cs="宋体"/>
          <w:color w:val="auto"/>
          <w:sz w:val="24"/>
          <w:highlight w:val="none"/>
        </w:rPr>
      </w:pPr>
      <w:bookmarkStart w:id="127" w:name="_Toc254970677"/>
      <w:bookmarkStart w:id="128" w:name="_Toc254970536"/>
      <w:r>
        <w:rPr>
          <w:rFonts w:hint="eastAsia" w:ascii="宋体" w:hAnsi="宋体" w:cs="宋体"/>
          <w:color w:val="auto"/>
          <w:sz w:val="24"/>
          <w:highlight w:val="none"/>
        </w:rPr>
        <w:t>12.投标文件的编制原则</w:t>
      </w:r>
    </w:p>
    <w:p w14:paraId="54203DF8">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78D2824C">
      <w:pPr>
        <w:pStyle w:val="19"/>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13.投标文件的组成</w:t>
      </w:r>
      <w:bookmarkEnd w:id="127"/>
      <w:bookmarkEnd w:id="128"/>
    </w:p>
    <w:p w14:paraId="397CB0F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14:paraId="7C3A33E8">
      <w:pPr>
        <w:pStyle w:val="19"/>
        <w:keepNext w:val="0"/>
        <w:keepLines w:val="0"/>
        <w:spacing w:before="0" w:after="0" w:line="360" w:lineRule="auto"/>
        <w:ind w:left="420" w:leftChars="200"/>
        <w:rPr>
          <w:rFonts w:hint="eastAsia" w:ascii="宋体" w:hAnsi="宋体" w:cs="宋体"/>
          <w:b w:val="0"/>
          <w:color w:val="auto"/>
          <w:sz w:val="21"/>
          <w:szCs w:val="21"/>
          <w:highlight w:val="none"/>
        </w:rPr>
      </w:pPr>
      <w:bookmarkStart w:id="129" w:name="_13.1报价文件:_具体材料见“投标人须知前附表”。"/>
      <w:bookmarkEnd w:id="129"/>
      <w:r>
        <w:rPr>
          <w:rFonts w:hint="eastAsia" w:ascii="宋体" w:hAnsi="宋体" w:cs="宋体"/>
          <w:b w:val="0"/>
          <w:color w:val="auto"/>
          <w:sz w:val="21"/>
          <w:szCs w:val="21"/>
          <w:highlight w:val="none"/>
        </w:rPr>
        <w:t>（1）报价文件：具体材料见“投标人须知前附表”。</w:t>
      </w:r>
    </w:p>
    <w:p w14:paraId="0F4A4284">
      <w:pPr>
        <w:pStyle w:val="19"/>
        <w:keepNext w:val="0"/>
        <w:keepLines w:val="0"/>
        <w:spacing w:before="0" w:after="0" w:line="360" w:lineRule="auto"/>
        <w:ind w:left="420" w:leftChars="200"/>
        <w:rPr>
          <w:rFonts w:hint="eastAsia" w:ascii="宋体" w:hAnsi="宋体" w:cs="宋体"/>
          <w:b w:val="0"/>
          <w:color w:val="auto"/>
          <w:sz w:val="21"/>
          <w:szCs w:val="21"/>
          <w:highlight w:val="none"/>
        </w:rPr>
      </w:pPr>
      <w:bookmarkStart w:id="130" w:name="_13.2资格证明文件：具体材料见“投标人须知前附表”。"/>
      <w:bookmarkEnd w:id="130"/>
      <w:r>
        <w:rPr>
          <w:rFonts w:hint="eastAsia" w:ascii="宋体" w:hAnsi="宋体" w:cs="宋体"/>
          <w:b w:val="0"/>
          <w:color w:val="auto"/>
          <w:sz w:val="21"/>
          <w:szCs w:val="21"/>
          <w:highlight w:val="none"/>
        </w:rPr>
        <w:t>（2）资格证明文件：具体材料见“投标人须知前附表”。</w:t>
      </w:r>
    </w:p>
    <w:p w14:paraId="5C703DFF">
      <w:pPr>
        <w:pStyle w:val="19"/>
        <w:keepNext w:val="0"/>
        <w:keepLines w:val="0"/>
        <w:spacing w:before="0" w:after="0" w:line="360" w:lineRule="auto"/>
        <w:ind w:left="420" w:leftChars="200"/>
        <w:rPr>
          <w:rFonts w:hint="eastAsia" w:ascii="宋体" w:hAnsi="宋体" w:cs="宋体"/>
          <w:b w:val="0"/>
          <w:color w:val="auto"/>
          <w:sz w:val="21"/>
          <w:szCs w:val="21"/>
          <w:highlight w:val="none"/>
        </w:rPr>
      </w:pPr>
      <w:bookmarkStart w:id="131" w:name="_13.3商务文件:_具体材料见“投标人须知前附表”。"/>
      <w:bookmarkEnd w:id="131"/>
      <w:r>
        <w:rPr>
          <w:rFonts w:hint="eastAsia" w:ascii="宋体" w:hAnsi="宋体" w:cs="宋体"/>
          <w:b w:val="0"/>
          <w:color w:val="auto"/>
          <w:sz w:val="21"/>
          <w:szCs w:val="21"/>
          <w:highlight w:val="none"/>
        </w:rPr>
        <w:t>（3）商务文件：具体材料见“投标人须知前附表”。</w:t>
      </w:r>
    </w:p>
    <w:p w14:paraId="20934640">
      <w:pPr>
        <w:pStyle w:val="19"/>
        <w:keepNext w:val="0"/>
        <w:keepLines w:val="0"/>
        <w:spacing w:before="0" w:after="0" w:line="360" w:lineRule="auto"/>
        <w:ind w:left="420" w:leftChars="200"/>
        <w:rPr>
          <w:rFonts w:hint="eastAsia" w:ascii="宋体" w:hAnsi="宋体" w:cs="宋体"/>
          <w:b w:val="0"/>
          <w:color w:val="auto"/>
          <w:sz w:val="21"/>
          <w:szCs w:val="21"/>
          <w:highlight w:val="none"/>
        </w:rPr>
      </w:pPr>
      <w:bookmarkStart w:id="132" w:name="_13.4技术文件：具体材料见“投标人须知前附表”。"/>
      <w:bookmarkEnd w:id="132"/>
      <w:r>
        <w:rPr>
          <w:rFonts w:hint="eastAsia" w:ascii="宋体" w:hAnsi="宋体" w:cs="宋体"/>
          <w:b w:val="0"/>
          <w:color w:val="auto"/>
          <w:sz w:val="21"/>
          <w:szCs w:val="21"/>
          <w:highlight w:val="none"/>
        </w:rPr>
        <w:t>（4）技术文件：具体材料见“投标人须知前附表”。</w:t>
      </w:r>
    </w:p>
    <w:p w14:paraId="5DE8F518">
      <w:pPr>
        <w:pStyle w:val="19"/>
        <w:keepNext w:val="0"/>
        <w:keepLines w:val="0"/>
        <w:spacing w:before="0" w:after="0" w:line="360" w:lineRule="auto"/>
        <w:ind w:left="420" w:leftChars="200"/>
        <w:rPr>
          <w:rFonts w:hint="eastAsia" w:ascii="宋体" w:hAnsi="宋体" w:cs="宋体"/>
          <w:b w:val="0"/>
          <w:color w:val="auto"/>
          <w:sz w:val="21"/>
          <w:szCs w:val="21"/>
          <w:highlight w:val="none"/>
        </w:rPr>
      </w:pPr>
      <w:bookmarkStart w:id="133" w:name="_13.5投标文件电子版：具体材料见“投标人须知前附表”。"/>
      <w:bookmarkEnd w:id="133"/>
      <w:r>
        <w:rPr>
          <w:rFonts w:hint="eastAsia" w:ascii="宋体" w:hAnsi="宋体" w:cs="宋体"/>
          <w:b w:val="0"/>
          <w:color w:val="auto"/>
          <w:sz w:val="21"/>
          <w:szCs w:val="21"/>
          <w:highlight w:val="none"/>
        </w:rPr>
        <w:t>13.2投标文件电子版：具体要求见“投标人须知前附表”。</w:t>
      </w:r>
    </w:p>
    <w:p w14:paraId="4DE0AF27">
      <w:pPr>
        <w:pStyle w:val="19"/>
        <w:keepNext w:val="0"/>
        <w:keepLines w:val="0"/>
        <w:spacing w:before="0" w:after="0" w:line="360" w:lineRule="auto"/>
        <w:ind w:left="420" w:leftChars="200"/>
        <w:rPr>
          <w:rFonts w:hint="eastAsia" w:ascii="宋体" w:hAnsi="宋体" w:cs="宋体"/>
          <w:color w:val="auto"/>
          <w:sz w:val="24"/>
          <w:highlight w:val="none"/>
        </w:rPr>
      </w:pPr>
      <w:bookmarkStart w:id="134" w:name="_Toc254970678"/>
      <w:bookmarkStart w:id="135" w:name="_Toc254970537"/>
      <w:r>
        <w:rPr>
          <w:rFonts w:hint="eastAsia" w:ascii="宋体" w:hAnsi="宋体" w:cs="宋体"/>
          <w:color w:val="auto"/>
          <w:sz w:val="24"/>
          <w:highlight w:val="none"/>
        </w:rPr>
        <w:t>14.投标文件的语言及计量</w:t>
      </w:r>
      <w:bookmarkEnd w:id="134"/>
      <w:bookmarkEnd w:id="135"/>
    </w:p>
    <w:p w14:paraId="369E8A0B">
      <w:pPr>
        <w:pStyle w:val="19"/>
        <w:keepNext w:val="0"/>
        <w:keepLines w:val="0"/>
        <w:spacing w:before="0" w:after="0" w:line="360" w:lineRule="auto"/>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14.1语言文字</w:t>
      </w:r>
    </w:p>
    <w:p w14:paraId="1B0FFC77">
      <w:pPr>
        <w:pStyle w:val="19"/>
        <w:keepNext w:val="0"/>
        <w:keepLines w:val="0"/>
        <w:spacing w:before="0" w:after="0" w:line="360" w:lineRule="auto"/>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w:t>
      </w:r>
      <w:r>
        <w:rPr>
          <w:rFonts w:hint="eastAsia" w:ascii="宋体" w:hAnsi="宋体" w:cs="宋体"/>
          <w:b w:val="0"/>
          <w:color w:val="auto"/>
          <w:sz w:val="21"/>
          <w:szCs w:val="21"/>
          <w:highlight w:val="none"/>
          <w:lang w:val="en-US" w:eastAsia="zh-CN"/>
        </w:rPr>
        <w:t>资料</w:t>
      </w:r>
      <w:r>
        <w:rPr>
          <w:rFonts w:hint="eastAsia" w:ascii="宋体" w:hAnsi="宋体" w:cs="宋体"/>
          <w:b w:val="0"/>
          <w:color w:val="auto"/>
          <w:sz w:val="21"/>
          <w:szCs w:val="21"/>
          <w:highlight w:val="none"/>
        </w:rPr>
        <w:t>可以使用</w:t>
      </w:r>
      <w:r>
        <w:rPr>
          <w:rFonts w:hint="eastAsia" w:ascii="宋体" w:hAnsi="宋体" w:cs="宋体"/>
          <w:b w:val="0"/>
          <w:color w:val="auto"/>
          <w:sz w:val="21"/>
          <w:szCs w:val="21"/>
          <w:highlight w:val="none"/>
          <w:lang w:val="en-US" w:eastAsia="zh-CN"/>
        </w:rPr>
        <w:t>其他</w:t>
      </w:r>
      <w:r>
        <w:rPr>
          <w:rFonts w:hint="eastAsia" w:ascii="宋体" w:hAnsi="宋体" w:cs="宋体"/>
          <w:b w:val="0"/>
          <w:color w:val="auto"/>
          <w:sz w:val="21"/>
          <w:szCs w:val="21"/>
          <w:highlight w:val="none"/>
        </w:rPr>
        <w:t>语言，但其相应内容应同时附中文翻译文本，在解释投标文件时以中文翻译文本为主。对不同文字文本投标文件的解释发生异议的，以中文文本为准。</w:t>
      </w:r>
    </w:p>
    <w:p w14:paraId="3093904C">
      <w:pPr>
        <w:pStyle w:val="19"/>
        <w:keepNext w:val="0"/>
        <w:keepLines w:val="0"/>
        <w:spacing w:before="0" w:after="0" w:line="360" w:lineRule="auto"/>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14.2投标计量单位</w:t>
      </w:r>
    </w:p>
    <w:p w14:paraId="65392CCD">
      <w:pPr>
        <w:pStyle w:val="19"/>
        <w:keepNext w:val="0"/>
        <w:keepLines w:val="0"/>
        <w:spacing w:before="0" w:after="0" w:line="360" w:lineRule="auto"/>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0D3746C8">
      <w:pPr>
        <w:pStyle w:val="19"/>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15.投标的风险</w:t>
      </w:r>
    </w:p>
    <w:p w14:paraId="77FB04D2">
      <w:pPr>
        <w:pStyle w:val="50"/>
        <w:spacing w:line="360" w:lineRule="auto"/>
        <w:ind w:firstLine="420" w:firstLineChars="200"/>
        <w:jc w:val="left"/>
        <w:rPr>
          <w:rFonts w:hint="eastAsia" w:hAnsi="宋体" w:cs="宋体"/>
          <w:color w:val="auto"/>
          <w:sz w:val="21"/>
          <w:highlight w:val="none"/>
        </w:rPr>
      </w:pPr>
      <w:r>
        <w:rPr>
          <w:rFonts w:hint="eastAsia" w:hAnsi="宋体" w:cs="宋体"/>
          <w:color w:val="auto"/>
          <w:sz w:val="21"/>
          <w:highlight w:val="none"/>
        </w:rPr>
        <w:t>投标人没有按照招标文件要求提供全部资料，或者投标人没有对招标文件作出实质性响应是投标人的风险，并可能导致其投标被拒绝。</w:t>
      </w:r>
    </w:p>
    <w:p w14:paraId="20212DBD">
      <w:pPr>
        <w:pStyle w:val="19"/>
        <w:keepNext w:val="0"/>
        <w:keepLines w:val="0"/>
        <w:spacing w:before="0" w:after="0" w:line="360" w:lineRule="auto"/>
        <w:ind w:left="420" w:leftChars="200"/>
        <w:rPr>
          <w:rFonts w:hint="eastAsia" w:ascii="宋体" w:hAnsi="宋体" w:cs="宋体"/>
          <w:color w:val="auto"/>
          <w:sz w:val="24"/>
          <w:highlight w:val="none"/>
        </w:rPr>
      </w:pPr>
      <w:bookmarkStart w:id="136" w:name="_Toc254970679"/>
      <w:bookmarkStart w:id="137" w:name="_Toc254970538"/>
      <w:r>
        <w:rPr>
          <w:rFonts w:hint="eastAsia" w:ascii="宋体" w:hAnsi="宋体" w:cs="宋体"/>
          <w:color w:val="auto"/>
          <w:sz w:val="24"/>
          <w:highlight w:val="none"/>
        </w:rPr>
        <w:t>16.投标报价</w:t>
      </w:r>
      <w:bookmarkEnd w:id="136"/>
      <w:bookmarkEnd w:id="137"/>
    </w:p>
    <w:p w14:paraId="3D40382A">
      <w:pPr>
        <w:pStyle w:val="19"/>
        <w:keepNext w:val="0"/>
        <w:keepLines w:val="0"/>
        <w:spacing w:before="0" w:after="0" w:line="360" w:lineRule="auto"/>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16.1投标报价应按“第六章　投标文件格式”中“开标一览表”格式填写。</w:t>
      </w:r>
    </w:p>
    <w:p w14:paraId="1E805C60">
      <w:pPr>
        <w:pStyle w:val="19"/>
        <w:keepNext w:val="0"/>
        <w:keepLines w:val="0"/>
        <w:spacing w:before="0" w:after="0" w:line="360" w:lineRule="auto"/>
        <w:ind w:left="420" w:leftChars="200"/>
        <w:rPr>
          <w:rFonts w:hint="eastAsia" w:ascii="宋体" w:hAnsi="宋体" w:cs="宋体"/>
          <w:b w:val="0"/>
          <w:color w:val="auto"/>
          <w:sz w:val="21"/>
          <w:szCs w:val="21"/>
          <w:highlight w:val="none"/>
        </w:rPr>
      </w:pPr>
      <w:bookmarkStart w:id="138" w:name="_16.2投标报价具体定义见投标人须知前附表。"/>
      <w:bookmarkEnd w:id="138"/>
      <w:r>
        <w:rPr>
          <w:rFonts w:hint="eastAsia" w:ascii="宋体" w:hAnsi="宋体" w:cs="宋体"/>
          <w:b w:val="0"/>
          <w:color w:val="auto"/>
          <w:sz w:val="21"/>
          <w:szCs w:val="21"/>
          <w:highlight w:val="none"/>
        </w:rPr>
        <w:t>16.2投标报价具体包括内容详见“投标人须知前附表”。</w:t>
      </w:r>
    </w:p>
    <w:p w14:paraId="39EFF692">
      <w:pPr>
        <w:pStyle w:val="19"/>
        <w:keepNext w:val="0"/>
        <w:keepLines w:val="0"/>
        <w:spacing w:before="0" w:after="0" w:line="360" w:lineRule="auto"/>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16.3投标人必须就所投每个分标的全部内容分别作完整唯一总价报价，不得存在漏项报价；投标人必须就所投分标的单项内容作唯一报价。</w:t>
      </w:r>
    </w:p>
    <w:p w14:paraId="7B7DA293">
      <w:pPr>
        <w:pStyle w:val="19"/>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17.投标有效期</w:t>
      </w:r>
    </w:p>
    <w:p w14:paraId="722938BD">
      <w:pPr>
        <w:pStyle w:val="19"/>
        <w:keepNext w:val="0"/>
        <w:keepLines w:val="0"/>
        <w:spacing w:before="0" w:after="0" w:line="360" w:lineRule="auto"/>
        <w:ind w:left="420" w:leftChars="200"/>
        <w:rPr>
          <w:rFonts w:hint="eastAsia" w:ascii="宋体" w:hAnsi="宋体" w:cs="宋体"/>
          <w:b w:val="0"/>
          <w:color w:val="auto"/>
          <w:sz w:val="21"/>
          <w:szCs w:val="21"/>
          <w:highlight w:val="none"/>
        </w:rPr>
      </w:pPr>
      <w:bookmarkStart w:id="139" w:name="_17.1投标有效期应按“投标人须知中的前附表”规定的期限。"/>
      <w:bookmarkEnd w:id="139"/>
      <w:r>
        <w:rPr>
          <w:rFonts w:hint="eastAsia" w:ascii="宋体" w:hAnsi="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7829F09D">
      <w:pPr>
        <w:pStyle w:val="19"/>
        <w:keepNext w:val="0"/>
        <w:keepLines w:val="0"/>
        <w:spacing w:before="0" w:after="0" w:line="360" w:lineRule="auto"/>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17.2</w:t>
      </w:r>
      <w:bookmarkStart w:id="140" w:name="_Toc254970540"/>
      <w:bookmarkStart w:id="141" w:name="_Toc254970681"/>
      <w:r>
        <w:rPr>
          <w:rFonts w:hint="eastAsia" w:ascii="宋体" w:hAnsi="宋体" w:cs="宋体"/>
          <w:b w:val="0"/>
          <w:color w:val="auto"/>
          <w:sz w:val="21"/>
          <w:szCs w:val="21"/>
          <w:highlight w:val="none"/>
        </w:rPr>
        <w:t>投标有效期应按规定的期限作出承诺，具体详见“投标人须知前附表”。</w:t>
      </w:r>
    </w:p>
    <w:p w14:paraId="26ACFBAB">
      <w:pPr>
        <w:pStyle w:val="19"/>
        <w:keepNext w:val="0"/>
        <w:keepLines w:val="0"/>
        <w:spacing w:before="0" w:after="0" w:line="360" w:lineRule="auto"/>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17.3投标人的投标文件在投标有效期内均保持有效。</w:t>
      </w:r>
      <w:bookmarkEnd w:id="140"/>
      <w:bookmarkEnd w:id="141"/>
    </w:p>
    <w:p w14:paraId="678028E9">
      <w:pPr>
        <w:pStyle w:val="19"/>
        <w:keepNext w:val="0"/>
        <w:keepLines w:val="0"/>
        <w:spacing w:before="0" w:after="0" w:line="360" w:lineRule="auto"/>
        <w:ind w:left="420" w:leftChars="200"/>
        <w:rPr>
          <w:rFonts w:hint="eastAsia" w:ascii="宋体" w:hAnsi="宋体" w:cs="宋体"/>
          <w:color w:val="auto"/>
          <w:sz w:val="24"/>
          <w:highlight w:val="none"/>
        </w:rPr>
      </w:pPr>
      <w:bookmarkStart w:id="142" w:name="_18.投标保证金"/>
      <w:bookmarkEnd w:id="142"/>
      <w:bookmarkStart w:id="143" w:name="_Toc254970682"/>
      <w:bookmarkStart w:id="144" w:name="_Toc254970541"/>
      <w:r>
        <w:rPr>
          <w:rFonts w:hint="eastAsia" w:ascii="宋体" w:hAnsi="宋体" w:cs="宋体"/>
          <w:color w:val="auto"/>
          <w:sz w:val="24"/>
          <w:highlight w:val="none"/>
        </w:rPr>
        <w:t>18.投标保证金</w:t>
      </w:r>
      <w:bookmarkEnd w:id="143"/>
      <w:bookmarkEnd w:id="144"/>
    </w:p>
    <w:p w14:paraId="7D6D20D3">
      <w:pPr>
        <w:spacing w:line="360" w:lineRule="auto"/>
        <w:ind w:firstLine="420" w:firstLineChars="200"/>
        <w:rPr>
          <w:rFonts w:hint="eastAsia" w:ascii="宋体" w:hAnsi="宋体" w:cs="宋体"/>
          <w:color w:val="auto"/>
          <w:szCs w:val="21"/>
          <w:highlight w:val="none"/>
        </w:rPr>
      </w:pPr>
      <w:bookmarkStart w:id="145" w:name="_Toc254970683"/>
      <w:bookmarkStart w:id="146" w:name="_Toc254970542"/>
      <w:r>
        <w:rPr>
          <w:rFonts w:hint="eastAsia" w:ascii="宋体" w:hAnsi="宋体" w:cs="宋体"/>
          <w:color w:val="auto"/>
          <w:szCs w:val="21"/>
          <w:highlight w:val="none"/>
          <w:lang w:val="en-US" w:eastAsia="zh-CN"/>
        </w:rPr>
        <w:t>本项目不需要缴纳投标保证金</w:t>
      </w:r>
      <w:r>
        <w:rPr>
          <w:rFonts w:hint="eastAsia" w:ascii="宋体" w:hAnsi="宋体" w:cs="宋体"/>
          <w:color w:val="auto"/>
          <w:szCs w:val="21"/>
          <w:highlight w:val="none"/>
        </w:rPr>
        <w:t>；</w:t>
      </w:r>
    </w:p>
    <w:p w14:paraId="5DFD8F3E">
      <w:pPr>
        <w:pStyle w:val="19"/>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19.投标文件的</w:t>
      </w:r>
      <w:bookmarkEnd w:id="145"/>
      <w:bookmarkEnd w:id="146"/>
      <w:r>
        <w:rPr>
          <w:rFonts w:hint="eastAsia" w:ascii="宋体" w:hAnsi="宋体" w:cs="宋体"/>
          <w:color w:val="auto"/>
          <w:sz w:val="24"/>
          <w:highlight w:val="none"/>
        </w:rPr>
        <w:t>编制</w:t>
      </w:r>
    </w:p>
    <w:p w14:paraId="26A4ADB5">
      <w:pPr>
        <w:pStyle w:val="19"/>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19.1投标人应按本招标文件规定的格式和顺序编制，投标文件内容不完整、编排混乱导致投标文件被误读、漏读或者查找不到相关内容的，由此引发的后果由投标人承担。</w:t>
      </w:r>
    </w:p>
    <w:p w14:paraId="0DBC48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color w:val="auto"/>
          <w:sz w:val="21"/>
          <w:szCs w:val="21"/>
          <w:highlight w:val="none"/>
          <w:lang w:eastAsia="zh-CN"/>
        </w:rPr>
      </w:pPr>
      <w:bookmarkStart w:id="147" w:name="_19.2投标文件应按报价文件、资格证明文件、商务文件、技术文件分别编制"/>
      <w:bookmarkEnd w:id="147"/>
      <w:r>
        <w:rPr>
          <w:rFonts w:hint="eastAsia" w:ascii="宋体" w:hAnsi="宋体" w:cs="宋体"/>
          <w:b w:val="0"/>
          <w:color w:val="auto"/>
          <w:sz w:val="21"/>
          <w:szCs w:val="21"/>
          <w:highlight w:val="none"/>
        </w:rPr>
        <w:t>19.2投标文件应按报价文件、</w:t>
      </w:r>
      <w:r>
        <w:rPr>
          <w:rFonts w:hint="eastAsia" w:ascii="宋体" w:hAnsi="宋体" w:cs="宋体"/>
          <w:b w:val="0"/>
          <w:color w:val="auto"/>
          <w:sz w:val="21"/>
          <w:szCs w:val="21"/>
          <w:highlight w:val="none"/>
          <w:lang w:eastAsia="zh-CN"/>
        </w:rPr>
        <w:t>资格证明文件、商务文件、技术文件分别编制（如电子系统要求与招标文件要求不一致的，以招标文件要求为准），详见投标须知前附表要求。</w:t>
      </w:r>
    </w:p>
    <w:p w14:paraId="548D97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color w:val="auto"/>
          <w:sz w:val="21"/>
          <w:szCs w:val="21"/>
          <w:highlight w:val="none"/>
          <w:lang w:eastAsia="zh-CN"/>
        </w:rPr>
      </w:pPr>
      <w:r>
        <w:rPr>
          <w:rFonts w:hint="eastAsia" w:ascii="宋体" w:hAnsi="宋体" w:cs="宋体"/>
          <w:b w:val="0"/>
          <w:color w:val="auto"/>
          <w:sz w:val="21"/>
          <w:szCs w:val="21"/>
          <w:highlight w:val="none"/>
          <w:lang w:eastAsia="zh-CN"/>
        </w:rPr>
        <w:t>19.3</w:t>
      </w:r>
      <w:r>
        <w:rPr>
          <w:rFonts w:hint="eastAsia" w:ascii="宋体" w:hAnsi="宋体" w:cs="宋体"/>
          <w:b w:val="0"/>
          <w:color w:val="auto"/>
          <w:sz w:val="21"/>
          <w:szCs w:val="21"/>
          <w:highlight w:val="none"/>
          <w:lang w:val="en-US" w:eastAsia="zh-CN"/>
        </w:rPr>
        <w:t>电子备份投标文件光盘（或U盘密封方式：单独放入一个密封袋中，加贴封条，并在封套封口处加盖供应商单位公章，在封套上标记“电子投标文件”字样，在投标截止时间前提交。（由供应商自行选择是否提交电子备份电子投标文件，</w:t>
      </w:r>
      <w:r>
        <w:rPr>
          <w:rFonts w:hint="eastAsia" w:ascii="宋体" w:hAnsi="宋体" w:cs="宋体"/>
          <w:b w:val="0"/>
          <w:color w:val="auto"/>
          <w:sz w:val="21"/>
          <w:szCs w:val="21"/>
          <w:highlight w:val="none"/>
          <w:lang w:eastAsia="zh-CN"/>
        </w:rPr>
        <w:t>但不提交电子备份投标文件的，不作为否决投标的条件；若供应商在规定时间内无法解密或解密失败，且未在投标截止时间前递交电子备份投标文件的，自行承担后果。</w:t>
      </w:r>
    </w:p>
    <w:p w14:paraId="1D1DF261">
      <w:pPr>
        <w:pStyle w:val="19"/>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19.4</w:t>
      </w:r>
      <w:r>
        <w:rPr>
          <w:rFonts w:hint="eastAsia" w:ascii="Arial" w:hAnsi="宋体" w:cs="Arial"/>
          <w:color w:val="auto"/>
          <w:kern w:val="0"/>
          <w:sz w:val="21"/>
          <w:szCs w:val="21"/>
          <w:highlight w:val="none"/>
          <w:lang w:val="en-US" w:eastAsia="zh-CN"/>
        </w:rPr>
        <w:t>电子投标文件中须加盖供应商公章部分均采用CA签章，并根据“政府采购项目电子交易管理操作指南－供应商”及本招标文件规定的格式和顺序编制电子投标文件并进行关联定位，以便评标委员会在评审时，点击评分项可直接定位到该评分项内容。如对招标文件的某项要求，供应商的电子投标文件未能关联定位提供相应的内容与其对应，则评标委员会在评审时如做出对供应商不利的评审由供应商自行承担。电子投标文件如内容不完整、编排混乱导致投标文件被误读、漏读，或者在采购文件规定的部位查找不到相关内容的，由供应商自行承担</w:t>
      </w:r>
      <w:r>
        <w:rPr>
          <w:rFonts w:hint="eastAsia" w:ascii="宋体" w:hAnsi="宋体" w:cs="宋体"/>
          <w:b w:val="0"/>
          <w:color w:val="auto"/>
          <w:sz w:val="21"/>
          <w:szCs w:val="21"/>
          <w:highlight w:val="none"/>
        </w:rPr>
        <w:t>。</w:t>
      </w:r>
    </w:p>
    <w:p w14:paraId="5B64CEDF">
      <w:pPr>
        <w:pStyle w:val="19"/>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19.5投标文件中标注的投标人名称应与主体资格证明（如营业执照、事业单位法人证书、执业许可证、自然人身份证等）及公章一致，否则作无效投标处理。</w:t>
      </w:r>
    </w:p>
    <w:p w14:paraId="426A78FC">
      <w:pPr>
        <w:pStyle w:val="19"/>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19.6投标文件应尽量避免涂改、行间插字或者删除。如果出现上述情况，改动之处应由投标人的法定代表人或者其委托代理人签字或者加盖公章。投标文件因字迹潦草或者表达不清所引起的后果由投标人承担。</w:t>
      </w:r>
    </w:p>
    <w:p w14:paraId="7B32ACAE">
      <w:pPr>
        <w:pStyle w:val="19"/>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20.投标文件的密封</w:t>
      </w:r>
    </w:p>
    <w:p w14:paraId="79B5FC42">
      <w:pPr>
        <w:pStyle w:val="19"/>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20.1投标文件正、副本全部装入一个或者多个包封袋/箱（投标文件的补充、修改可另行单独递交）中并加以密封，封口处必须</w:t>
      </w:r>
      <w:r>
        <w:rPr>
          <w:rFonts w:hint="eastAsia" w:ascii="宋体" w:hAnsi="宋体" w:cs="宋体"/>
          <w:b w:val="0"/>
          <w:color w:val="auto"/>
          <w:sz w:val="21"/>
          <w:szCs w:val="21"/>
          <w:highlight w:val="none"/>
          <w:lang w:eastAsia="zh-CN"/>
        </w:rPr>
        <w:t>加盖</w:t>
      </w:r>
      <w:r>
        <w:rPr>
          <w:rFonts w:hint="eastAsia" w:ascii="宋体" w:hAnsi="宋体" w:cs="宋体"/>
          <w:b w:val="0"/>
          <w:color w:val="auto"/>
          <w:sz w:val="21"/>
          <w:szCs w:val="21"/>
          <w:highlight w:val="none"/>
        </w:rPr>
        <w:t>密封章或者法定代表人签字或者委托代理人签字，以示密封。</w:t>
      </w:r>
    </w:p>
    <w:p w14:paraId="46332244">
      <w:pPr>
        <w:pStyle w:val="19"/>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20.2投标文件外层包装封面上应写明“投标人名称、投标人地址、项目名称、项目编号、所投分标及投标截止时间前不得启封”字样。</w:t>
      </w:r>
    </w:p>
    <w:p w14:paraId="24625AF2">
      <w:pPr>
        <w:pStyle w:val="19"/>
        <w:keepNext w:val="0"/>
        <w:keepLines w:val="0"/>
        <w:spacing w:before="0" w:after="0" w:line="360" w:lineRule="auto"/>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20.3未按上述规定密封的投标文件将视为无效</w:t>
      </w:r>
      <w:r>
        <w:rPr>
          <w:rFonts w:hint="eastAsia" w:ascii="宋体" w:hAnsi="宋体" w:cs="宋体"/>
          <w:b w:val="0"/>
          <w:color w:val="auto"/>
          <w:sz w:val="21"/>
          <w:szCs w:val="21"/>
          <w:highlight w:val="none"/>
          <w:lang w:eastAsia="zh-CN"/>
        </w:rPr>
        <w:t>投标</w:t>
      </w:r>
      <w:r>
        <w:rPr>
          <w:rFonts w:hint="eastAsia" w:ascii="宋体" w:hAnsi="宋体" w:cs="宋体"/>
          <w:b w:val="0"/>
          <w:color w:val="auto"/>
          <w:sz w:val="21"/>
          <w:szCs w:val="21"/>
          <w:highlight w:val="none"/>
        </w:rPr>
        <w:t>，代理机构有权拒收。</w:t>
      </w:r>
    </w:p>
    <w:p w14:paraId="56FB3E5F">
      <w:pPr>
        <w:pStyle w:val="19"/>
        <w:keepNext w:val="0"/>
        <w:keepLines w:val="0"/>
        <w:spacing w:before="0" w:after="0" w:line="360" w:lineRule="auto"/>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21.</w:t>
      </w:r>
      <w:r>
        <w:rPr>
          <w:rFonts w:hint="eastAsia" w:ascii="Arial" w:hAnsi="宋体" w:cs="Arial"/>
          <w:color w:val="auto"/>
          <w:kern w:val="0"/>
          <w:sz w:val="21"/>
          <w:szCs w:val="21"/>
          <w:highlight w:val="none"/>
        </w:rPr>
        <w:t>投标文件递交、修改和撤回</w:t>
      </w:r>
    </w:p>
    <w:p w14:paraId="2374633E">
      <w:pPr>
        <w:spacing w:line="360" w:lineRule="auto"/>
        <w:ind w:firstLine="422" w:firstLineChars="200"/>
        <w:jc w:val="left"/>
        <w:rPr>
          <w:rFonts w:hint="eastAsia" w:ascii="宋体" w:hAnsi="宋体" w:cs="宋体"/>
          <w:b/>
          <w:color w:val="auto"/>
          <w:szCs w:val="21"/>
          <w:highlight w:val="none"/>
        </w:rPr>
      </w:pPr>
      <w:bookmarkStart w:id="148" w:name="_21.1投标人必须在“投标人须知中的前附表”规定的投标文件接收时间和投"/>
      <w:bookmarkEnd w:id="148"/>
      <w:r>
        <w:rPr>
          <w:rFonts w:hint="eastAsia" w:ascii="宋体" w:hAnsi="宋体" w:cs="宋体"/>
          <w:b/>
          <w:color w:val="auto"/>
          <w:szCs w:val="21"/>
          <w:highlight w:val="none"/>
        </w:rPr>
        <w:t>21.1供应商进行电子投标应安装客户端软件，并按照招标文件和电子交易平台的要求编制并加密投标文件。供应商未按规定加密的投标文件，电子交易平台将拒收。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706FE583">
      <w:pPr>
        <w:numPr>
          <w:ilvl w:val="0"/>
          <w:numId w:val="15"/>
        </w:numPr>
        <w:spacing w:line="360" w:lineRule="auto"/>
        <w:ind w:firstLine="482" w:firstLineChars="200"/>
        <w:jc w:val="left"/>
        <w:rPr>
          <w:rFonts w:hint="eastAsia" w:ascii="Arial" w:hAnsi="宋体" w:cs="Arial"/>
          <w:b/>
          <w:color w:val="auto"/>
          <w:kern w:val="0"/>
          <w:sz w:val="24"/>
          <w:highlight w:val="none"/>
        </w:rPr>
      </w:pPr>
      <w:r>
        <w:rPr>
          <w:rFonts w:hint="eastAsia" w:ascii="Arial" w:hAnsi="宋体" w:cs="Arial"/>
          <w:b/>
          <w:color w:val="auto"/>
          <w:kern w:val="0"/>
          <w:sz w:val="24"/>
          <w:highlight w:val="none"/>
        </w:rPr>
        <w:t>其他情况</w:t>
      </w:r>
    </w:p>
    <w:p w14:paraId="7FD1672F">
      <w:pPr>
        <w:spacing w:line="360" w:lineRule="auto"/>
        <w:ind w:firstLine="420" w:firstLineChars="200"/>
        <w:jc w:val="left"/>
        <w:rPr>
          <w:rFonts w:hint="eastAsia" w:ascii="Arial" w:hAnsi="宋体" w:cs="Arial"/>
          <w:color w:val="auto"/>
          <w:kern w:val="0"/>
          <w:sz w:val="24"/>
          <w:highlight w:val="none"/>
        </w:rPr>
      </w:pPr>
      <w:r>
        <w:rPr>
          <w:rFonts w:hint="eastAsia" w:ascii="宋体" w:hAnsi="宋体" w:cs="宋体"/>
          <w:bCs/>
          <w:color w:val="auto"/>
          <w:szCs w:val="21"/>
          <w:highlight w:val="none"/>
        </w:rPr>
        <w:t>如有特殊情况，采购代理机构延长截止时间和开标时间，采购代理机构和供应商的权利和义务将受到新的截止时间和开标时间的约束。</w:t>
      </w:r>
    </w:p>
    <w:p w14:paraId="52398B6B">
      <w:pPr>
        <w:pStyle w:val="17"/>
        <w:keepNext w:val="0"/>
        <w:keepLines w:val="0"/>
        <w:spacing w:before="0" w:after="0" w:line="360" w:lineRule="auto"/>
        <w:jc w:val="center"/>
        <w:rPr>
          <w:rFonts w:hint="eastAsia" w:ascii="宋体" w:hAnsi="宋体" w:cs="宋体"/>
          <w:color w:val="auto"/>
          <w:highlight w:val="none"/>
        </w:rPr>
      </w:pPr>
      <w:bookmarkStart w:id="149" w:name="_Toc254970685"/>
      <w:bookmarkStart w:id="150" w:name="_Toc254970544"/>
      <w:r>
        <w:rPr>
          <w:rFonts w:hint="eastAsia" w:ascii="宋体" w:hAnsi="宋体" w:cs="宋体"/>
          <w:color w:val="auto"/>
          <w:highlight w:val="none"/>
        </w:rPr>
        <w:t>四、开标</w:t>
      </w:r>
      <w:bookmarkEnd w:id="149"/>
      <w:bookmarkEnd w:id="150"/>
    </w:p>
    <w:p w14:paraId="77B17F62">
      <w:pPr>
        <w:pStyle w:val="19"/>
        <w:keepNext w:val="0"/>
        <w:keepLines w:val="0"/>
        <w:spacing w:before="0" w:after="0" w:line="360" w:lineRule="auto"/>
        <w:ind w:left="420" w:leftChars="200"/>
        <w:rPr>
          <w:rFonts w:hint="eastAsia" w:ascii="宋体" w:hAnsi="宋体" w:cs="宋体"/>
          <w:color w:val="auto"/>
          <w:sz w:val="24"/>
          <w:highlight w:val="none"/>
        </w:rPr>
      </w:pPr>
      <w:bookmarkStart w:id="151" w:name="_23.开标时间和地点"/>
      <w:bookmarkEnd w:id="151"/>
      <w:r>
        <w:rPr>
          <w:rFonts w:hint="eastAsia" w:ascii="宋体" w:hAnsi="宋体" w:cs="宋体"/>
          <w:color w:val="auto"/>
          <w:sz w:val="24"/>
          <w:highlight w:val="none"/>
        </w:rPr>
        <w:t>23.开标时间和地点</w:t>
      </w:r>
    </w:p>
    <w:p w14:paraId="642C8298">
      <w:pPr>
        <w:pStyle w:val="5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采购代理机构将在“投标人须知前附表”规定的时间和地点进行开标，投标人未参加开标的，视同认可开标过程和结果。本项目开标过程实行全程录音、录像监控。</w:t>
      </w:r>
    </w:p>
    <w:p w14:paraId="52ACF631">
      <w:pPr>
        <w:pStyle w:val="50"/>
        <w:spacing w:line="360" w:lineRule="auto"/>
        <w:ind w:firstLine="420" w:firstLineChars="200"/>
        <w:rPr>
          <w:rFonts w:hint="eastAsia"/>
          <w:color w:val="auto"/>
          <w:highlight w:val="none"/>
        </w:rPr>
      </w:pPr>
      <w:r>
        <w:rPr>
          <w:rFonts w:hint="eastAsia" w:hAnsi="宋体" w:cs="宋体"/>
          <w:bCs/>
          <w:color w:val="auto"/>
          <w:sz w:val="21"/>
          <w:highlight w:val="none"/>
        </w:rPr>
        <w:t>采购人将于前附表规定的时间和地点举行开标会议并签到以证明其出席开标会议。</w:t>
      </w:r>
    </w:p>
    <w:p w14:paraId="570193E7">
      <w:pPr>
        <w:pStyle w:val="19"/>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24.开标程序</w:t>
      </w:r>
    </w:p>
    <w:p w14:paraId="472690E8">
      <w:pPr>
        <w:pStyle w:val="50"/>
        <w:spacing w:line="360" w:lineRule="auto"/>
        <w:ind w:firstLine="422" w:firstLineChars="200"/>
        <w:rPr>
          <w:rFonts w:hint="eastAsia" w:hAnsi="宋体" w:cs="宋体"/>
          <w:b/>
          <w:color w:val="auto"/>
          <w:sz w:val="21"/>
          <w:highlight w:val="none"/>
        </w:rPr>
      </w:pPr>
      <w:r>
        <w:rPr>
          <w:rFonts w:hint="eastAsia" w:hAnsi="宋体" w:cs="宋体"/>
          <w:b/>
          <w:color w:val="auto"/>
          <w:sz w:val="21"/>
          <w:highlight w:val="none"/>
        </w:rPr>
        <w:t>供应商根据</w:t>
      </w:r>
      <w:r>
        <w:rPr>
          <w:rFonts w:hint="eastAsia" w:hAnsi="宋体" w:cs="宋体"/>
          <w:b/>
          <w:color w:val="auto"/>
          <w:sz w:val="21"/>
          <w:highlight w:val="none"/>
          <w:lang w:val="en-US" w:eastAsia="zh-CN"/>
        </w:rPr>
        <w:t>招标</w:t>
      </w:r>
      <w:r>
        <w:rPr>
          <w:rFonts w:hint="eastAsia" w:hAnsi="宋体" w:cs="宋体"/>
          <w:b/>
          <w:color w:val="auto"/>
          <w:sz w:val="21"/>
          <w:highlight w:val="none"/>
        </w:rPr>
        <w:t>文件要求，</w:t>
      </w:r>
      <w:r>
        <w:rPr>
          <w:rFonts w:hint="eastAsia" w:ascii="宋体" w:hAnsi="宋体" w:eastAsia="宋体" w:cs="宋体"/>
          <w:b/>
          <w:color w:val="auto"/>
          <w:sz w:val="21"/>
          <w:highlight w:val="none"/>
        </w:rPr>
        <w:t>登录</w:t>
      </w:r>
      <w:r>
        <w:rPr>
          <w:rFonts w:hint="eastAsia" w:ascii="宋体" w:hAnsi="宋体" w:eastAsia="宋体" w:cs="宋体"/>
          <w:b/>
          <w:color w:val="auto"/>
          <w:sz w:val="21"/>
          <w:highlight w:val="none"/>
          <w:lang w:eastAsia="zh-CN"/>
        </w:rPr>
        <w:t>广西政府采购云平台</w:t>
      </w:r>
      <w:r>
        <w:rPr>
          <w:rFonts w:hint="eastAsia" w:ascii="宋体" w:hAnsi="宋体" w:eastAsia="宋体" w:cs="宋体"/>
          <w:b/>
          <w:color w:val="auto"/>
          <w:sz w:val="21"/>
          <w:highlight w:val="none"/>
        </w:rPr>
        <w:t>，在指定时</w:t>
      </w:r>
      <w:r>
        <w:rPr>
          <w:rFonts w:hint="eastAsia" w:hAnsi="宋体" w:cs="宋体"/>
          <w:b/>
          <w:color w:val="auto"/>
          <w:sz w:val="21"/>
          <w:highlight w:val="none"/>
        </w:rPr>
        <w:t>间内将电子</w:t>
      </w:r>
      <w:r>
        <w:rPr>
          <w:rFonts w:hint="eastAsia" w:hAnsi="宋体" w:cs="宋体"/>
          <w:b/>
          <w:color w:val="auto"/>
          <w:sz w:val="21"/>
          <w:highlight w:val="none"/>
          <w:lang w:eastAsia="zh-CN"/>
        </w:rPr>
        <w:t>投标文件</w:t>
      </w:r>
      <w:r>
        <w:rPr>
          <w:rFonts w:hint="eastAsia" w:hAnsi="宋体" w:cs="宋体"/>
          <w:b/>
          <w:color w:val="auto"/>
          <w:sz w:val="21"/>
          <w:highlight w:val="none"/>
        </w:rPr>
        <w:t>通过CA加密后上传完成投标。开标实行网上不见面开标。到达开标时间后，采购代理机构工作人员在</w:t>
      </w:r>
      <w:r>
        <w:rPr>
          <w:rFonts w:hint="eastAsia" w:hAnsi="宋体" w:cs="宋体"/>
          <w:b/>
          <w:color w:val="auto"/>
          <w:sz w:val="21"/>
          <w:highlight w:val="none"/>
          <w:lang w:eastAsia="zh-CN"/>
        </w:rPr>
        <w:t>广西政府采购云平台</w:t>
      </w:r>
      <w:r>
        <w:rPr>
          <w:rFonts w:hint="eastAsia" w:hAnsi="宋体" w:cs="宋体"/>
          <w:b/>
          <w:color w:val="auto"/>
          <w:sz w:val="21"/>
          <w:highlight w:val="none"/>
        </w:rPr>
        <w:t>开始网上开标，供应商在</w:t>
      </w:r>
      <w:r>
        <w:rPr>
          <w:rFonts w:hint="eastAsia" w:hAnsi="宋体" w:cs="宋体"/>
          <w:b/>
          <w:color w:val="auto"/>
          <w:sz w:val="21"/>
          <w:highlight w:val="none"/>
          <w:lang w:val="en-US" w:eastAsia="zh-CN"/>
        </w:rPr>
        <w:t>招标</w:t>
      </w:r>
      <w:r>
        <w:rPr>
          <w:rFonts w:hint="eastAsia" w:hAnsi="宋体" w:cs="宋体"/>
          <w:b/>
          <w:color w:val="auto"/>
          <w:sz w:val="21"/>
          <w:highlight w:val="none"/>
        </w:rPr>
        <w:t>文件指定解密时间内各自远程登录</w:t>
      </w:r>
      <w:r>
        <w:rPr>
          <w:rFonts w:hint="eastAsia" w:hAnsi="宋体" w:cs="宋体"/>
          <w:b/>
          <w:color w:val="auto"/>
          <w:sz w:val="21"/>
          <w:highlight w:val="none"/>
          <w:lang w:eastAsia="zh-CN"/>
        </w:rPr>
        <w:t>广西政府采购云平台</w:t>
      </w:r>
      <w:r>
        <w:rPr>
          <w:rFonts w:hint="eastAsia" w:hAnsi="宋体" w:cs="宋体"/>
          <w:b/>
          <w:color w:val="auto"/>
          <w:sz w:val="21"/>
          <w:highlight w:val="none"/>
        </w:rPr>
        <w:t>进行</w:t>
      </w:r>
      <w:r>
        <w:rPr>
          <w:rFonts w:hint="eastAsia" w:hAnsi="宋体" w:cs="宋体"/>
          <w:b/>
          <w:color w:val="auto"/>
          <w:sz w:val="21"/>
          <w:highlight w:val="none"/>
          <w:lang w:eastAsia="zh-CN"/>
        </w:rPr>
        <w:t>投标文件</w:t>
      </w:r>
      <w:r>
        <w:rPr>
          <w:rFonts w:hint="eastAsia" w:hAnsi="宋体" w:cs="宋体"/>
          <w:b/>
          <w:color w:val="auto"/>
          <w:sz w:val="21"/>
          <w:highlight w:val="none"/>
        </w:rPr>
        <w:t>解密，供应商全部解密完成或解密时间结束后由采购代理机构工作人员开启唱标及评标程序，供应商可在个人电脑上查看到唱标信息，并等待专家评委评审，评审结束后系统中将显示评标结果。</w:t>
      </w:r>
    </w:p>
    <w:p w14:paraId="6E9084F4">
      <w:pPr>
        <w:pStyle w:val="17"/>
        <w:keepNext w:val="0"/>
        <w:keepLines w:val="0"/>
        <w:spacing w:before="0" w:after="0" w:line="360" w:lineRule="auto"/>
        <w:jc w:val="center"/>
        <w:rPr>
          <w:rFonts w:hint="eastAsia" w:ascii="宋体" w:hAnsi="宋体" w:cs="宋体"/>
          <w:color w:val="auto"/>
          <w:highlight w:val="none"/>
        </w:rPr>
      </w:pPr>
      <w:r>
        <w:rPr>
          <w:rFonts w:hint="eastAsia" w:ascii="宋体" w:hAnsi="宋体" w:cs="宋体"/>
          <w:color w:val="auto"/>
          <w:highlight w:val="none"/>
        </w:rPr>
        <w:t>五、资格审查</w:t>
      </w:r>
    </w:p>
    <w:p w14:paraId="42379393">
      <w:pPr>
        <w:pStyle w:val="19"/>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25.资格审查</w:t>
      </w:r>
    </w:p>
    <w:p w14:paraId="52ECB8F1">
      <w:pPr>
        <w:pStyle w:val="19"/>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25.1开标结束后，采购人、采购代理机构根据双方签订的代理协议约定，依法对投标人的资格进行审查。</w:t>
      </w:r>
    </w:p>
    <w:p w14:paraId="432588EC">
      <w:pPr>
        <w:pStyle w:val="19"/>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25.2资格审查标准为本招标文件中载明对投标人资格要求的条件。本项目资格审查采用合格制，凡符合招标文件规定的投标人资格要求的投标人均通过资格审查。</w:t>
      </w:r>
    </w:p>
    <w:p w14:paraId="7C20B05E">
      <w:pPr>
        <w:pStyle w:val="19"/>
        <w:keepNext w:val="0"/>
        <w:keepLines w:val="0"/>
        <w:numPr>
          <w:ilvl w:val="0"/>
          <w:numId w:val="0"/>
        </w:numPr>
        <w:spacing w:before="0" w:after="0" w:line="360" w:lineRule="auto"/>
        <w:ind w:firstLine="422" w:firstLineChars="200"/>
        <w:rPr>
          <w:rFonts w:hint="eastAsia" w:ascii="宋体" w:hAnsi="宋体" w:cs="宋体"/>
          <w:color w:val="auto"/>
          <w:sz w:val="21"/>
          <w:szCs w:val="21"/>
          <w:highlight w:val="none"/>
        </w:rPr>
      </w:pPr>
      <w:bookmarkStart w:id="152" w:name="_25.3_投标人有下列情形之一的，资格审查不通过而导致其投标无效："/>
      <w:bookmarkEnd w:id="152"/>
      <w:r>
        <w:rPr>
          <w:rFonts w:hint="eastAsia" w:ascii="宋体" w:hAnsi="宋体" w:cs="宋体"/>
          <w:color w:val="auto"/>
          <w:sz w:val="21"/>
          <w:szCs w:val="21"/>
          <w:highlight w:val="none"/>
        </w:rPr>
        <w:t>25.3投标人有下列情形之一的，资格审查不通过，作无效投标处理：</w:t>
      </w:r>
    </w:p>
    <w:p w14:paraId="0921DC07">
      <w:pPr>
        <w:pStyle w:val="50"/>
        <w:spacing w:line="360" w:lineRule="auto"/>
        <w:ind w:firstLine="422" w:firstLineChars="200"/>
        <w:rPr>
          <w:rFonts w:hint="eastAsia" w:hAnsi="宋体" w:cs="宋体"/>
          <w:b/>
          <w:color w:val="auto"/>
          <w:sz w:val="21"/>
          <w:highlight w:val="none"/>
        </w:rPr>
      </w:pPr>
      <w:r>
        <w:rPr>
          <w:rFonts w:hint="eastAsia" w:hAnsi="宋体" w:cs="宋体"/>
          <w:b/>
          <w:color w:val="auto"/>
          <w:sz w:val="21"/>
          <w:highlight w:val="none"/>
        </w:rPr>
        <w:t>（1）未按招标文件规定的方式获取本招标文件的投标人；</w:t>
      </w:r>
    </w:p>
    <w:p w14:paraId="7C539AEE">
      <w:pPr>
        <w:pStyle w:val="50"/>
        <w:spacing w:line="360" w:lineRule="auto"/>
        <w:ind w:firstLine="422" w:firstLineChars="200"/>
        <w:rPr>
          <w:rFonts w:hint="eastAsia" w:hAnsi="宋体" w:cs="宋体"/>
          <w:b/>
          <w:color w:val="auto"/>
          <w:sz w:val="21"/>
          <w:highlight w:val="none"/>
        </w:rPr>
      </w:pPr>
      <w:r>
        <w:rPr>
          <w:rFonts w:hint="eastAsia" w:hAnsi="宋体" w:cs="宋体"/>
          <w:b/>
          <w:color w:val="auto"/>
          <w:sz w:val="21"/>
          <w:highlight w:val="none"/>
        </w:rPr>
        <w:t>（2）不具备招标文件中规定的资格要求的；（注：其中信用查询规则见“投标人须知前附表”）</w:t>
      </w:r>
    </w:p>
    <w:p w14:paraId="1074EB56">
      <w:pPr>
        <w:pStyle w:val="50"/>
        <w:spacing w:line="360" w:lineRule="auto"/>
        <w:ind w:firstLine="422" w:firstLineChars="200"/>
        <w:rPr>
          <w:rFonts w:hint="eastAsia" w:hAnsi="宋体" w:cs="宋体"/>
          <w:b/>
          <w:color w:val="auto"/>
          <w:sz w:val="21"/>
          <w:highlight w:val="none"/>
        </w:rPr>
      </w:pPr>
      <w:r>
        <w:rPr>
          <w:rFonts w:hint="eastAsia" w:hAnsi="宋体" w:cs="宋体"/>
          <w:b/>
          <w:color w:val="auto"/>
          <w:sz w:val="21"/>
          <w:highlight w:val="none"/>
        </w:rPr>
        <w:t>（3）投标文件未提供任一项“投标人须知前附表”资格证明文件规定的“必须提供”的文件资料的；</w:t>
      </w:r>
    </w:p>
    <w:p w14:paraId="3D612891">
      <w:pPr>
        <w:pStyle w:val="50"/>
        <w:spacing w:line="360" w:lineRule="auto"/>
        <w:ind w:firstLine="422" w:firstLineChars="200"/>
        <w:rPr>
          <w:rFonts w:hint="eastAsia" w:hAnsi="宋体" w:cs="宋体"/>
          <w:b/>
          <w:color w:val="auto"/>
          <w:sz w:val="21"/>
          <w:highlight w:val="none"/>
        </w:rPr>
      </w:pPr>
      <w:r>
        <w:rPr>
          <w:rFonts w:hint="eastAsia" w:hAnsi="宋体" w:cs="宋体"/>
          <w:b/>
          <w:color w:val="auto"/>
          <w:sz w:val="21"/>
          <w:highlight w:val="none"/>
        </w:rPr>
        <w:t>（4）投标文件提供的资格证明文件出现任一项不符合“投标人须知前附表”资格证明文件规定的“必须提供”的文件资料要求或者无效的。</w:t>
      </w:r>
    </w:p>
    <w:p w14:paraId="5120B74D">
      <w:pPr>
        <w:pStyle w:val="19"/>
        <w:keepNext w:val="0"/>
        <w:keepLines w:val="0"/>
        <w:spacing w:before="0" w:after="0" w:line="360" w:lineRule="auto"/>
        <w:ind w:left="420" w:leftChars="200"/>
        <w:rPr>
          <w:rFonts w:hint="eastAsia" w:ascii="宋体" w:hAnsi="宋体" w:cs="宋体"/>
          <w:b w:val="0"/>
          <w:color w:val="auto"/>
          <w:sz w:val="21"/>
          <w:szCs w:val="21"/>
          <w:highlight w:val="none"/>
        </w:rPr>
      </w:pPr>
      <w:r>
        <w:rPr>
          <w:rFonts w:hint="eastAsia" w:ascii="宋体" w:hAnsi="宋体" w:cs="宋体"/>
          <w:color w:val="auto"/>
          <w:sz w:val="21"/>
          <w:szCs w:val="21"/>
          <w:highlight w:val="none"/>
        </w:rPr>
        <w:t>25.4资格审查的合格投标人不足3家的，不得评标。</w:t>
      </w:r>
    </w:p>
    <w:p w14:paraId="07BE0271">
      <w:pPr>
        <w:pStyle w:val="17"/>
        <w:keepNext w:val="0"/>
        <w:keepLines w:val="0"/>
        <w:spacing w:before="0" w:after="0" w:line="360" w:lineRule="auto"/>
        <w:jc w:val="center"/>
        <w:rPr>
          <w:rFonts w:hint="eastAsia" w:ascii="宋体" w:hAnsi="宋体" w:cs="宋体"/>
          <w:color w:val="auto"/>
          <w:highlight w:val="none"/>
        </w:rPr>
      </w:pPr>
      <w:r>
        <w:rPr>
          <w:rFonts w:hint="eastAsia" w:ascii="宋体" w:hAnsi="宋体" w:cs="宋体"/>
          <w:color w:val="auto"/>
          <w:highlight w:val="none"/>
        </w:rPr>
        <w:t>六、评标</w:t>
      </w:r>
    </w:p>
    <w:p w14:paraId="74CEA488">
      <w:pPr>
        <w:pStyle w:val="19"/>
        <w:keepNext w:val="0"/>
        <w:keepLines w:val="0"/>
        <w:spacing w:before="0" w:after="0" w:line="360" w:lineRule="auto"/>
        <w:ind w:left="420" w:leftChars="200"/>
        <w:rPr>
          <w:rFonts w:hint="eastAsia" w:ascii="宋体" w:hAnsi="宋体" w:cs="宋体"/>
          <w:color w:val="auto"/>
          <w:sz w:val="24"/>
          <w:highlight w:val="none"/>
        </w:rPr>
      </w:pPr>
      <w:bookmarkStart w:id="153" w:name="_26.组建评标委员会"/>
      <w:bookmarkEnd w:id="153"/>
      <w:r>
        <w:rPr>
          <w:rFonts w:hint="eastAsia" w:ascii="宋体" w:hAnsi="宋体" w:cs="宋体"/>
          <w:color w:val="auto"/>
          <w:sz w:val="24"/>
          <w:highlight w:val="none"/>
        </w:rPr>
        <w:t>26.组建评标委员会</w:t>
      </w:r>
    </w:p>
    <w:p w14:paraId="1E83EAE7">
      <w:pPr>
        <w:pStyle w:val="5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评标委员会由采购人代表和评审专家组成，具体人数详见“投标人须知前附表”，其中评审专家不得少于成员总数的三分之二。</w:t>
      </w:r>
    </w:p>
    <w:p w14:paraId="2C5B61A4">
      <w:pPr>
        <w:pStyle w:val="50"/>
        <w:spacing w:line="360" w:lineRule="auto"/>
        <w:ind w:left="2" w:leftChars="1" w:firstLine="420" w:firstLineChars="200"/>
        <w:rPr>
          <w:rFonts w:hint="eastAsia" w:hAnsi="宋体" w:cs="宋体"/>
          <w:color w:val="auto"/>
          <w:sz w:val="21"/>
          <w:highlight w:val="none"/>
        </w:rPr>
      </w:pPr>
      <w:r>
        <w:rPr>
          <w:rFonts w:hint="eastAsia" w:hAnsi="宋体" w:cs="宋体"/>
          <w:color w:val="auto"/>
          <w:sz w:val="21"/>
          <w:highlight w:val="none"/>
        </w:rPr>
        <w:t>参加过采购项目前期咨询论证的专家，不得参加该采购项目的评审活动。</w:t>
      </w:r>
    </w:p>
    <w:p w14:paraId="26B011C8">
      <w:pPr>
        <w:pStyle w:val="19"/>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27.评标的依据</w:t>
      </w:r>
    </w:p>
    <w:p w14:paraId="45729130">
      <w:pPr>
        <w:pStyle w:val="5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评标委员会以招标文件为依据对投标文件进行评审，“第四章评标方法和评标标准”没有规定的方法、评审因素和标准，不作为评标依据。</w:t>
      </w:r>
    </w:p>
    <w:p w14:paraId="16D11652">
      <w:pPr>
        <w:pStyle w:val="19"/>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28.评标原则</w:t>
      </w:r>
    </w:p>
    <w:p w14:paraId="257BDDCE">
      <w:pPr>
        <w:pStyle w:val="5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28.1评标原则。评标委员</w:t>
      </w:r>
      <w:r>
        <w:rPr>
          <w:rFonts w:hint="eastAsia" w:hAnsi="宋体" w:cs="宋体"/>
          <w:color w:val="auto"/>
          <w:sz w:val="21"/>
          <w:highlight w:val="none"/>
          <w:lang w:eastAsia="zh-CN"/>
        </w:rPr>
        <w:t>会在</w:t>
      </w:r>
      <w:r>
        <w:rPr>
          <w:rFonts w:hint="eastAsia" w:hAnsi="宋体" w:cs="宋体"/>
          <w:color w:val="auto"/>
          <w:sz w:val="21"/>
          <w:highlight w:val="none"/>
        </w:rPr>
        <w:t>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EE88884">
      <w:pPr>
        <w:pStyle w:val="5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28.2评委表决。在评标过程中出现法律法规和招标文件均没有明确规定的情形时，由评标委员会现场协商解决，协商不一致的，由全体评委投票表决，以得票率二分之一以上专家的意见为准。</w:t>
      </w:r>
      <w:bookmarkStart w:id="154" w:name="_28.3评标方法。本项目将按须知前附表规定的评标办法进行评标，具体评标"/>
      <w:bookmarkEnd w:id="154"/>
    </w:p>
    <w:p w14:paraId="4991D3FF">
      <w:pPr>
        <w:pStyle w:val="5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5E6D14D">
      <w:pPr>
        <w:pStyle w:val="5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28.4评标过程的监控。本项目评标过程实行全程录音、录像监控，投标人在评标过程中所进行的试图影响评标结果的不公正活动，可能导致其投标按无效处理。</w:t>
      </w:r>
    </w:p>
    <w:p w14:paraId="6CA76993">
      <w:pPr>
        <w:pStyle w:val="19"/>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29.评标方法及评标标准</w:t>
      </w:r>
    </w:p>
    <w:p w14:paraId="4D9B1DBF">
      <w:pPr>
        <w:pStyle w:val="5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29.1本项目的评标方法详见“投标人须知前附表”。</w:t>
      </w:r>
    </w:p>
    <w:p w14:paraId="7AE3934E">
      <w:pPr>
        <w:pStyle w:val="5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29.2评标委员会按照“第四章评标方法和评标标准”规定的方法、评审因素、标准和程序对投标文件进行评审。</w:t>
      </w:r>
    </w:p>
    <w:p w14:paraId="60239A5F">
      <w:pPr>
        <w:pStyle w:val="17"/>
        <w:keepNext w:val="0"/>
        <w:keepLines w:val="0"/>
        <w:spacing w:before="0" w:after="0" w:line="360" w:lineRule="auto"/>
        <w:jc w:val="center"/>
        <w:rPr>
          <w:rFonts w:hint="eastAsia" w:ascii="宋体" w:hAnsi="宋体" w:cs="宋体"/>
          <w:color w:val="auto"/>
          <w:highlight w:val="none"/>
        </w:rPr>
      </w:pPr>
      <w:bookmarkStart w:id="155" w:name="_Toc254970687"/>
      <w:bookmarkStart w:id="156" w:name="_Toc254970546"/>
      <w:r>
        <w:rPr>
          <w:rFonts w:hint="eastAsia" w:ascii="宋体" w:hAnsi="宋体" w:cs="宋体"/>
          <w:color w:val="auto"/>
          <w:highlight w:val="none"/>
        </w:rPr>
        <w:t>七、</w:t>
      </w:r>
      <w:bookmarkEnd w:id="155"/>
      <w:bookmarkEnd w:id="156"/>
      <w:r>
        <w:rPr>
          <w:rFonts w:hint="eastAsia" w:ascii="宋体" w:hAnsi="宋体" w:cs="宋体"/>
          <w:color w:val="auto"/>
          <w:highlight w:val="none"/>
          <w:lang w:eastAsia="zh-CN"/>
        </w:rPr>
        <w:t>中标</w:t>
      </w:r>
      <w:r>
        <w:rPr>
          <w:rFonts w:hint="eastAsia" w:ascii="宋体" w:hAnsi="宋体" w:cs="宋体"/>
          <w:color w:val="auto"/>
          <w:highlight w:val="none"/>
        </w:rPr>
        <w:t>合同</w:t>
      </w:r>
    </w:p>
    <w:p w14:paraId="5E415708">
      <w:pPr>
        <w:pStyle w:val="19"/>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30确定</w:t>
      </w:r>
      <w:r>
        <w:rPr>
          <w:rFonts w:hint="eastAsia" w:ascii="宋体" w:hAnsi="宋体" w:cs="宋体"/>
          <w:color w:val="auto"/>
          <w:sz w:val="24"/>
          <w:highlight w:val="none"/>
          <w:lang w:eastAsia="zh-CN"/>
        </w:rPr>
        <w:t>中标供应商</w:t>
      </w:r>
    </w:p>
    <w:p w14:paraId="3D4A3EB0">
      <w:pPr>
        <w:pStyle w:val="19"/>
        <w:keepNext w:val="0"/>
        <w:keepLines w:val="0"/>
        <w:spacing w:before="0" w:after="0" w:line="360" w:lineRule="auto"/>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30.1采购代理机构在评标结束之日起2个工作日内将评标报告送采购人，采购人在收到评标报告之日起2个工作日内，在评标报告确定的中标候选人名单中按顺序确定</w:t>
      </w:r>
      <w:r>
        <w:rPr>
          <w:rFonts w:hint="eastAsia" w:ascii="宋体" w:hAnsi="宋体" w:cs="宋体"/>
          <w:b w:val="0"/>
          <w:color w:val="auto"/>
          <w:sz w:val="21"/>
          <w:szCs w:val="21"/>
          <w:highlight w:val="none"/>
          <w:lang w:eastAsia="zh-CN"/>
        </w:rPr>
        <w:t>中标供应商</w:t>
      </w:r>
      <w:r>
        <w:rPr>
          <w:rFonts w:hint="eastAsia" w:ascii="宋体" w:hAnsi="宋体" w:cs="宋体"/>
          <w:b w:val="0"/>
          <w:color w:val="auto"/>
          <w:sz w:val="21"/>
          <w:szCs w:val="21"/>
          <w:highlight w:val="none"/>
        </w:rPr>
        <w:t>。中标候选人并列的，按照“投标人须知前附表”规定的方式确定</w:t>
      </w:r>
      <w:r>
        <w:rPr>
          <w:rFonts w:hint="eastAsia" w:ascii="宋体" w:hAnsi="宋体" w:cs="宋体"/>
          <w:b w:val="0"/>
          <w:color w:val="auto"/>
          <w:sz w:val="21"/>
          <w:szCs w:val="21"/>
          <w:highlight w:val="none"/>
          <w:lang w:eastAsia="zh-CN"/>
        </w:rPr>
        <w:t>中标供应商</w:t>
      </w:r>
      <w:r>
        <w:rPr>
          <w:rFonts w:hint="eastAsia" w:ascii="宋体" w:hAnsi="宋体" w:cs="宋体"/>
          <w:b w:val="0"/>
          <w:color w:val="auto"/>
          <w:sz w:val="21"/>
          <w:szCs w:val="21"/>
          <w:highlight w:val="none"/>
        </w:rPr>
        <w:t>。采购人也可以事先授权评标委员会直接确定</w:t>
      </w:r>
      <w:r>
        <w:rPr>
          <w:rFonts w:hint="eastAsia" w:ascii="宋体" w:hAnsi="宋体" w:cs="宋体"/>
          <w:b w:val="0"/>
          <w:color w:val="auto"/>
          <w:sz w:val="21"/>
          <w:szCs w:val="21"/>
          <w:highlight w:val="none"/>
          <w:lang w:eastAsia="zh-CN"/>
        </w:rPr>
        <w:t>中标供应商</w:t>
      </w:r>
      <w:r>
        <w:rPr>
          <w:rFonts w:hint="eastAsia" w:ascii="宋体" w:hAnsi="宋体" w:cs="宋体"/>
          <w:b w:val="0"/>
          <w:color w:val="auto"/>
          <w:sz w:val="21"/>
          <w:szCs w:val="21"/>
          <w:highlight w:val="none"/>
        </w:rPr>
        <w:t>。</w:t>
      </w:r>
    </w:p>
    <w:p w14:paraId="308F14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30.2采购人在收到评标报告2个工作日内未按评标报告推荐的中标候选人顺序确定</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，又不能说明合法理由的，视同按评标报告推荐的顺序确定排名第一的中标候选人为</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w:t>
      </w:r>
    </w:p>
    <w:p w14:paraId="1938B2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30.3采购人、采购代理机构认为供应商对采购过程、中标结果提出的质疑成立且影响或者可能影响中标结果的，合格供应商符合法定数量时，可以从合格的中标候选人中另行确定</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的，应当依法另行确定</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；否则应当重新开展采购活动。</w:t>
      </w:r>
    </w:p>
    <w:p w14:paraId="51060E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30.4排名第一的中标候选人放弃中标、因不可抗力不能履行合同，采购人可以确定排名第二的中标候选人为</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。排名第二的中标候选人因前款规定的同样原因不能签订合同的，采购人可以确定排名第三的中标候选人为</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，以此类推。</w:t>
      </w:r>
    </w:p>
    <w:p w14:paraId="4851B07E">
      <w:pPr>
        <w:pStyle w:val="19"/>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31.结果公告</w:t>
      </w:r>
    </w:p>
    <w:p w14:paraId="0CD82DD4">
      <w:pPr>
        <w:pStyle w:val="19"/>
        <w:keepNext w:val="0"/>
        <w:keepLines w:val="0"/>
        <w:spacing w:before="0" w:after="0" w:line="360" w:lineRule="auto"/>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31.1</w:t>
      </w:r>
      <w:r>
        <w:rPr>
          <w:rFonts w:hint="eastAsia" w:ascii="宋体" w:hAnsi="宋体" w:cs="宋体"/>
          <w:b w:val="0"/>
          <w:color w:val="auto"/>
          <w:sz w:val="21"/>
          <w:szCs w:val="21"/>
          <w:highlight w:val="none"/>
          <w:lang w:eastAsia="zh-CN"/>
        </w:rPr>
        <w:t>中标供应商</w:t>
      </w:r>
      <w:r>
        <w:rPr>
          <w:rFonts w:hint="eastAsia" w:ascii="宋体" w:hAnsi="宋体" w:cs="宋体"/>
          <w:b w:val="0"/>
          <w:color w:val="auto"/>
          <w:sz w:val="21"/>
          <w:szCs w:val="21"/>
          <w:highlight w:val="none"/>
        </w:rPr>
        <w:t>确定后，于</w:t>
      </w:r>
      <w:r>
        <w:rPr>
          <w:rFonts w:hint="eastAsia" w:ascii="宋体" w:hAnsi="宋体" w:cs="宋体"/>
          <w:b w:val="0"/>
          <w:color w:val="auto"/>
          <w:sz w:val="21"/>
          <w:szCs w:val="21"/>
          <w:highlight w:val="none"/>
          <w:lang w:eastAsia="zh-CN"/>
        </w:rPr>
        <w:t>中标供应商</w:t>
      </w:r>
      <w:r>
        <w:rPr>
          <w:rFonts w:hint="eastAsia" w:ascii="宋体" w:hAnsi="宋体" w:cs="宋体"/>
          <w:b w:val="0"/>
          <w:color w:val="auto"/>
          <w:sz w:val="21"/>
          <w:szCs w:val="21"/>
          <w:highlight w:val="none"/>
        </w:rPr>
        <w:t>确定之日起2个工作日内，中标结果将在招标公告发布媒体上公告。采购人或者采购代理</w:t>
      </w:r>
      <w:r>
        <w:rPr>
          <w:rFonts w:hint="eastAsia" w:ascii="宋体" w:hAnsi="宋体" w:cs="宋体"/>
          <w:b w:val="0"/>
          <w:color w:val="auto"/>
          <w:sz w:val="21"/>
          <w:szCs w:val="21"/>
          <w:highlight w:val="none"/>
          <w:lang w:val="en-US" w:eastAsia="zh-CN"/>
        </w:rPr>
        <w:t>机构</w:t>
      </w:r>
      <w:r>
        <w:rPr>
          <w:rFonts w:hint="eastAsia" w:ascii="宋体" w:hAnsi="宋体" w:cs="宋体"/>
          <w:b w:val="0"/>
          <w:color w:val="auto"/>
          <w:sz w:val="21"/>
          <w:szCs w:val="21"/>
          <w:highlight w:val="none"/>
        </w:rPr>
        <w:t>发出中标通知书前，应当对</w:t>
      </w:r>
      <w:r>
        <w:rPr>
          <w:rFonts w:hint="eastAsia" w:ascii="宋体" w:hAnsi="宋体" w:cs="宋体"/>
          <w:b w:val="0"/>
          <w:color w:val="auto"/>
          <w:sz w:val="21"/>
          <w:szCs w:val="21"/>
          <w:highlight w:val="none"/>
          <w:lang w:eastAsia="zh-CN"/>
        </w:rPr>
        <w:t>中标供应商</w:t>
      </w:r>
      <w:r>
        <w:rPr>
          <w:rFonts w:hint="eastAsia" w:ascii="宋体" w:hAnsi="宋体" w:cs="宋体"/>
          <w:b w:val="0"/>
          <w:color w:val="auto"/>
          <w:sz w:val="21"/>
          <w:szCs w:val="21"/>
          <w:highlight w:val="none"/>
        </w:rPr>
        <w:t>信用进行查询，对列入失信被执行人、</w:t>
      </w:r>
      <w:r>
        <w:rPr>
          <w:rFonts w:hint="eastAsia" w:ascii="宋体" w:hAnsi="宋体" w:cs="宋体"/>
          <w:b w:val="0"/>
          <w:color w:val="auto"/>
          <w:sz w:val="21"/>
          <w:szCs w:val="21"/>
          <w:highlight w:val="none"/>
          <w:lang w:eastAsia="zh-CN"/>
        </w:rPr>
        <w:t>重大税收违法失信主体</w:t>
      </w:r>
      <w:r>
        <w:rPr>
          <w:rFonts w:hint="eastAsia" w:ascii="宋体" w:hAnsi="宋体" w:cs="宋体"/>
          <w:b w:val="0"/>
          <w:color w:val="auto"/>
          <w:sz w:val="21"/>
          <w:szCs w:val="21"/>
          <w:highlight w:val="none"/>
        </w:rPr>
        <w:t>、政府采购严重违法失信行为记录名单及其他不符合《中华人民共和国政府采购法》第二十二条规定条件的</w:t>
      </w:r>
      <w:r>
        <w:rPr>
          <w:rFonts w:hint="eastAsia" w:ascii="宋体" w:hAnsi="宋体" w:cs="宋体"/>
          <w:b w:val="0"/>
          <w:color w:val="auto"/>
          <w:sz w:val="21"/>
          <w:szCs w:val="21"/>
          <w:highlight w:val="none"/>
          <w:lang w:val="en-US" w:eastAsia="zh-CN"/>
        </w:rPr>
        <w:t>中标供应商</w:t>
      </w:r>
      <w:r>
        <w:rPr>
          <w:rFonts w:hint="eastAsia" w:ascii="宋体" w:hAnsi="宋体" w:cs="宋体"/>
          <w:b w:val="0"/>
          <w:color w:val="auto"/>
          <w:sz w:val="21"/>
          <w:szCs w:val="21"/>
          <w:highlight w:val="none"/>
        </w:rPr>
        <w:t>，取消其中标资格，并确定排名第二的中标候选人为</w:t>
      </w:r>
      <w:r>
        <w:rPr>
          <w:rFonts w:hint="eastAsia" w:ascii="宋体" w:hAnsi="宋体" w:cs="宋体"/>
          <w:b w:val="0"/>
          <w:color w:val="auto"/>
          <w:sz w:val="21"/>
          <w:szCs w:val="21"/>
          <w:highlight w:val="none"/>
          <w:lang w:eastAsia="zh-CN"/>
        </w:rPr>
        <w:t>中标供应商</w:t>
      </w:r>
      <w:r>
        <w:rPr>
          <w:rFonts w:hint="eastAsia" w:ascii="宋体" w:hAnsi="宋体" w:cs="宋体"/>
          <w:b w:val="0"/>
          <w:color w:val="auto"/>
          <w:sz w:val="21"/>
          <w:szCs w:val="21"/>
          <w:highlight w:val="none"/>
        </w:rPr>
        <w:t>。</w:t>
      </w:r>
    </w:p>
    <w:p w14:paraId="40DD77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排名第二的中标候选人因前款规定的同样原因被取消中标资格的，采购人可以确定排名第三的中标候选人为</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，以此类推。</w:t>
      </w:r>
    </w:p>
    <w:p w14:paraId="4A1521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5FC901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中小企业在政府采购活动过程中，</w:t>
      </w:r>
      <w:r>
        <w:rPr>
          <w:rFonts w:hint="eastAsia" w:ascii="宋体" w:hAnsi="宋体" w:cs="宋体"/>
          <w:color w:val="auto"/>
          <w:szCs w:val="21"/>
          <w:highlight w:val="none"/>
          <w:lang w:val="en-US" w:eastAsia="zh-CN"/>
        </w:rPr>
        <w:t>应该</w:t>
      </w:r>
      <w:r>
        <w:rPr>
          <w:rFonts w:hint="eastAsia" w:ascii="宋体" w:hAnsi="宋体" w:cs="宋体"/>
          <w:color w:val="auto"/>
          <w:szCs w:val="21"/>
          <w:highlight w:val="none"/>
        </w:rPr>
        <w:t>根据企业的真实情况出具《中小企业声明函》。依法享受中小企业优惠政策的，采购人或者采购代理机构在公告中标结果时，同时公告其《中小企业声明函》，接受社会监督。</w:t>
      </w:r>
    </w:p>
    <w:p w14:paraId="21AB13F9">
      <w:pPr>
        <w:pStyle w:val="19"/>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32.发出中标通知书</w:t>
      </w:r>
    </w:p>
    <w:p w14:paraId="1402D8B3">
      <w:pPr>
        <w:pStyle w:val="19"/>
        <w:keepNext w:val="0"/>
        <w:keepLines w:val="0"/>
        <w:spacing w:before="0" w:after="0" w:line="360" w:lineRule="auto"/>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在发布中标公告的同时，采购代理机构向</w:t>
      </w:r>
      <w:r>
        <w:rPr>
          <w:rFonts w:hint="eastAsia" w:ascii="宋体" w:hAnsi="宋体" w:cs="宋体"/>
          <w:b w:val="0"/>
          <w:color w:val="auto"/>
          <w:sz w:val="21"/>
          <w:szCs w:val="21"/>
          <w:highlight w:val="none"/>
          <w:lang w:eastAsia="zh-CN"/>
        </w:rPr>
        <w:t>中标供应商</w:t>
      </w:r>
      <w:r>
        <w:rPr>
          <w:rFonts w:hint="eastAsia" w:ascii="宋体" w:hAnsi="宋体" w:cs="宋体"/>
          <w:b w:val="0"/>
          <w:color w:val="auto"/>
          <w:sz w:val="21"/>
          <w:szCs w:val="21"/>
          <w:highlight w:val="none"/>
        </w:rPr>
        <w:t>发出中标通知书。对未通过资格审查的投标人，应当告知其未通过的原因；采用综合评分办法评审的，还应当告知未</w:t>
      </w:r>
      <w:r>
        <w:rPr>
          <w:rFonts w:hint="eastAsia" w:ascii="宋体" w:hAnsi="宋体" w:cs="宋体"/>
          <w:b w:val="0"/>
          <w:color w:val="auto"/>
          <w:sz w:val="21"/>
          <w:szCs w:val="21"/>
          <w:highlight w:val="none"/>
          <w:lang w:eastAsia="zh-CN"/>
        </w:rPr>
        <w:t>中标供应商</w:t>
      </w:r>
      <w:r>
        <w:rPr>
          <w:rFonts w:hint="eastAsia" w:ascii="宋体" w:hAnsi="宋体" w:cs="宋体"/>
          <w:b w:val="0"/>
          <w:color w:val="auto"/>
          <w:sz w:val="21"/>
          <w:szCs w:val="21"/>
          <w:highlight w:val="none"/>
        </w:rPr>
        <w:t>的评审得分与排序。</w:t>
      </w:r>
    </w:p>
    <w:p w14:paraId="355A08B1">
      <w:pPr>
        <w:pStyle w:val="19"/>
        <w:keepNext w:val="0"/>
        <w:keepLines w:val="0"/>
        <w:spacing w:before="0" w:after="0" w:line="360" w:lineRule="auto"/>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33.无义务解释未中标原因</w:t>
      </w:r>
    </w:p>
    <w:p w14:paraId="3D41CED8">
      <w:pPr>
        <w:pStyle w:val="19"/>
        <w:keepNext w:val="0"/>
        <w:keepLines w:val="0"/>
        <w:spacing w:before="0" w:after="0" w:line="360" w:lineRule="auto"/>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采购代理机构无义务向未中标的投标人解释未中标原因和退还投标文件。</w:t>
      </w:r>
    </w:p>
    <w:p w14:paraId="6676CD40">
      <w:pPr>
        <w:pStyle w:val="19"/>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34.合同授予标准</w:t>
      </w:r>
    </w:p>
    <w:p w14:paraId="6B1B94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（招标文件另有约定多名</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的除外）。</w:t>
      </w:r>
    </w:p>
    <w:p w14:paraId="03E25725">
      <w:pPr>
        <w:pStyle w:val="19"/>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35.履约保证金</w:t>
      </w:r>
    </w:p>
    <w:p w14:paraId="7CC08465">
      <w:pPr>
        <w:pStyle w:val="19"/>
        <w:keepNext w:val="0"/>
        <w:keepLines w:val="0"/>
        <w:spacing w:before="0" w:after="0" w:line="360" w:lineRule="auto"/>
        <w:ind w:firstLine="315" w:firstLineChars="150"/>
        <w:rPr>
          <w:rFonts w:hint="eastAsia" w:ascii="宋体" w:hAnsi="宋体" w:cs="宋体"/>
          <w:b w:val="0"/>
          <w:color w:val="auto"/>
          <w:sz w:val="21"/>
          <w:szCs w:val="21"/>
          <w:highlight w:val="none"/>
        </w:rPr>
      </w:pPr>
      <w:bookmarkStart w:id="157" w:name="_39.1中标人须于签订合同前按本须知前附表规定的金额转账或电汇到指定账"/>
      <w:bookmarkEnd w:id="157"/>
      <w:r>
        <w:rPr>
          <w:rFonts w:hint="eastAsia" w:ascii="宋体" w:hAnsi="宋体" w:cs="宋体"/>
          <w:b w:val="0"/>
          <w:color w:val="auto"/>
          <w:sz w:val="21"/>
          <w:szCs w:val="21"/>
          <w:highlight w:val="none"/>
        </w:rPr>
        <w:t>35.1履约保证金的金额、提交方式、退</w:t>
      </w:r>
      <w:r>
        <w:rPr>
          <w:rFonts w:hint="eastAsia" w:ascii="宋体" w:hAnsi="宋体" w:cs="宋体"/>
          <w:b w:val="0"/>
          <w:color w:val="auto"/>
          <w:sz w:val="21"/>
          <w:szCs w:val="21"/>
          <w:highlight w:val="none"/>
          <w:lang w:val="en-US" w:eastAsia="zh-CN"/>
        </w:rPr>
        <w:t>还</w:t>
      </w:r>
      <w:r>
        <w:rPr>
          <w:rFonts w:hint="eastAsia" w:ascii="宋体" w:hAnsi="宋体" w:cs="宋体"/>
          <w:b w:val="0"/>
          <w:color w:val="auto"/>
          <w:sz w:val="21"/>
          <w:szCs w:val="21"/>
          <w:highlight w:val="none"/>
        </w:rPr>
        <w:t>时间和条件详见“投标人须知前附表”。</w:t>
      </w:r>
      <w:r>
        <w:rPr>
          <w:rFonts w:hint="eastAsia" w:ascii="宋体" w:hAnsi="宋体" w:cs="宋体"/>
          <w:b w:val="0"/>
          <w:color w:val="auto"/>
          <w:sz w:val="21"/>
          <w:szCs w:val="21"/>
          <w:highlight w:val="none"/>
          <w:lang w:eastAsia="zh-CN"/>
        </w:rPr>
        <w:t>中标供应商</w:t>
      </w:r>
      <w:r>
        <w:rPr>
          <w:rFonts w:hint="eastAsia" w:ascii="宋体" w:hAnsi="宋体" w:cs="宋体"/>
          <w:b w:val="0"/>
          <w:color w:val="auto"/>
          <w:sz w:val="21"/>
          <w:szCs w:val="21"/>
          <w:highlight w:val="none"/>
        </w:rPr>
        <w:t>未按规定提交履约保证金的，视为拒绝与采购人签订合同，采购人可以按照评标报告推荐的中标候选人名单排序，确定下一候选人为</w:t>
      </w:r>
      <w:r>
        <w:rPr>
          <w:rFonts w:hint="eastAsia" w:ascii="宋体" w:hAnsi="宋体" w:cs="宋体"/>
          <w:b w:val="0"/>
          <w:color w:val="auto"/>
          <w:sz w:val="21"/>
          <w:szCs w:val="21"/>
          <w:highlight w:val="none"/>
          <w:lang w:eastAsia="zh-CN"/>
        </w:rPr>
        <w:t>中标供应商</w:t>
      </w:r>
      <w:r>
        <w:rPr>
          <w:rFonts w:hint="eastAsia" w:ascii="宋体" w:hAnsi="宋体" w:cs="宋体"/>
          <w:b w:val="0"/>
          <w:color w:val="auto"/>
          <w:sz w:val="21"/>
          <w:szCs w:val="21"/>
          <w:highlight w:val="none"/>
        </w:rPr>
        <w:t>，也可以重新开展政府采购活动。</w:t>
      </w:r>
    </w:p>
    <w:p w14:paraId="0B705274">
      <w:pPr>
        <w:pStyle w:val="19"/>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35.2签订合同后，如</w:t>
      </w:r>
      <w:r>
        <w:rPr>
          <w:rFonts w:hint="eastAsia" w:ascii="宋体" w:hAnsi="宋体" w:cs="宋体"/>
          <w:b w:val="0"/>
          <w:color w:val="auto"/>
          <w:sz w:val="21"/>
          <w:szCs w:val="21"/>
          <w:highlight w:val="none"/>
          <w:lang w:eastAsia="zh-CN"/>
        </w:rPr>
        <w:t>中标供应商</w:t>
      </w:r>
      <w:r>
        <w:rPr>
          <w:rFonts w:hint="eastAsia" w:ascii="宋体" w:hAnsi="宋体" w:cs="宋体"/>
          <w:b w:val="0"/>
          <w:color w:val="auto"/>
          <w:sz w:val="21"/>
          <w:szCs w:val="21"/>
          <w:highlight w:val="none"/>
        </w:rPr>
        <w:t>不按双方签订的合同规定履约，则没收其全部履约保证金，履约保证金不足以赔偿损失的，按实际损失赔偿。</w:t>
      </w:r>
    </w:p>
    <w:p w14:paraId="618E82B0">
      <w:pPr>
        <w:pStyle w:val="19"/>
        <w:keepNext w:val="0"/>
        <w:keepLines w:val="0"/>
        <w:numPr>
          <w:ilvl w:val="0"/>
          <w:numId w:val="0"/>
        </w:numPr>
        <w:spacing w:before="0" w:after="0" w:line="360" w:lineRule="auto"/>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35.3在履约保证金退还日期前，若</w:t>
      </w:r>
      <w:r>
        <w:rPr>
          <w:rFonts w:hint="eastAsia" w:ascii="宋体" w:hAnsi="宋体" w:cs="宋体"/>
          <w:b w:val="0"/>
          <w:color w:val="auto"/>
          <w:sz w:val="21"/>
          <w:szCs w:val="21"/>
          <w:highlight w:val="none"/>
          <w:lang w:eastAsia="zh-CN"/>
        </w:rPr>
        <w:t>中标供应商</w:t>
      </w:r>
      <w:r>
        <w:rPr>
          <w:rFonts w:hint="eastAsia" w:ascii="宋体" w:hAnsi="宋体" w:cs="宋体"/>
          <w:b w:val="0"/>
          <w:color w:val="auto"/>
          <w:sz w:val="21"/>
          <w:szCs w:val="21"/>
          <w:highlight w:val="none"/>
        </w:rPr>
        <w:t>的开户名称、开户银行、</w:t>
      </w:r>
      <w:r>
        <w:rPr>
          <w:rFonts w:hint="eastAsia" w:ascii="宋体" w:hAnsi="宋体" w:cs="宋体"/>
          <w:b w:val="0"/>
          <w:color w:val="auto"/>
          <w:sz w:val="21"/>
          <w:szCs w:val="21"/>
          <w:highlight w:val="none"/>
          <w:lang w:eastAsia="zh-CN"/>
        </w:rPr>
        <w:t>账号</w:t>
      </w:r>
      <w:r>
        <w:rPr>
          <w:rFonts w:hint="eastAsia" w:ascii="宋体" w:hAnsi="宋体" w:cs="宋体"/>
          <w:b w:val="0"/>
          <w:color w:val="auto"/>
          <w:sz w:val="21"/>
          <w:szCs w:val="21"/>
          <w:highlight w:val="none"/>
        </w:rPr>
        <w:t>有变动的，请以书面形式通知履约保证金收取单位，否则由此产生的后果由</w:t>
      </w:r>
      <w:r>
        <w:rPr>
          <w:rFonts w:hint="eastAsia" w:ascii="宋体" w:hAnsi="宋体" w:cs="宋体"/>
          <w:b w:val="0"/>
          <w:color w:val="auto"/>
          <w:sz w:val="21"/>
          <w:szCs w:val="21"/>
          <w:highlight w:val="none"/>
          <w:lang w:eastAsia="zh-CN"/>
        </w:rPr>
        <w:t>中标供应商</w:t>
      </w:r>
      <w:r>
        <w:rPr>
          <w:rFonts w:hint="eastAsia" w:ascii="宋体" w:hAnsi="宋体" w:cs="宋体"/>
          <w:b w:val="0"/>
          <w:color w:val="auto"/>
          <w:sz w:val="21"/>
          <w:szCs w:val="21"/>
          <w:highlight w:val="none"/>
        </w:rPr>
        <w:t>自行承担。</w:t>
      </w:r>
    </w:p>
    <w:p w14:paraId="4452DC1B">
      <w:pPr>
        <w:pStyle w:val="19"/>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36.签订合同</w:t>
      </w:r>
    </w:p>
    <w:p w14:paraId="15D2EBB1">
      <w:pPr>
        <w:pStyle w:val="19"/>
        <w:keepNext w:val="0"/>
        <w:keepLines w:val="0"/>
        <w:spacing w:before="0" w:after="0" w:line="360" w:lineRule="auto"/>
        <w:ind w:firstLine="315" w:firstLineChars="150"/>
        <w:rPr>
          <w:rFonts w:hint="eastAsia" w:ascii="宋体" w:hAnsi="宋体" w:cs="宋体"/>
          <w:b w:val="0"/>
          <w:color w:val="auto"/>
          <w:sz w:val="21"/>
          <w:szCs w:val="21"/>
          <w:highlight w:val="none"/>
        </w:rPr>
      </w:pPr>
      <w:bookmarkStart w:id="158" w:name="_40.1投标人接到中标通知书后，按须知前附表规定向采购人出示相关资格证"/>
      <w:bookmarkEnd w:id="158"/>
      <w:r>
        <w:rPr>
          <w:rFonts w:hint="eastAsia" w:ascii="宋体" w:hAnsi="宋体" w:cs="宋体"/>
          <w:b w:val="0"/>
          <w:color w:val="auto"/>
          <w:sz w:val="21"/>
          <w:szCs w:val="21"/>
          <w:highlight w:val="none"/>
        </w:rPr>
        <w:t>36.1投标人领取中标通知书后，按“投标人须知前附表”规定向采购人出示相关证明材料，经采购人核验合格后方可签订合同。</w:t>
      </w:r>
    </w:p>
    <w:p w14:paraId="2003BE41">
      <w:pPr>
        <w:pStyle w:val="19"/>
        <w:keepNext w:val="0"/>
        <w:keepLines w:val="0"/>
        <w:spacing w:before="0" w:after="0" w:line="360" w:lineRule="auto"/>
        <w:ind w:firstLine="315" w:firstLineChars="150"/>
        <w:rPr>
          <w:rFonts w:hint="eastAsia" w:ascii="宋体" w:hAnsi="宋体" w:eastAsia="宋体" w:cs="宋体"/>
          <w:b w:val="0"/>
          <w:bCs/>
          <w:color w:val="auto"/>
          <w:sz w:val="21"/>
          <w:szCs w:val="21"/>
          <w:highlight w:val="none"/>
        </w:rPr>
      </w:pPr>
      <w:r>
        <w:rPr>
          <w:rFonts w:hint="eastAsia" w:ascii="宋体" w:hAnsi="宋体" w:cs="宋体"/>
          <w:b w:val="0"/>
          <w:color w:val="auto"/>
          <w:sz w:val="21"/>
          <w:szCs w:val="21"/>
          <w:highlight w:val="none"/>
        </w:rPr>
        <w:t>36.2签订合同时间：</w:t>
      </w:r>
      <w:r>
        <w:rPr>
          <w:rFonts w:hint="eastAsia" w:ascii="宋体" w:hAnsi="宋体" w:eastAsia="宋体" w:cs="宋体"/>
          <w:b w:val="0"/>
          <w:bCs/>
          <w:color w:val="auto"/>
          <w:sz w:val="21"/>
          <w:szCs w:val="21"/>
          <w:highlight w:val="none"/>
        </w:rPr>
        <w:t>自中标通知书发出之日起15</w:t>
      </w:r>
      <w:r>
        <w:rPr>
          <w:rFonts w:hint="eastAsia" w:ascii="宋体" w:hAnsi="宋体" w:eastAsia="宋体" w:cs="宋体"/>
          <w:b w:val="0"/>
          <w:bCs/>
          <w:color w:val="auto"/>
          <w:sz w:val="21"/>
          <w:szCs w:val="21"/>
          <w:highlight w:val="none"/>
          <w:lang w:eastAsia="zh-CN"/>
        </w:rPr>
        <w:t>个</w:t>
      </w:r>
      <w:r>
        <w:rPr>
          <w:rFonts w:hint="eastAsia" w:ascii="宋体" w:hAnsi="宋体" w:eastAsia="宋体" w:cs="宋体"/>
          <w:b w:val="0"/>
          <w:bCs/>
          <w:color w:val="auto"/>
          <w:sz w:val="21"/>
          <w:szCs w:val="21"/>
          <w:highlight w:val="none"/>
          <w:lang w:val="en-US" w:eastAsia="zh-CN"/>
        </w:rPr>
        <w:t>日历日</w:t>
      </w:r>
      <w:r>
        <w:rPr>
          <w:rFonts w:hint="eastAsia" w:ascii="宋体" w:hAnsi="宋体" w:eastAsia="宋体" w:cs="宋体"/>
          <w:b w:val="0"/>
          <w:bCs/>
          <w:color w:val="auto"/>
          <w:sz w:val="21"/>
          <w:szCs w:val="21"/>
          <w:highlight w:val="none"/>
        </w:rPr>
        <w:t>内必须与采购人签订合同</w:t>
      </w:r>
      <w:r>
        <w:rPr>
          <w:rFonts w:hint="eastAsia" w:ascii="宋体" w:hAnsi="宋体" w:eastAsia="宋体" w:cs="宋体"/>
          <w:b w:val="0"/>
          <w:bCs/>
          <w:color w:val="auto"/>
          <w:sz w:val="21"/>
          <w:szCs w:val="21"/>
          <w:highlight w:val="none"/>
          <w:lang w:eastAsia="zh-CN"/>
        </w:rPr>
        <w:t>（如因不可抗力原因延迟签订合同的，自不可抗力事由消除之日起5个工作日内完成合同签订事宜）</w:t>
      </w:r>
      <w:r>
        <w:rPr>
          <w:rFonts w:hint="eastAsia" w:ascii="宋体" w:hAnsi="宋体" w:eastAsia="宋体" w:cs="宋体"/>
          <w:b w:val="0"/>
          <w:bCs/>
          <w:color w:val="auto"/>
          <w:sz w:val="21"/>
          <w:szCs w:val="21"/>
          <w:highlight w:val="none"/>
        </w:rPr>
        <w:t>，否则中标无效。</w:t>
      </w:r>
    </w:p>
    <w:p w14:paraId="50664E4E">
      <w:pPr>
        <w:pStyle w:val="19"/>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eastAsia="宋体" w:cs="宋体"/>
          <w:b w:val="0"/>
          <w:bCs/>
          <w:color w:val="auto"/>
          <w:sz w:val="21"/>
          <w:szCs w:val="21"/>
          <w:highlight w:val="none"/>
        </w:rPr>
        <w:t>36.3</w:t>
      </w:r>
      <w:r>
        <w:rPr>
          <w:rFonts w:hint="eastAsia" w:ascii="宋体" w:hAnsi="宋体" w:eastAsia="宋体" w:cs="宋体"/>
          <w:b w:val="0"/>
          <w:bCs/>
          <w:color w:val="auto"/>
          <w:sz w:val="21"/>
          <w:szCs w:val="21"/>
          <w:highlight w:val="none"/>
          <w:lang w:eastAsia="zh-CN"/>
        </w:rPr>
        <w:t>中标供应商</w:t>
      </w:r>
      <w:r>
        <w:rPr>
          <w:rFonts w:hint="eastAsia" w:ascii="宋体" w:hAnsi="宋体" w:eastAsia="宋体" w:cs="宋体"/>
          <w:b w:val="0"/>
          <w:bCs/>
          <w:color w:val="auto"/>
          <w:sz w:val="21"/>
          <w:szCs w:val="21"/>
          <w:highlight w:val="none"/>
        </w:rPr>
        <w:t>拒绝与采购人签订合同的</w:t>
      </w:r>
      <w:r>
        <w:rPr>
          <w:rFonts w:hint="eastAsia" w:ascii="宋体" w:hAnsi="宋体" w:cs="宋体"/>
          <w:b w:val="0"/>
          <w:color w:val="auto"/>
          <w:sz w:val="21"/>
          <w:szCs w:val="21"/>
          <w:highlight w:val="none"/>
        </w:rPr>
        <w:t>，采购人可以按照评审报告推荐的中标候选人名单排序，确定下一候选人为</w:t>
      </w:r>
      <w:r>
        <w:rPr>
          <w:rFonts w:hint="eastAsia" w:ascii="宋体" w:hAnsi="宋体" w:cs="宋体"/>
          <w:b w:val="0"/>
          <w:color w:val="auto"/>
          <w:sz w:val="21"/>
          <w:szCs w:val="21"/>
          <w:highlight w:val="none"/>
          <w:lang w:eastAsia="zh-CN"/>
        </w:rPr>
        <w:t>中标供应商</w:t>
      </w:r>
      <w:r>
        <w:rPr>
          <w:rFonts w:hint="eastAsia" w:ascii="宋体" w:hAnsi="宋体" w:cs="宋体"/>
          <w:b w:val="0"/>
          <w:color w:val="auto"/>
          <w:sz w:val="21"/>
          <w:szCs w:val="21"/>
          <w:highlight w:val="none"/>
        </w:rPr>
        <w:t>，也可以重新开展政府采购活动。</w:t>
      </w:r>
    </w:p>
    <w:p w14:paraId="0DC8181B">
      <w:pPr>
        <w:pStyle w:val="19"/>
        <w:keepNext w:val="0"/>
        <w:keepLines w:val="0"/>
        <w:spacing w:before="0" w:after="0" w:line="360" w:lineRule="auto"/>
        <w:ind w:left="420" w:leftChars="200"/>
        <w:rPr>
          <w:rFonts w:hint="eastAsia" w:ascii="宋体" w:hAnsi="宋体" w:cs="宋体"/>
          <w:color w:val="auto"/>
          <w:sz w:val="24"/>
          <w:highlight w:val="none"/>
        </w:rPr>
      </w:pPr>
      <w:bookmarkStart w:id="159" w:name="_41.政府采购合同公告"/>
      <w:bookmarkEnd w:id="159"/>
      <w:r>
        <w:rPr>
          <w:rFonts w:hint="eastAsia" w:ascii="宋体" w:hAnsi="宋体" w:cs="宋体"/>
          <w:color w:val="auto"/>
          <w:sz w:val="24"/>
          <w:highlight w:val="none"/>
        </w:rPr>
        <w:t>37.政府采购合同公告</w:t>
      </w:r>
    </w:p>
    <w:p w14:paraId="2B1EF712">
      <w:pPr>
        <w:pStyle w:val="5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048DE998">
      <w:pPr>
        <w:pStyle w:val="19"/>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38.询问、质疑和投诉</w:t>
      </w:r>
    </w:p>
    <w:p w14:paraId="3A3CC0D7">
      <w:pPr>
        <w:pStyle w:val="21"/>
        <w:spacing w:line="360" w:lineRule="auto"/>
        <w:rPr>
          <w:rFonts w:hint="eastAsia"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38.1供应商对政府采购活动事项有疑问的，可以向采购人提出询问，采购人应当及时作出答复，但答复的内容不得涉及商业秘密。</w:t>
      </w:r>
    </w:p>
    <w:p w14:paraId="37CDDCB8">
      <w:pPr>
        <w:pStyle w:val="19"/>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74EC2092">
      <w:pPr>
        <w:pStyle w:val="5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（1）对可以质疑的招标文件提出质疑的，为收到招标文件之日或者招标文件公告期限届满之日；</w:t>
      </w:r>
    </w:p>
    <w:p w14:paraId="47227770">
      <w:pPr>
        <w:pStyle w:val="5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（2）对采购过程提出质疑的，为各采购程序环节结束之日；</w:t>
      </w:r>
    </w:p>
    <w:p w14:paraId="1E3B78E3">
      <w:pPr>
        <w:pStyle w:val="50"/>
        <w:spacing w:line="360" w:lineRule="auto"/>
        <w:ind w:firstLine="420" w:firstLineChars="200"/>
        <w:rPr>
          <w:rFonts w:hint="eastAsia" w:hAnsi="宋体" w:cs="宋体"/>
          <w:bCs/>
          <w:color w:val="auto"/>
          <w:sz w:val="21"/>
          <w:highlight w:val="none"/>
        </w:rPr>
      </w:pPr>
      <w:r>
        <w:rPr>
          <w:rFonts w:hint="eastAsia" w:hAnsi="宋体" w:cs="宋体"/>
          <w:color w:val="auto"/>
          <w:sz w:val="21"/>
          <w:highlight w:val="none"/>
        </w:rPr>
        <w:t>（3）对中标结果提出质疑的，为中标结果公告期限届满之日。</w:t>
      </w:r>
    </w:p>
    <w:p w14:paraId="36CB17A0">
      <w:pPr>
        <w:pStyle w:val="50"/>
        <w:spacing w:line="360" w:lineRule="auto"/>
        <w:ind w:firstLine="420" w:firstLineChars="200"/>
        <w:rPr>
          <w:rFonts w:hint="eastAsia" w:hAnsi="宋体" w:cs="宋体"/>
          <w:bCs/>
          <w:color w:val="auto"/>
          <w:sz w:val="21"/>
          <w:highlight w:val="none"/>
        </w:rPr>
      </w:pPr>
      <w:r>
        <w:rPr>
          <w:rFonts w:hint="eastAsia" w:hAnsi="宋体" w:cs="宋体"/>
          <w:color w:val="auto"/>
          <w:sz w:val="21"/>
          <w:highlight w:val="none"/>
        </w:rPr>
        <w:t>供应商对采购人、采购代理机构的质疑答复不满意，或者采购人、采购代理机构未在规定时间内作出答复的，可以在答复期满后十五个工作日内向同级政府采购监管部门投诉。</w:t>
      </w:r>
    </w:p>
    <w:p w14:paraId="5899448E">
      <w:pPr>
        <w:pStyle w:val="19"/>
        <w:keepNext w:val="0"/>
        <w:keepLines w:val="0"/>
        <w:spacing w:before="0" w:after="0" w:line="360" w:lineRule="auto"/>
        <w:ind w:firstLine="315" w:firstLineChars="150"/>
        <w:rPr>
          <w:rFonts w:hint="eastAsia" w:ascii="宋体" w:hAnsi="宋体" w:cs="宋体"/>
          <w:b w:val="0"/>
          <w:color w:val="auto"/>
          <w:sz w:val="21"/>
          <w:szCs w:val="21"/>
          <w:highlight w:val="none"/>
        </w:rPr>
      </w:pPr>
      <w:bookmarkStart w:id="160" w:name="_9.2质疑、投诉应当采用书面形式，质疑函、投诉书均应明确阐述招标文件、"/>
      <w:bookmarkEnd w:id="160"/>
      <w:r>
        <w:rPr>
          <w:rFonts w:hint="eastAsia" w:ascii="宋体" w:hAnsi="宋体" w:cs="宋体"/>
          <w:b w:val="0"/>
          <w:color w:val="auto"/>
          <w:sz w:val="21"/>
          <w:szCs w:val="21"/>
          <w:highlight w:val="none"/>
        </w:rPr>
        <w:t>38.3</w:t>
      </w:r>
      <w:r>
        <w:rPr>
          <w:rFonts w:hint="eastAsia" w:ascii="宋体" w:hAnsi="宋体" w:cs="宋体"/>
          <w:bCs/>
          <w:color w:val="auto"/>
          <w:sz w:val="21"/>
          <w:highlight w:val="none"/>
        </w:rPr>
        <w:t>供应商提出质疑应当提交质疑函和必要的证明材料，针对同一采购程序环节的质疑必须在法定质疑期内一次性提出。质疑函应当包括下列内容（质疑函格式后附）：</w:t>
      </w:r>
    </w:p>
    <w:p w14:paraId="470F207D">
      <w:pPr>
        <w:pStyle w:val="5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（1）供应商的姓名或者名称、地址、邮编、联系人及联系电话；</w:t>
      </w:r>
    </w:p>
    <w:p w14:paraId="0249B816">
      <w:pPr>
        <w:pStyle w:val="5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（2）质疑项目的名称、编号；</w:t>
      </w:r>
    </w:p>
    <w:p w14:paraId="41D4BEA7">
      <w:pPr>
        <w:pStyle w:val="5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（3）具体、明确的质疑事项和与质疑事项相关的请求；</w:t>
      </w:r>
    </w:p>
    <w:p w14:paraId="21B43573">
      <w:pPr>
        <w:pStyle w:val="5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（4）事实依据；</w:t>
      </w:r>
    </w:p>
    <w:p w14:paraId="440679A2">
      <w:pPr>
        <w:pStyle w:val="5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（5）必要的法律依据；</w:t>
      </w:r>
    </w:p>
    <w:p w14:paraId="31446179">
      <w:pPr>
        <w:pStyle w:val="5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（6）提出质疑的日期。</w:t>
      </w:r>
    </w:p>
    <w:p w14:paraId="23BA34BB">
      <w:pPr>
        <w:pStyle w:val="5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供应商为自然人的，应当由本人签字；供应商为法人或者其他组织的，应当由法定代表人、主要负责人，或者其委托代理人签字或者盖章，并加盖公章。</w:t>
      </w:r>
    </w:p>
    <w:p w14:paraId="6C3CEB55">
      <w:pPr>
        <w:pStyle w:val="19"/>
        <w:keepNext w:val="0"/>
        <w:keepLines w:val="0"/>
        <w:spacing w:before="0" w:after="0" w:line="360" w:lineRule="auto"/>
        <w:ind w:firstLine="422" w:firstLineChars="200"/>
        <w:rPr>
          <w:rFonts w:hint="eastAsia" w:ascii="宋体" w:hAnsi="宋体" w:cs="宋体"/>
          <w:bCs/>
          <w:color w:val="auto"/>
          <w:sz w:val="21"/>
          <w:szCs w:val="21"/>
          <w:highlight w:val="none"/>
        </w:rPr>
      </w:pPr>
      <w:r>
        <w:rPr>
          <w:rFonts w:hint="eastAsia" w:ascii="宋体" w:hAnsi="宋体" w:cs="宋体"/>
          <w:color w:val="auto"/>
          <w:sz w:val="21"/>
          <w:szCs w:val="21"/>
          <w:highlight w:val="none"/>
        </w:rPr>
        <w:t>3</w:t>
      </w:r>
      <w:r>
        <w:rPr>
          <w:rFonts w:hint="eastAsia" w:ascii="宋体" w:hAnsi="宋体" w:cs="宋体"/>
          <w:bCs/>
          <w:color w:val="auto"/>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09BC4729">
      <w:pPr>
        <w:pStyle w:val="50"/>
        <w:spacing w:line="360" w:lineRule="auto"/>
        <w:rPr>
          <w:rFonts w:hint="eastAsia" w:hAnsi="宋体" w:cs="宋体"/>
          <w:bCs/>
          <w:color w:val="auto"/>
          <w:sz w:val="21"/>
          <w:highlight w:val="none"/>
        </w:rPr>
      </w:pPr>
      <w:r>
        <w:rPr>
          <w:rFonts w:hint="eastAsia" w:hAnsi="宋体" w:cs="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46EA3D28">
      <w:pPr>
        <w:pStyle w:val="50"/>
        <w:spacing w:line="360" w:lineRule="auto"/>
        <w:rPr>
          <w:rFonts w:hint="eastAsia" w:hAnsi="宋体" w:cs="宋体"/>
          <w:bCs/>
          <w:color w:val="auto"/>
          <w:sz w:val="21"/>
          <w:highlight w:val="none"/>
        </w:rPr>
      </w:pPr>
      <w:r>
        <w:rPr>
          <w:rFonts w:hint="eastAsia" w:hAnsi="宋体" w:cs="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7FDC71F4">
      <w:pPr>
        <w:pStyle w:val="50"/>
        <w:spacing w:line="360" w:lineRule="auto"/>
        <w:ind w:firstLine="420"/>
        <w:rPr>
          <w:rFonts w:hint="eastAsia" w:hAnsi="宋体" w:cs="宋体"/>
          <w:bCs/>
          <w:color w:val="auto"/>
          <w:sz w:val="21"/>
          <w:highlight w:val="none"/>
        </w:rPr>
      </w:pPr>
      <w:r>
        <w:rPr>
          <w:rFonts w:hint="eastAsia" w:hAnsi="宋体" w:cs="宋体"/>
          <w:bCs/>
          <w:color w:val="auto"/>
          <w:sz w:val="21"/>
          <w:highlight w:val="none"/>
        </w:rPr>
        <w:t>质疑答复导致中标结果改变的，采购人或者采购代理机构应当将有关情况书面报告本级财政部门。</w:t>
      </w:r>
    </w:p>
    <w:p w14:paraId="560038CC">
      <w:pPr>
        <w:pStyle w:val="50"/>
        <w:spacing w:line="360" w:lineRule="auto"/>
        <w:ind w:firstLine="420" w:firstLineChars="200"/>
        <w:rPr>
          <w:rFonts w:hAnsi="宋体" w:cs="宋体"/>
          <w:b/>
          <w:color w:val="auto"/>
          <w:sz w:val="21"/>
          <w:highlight w:val="none"/>
        </w:rPr>
      </w:pPr>
      <w:r>
        <w:rPr>
          <w:rFonts w:hint="eastAsia" w:hAnsi="宋体" w:cs="宋体"/>
          <w:color w:val="auto"/>
          <w:sz w:val="21"/>
          <w:highlight w:val="none"/>
          <w:lang w:val="en-US" w:eastAsia="zh-CN"/>
        </w:rPr>
        <w:t>38.5</w:t>
      </w:r>
      <w:r>
        <w:rPr>
          <w:rFonts w:hint="eastAsia" w:hAnsi="宋体" w:cs="宋体"/>
          <w:b/>
          <w:color w:val="auto"/>
          <w:sz w:val="21"/>
          <w:highlight w:val="none"/>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BB4E254">
      <w:pPr>
        <w:pStyle w:val="17"/>
        <w:keepNext w:val="0"/>
        <w:keepLines w:val="0"/>
        <w:spacing w:line="360" w:lineRule="auto"/>
        <w:jc w:val="center"/>
        <w:rPr>
          <w:rFonts w:hint="eastAsia" w:ascii="宋体" w:hAnsi="宋体" w:cs="宋体"/>
          <w:color w:val="auto"/>
          <w:highlight w:val="none"/>
        </w:rPr>
      </w:pPr>
      <w:bookmarkStart w:id="161" w:name="_八、其他事项"/>
      <w:bookmarkEnd w:id="161"/>
      <w:r>
        <w:rPr>
          <w:rFonts w:hint="eastAsia" w:ascii="宋体" w:hAnsi="宋体" w:cs="宋体"/>
          <w:color w:val="auto"/>
          <w:highlight w:val="none"/>
        </w:rPr>
        <w:t>八、其他事项</w:t>
      </w:r>
    </w:p>
    <w:p w14:paraId="3C800A11">
      <w:pPr>
        <w:pStyle w:val="19"/>
        <w:keepNext w:val="0"/>
        <w:keepLines w:val="0"/>
        <w:spacing w:before="0" w:after="0" w:line="360" w:lineRule="auto"/>
        <w:ind w:left="420" w:leftChars="200"/>
        <w:rPr>
          <w:rFonts w:hint="eastAsia" w:ascii="宋体" w:hAnsi="宋体" w:cs="宋体"/>
          <w:color w:val="auto"/>
          <w:sz w:val="24"/>
          <w:highlight w:val="none"/>
        </w:rPr>
      </w:pPr>
      <w:bookmarkStart w:id="162" w:name="_42.代理服务费"/>
      <w:bookmarkEnd w:id="162"/>
      <w:r>
        <w:rPr>
          <w:rFonts w:hint="eastAsia" w:ascii="宋体" w:hAnsi="宋体" w:cs="宋体"/>
          <w:color w:val="auto"/>
          <w:sz w:val="24"/>
          <w:highlight w:val="none"/>
        </w:rPr>
        <w:t>39.代理服务费</w:t>
      </w:r>
    </w:p>
    <w:p w14:paraId="4D9AC64F">
      <w:pPr>
        <w:pStyle w:val="19"/>
        <w:keepNext w:val="0"/>
        <w:keepLines w:val="0"/>
        <w:spacing w:before="0" w:after="0" w:line="360" w:lineRule="auto"/>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39.1代理服务收费标准及缴费账户详见“投标人须知前附表”，投标人为联合体的，可以由联合体中的一方或者多方共同</w:t>
      </w:r>
      <w:r>
        <w:rPr>
          <w:rFonts w:hint="eastAsia" w:ascii="宋体" w:hAnsi="宋体" w:cs="宋体"/>
          <w:b w:val="0"/>
          <w:color w:val="auto"/>
          <w:sz w:val="21"/>
          <w:szCs w:val="21"/>
          <w:highlight w:val="none"/>
          <w:lang w:val="en-US" w:eastAsia="zh-CN"/>
        </w:rPr>
        <w:t>缴纳</w:t>
      </w:r>
      <w:r>
        <w:rPr>
          <w:rFonts w:hint="eastAsia" w:ascii="宋体" w:hAnsi="宋体" w:cs="宋体"/>
          <w:b w:val="0"/>
          <w:color w:val="auto"/>
          <w:sz w:val="21"/>
          <w:szCs w:val="21"/>
          <w:highlight w:val="none"/>
        </w:rPr>
        <w:t>代理服务费。</w:t>
      </w:r>
    </w:p>
    <w:p w14:paraId="004793B1">
      <w:pPr>
        <w:pStyle w:val="19"/>
        <w:keepNext w:val="0"/>
        <w:keepLines w:val="0"/>
        <w:spacing w:before="0" w:after="0" w:line="360" w:lineRule="auto"/>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39.2代理服务收费标准：</w:t>
      </w:r>
    </w:p>
    <w:tbl>
      <w:tblPr>
        <w:tblStyle w:val="11"/>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5039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472" w:type="dxa"/>
            <w:tcBorders>
              <w:top w:val="single" w:color="auto" w:sz="4" w:space="0"/>
              <w:left w:val="single" w:color="auto" w:sz="4" w:space="0"/>
              <w:bottom w:val="single" w:color="auto" w:sz="4" w:space="0"/>
              <w:right w:val="single" w:color="auto" w:sz="4" w:space="0"/>
            </w:tcBorders>
            <w:vAlign w:val="top"/>
          </w:tcPr>
          <w:p w14:paraId="1C23D52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费率</w:t>
            </w:r>
          </w:p>
          <w:p w14:paraId="48DF0E3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中标金额</w:t>
            </w:r>
          </w:p>
        </w:tc>
        <w:tc>
          <w:tcPr>
            <w:tcW w:w="1659" w:type="dxa"/>
            <w:tcBorders>
              <w:top w:val="single" w:color="auto" w:sz="4" w:space="0"/>
              <w:left w:val="single" w:color="auto" w:sz="4" w:space="0"/>
              <w:bottom w:val="single" w:color="auto" w:sz="4" w:space="0"/>
              <w:right w:val="single" w:color="auto" w:sz="4" w:space="0"/>
            </w:tcBorders>
            <w:vAlign w:val="center"/>
          </w:tcPr>
          <w:p w14:paraId="78E82B33">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货物招标</w:t>
            </w:r>
          </w:p>
        </w:tc>
        <w:tc>
          <w:tcPr>
            <w:tcW w:w="1687" w:type="dxa"/>
            <w:tcBorders>
              <w:top w:val="single" w:color="auto" w:sz="4" w:space="0"/>
              <w:left w:val="single" w:color="auto" w:sz="4" w:space="0"/>
              <w:bottom w:val="single" w:color="auto" w:sz="4" w:space="0"/>
              <w:right w:val="single" w:color="auto" w:sz="4" w:space="0"/>
            </w:tcBorders>
            <w:vAlign w:val="center"/>
          </w:tcPr>
          <w:p w14:paraId="45F8089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服务招标</w:t>
            </w:r>
          </w:p>
        </w:tc>
        <w:tc>
          <w:tcPr>
            <w:tcW w:w="1659" w:type="dxa"/>
            <w:tcBorders>
              <w:top w:val="single" w:color="auto" w:sz="4" w:space="0"/>
              <w:left w:val="single" w:color="auto" w:sz="4" w:space="0"/>
              <w:bottom w:val="single" w:color="auto" w:sz="4" w:space="0"/>
              <w:right w:val="single" w:color="auto" w:sz="4" w:space="0"/>
            </w:tcBorders>
            <w:vAlign w:val="center"/>
          </w:tcPr>
          <w:p w14:paraId="146FE62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工程招标</w:t>
            </w:r>
          </w:p>
        </w:tc>
      </w:tr>
      <w:tr w14:paraId="4F2F9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vAlign w:val="top"/>
          </w:tcPr>
          <w:p w14:paraId="599BE62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Borders>
              <w:top w:val="single" w:color="auto" w:sz="4" w:space="0"/>
              <w:left w:val="single" w:color="auto" w:sz="4" w:space="0"/>
              <w:bottom w:val="single" w:color="auto" w:sz="4" w:space="0"/>
              <w:right w:val="single" w:color="auto" w:sz="4" w:space="0"/>
            </w:tcBorders>
            <w:vAlign w:val="top"/>
          </w:tcPr>
          <w:p w14:paraId="1BC1C78A">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687" w:type="dxa"/>
            <w:tcBorders>
              <w:top w:val="single" w:color="auto" w:sz="4" w:space="0"/>
              <w:left w:val="single" w:color="auto" w:sz="4" w:space="0"/>
              <w:bottom w:val="single" w:color="auto" w:sz="4" w:space="0"/>
              <w:right w:val="single" w:color="auto" w:sz="4" w:space="0"/>
            </w:tcBorders>
            <w:vAlign w:val="top"/>
          </w:tcPr>
          <w:p w14:paraId="7F4AF9BC">
            <w:pPr>
              <w:spacing w:line="360" w:lineRule="auto"/>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659" w:type="dxa"/>
            <w:tcBorders>
              <w:top w:val="single" w:color="auto" w:sz="4" w:space="0"/>
              <w:left w:val="single" w:color="auto" w:sz="4" w:space="0"/>
              <w:bottom w:val="single" w:color="auto" w:sz="4" w:space="0"/>
              <w:right w:val="single" w:color="auto" w:sz="4" w:space="0"/>
            </w:tcBorders>
            <w:vAlign w:val="top"/>
          </w:tcPr>
          <w:p w14:paraId="036C0D94">
            <w:pPr>
              <w:spacing w:line="360" w:lineRule="auto"/>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1.0%</w:t>
            </w:r>
          </w:p>
        </w:tc>
      </w:tr>
      <w:tr w14:paraId="7230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vAlign w:val="top"/>
          </w:tcPr>
          <w:p w14:paraId="62CADB4F">
            <w:pPr>
              <w:spacing w:line="360" w:lineRule="auto"/>
              <w:jc w:val="center"/>
              <w:rPr>
                <w:rFonts w:hint="eastAsia" w:ascii="宋体" w:hAnsi="宋体" w:cs="宋体"/>
                <w:color w:val="auto"/>
                <w:szCs w:val="21"/>
                <w:highlight w:val="none"/>
              </w:rPr>
            </w:pPr>
            <w:r>
              <w:rPr>
                <w:color w:val="auto"/>
              </w:rPr>
              <w:t>100万元（含）～500万元</w:t>
            </w:r>
          </w:p>
        </w:tc>
        <w:tc>
          <w:tcPr>
            <w:tcW w:w="1659" w:type="dxa"/>
            <w:tcBorders>
              <w:top w:val="single" w:color="auto" w:sz="4" w:space="0"/>
              <w:left w:val="single" w:color="auto" w:sz="4" w:space="0"/>
              <w:bottom w:val="single" w:color="auto" w:sz="4" w:space="0"/>
              <w:right w:val="single" w:color="auto" w:sz="4" w:space="0"/>
            </w:tcBorders>
            <w:vAlign w:val="top"/>
          </w:tcPr>
          <w:p w14:paraId="44484BEA">
            <w:pPr>
              <w:spacing w:line="360" w:lineRule="auto"/>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1.1%</w:t>
            </w:r>
          </w:p>
        </w:tc>
        <w:tc>
          <w:tcPr>
            <w:tcW w:w="1687" w:type="dxa"/>
            <w:tcBorders>
              <w:top w:val="single" w:color="auto" w:sz="4" w:space="0"/>
              <w:left w:val="single" w:color="auto" w:sz="4" w:space="0"/>
              <w:bottom w:val="single" w:color="auto" w:sz="4" w:space="0"/>
              <w:right w:val="single" w:color="auto" w:sz="4" w:space="0"/>
            </w:tcBorders>
            <w:vAlign w:val="top"/>
          </w:tcPr>
          <w:p w14:paraId="15D3BFCB">
            <w:pPr>
              <w:spacing w:line="360" w:lineRule="auto"/>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659" w:type="dxa"/>
            <w:tcBorders>
              <w:top w:val="single" w:color="auto" w:sz="4" w:space="0"/>
              <w:left w:val="single" w:color="auto" w:sz="4" w:space="0"/>
              <w:bottom w:val="single" w:color="auto" w:sz="4" w:space="0"/>
              <w:right w:val="single" w:color="auto" w:sz="4" w:space="0"/>
            </w:tcBorders>
            <w:vAlign w:val="top"/>
          </w:tcPr>
          <w:p w14:paraId="244505D1">
            <w:pPr>
              <w:spacing w:line="360" w:lineRule="auto"/>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0.7%</w:t>
            </w:r>
          </w:p>
        </w:tc>
      </w:tr>
      <w:tr w14:paraId="0E65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vAlign w:val="top"/>
          </w:tcPr>
          <w:p w14:paraId="4DE1F557">
            <w:pPr>
              <w:spacing w:line="360" w:lineRule="auto"/>
              <w:jc w:val="center"/>
              <w:rPr>
                <w:rFonts w:hint="eastAsia" w:ascii="宋体" w:hAnsi="宋体" w:cs="宋体"/>
                <w:color w:val="auto"/>
                <w:szCs w:val="21"/>
                <w:highlight w:val="none"/>
              </w:rPr>
            </w:pPr>
            <w:r>
              <w:rPr>
                <w:color w:val="auto"/>
              </w:rPr>
              <w:t>500万元（含）～1000万元</w:t>
            </w:r>
          </w:p>
        </w:tc>
        <w:tc>
          <w:tcPr>
            <w:tcW w:w="1659" w:type="dxa"/>
            <w:tcBorders>
              <w:top w:val="single" w:color="auto" w:sz="4" w:space="0"/>
              <w:left w:val="single" w:color="auto" w:sz="4" w:space="0"/>
              <w:bottom w:val="single" w:color="auto" w:sz="4" w:space="0"/>
              <w:right w:val="single" w:color="auto" w:sz="4" w:space="0"/>
            </w:tcBorders>
            <w:vAlign w:val="top"/>
          </w:tcPr>
          <w:p w14:paraId="1C72BB36">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687" w:type="dxa"/>
            <w:tcBorders>
              <w:top w:val="single" w:color="auto" w:sz="4" w:space="0"/>
              <w:left w:val="single" w:color="auto" w:sz="4" w:space="0"/>
              <w:bottom w:val="single" w:color="auto" w:sz="4" w:space="0"/>
              <w:right w:val="single" w:color="auto" w:sz="4" w:space="0"/>
            </w:tcBorders>
            <w:vAlign w:val="top"/>
          </w:tcPr>
          <w:p w14:paraId="3E8BC556">
            <w:pPr>
              <w:spacing w:line="360" w:lineRule="auto"/>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659" w:type="dxa"/>
            <w:tcBorders>
              <w:top w:val="single" w:color="auto" w:sz="4" w:space="0"/>
              <w:left w:val="single" w:color="auto" w:sz="4" w:space="0"/>
              <w:bottom w:val="single" w:color="auto" w:sz="4" w:space="0"/>
              <w:right w:val="single" w:color="auto" w:sz="4" w:space="0"/>
            </w:tcBorders>
            <w:vAlign w:val="top"/>
          </w:tcPr>
          <w:p w14:paraId="24FF751F">
            <w:pPr>
              <w:spacing w:line="360" w:lineRule="auto"/>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5D04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vAlign w:val="top"/>
          </w:tcPr>
          <w:p w14:paraId="6E4B2EF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1000万～5000万</w:t>
            </w:r>
            <w:r>
              <w:rPr>
                <w:rFonts w:hint="eastAsia" w:ascii="宋体" w:hAnsi="宋体" w:cs="宋体"/>
                <w:color w:val="auto"/>
                <w:szCs w:val="21"/>
                <w:highlight w:val="none"/>
              </w:rPr>
              <w:t>元</w:t>
            </w:r>
          </w:p>
        </w:tc>
        <w:tc>
          <w:tcPr>
            <w:tcW w:w="1659" w:type="dxa"/>
            <w:tcBorders>
              <w:top w:val="single" w:color="auto" w:sz="4" w:space="0"/>
              <w:left w:val="single" w:color="auto" w:sz="4" w:space="0"/>
              <w:bottom w:val="single" w:color="auto" w:sz="4" w:space="0"/>
              <w:right w:val="single" w:color="auto" w:sz="4" w:space="0"/>
            </w:tcBorders>
            <w:vAlign w:val="top"/>
          </w:tcPr>
          <w:p w14:paraId="21B0EDFF">
            <w:pPr>
              <w:spacing w:line="360" w:lineRule="auto"/>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0.5%</w:t>
            </w:r>
          </w:p>
        </w:tc>
        <w:tc>
          <w:tcPr>
            <w:tcW w:w="1687" w:type="dxa"/>
            <w:tcBorders>
              <w:top w:val="single" w:color="auto" w:sz="4" w:space="0"/>
              <w:left w:val="single" w:color="auto" w:sz="4" w:space="0"/>
              <w:bottom w:val="single" w:color="auto" w:sz="4" w:space="0"/>
              <w:right w:val="single" w:color="auto" w:sz="4" w:space="0"/>
            </w:tcBorders>
            <w:vAlign w:val="top"/>
          </w:tcPr>
          <w:p w14:paraId="4ABFA958">
            <w:pPr>
              <w:spacing w:line="360" w:lineRule="auto"/>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659" w:type="dxa"/>
            <w:tcBorders>
              <w:top w:val="single" w:color="auto" w:sz="4" w:space="0"/>
              <w:left w:val="single" w:color="auto" w:sz="4" w:space="0"/>
              <w:bottom w:val="single" w:color="auto" w:sz="4" w:space="0"/>
              <w:right w:val="single" w:color="auto" w:sz="4" w:space="0"/>
            </w:tcBorders>
            <w:vAlign w:val="top"/>
          </w:tcPr>
          <w:p w14:paraId="30517551">
            <w:pPr>
              <w:spacing w:line="360" w:lineRule="auto"/>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0.35%</w:t>
            </w:r>
          </w:p>
        </w:tc>
      </w:tr>
      <w:tr w14:paraId="613D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vAlign w:val="top"/>
          </w:tcPr>
          <w:p w14:paraId="29E105F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Borders>
              <w:top w:val="single" w:color="auto" w:sz="4" w:space="0"/>
              <w:left w:val="single" w:color="auto" w:sz="4" w:space="0"/>
              <w:bottom w:val="single" w:color="auto" w:sz="4" w:space="0"/>
              <w:right w:val="single" w:color="auto" w:sz="4" w:space="0"/>
            </w:tcBorders>
            <w:vAlign w:val="top"/>
          </w:tcPr>
          <w:p w14:paraId="5A346659">
            <w:pPr>
              <w:spacing w:line="360" w:lineRule="auto"/>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687" w:type="dxa"/>
            <w:tcBorders>
              <w:top w:val="single" w:color="auto" w:sz="4" w:space="0"/>
              <w:left w:val="single" w:color="auto" w:sz="4" w:space="0"/>
              <w:bottom w:val="single" w:color="auto" w:sz="4" w:space="0"/>
              <w:right w:val="single" w:color="auto" w:sz="4" w:space="0"/>
            </w:tcBorders>
            <w:vAlign w:val="top"/>
          </w:tcPr>
          <w:p w14:paraId="7DB2D9D3">
            <w:pPr>
              <w:spacing w:line="360" w:lineRule="auto"/>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659" w:type="dxa"/>
            <w:tcBorders>
              <w:top w:val="single" w:color="auto" w:sz="4" w:space="0"/>
              <w:left w:val="single" w:color="auto" w:sz="4" w:space="0"/>
              <w:bottom w:val="single" w:color="auto" w:sz="4" w:space="0"/>
              <w:right w:val="single" w:color="auto" w:sz="4" w:space="0"/>
            </w:tcBorders>
            <w:vAlign w:val="top"/>
          </w:tcPr>
          <w:p w14:paraId="56ADB406">
            <w:pPr>
              <w:spacing w:line="360" w:lineRule="auto"/>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21EE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vAlign w:val="top"/>
          </w:tcPr>
          <w:p w14:paraId="749567C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1亿～5亿</w:t>
            </w:r>
            <w:r>
              <w:rPr>
                <w:rFonts w:hint="eastAsia" w:ascii="宋体" w:hAnsi="宋体" w:cs="宋体"/>
                <w:color w:val="auto"/>
                <w:szCs w:val="21"/>
                <w:highlight w:val="none"/>
              </w:rPr>
              <w:t>元</w:t>
            </w:r>
          </w:p>
        </w:tc>
        <w:tc>
          <w:tcPr>
            <w:tcW w:w="1659" w:type="dxa"/>
            <w:tcBorders>
              <w:top w:val="single" w:color="auto" w:sz="4" w:space="0"/>
              <w:left w:val="single" w:color="auto" w:sz="4" w:space="0"/>
              <w:bottom w:val="single" w:color="auto" w:sz="4" w:space="0"/>
              <w:right w:val="single" w:color="auto" w:sz="4" w:space="0"/>
            </w:tcBorders>
            <w:vAlign w:val="top"/>
          </w:tcPr>
          <w:p w14:paraId="3DFC8AE3">
            <w:pPr>
              <w:spacing w:line="360" w:lineRule="auto"/>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rPr>
              <w:t>0.05%</w:t>
            </w:r>
          </w:p>
        </w:tc>
        <w:tc>
          <w:tcPr>
            <w:tcW w:w="1687" w:type="dxa"/>
            <w:tcBorders>
              <w:top w:val="single" w:color="auto" w:sz="4" w:space="0"/>
              <w:left w:val="single" w:color="auto" w:sz="4" w:space="0"/>
              <w:bottom w:val="single" w:color="auto" w:sz="4" w:space="0"/>
              <w:right w:val="single" w:color="auto" w:sz="4" w:space="0"/>
            </w:tcBorders>
            <w:vAlign w:val="top"/>
          </w:tcPr>
          <w:p w14:paraId="5EAB788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0.05%</w:t>
            </w:r>
          </w:p>
        </w:tc>
        <w:tc>
          <w:tcPr>
            <w:tcW w:w="1659" w:type="dxa"/>
            <w:tcBorders>
              <w:top w:val="single" w:color="auto" w:sz="4" w:space="0"/>
              <w:left w:val="single" w:color="auto" w:sz="4" w:space="0"/>
              <w:bottom w:val="single" w:color="auto" w:sz="4" w:space="0"/>
              <w:right w:val="single" w:color="auto" w:sz="4" w:space="0"/>
            </w:tcBorders>
            <w:vAlign w:val="top"/>
          </w:tcPr>
          <w:p w14:paraId="6440204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0.05%</w:t>
            </w:r>
          </w:p>
        </w:tc>
      </w:tr>
      <w:tr w14:paraId="4D82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vAlign w:val="top"/>
          </w:tcPr>
          <w:p w14:paraId="3CDB822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5亿～10亿</w:t>
            </w:r>
            <w:r>
              <w:rPr>
                <w:rFonts w:hint="eastAsia" w:ascii="宋体" w:hAnsi="宋体" w:cs="宋体"/>
                <w:color w:val="auto"/>
                <w:szCs w:val="21"/>
                <w:highlight w:val="none"/>
              </w:rPr>
              <w:t>元</w:t>
            </w:r>
          </w:p>
        </w:tc>
        <w:tc>
          <w:tcPr>
            <w:tcW w:w="1659" w:type="dxa"/>
            <w:tcBorders>
              <w:top w:val="single" w:color="auto" w:sz="4" w:space="0"/>
              <w:left w:val="single" w:color="auto" w:sz="4" w:space="0"/>
              <w:bottom w:val="single" w:color="auto" w:sz="4" w:space="0"/>
              <w:right w:val="single" w:color="auto" w:sz="4" w:space="0"/>
            </w:tcBorders>
            <w:vAlign w:val="top"/>
          </w:tcPr>
          <w:p w14:paraId="382C21AB">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687" w:type="dxa"/>
            <w:tcBorders>
              <w:top w:val="single" w:color="auto" w:sz="4" w:space="0"/>
              <w:left w:val="single" w:color="auto" w:sz="4" w:space="0"/>
              <w:bottom w:val="single" w:color="auto" w:sz="4" w:space="0"/>
              <w:right w:val="single" w:color="auto" w:sz="4" w:space="0"/>
            </w:tcBorders>
            <w:vAlign w:val="top"/>
          </w:tcPr>
          <w:p w14:paraId="153E6E2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659" w:type="dxa"/>
            <w:tcBorders>
              <w:top w:val="single" w:color="auto" w:sz="4" w:space="0"/>
              <w:left w:val="single" w:color="auto" w:sz="4" w:space="0"/>
              <w:bottom w:val="single" w:color="auto" w:sz="4" w:space="0"/>
              <w:right w:val="single" w:color="auto" w:sz="4" w:space="0"/>
            </w:tcBorders>
            <w:vAlign w:val="top"/>
          </w:tcPr>
          <w:p w14:paraId="7E0AC29B">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0.035%</w:t>
            </w:r>
          </w:p>
        </w:tc>
      </w:tr>
      <w:tr w14:paraId="7703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vAlign w:val="top"/>
          </w:tcPr>
          <w:p w14:paraId="4E8B311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10亿～50亿</w:t>
            </w:r>
            <w:r>
              <w:rPr>
                <w:rFonts w:hint="eastAsia" w:ascii="宋体" w:hAnsi="宋体" w:cs="宋体"/>
                <w:color w:val="auto"/>
                <w:szCs w:val="21"/>
                <w:highlight w:val="none"/>
              </w:rPr>
              <w:t>元</w:t>
            </w:r>
          </w:p>
        </w:tc>
        <w:tc>
          <w:tcPr>
            <w:tcW w:w="1659" w:type="dxa"/>
            <w:tcBorders>
              <w:top w:val="single" w:color="auto" w:sz="4" w:space="0"/>
              <w:left w:val="single" w:color="auto" w:sz="4" w:space="0"/>
              <w:bottom w:val="single" w:color="auto" w:sz="4" w:space="0"/>
              <w:right w:val="single" w:color="auto" w:sz="4" w:space="0"/>
            </w:tcBorders>
            <w:vAlign w:val="top"/>
          </w:tcPr>
          <w:p w14:paraId="5CE58C5E">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687" w:type="dxa"/>
            <w:tcBorders>
              <w:top w:val="single" w:color="auto" w:sz="4" w:space="0"/>
              <w:left w:val="single" w:color="auto" w:sz="4" w:space="0"/>
              <w:bottom w:val="single" w:color="auto" w:sz="4" w:space="0"/>
              <w:right w:val="single" w:color="auto" w:sz="4" w:space="0"/>
            </w:tcBorders>
            <w:vAlign w:val="top"/>
          </w:tcPr>
          <w:p w14:paraId="5872459E">
            <w:pPr>
              <w:spacing w:line="360" w:lineRule="auto"/>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659" w:type="dxa"/>
            <w:tcBorders>
              <w:top w:val="single" w:color="auto" w:sz="4" w:space="0"/>
              <w:left w:val="single" w:color="auto" w:sz="4" w:space="0"/>
              <w:bottom w:val="single" w:color="auto" w:sz="4" w:space="0"/>
              <w:right w:val="single" w:color="auto" w:sz="4" w:space="0"/>
            </w:tcBorders>
            <w:vAlign w:val="top"/>
          </w:tcPr>
          <w:p w14:paraId="7D5EEE48">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0.008%</w:t>
            </w:r>
          </w:p>
        </w:tc>
      </w:tr>
      <w:tr w14:paraId="249F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vAlign w:val="top"/>
          </w:tcPr>
          <w:p w14:paraId="0CB5288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50亿～100亿</w:t>
            </w:r>
            <w:r>
              <w:rPr>
                <w:rFonts w:hint="eastAsia" w:ascii="宋体" w:hAnsi="宋体" w:cs="宋体"/>
                <w:color w:val="auto"/>
                <w:szCs w:val="21"/>
                <w:highlight w:val="none"/>
              </w:rPr>
              <w:t>元</w:t>
            </w:r>
          </w:p>
        </w:tc>
        <w:tc>
          <w:tcPr>
            <w:tcW w:w="1659" w:type="dxa"/>
            <w:tcBorders>
              <w:top w:val="single" w:color="auto" w:sz="4" w:space="0"/>
              <w:left w:val="single" w:color="auto" w:sz="4" w:space="0"/>
              <w:bottom w:val="single" w:color="auto" w:sz="4" w:space="0"/>
              <w:right w:val="single" w:color="auto" w:sz="4" w:space="0"/>
            </w:tcBorders>
            <w:vAlign w:val="top"/>
          </w:tcPr>
          <w:p w14:paraId="71932E6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687" w:type="dxa"/>
            <w:tcBorders>
              <w:top w:val="single" w:color="auto" w:sz="4" w:space="0"/>
              <w:left w:val="single" w:color="auto" w:sz="4" w:space="0"/>
              <w:bottom w:val="single" w:color="auto" w:sz="4" w:space="0"/>
              <w:right w:val="single" w:color="auto" w:sz="4" w:space="0"/>
            </w:tcBorders>
            <w:vAlign w:val="top"/>
          </w:tcPr>
          <w:p w14:paraId="0FFC4773">
            <w:pPr>
              <w:spacing w:line="360" w:lineRule="auto"/>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659" w:type="dxa"/>
            <w:tcBorders>
              <w:top w:val="single" w:color="auto" w:sz="4" w:space="0"/>
              <w:left w:val="single" w:color="auto" w:sz="4" w:space="0"/>
              <w:bottom w:val="single" w:color="auto" w:sz="4" w:space="0"/>
              <w:right w:val="single" w:color="auto" w:sz="4" w:space="0"/>
            </w:tcBorders>
            <w:vAlign w:val="top"/>
          </w:tcPr>
          <w:p w14:paraId="1E5E798D">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0.006%</w:t>
            </w:r>
          </w:p>
        </w:tc>
      </w:tr>
      <w:tr w14:paraId="16756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vAlign w:val="top"/>
          </w:tcPr>
          <w:p w14:paraId="6E77DCF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100</w:t>
            </w:r>
            <w:r>
              <w:rPr>
                <w:rFonts w:hint="eastAsia" w:ascii="宋体" w:hAnsi="宋体" w:cs="宋体"/>
                <w:color w:val="auto"/>
                <w:szCs w:val="21"/>
                <w:highlight w:val="none"/>
                <w:lang w:eastAsia="zh-CN"/>
              </w:rPr>
              <w:t>亿元</w:t>
            </w:r>
            <w:r>
              <w:rPr>
                <w:rFonts w:hint="eastAsia" w:ascii="宋体" w:hAnsi="宋体" w:cs="宋体"/>
                <w:color w:val="auto"/>
                <w:szCs w:val="21"/>
                <w:highlight w:val="none"/>
              </w:rPr>
              <w:t>以上</w:t>
            </w:r>
          </w:p>
        </w:tc>
        <w:tc>
          <w:tcPr>
            <w:tcW w:w="1659" w:type="dxa"/>
            <w:tcBorders>
              <w:top w:val="single" w:color="auto" w:sz="4" w:space="0"/>
              <w:left w:val="single" w:color="auto" w:sz="4" w:space="0"/>
              <w:bottom w:val="single" w:color="auto" w:sz="4" w:space="0"/>
              <w:right w:val="single" w:color="auto" w:sz="4" w:space="0"/>
            </w:tcBorders>
            <w:vAlign w:val="top"/>
          </w:tcPr>
          <w:p w14:paraId="65C3C65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687" w:type="dxa"/>
            <w:tcBorders>
              <w:top w:val="single" w:color="auto" w:sz="4" w:space="0"/>
              <w:left w:val="single" w:color="auto" w:sz="4" w:space="0"/>
              <w:bottom w:val="single" w:color="auto" w:sz="4" w:space="0"/>
              <w:right w:val="single" w:color="auto" w:sz="4" w:space="0"/>
            </w:tcBorders>
            <w:vAlign w:val="top"/>
          </w:tcPr>
          <w:p w14:paraId="45451C7D">
            <w:pPr>
              <w:spacing w:line="360" w:lineRule="auto"/>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659" w:type="dxa"/>
            <w:tcBorders>
              <w:top w:val="single" w:color="auto" w:sz="4" w:space="0"/>
              <w:left w:val="single" w:color="auto" w:sz="4" w:space="0"/>
              <w:bottom w:val="single" w:color="auto" w:sz="4" w:space="0"/>
              <w:right w:val="single" w:color="auto" w:sz="4" w:space="0"/>
            </w:tcBorders>
            <w:vAlign w:val="top"/>
          </w:tcPr>
          <w:p w14:paraId="6A901C42">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4393D169">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注:</w:t>
      </w:r>
    </w:p>
    <w:p w14:paraId="42B084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2DCEE8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24CA7D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例如：某服务采购代理业务中标金额或者暂定价为200万元，计算采购代理收费额如下：</w:t>
      </w:r>
    </w:p>
    <w:p w14:paraId="73F53B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100万元×l.5％＝1.5万元</w:t>
      </w:r>
    </w:p>
    <w:p w14:paraId="05B480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（200－100）万元×0.8％＝0.8万元</w:t>
      </w:r>
    </w:p>
    <w:p w14:paraId="127E51E7">
      <w:pPr>
        <w:pStyle w:val="50"/>
        <w:spacing w:before="120" w:after="120" w:line="360" w:lineRule="auto"/>
        <w:ind w:firstLine="420" w:firstLineChars="200"/>
        <w:rPr>
          <w:rFonts w:hint="eastAsia" w:hAnsi="宋体" w:cs="宋体"/>
          <w:color w:val="auto"/>
          <w:sz w:val="21"/>
          <w:highlight w:val="none"/>
        </w:rPr>
      </w:pPr>
      <w:r>
        <w:rPr>
          <w:rFonts w:hint="eastAsia" w:hAnsi="宋体" w:cs="宋体"/>
          <w:color w:val="auto"/>
          <w:sz w:val="21"/>
          <w:highlight w:val="none"/>
        </w:rPr>
        <w:t>合计收费＝1.5+0.8＝2.3（万元）</w:t>
      </w:r>
    </w:p>
    <w:p w14:paraId="1EE6862F">
      <w:pPr>
        <w:pStyle w:val="19"/>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40.需要补充的其他内容</w:t>
      </w:r>
    </w:p>
    <w:p w14:paraId="4CCC878D">
      <w:pPr>
        <w:pStyle w:val="50"/>
        <w:spacing w:before="120" w:after="120" w:line="360" w:lineRule="auto"/>
        <w:ind w:firstLine="420" w:firstLineChars="200"/>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6A1275BE">
      <w:pPr>
        <w:pStyle w:val="50"/>
        <w:spacing w:before="120" w:after="120" w:line="360" w:lineRule="auto"/>
        <w:ind w:firstLine="420" w:firstLineChars="200"/>
        <w:rPr>
          <w:rFonts w:hAnsi="宋体" w:cs="宋体"/>
          <w:color w:val="auto"/>
          <w:sz w:val="21"/>
          <w:highlight w:val="none"/>
        </w:rPr>
        <w:sectPr>
          <w:pgSz w:w="11906" w:h="16838"/>
          <w:pgMar w:top="1134" w:right="1247" w:bottom="1560" w:left="1247" w:header="851" w:footer="992" w:gutter="0"/>
          <w:cols w:space="720" w:num="1"/>
          <w:titlePg/>
          <w:docGrid w:linePitch="312" w:charSpace="0"/>
        </w:sectPr>
      </w:pPr>
      <w:r>
        <w:rPr>
          <w:rFonts w:hint="eastAsia" w:hAnsi="宋体" w:cs="宋体"/>
          <w:color w:val="auto"/>
          <w:sz w:val="21"/>
          <w:highlight w:val="none"/>
        </w:rPr>
        <w:t>40.2其他事项详见“投标人须知前附表”。</w:t>
      </w:r>
    </w:p>
    <w:p w14:paraId="29077E87">
      <w:pPr>
        <w:pStyle w:val="50"/>
        <w:spacing w:before="120" w:after="120" w:line="360" w:lineRule="auto"/>
        <w:ind w:firstLine="400" w:firstLineChars="200"/>
        <w:rPr>
          <w:rFonts w:hint="eastAsia" w:hAnsi="宋体" w:cs="宋体"/>
          <w:color w:val="auto"/>
          <w:highlight w:val="none"/>
        </w:rPr>
      </w:pPr>
      <w:r>
        <w:rPr>
          <w:rFonts w:hint="eastAsia" w:hAnsi="宋体" w:cs="宋体"/>
          <w:color w:val="auto"/>
          <w:highlight w:val="none"/>
        </w:rPr>
        <w:t>附件1：</w:t>
      </w:r>
    </w:p>
    <w:p w14:paraId="699166F3">
      <w:pPr>
        <w:shd w:val="clear" w:color="auto" w:fill="FFFFFF"/>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 w:val="32"/>
          <w:szCs w:val="32"/>
          <w:highlight w:val="none"/>
        </w:rPr>
        <w:t>广西壮族自治区政府采购项目合同验收书（格式）</w:t>
      </w: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项目名称</w:t>
      </w:r>
      <w:r>
        <w:rPr>
          <w:rFonts w:hint="eastAsia" w:ascii="宋体" w:hAnsi="宋体" w:cs="宋体"/>
          <w:color w:val="auto"/>
          <w:kern w:val="0"/>
          <w:szCs w:val="21"/>
          <w:highlight w:val="none"/>
        </w:rPr>
        <w:t>）政府采购项目中标投标人（</w:t>
      </w:r>
      <w:r>
        <w:rPr>
          <w:rFonts w:hint="eastAsia" w:ascii="宋体" w:hAnsi="宋体" w:cs="宋体"/>
          <w:color w:val="auto"/>
          <w:kern w:val="0"/>
          <w:szCs w:val="21"/>
          <w:highlight w:val="none"/>
          <w:u w:val="single"/>
        </w:rPr>
        <w:t>公司名称</w:t>
      </w:r>
      <w:r>
        <w:rPr>
          <w:rFonts w:hint="eastAsia" w:ascii="宋体" w:hAnsi="宋体" w:cs="宋体"/>
          <w:color w:val="auto"/>
          <w:kern w:val="0"/>
          <w:szCs w:val="21"/>
          <w:highlight w:val="none"/>
        </w:rPr>
        <w:t>）提供的货物（或者工程、服务）进行了验收，验收情况如下：</w:t>
      </w:r>
    </w:p>
    <w:tbl>
      <w:tblPr>
        <w:tblStyle w:val="11"/>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21DC5AAF">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127E15C3">
            <w:pPr>
              <w:spacing w:before="100" w:beforeAutospacing="1" w:after="100" w:afterAutospacing="1" w:line="360" w:lineRule="auto"/>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vAlign w:val="center"/>
          </w:tcPr>
          <w:p w14:paraId="1E11EA4A">
            <w:pPr>
              <w:spacing w:before="100" w:beforeAutospacing="1" w:after="100" w:afterAutospacing="1" w:line="360" w:lineRule="auto"/>
              <w:ind w:firstLine="48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□自行验收□委托验收</w:t>
            </w:r>
          </w:p>
        </w:tc>
      </w:tr>
      <w:tr w14:paraId="0A76C37F">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635A73DD">
            <w:pPr>
              <w:spacing w:before="100" w:beforeAutospacing="1" w:after="100" w:afterAutospacing="1" w:line="360" w:lineRule="auto"/>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921" w:type="dxa"/>
            <w:tcBorders>
              <w:top w:val="nil"/>
              <w:left w:val="nil"/>
              <w:bottom w:val="single" w:color="auto" w:sz="8" w:space="0"/>
              <w:right w:val="single" w:color="auto" w:sz="8" w:space="0"/>
            </w:tcBorders>
            <w:vAlign w:val="center"/>
          </w:tcPr>
          <w:p w14:paraId="2F3EAF6F">
            <w:pPr>
              <w:spacing w:before="100" w:beforeAutospacing="1" w:after="100" w:afterAutospacing="1" w:line="360" w:lineRule="auto"/>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2EA6E816">
            <w:pPr>
              <w:spacing w:before="100" w:beforeAutospacing="1" w:after="100" w:afterAutospacing="1" w:line="360" w:lineRule="auto"/>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2CBDC380">
            <w:pPr>
              <w:spacing w:before="100" w:beforeAutospacing="1" w:after="100" w:afterAutospacing="1"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2354" w:type="dxa"/>
            <w:tcBorders>
              <w:top w:val="nil"/>
              <w:left w:val="nil"/>
              <w:bottom w:val="single" w:color="auto" w:sz="8" w:space="0"/>
              <w:right w:val="single" w:color="auto" w:sz="8" w:space="0"/>
            </w:tcBorders>
            <w:vAlign w:val="center"/>
          </w:tcPr>
          <w:p w14:paraId="04F1CEEF">
            <w:pPr>
              <w:spacing w:before="100" w:beforeAutospacing="1" w:after="100" w:afterAutospacing="1" w:line="360" w:lineRule="auto"/>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金额</w:t>
            </w:r>
          </w:p>
        </w:tc>
      </w:tr>
      <w:tr w14:paraId="66565D1D">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770D0E7B">
            <w:pPr>
              <w:spacing w:before="100" w:beforeAutospacing="1" w:after="100" w:afterAutospacing="1" w:line="360" w:lineRule="auto"/>
              <w:jc w:val="center"/>
              <w:rPr>
                <w:rFonts w:hint="eastAsia"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7983CDF5">
            <w:pPr>
              <w:spacing w:before="100" w:beforeAutospacing="1" w:after="100" w:afterAutospacing="1" w:line="360" w:lineRule="auto"/>
              <w:jc w:val="center"/>
              <w:rPr>
                <w:rFonts w:hint="eastAsia"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60D91B2B">
            <w:pPr>
              <w:spacing w:before="100" w:beforeAutospacing="1" w:after="100" w:afterAutospacing="1" w:line="360" w:lineRule="auto"/>
              <w:jc w:val="center"/>
              <w:rPr>
                <w:rFonts w:hint="eastAsia"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21275D05">
            <w:pPr>
              <w:spacing w:before="100" w:beforeAutospacing="1" w:after="100" w:afterAutospacing="1" w:line="360" w:lineRule="auto"/>
              <w:jc w:val="center"/>
              <w:rPr>
                <w:rFonts w:hint="eastAsia"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31C41FB8">
            <w:pPr>
              <w:spacing w:before="100" w:beforeAutospacing="1" w:after="100" w:afterAutospacing="1" w:line="360" w:lineRule="auto"/>
              <w:jc w:val="center"/>
              <w:rPr>
                <w:rFonts w:hint="eastAsia" w:ascii="宋体" w:hAnsi="宋体" w:cs="宋体"/>
                <w:color w:val="auto"/>
                <w:kern w:val="0"/>
                <w:szCs w:val="21"/>
                <w:highlight w:val="none"/>
              </w:rPr>
            </w:pPr>
          </w:p>
        </w:tc>
      </w:tr>
      <w:tr w14:paraId="52AFF21B">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608E9ED9">
            <w:pPr>
              <w:spacing w:before="100" w:beforeAutospacing="1" w:after="100" w:afterAutospacing="1" w:line="360" w:lineRule="auto"/>
              <w:jc w:val="center"/>
              <w:rPr>
                <w:rFonts w:hint="eastAsia"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022E8C8C">
            <w:pPr>
              <w:spacing w:before="100" w:beforeAutospacing="1" w:after="100" w:afterAutospacing="1" w:line="360" w:lineRule="auto"/>
              <w:jc w:val="center"/>
              <w:rPr>
                <w:rFonts w:hint="eastAsia"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47EFD3F2">
            <w:pPr>
              <w:spacing w:before="100" w:beforeAutospacing="1" w:after="100" w:afterAutospacing="1" w:line="360" w:lineRule="auto"/>
              <w:jc w:val="center"/>
              <w:rPr>
                <w:rFonts w:hint="eastAsia"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775BB60B">
            <w:pPr>
              <w:spacing w:before="100" w:beforeAutospacing="1" w:after="100" w:afterAutospacing="1" w:line="360" w:lineRule="auto"/>
              <w:jc w:val="center"/>
              <w:rPr>
                <w:rFonts w:hint="eastAsia"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4E4F97C8">
            <w:pPr>
              <w:spacing w:before="100" w:beforeAutospacing="1" w:after="100" w:afterAutospacing="1" w:line="360" w:lineRule="auto"/>
              <w:jc w:val="center"/>
              <w:rPr>
                <w:rFonts w:hint="eastAsia" w:ascii="宋体" w:hAnsi="宋体" w:cs="宋体"/>
                <w:color w:val="auto"/>
                <w:kern w:val="0"/>
                <w:szCs w:val="21"/>
                <w:highlight w:val="none"/>
              </w:rPr>
            </w:pPr>
          </w:p>
        </w:tc>
      </w:tr>
      <w:tr w14:paraId="4896EF05">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336CDC33">
            <w:pPr>
              <w:spacing w:before="100" w:beforeAutospacing="1" w:after="100" w:afterAutospacing="1" w:line="360" w:lineRule="auto"/>
              <w:jc w:val="center"/>
              <w:rPr>
                <w:rFonts w:hint="eastAsia"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71884FD2">
            <w:pPr>
              <w:spacing w:before="100" w:beforeAutospacing="1" w:after="100" w:afterAutospacing="1" w:line="360" w:lineRule="auto"/>
              <w:jc w:val="center"/>
              <w:rPr>
                <w:rFonts w:hint="eastAsia"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5795E346">
            <w:pPr>
              <w:spacing w:before="100" w:beforeAutospacing="1" w:after="100" w:afterAutospacing="1" w:line="360" w:lineRule="auto"/>
              <w:jc w:val="center"/>
              <w:rPr>
                <w:rFonts w:hint="eastAsia"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38BAF430">
            <w:pPr>
              <w:spacing w:before="100" w:beforeAutospacing="1" w:after="100" w:afterAutospacing="1" w:line="360" w:lineRule="auto"/>
              <w:jc w:val="center"/>
              <w:rPr>
                <w:rFonts w:hint="eastAsia"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79BDAD23">
            <w:pPr>
              <w:spacing w:before="100" w:beforeAutospacing="1" w:after="100" w:afterAutospacing="1" w:line="360" w:lineRule="auto"/>
              <w:jc w:val="center"/>
              <w:rPr>
                <w:rFonts w:hint="eastAsia" w:ascii="宋体" w:hAnsi="宋体" w:cs="宋体"/>
                <w:color w:val="auto"/>
                <w:kern w:val="0"/>
                <w:szCs w:val="21"/>
                <w:highlight w:val="none"/>
              </w:rPr>
            </w:pPr>
          </w:p>
        </w:tc>
      </w:tr>
      <w:tr w14:paraId="1D930E6A">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159BE286">
            <w:pPr>
              <w:spacing w:before="100" w:beforeAutospacing="1" w:after="100" w:afterAutospacing="1" w:line="360" w:lineRule="auto"/>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合计</w:t>
            </w:r>
          </w:p>
        </w:tc>
        <w:tc>
          <w:tcPr>
            <w:tcW w:w="863" w:type="dxa"/>
            <w:gridSpan w:val="2"/>
            <w:tcBorders>
              <w:top w:val="nil"/>
              <w:left w:val="nil"/>
              <w:bottom w:val="single" w:color="auto" w:sz="8" w:space="0"/>
              <w:right w:val="single" w:color="auto" w:sz="8" w:space="0"/>
            </w:tcBorders>
            <w:vAlign w:val="center"/>
          </w:tcPr>
          <w:p w14:paraId="3B887873">
            <w:pPr>
              <w:spacing w:before="100" w:beforeAutospacing="1" w:after="100" w:afterAutospacing="1" w:line="360" w:lineRule="auto"/>
              <w:jc w:val="center"/>
              <w:rPr>
                <w:rFonts w:hint="eastAsia"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7FFC6F54">
            <w:pPr>
              <w:spacing w:before="100" w:beforeAutospacing="1" w:after="100" w:afterAutospacing="1" w:line="360" w:lineRule="auto"/>
              <w:jc w:val="center"/>
              <w:rPr>
                <w:rFonts w:hint="eastAsia" w:ascii="宋体" w:hAnsi="宋体" w:cs="宋体"/>
                <w:color w:val="auto"/>
                <w:kern w:val="0"/>
                <w:szCs w:val="21"/>
                <w:highlight w:val="none"/>
              </w:rPr>
            </w:pPr>
          </w:p>
        </w:tc>
      </w:tr>
      <w:tr w14:paraId="09EAA7D6">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4FAEAC5A">
            <w:pPr>
              <w:spacing w:before="100" w:beforeAutospacing="1" w:after="100" w:afterAutospacing="1" w:line="360" w:lineRule="auto"/>
              <w:ind w:firstLine="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合计大写金额：亿仟佰拾万仟佰拾元</w:t>
            </w:r>
          </w:p>
        </w:tc>
      </w:tr>
      <w:tr w14:paraId="01D06518">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0D63710B">
            <w:pPr>
              <w:spacing w:before="100" w:beforeAutospacing="1" w:after="100" w:afterAutospacing="1" w:line="360" w:lineRule="auto"/>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vAlign w:val="center"/>
          </w:tcPr>
          <w:p w14:paraId="228BCF2B">
            <w:pPr>
              <w:spacing w:before="100" w:beforeAutospacing="1" w:after="100" w:afterAutospacing="1" w:line="360" w:lineRule="auto"/>
              <w:jc w:val="center"/>
              <w:rPr>
                <w:rFonts w:hint="eastAsia"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1AEF695E">
            <w:pPr>
              <w:spacing w:before="100" w:beforeAutospacing="1" w:after="100" w:afterAutospacing="1" w:line="360" w:lineRule="auto"/>
              <w:ind w:firstLine="46"/>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vAlign w:val="center"/>
          </w:tcPr>
          <w:p w14:paraId="35483FD5">
            <w:pPr>
              <w:spacing w:before="100" w:beforeAutospacing="1" w:after="100" w:afterAutospacing="1" w:line="360" w:lineRule="auto"/>
              <w:jc w:val="center"/>
              <w:rPr>
                <w:rFonts w:hint="eastAsia" w:ascii="宋体" w:hAnsi="宋体" w:cs="宋体"/>
                <w:color w:val="auto"/>
                <w:kern w:val="0"/>
                <w:szCs w:val="21"/>
                <w:highlight w:val="none"/>
              </w:rPr>
            </w:pPr>
          </w:p>
        </w:tc>
      </w:tr>
      <w:tr w14:paraId="36FD9520">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5371F628">
            <w:pPr>
              <w:spacing w:before="100" w:beforeAutospacing="1" w:after="100" w:afterAutospacing="1" w:line="360" w:lineRule="auto"/>
              <w:jc w:val="center"/>
              <w:rPr>
                <w:rFonts w:hint="eastAsia" w:ascii="宋体" w:hAnsi="宋体" w:cs="宋体"/>
                <w:color w:val="auto"/>
                <w:kern w:val="0"/>
                <w:szCs w:val="21"/>
                <w:highlight w:val="none"/>
              </w:rPr>
            </w:pPr>
          </w:p>
        </w:tc>
        <w:tc>
          <w:tcPr>
            <w:tcW w:w="2719" w:type="dxa"/>
            <w:gridSpan w:val="2"/>
            <w:tcBorders>
              <w:top w:val="nil"/>
              <w:left w:val="nil"/>
              <w:bottom w:val="single" w:color="auto" w:sz="8" w:space="0"/>
              <w:right w:val="single" w:color="auto" w:sz="8" w:space="0"/>
            </w:tcBorders>
            <w:vAlign w:val="center"/>
          </w:tcPr>
          <w:p w14:paraId="7573F4F4">
            <w:pPr>
              <w:spacing w:before="100" w:beforeAutospacing="1" w:after="100" w:afterAutospacing="1" w:line="360" w:lineRule="auto"/>
              <w:jc w:val="center"/>
              <w:rPr>
                <w:rFonts w:hint="eastAsia"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2038B163">
            <w:pPr>
              <w:spacing w:before="100" w:beforeAutospacing="1" w:after="100" w:afterAutospacing="1" w:line="360" w:lineRule="auto"/>
              <w:jc w:val="center"/>
              <w:rPr>
                <w:rFonts w:hint="eastAsia" w:ascii="宋体" w:hAnsi="宋体" w:cs="宋体"/>
                <w:color w:val="auto"/>
                <w:kern w:val="0"/>
                <w:szCs w:val="21"/>
                <w:highlight w:val="none"/>
              </w:rPr>
            </w:pPr>
          </w:p>
        </w:tc>
        <w:tc>
          <w:tcPr>
            <w:tcW w:w="3039" w:type="dxa"/>
            <w:gridSpan w:val="2"/>
            <w:tcBorders>
              <w:top w:val="nil"/>
              <w:left w:val="nil"/>
              <w:bottom w:val="single" w:color="auto" w:sz="8" w:space="0"/>
              <w:right w:val="single" w:color="auto" w:sz="8" w:space="0"/>
            </w:tcBorders>
            <w:vAlign w:val="center"/>
          </w:tcPr>
          <w:p w14:paraId="23104BCE">
            <w:pPr>
              <w:spacing w:before="100" w:beforeAutospacing="1" w:after="100" w:afterAutospacing="1" w:line="360" w:lineRule="auto"/>
              <w:jc w:val="center"/>
              <w:rPr>
                <w:rFonts w:hint="eastAsia" w:ascii="宋体" w:hAnsi="宋体" w:cs="宋体"/>
                <w:color w:val="auto"/>
                <w:kern w:val="0"/>
                <w:szCs w:val="21"/>
                <w:highlight w:val="none"/>
              </w:rPr>
            </w:pPr>
          </w:p>
        </w:tc>
      </w:tr>
      <w:tr w14:paraId="2D0E0FC3">
        <w:tblPrEx>
          <w:tblCellMar>
            <w:top w:w="0" w:type="dxa"/>
            <w:left w:w="108" w:type="dxa"/>
            <w:bottom w:w="0" w:type="dxa"/>
            <w:right w:w="108"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01F21D5">
            <w:pPr>
              <w:spacing w:before="100" w:beforeAutospacing="1" w:after="100" w:afterAutospacing="1"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6D522057">
            <w:pPr>
              <w:spacing w:before="100" w:beforeAutospacing="1" w:after="100" w:afterAutospacing="1"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（应按采购合同、采购文件、投标文件及验收方案等进行验收；并核对中标或者</w:t>
            </w:r>
            <w:r>
              <w:rPr>
                <w:rFonts w:hint="eastAsia" w:ascii="宋体" w:hAnsi="宋体" w:cs="宋体"/>
                <w:color w:val="auto"/>
                <w:kern w:val="0"/>
                <w:szCs w:val="21"/>
                <w:highlight w:val="none"/>
                <w:lang w:eastAsia="zh-CN"/>
              </w:rPr>
              <w:t>中标供应商</w:t>
            </w:r>
            <w:r>
              <w:rPr>
                <w:rFonts w:hint="eastAsia" w:ascii="宋体" w:hAnsi="宋体" w:cs="宋体"/>
                <w:color w:val="auto"/>
                <w:kern w:val="0"/>
                <w:szCs w:val="21"/>
                <w:highlight w:val="none"/>
              </w:rPr>
              <w:t>在安装调试等方面是否违反合同约定或者服务规范要求、提供的质量保证证明材料是否齐全、应有的配件及附件是否达到合同约定等。</w:t>
            </w:r>
            <w:r>
              <w:rPr>
                <w:rFonts w:hint="eastAsia" w:ascii="宋体" w:hAnsi="宋体" w:cs="宋体"/>
                <w:color w:val="auto"/>
                <w:kern w:val="0"/>
                <w:szCs w:val="21"/>
                <w:highlight w:val="none"/>
                <w:lang w:eastAsia="zh-CN"/>
              </w:rPr>
              <w:t>见</w:t>
            </w:r>
            <w:r>
              <w:rPr>
                <w:rFonts w:hint="eastAsia" w:ascii="宋体" w:hAnsi="宋体" w:cs="宋体"/>
                <w:color w:val="auto"/>
                <w:kern w:val="0"/>
                <w:szCs w:val="21"/>
                <w:highlight w:val="none"/>
              </w:rPr>
              <w:t>附件</w:t>
            </w:r>
            <w:r>
              <w:rPr>
                <w:rFonts w:hint="eastAsia" w:ascii="宋体" w:hAnsi="宋体" w:cs="宋体"/>
                <w:color w:val="auto"/>
                <w:kern w:val="0"/>
                <w:szCs w:val="21"/>
                <w:highlight w:val="none"/>
                <w:lang w:eastAsia="zh-CN"/>
              </w:rPr>
              <w:t>）</w:t>
            </w:r>
          </w:p>
        </w:tc>
      </w:tr>
      <w:tr w14:paraId="5B94C856">
        <w:tblPrEx>
          <w:tblCellMar>
            <w:top w:w="0" w:type="dxa"/>
            <w:left w:w="108" w:type="dxa"/>
            <w:bottom w:w="0" w:type="dxa"/>
            <w:right w:w="108"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96DB3AD">
            <w:pPr>
              <w:spacing w:before="100" w:beforeAutospacing="1" w:after="100" w:afterAutospacing="1"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vAlign w:val="center"/>
          </w:tcPr>
          <w:p w14:paraId="235C1D5D">
            <w:pPr>
              <w:spacing w:before="100" w:beforeAutospacing="1" w:after="100" w:afterAutospacing="1"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41F867D3">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7AC46F4B">
            <w:pPr>
              <w:spacing w:line="360" w:lineRule="auto"/>
              <w:jc w:val="left"/>
              <w:rPr>
                <w:rFonts w:hint="eastAsia" w:ascii="宋体" w:hAnsi="宋体" w:cs="宋体"/>
                <w:color w:val="auto"/>
                <w:kern w:val="0"/>
                <w:szCs w:val="21"/>
                <w:highlight w:val="none"/>
              </w:rPr>
            </w:pPr>
          </w:p>
        </w:tc>
        <w:tc>
          <w:tcPr>
            <w:tcW w:w="8040" w:type="dxa"/>
            <w:gridSpan w:val="7"/>
            <w:tcBorders>
              <w:top w:val="nil"/>
              <w:left w:val="nil"/>
              <w:bottom w:val="single" w:color="auto" w:sz="8" w:space="0"/>
              <w:right w:val="single" w:color="auto" w:sz="8" w:space="0"/>
            </w:tcBorders>
            <w:vAlign w:val="center"/>
          </w:tcPr>
          <w:p w14:paraId="34D539E5">
            <w:pPr>
              <w:spacing w:before="100" w:beforeAutospacing="1" w:after="100" w:afterAutospacing="1" w:line="360" w:lineRule="auto"/>
              <w:ind w:firstLine="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2929F852">
            <w:pPr>
              <w:spacing w:before="100" w:beforeAutospacing="1" w:after="100" w:afterAutospacing="1"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p>
        </w:tc>
      </w:tr>
      <w:tr w14:paraId="64A4EA3A">
        <w:tblPrEx>
          <w:tblCellMar>
            <w:top w:w="0" w:type="dxa"/>
            <w:left w:w="108" w:type="dxa"/>
            <w:bottom w:w="0" w:type="dxa"/>
            <w:right w:w="108"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14630DB">
            <w:pPr>
              <w:spacing w:before="100" w:beforeAutospacing="1" w:after="100" w:afterAutospacing="1"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5D42EBB9">
        <w:tblPrEx>
          <w:tblCellMar>
            <w:top w:w="0" w:type="dxa"/>
            <w:left w:w="108" w:type="dxa"/>
            <w:bottom w:w="0" w:type="dxa"/>
            <w:right w:w="108" w:type="dxa"/>
          </w:tblCellMar>
        </w:tblPrEx>
        <w:trPr>
          <w:trHeight w:val="736" w:hRule="atLeast"/>
          <w:jc w:val="center"/>
        </w:trPr>
        <w:tc>
          <w:tcPr>
            <w:tcW w:w="9371" w:type="dxa"/>
            <w:gridSpan w:val="8"/>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09298C9F">
            <w:pPr>
              <w:spacing w:before="100" w:beforeAutospacing="1" w:after="100" w:afterAutospacing="1"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08D34A19">
            <w:pPr>
              <w:spacing w:before="100" w:beforeAutospacing="1" w:after="100" w:afterAutospacing="1" w:line="360" w:lineRule="auto"/>
              <w:ind w:firstLine="74"/>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770FF215">
        <w:tblPrEx>
          <w:tblCellMar>
            <w:top w:w="0" w:type="dxa"/>
            <w:left w:w="108" w:type="dxa"/>
            <w:bottom w:w="0" w:type="dxa"/>
            <w:right w:w="108" w:type="dxa"/>
          </w:tblCellMar>
        </w:tblPrEx>
        <w:trPr>
          <w:trHeight w:val="758" w:hRule="atLeast"/>
          <w:jc w:val="center"/>
        </w:trPr>
        <w:tc>
          <w:tcPr>
            <w:tcW w:w="4152"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99B5ED">
            <w:pPr>
              <w:spacing w:before="100" w:beforeAutospacing="1" w:after="100" w:afterAutospacing="1" w:line="360" w:lineRule="auto"/>
              <w:ind w:firstLine="74"/>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中标供应商</w:t>
            </w:r>
            <w:r>
              <w:rPr>
                <w:rFonts w:hint="eastAsia" w:ascii="宋体" w:hAnsi="宋体" w:cs="宋体"/>
                <w:color w:val="auto"/>
                <w:kern w:val="0"/>
                <w:szCs w:val="21"/>
                <w:highlight w:val="none"/>
              </w:rPr>
              <w:t>负责人签字或者盖章：</w:t>
            </w:r>
          </w:p>
          <w:p w14:paraId="254604A9">
            <w:pPr>
              <w:spacing w:before="100" w:beforeAutospacing="1" w:after="100" w:afterAutospacing="1"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联系电话：年月日</w:t>
            </w:r>
          </w:p>
        </w:tc>
        <w:tc>
          <w:tcPr>
            <w:tcW w:w="5219" w:type="dxa"/>
            <w:gridSpan w:val="4"/>
            <w:tcBorders>
              <w:top w:val="single" w:color="auto" w:sz="4" w:space="0"/>
              <w:left w:val="single" w:color="auto" w:sz="4" w:space="0"/>
              <w:bottom w:val="single" w:color="auto" w:sz="4" w:space="0"/>
              <w:right w:val="single" w:color="auto" w:sz="4" w:space="0"/>
            </w:tcBorders>
            <w:vAlign w:val="center"/>
          </w:tcPr>
          <w:p w14:paraId="0F4A73C2">
            <w:pPr>
              <w:spacing w:before="100" w:beforeAutospacing="1" w:after="100" w:afterAutospacing="1"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52C83637">
            <w:pPr>
              <w:spacing w:before="100" w:beforeAutospacing="1" w:after="100" w:afterAutospacing="1"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联系电话：年月日</w:t>
            </w:r>
          </w:p>
        </w:tc>
      </w:tr>
    </w:tbl>
    <w:p w14:paraId="1AAD080D">
      <w:pPr>
        <w:spacing w:line="360" w:lineRule="auto"/>
        <w:jc w:val="left"/>
        <w:rPr>
          <w:rFonts w:ascii="宋体" w:hAnsi="宋体" w:cs="宋体"/>
          <w:color w:val="auto"/>
          <w:highlight w:val="none"/>
        </w:rPr>
        <w:sectPr>
          <w:pgSz w:w="11906" w:h="16838"/>
          <w:pgMar w:top="1134" w:right="1247" w:bottom="1560" w:left="1247" w:header="851" w:footer="992" w:gutter="0"/>
          <w:cols w:space="720" w:num="1"/>
          <w:titlePg/>
          <w:docGrid w:linePitch="312" w:charSpace="0"/>
        </w:sectPr>
      </w:pPr>
    </w:p>
    <w:p w14:paraId="4D8A4EE3">
      <w:pPr>
        <w:rPr>
          <w:rFonts w:hAnsi="宋体" w:cs="宋体"/>
          <w:color w:val="auto"/>
          <w:highlight w:val="none"/>
        </w:rPr>
      </w:pPr>
    </w:p>
    <w:p w14:paraId="55991F3E">
      <w:pPr>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8"/>
          <w:szCs w:val="28"/>
          <w:highlight w:val="none"/>
          <w:lang w:val="zh-CN"/>
        </w:rPr>
        <w:t>附件</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eastAsia="zh-CN"/>
        </w:rPr>
        <w:t>崇左市</w:t>
      </w:r>
      <w:r>
        <w:rPr>
          <w:rFonts w:hint="eastAsia" w:ascii="宋体" w:hAnsi="宋体" w:eastAsia="宋体" w:cs="宋体"/>
          <w:b/>
          <w:bCs/>
          <w:color w:val="auto"/>
          <w:sz w:val="28"/>
          <w:szCs w:val="28"/>
          <w:highlight w:val="none"/>
        </w:rPr>
        <w:t>线上“政采贷”政策告知函</w:t>
      </w:r>
      <w:r>
        <w:rPr>
          <w:rFonts w:hint="eastAsia" w:ascii="宋体" w:hAnsi="宋体" w:eastAsia="宋体" w:cs="宋体"/>
          <w:color w:val="auto"/>
          <w:sz w:val="21"/>
          <w:szCs w:val="21"/>
          <w:highlight w:val="none"/>
        </w:rPr>
        <w:t>各供应商：</w:t>
      </w:r>
    </w:p>
    <w:p w14:paraId="00E2726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欢迎贵公司参与</w:t>
      </w:r>
      <w:r>
        <w:rPr>
          <w:rFonts w:hint="eastAsia" w:ascii="宋体" w:hAnsi="宋体" w:eastAsia="宋体" w:cs="宋体"/>
          <w:color w:val="auto"/>
          <w:sz w:val="21"/>
          <w:szCs w:val="21"/>
          <w:highlight w:val="none"/>
          <w:lang w:eastAsia="zh-CN"/>
        </w:rPr>
        <w:t>崇左市</w:t>
      </w:r>
      <w:r>
        <w:rPr>
          <w:rFonts w:hint="eastAsia" w:ascii="宋体" w:hAnsi="宋体" w:eastAsia="宋体" w:cs="宋体"/>
          <w:color w:val="auto"/>
          <w:sz w:val="21"/>
          <w:szCs w:val="21"/>
          <w:highlight w:val="none"/>
        </w:rPr>
        <w:t>政府采购活动！</w:t>
      </w:r>
    </w:p>
    <w:p w14:paraId="048A315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供应商，可持政府采购合同在线向</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eastAsia="宋体" w:cs="宋体"/>
          <w:color w:val="auto"/>
          <w:sz w:val="21"/>
          <w:szCs w:val="21"/>
          <w:highlight w:val="none"/>
        </w:rPr>
        <w:t>申请贷款，融资机构将根据《中国人民银行南宁中心支行广西壮族自治区财政厅关于推广线上“政采贷”融资模式的通知》（南宁银发〔2021〕</w:t>
      </w:r>
      <w:r>
        <w:rPr>
          <w:rFonts w:hint="eastAsia" w:ascii="宋体" w:hAnsi="宋体" w:eastAsia="宋体" w:cs="宋体"/>
          <w:color w:val="auto"/>
          <w:sz w:val="21"/>
          <w:szCs w:val="21"/>
          <w:highlight w:val="none"/>
          <w:lang w:val="en-US" w:eastAsia="zh-CN"/>
        </w:rPr>
        <w:t>258</w:t>
      </w:r>
      <w:r>
        <w:rPr>
          <w:rFonts w:hint="eastAsia" w:ascii="宋体" w:hAnsi="宋体" w:eastAsia="宋体" w:cs="宋体"/>
          <w:color w:val="auto"/>
          <w:sz w:val="21"/>
          <w:szCs w:val="21"/>
          <w:highlight w:val="none"/>
        </w:rPr>
        <w:t>号），按照双方自愿的原则提供便捷、优惠的贷款服务。</w:t>
      </w:r>
    </w:p>
    <w:p w14:paraId="159E46FD">
      <w:pPr>
        <w:rPr>
          <w:rFonts w:hint="eastAsia" w:eastAsia="宋体"/>
          <w:color w:val="auto"/>
          <w:highlight w:val="none"/>
          <w:lang w:eastAsia="zh-CN"/>
        </w:rPr>
      </w:pPr>
      <w:r>
        <w:rPr>
          <w:rFonts w:hint="eastAsia" w:ascii="宋体" w:hAnsi="宋体" w:eastAsia="宋体" w:cs="宋体"/>
          <w:color w:val="auto"/>
          <w:sz w:val="21"/>
          <w:szCs w:val="21"/>
          <w:highlight w:val="none"/>
        </w:rPr>
        <w:t>相关金融产品和</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eastAsia="宋体" w:cs="宋体"/>
          <w:color w:val="auto"/>
          <w:sz w:val="21"/>
          <w:szCs w:val="21"/>
          <w:highlight w:val="none"/>
        </w:rPr>
        <w:t>联系方式，可在中征应收账款融资服务平台查询</w:t>
      </w:r>
      <w:r>
        <w:rPr>
          <w:rFonts w:hint="eastAsia" w:ascii="宋体" w:hAnsi="宋体" w:eastAsia="宋体" w:cs="宋体"/>
          <w:color w:val="auto"/>
          <w:sz w:val="21"/>
          <w:szCs w:val="21"/>
          <w:highlight w:val="none"/>
          <w:lang w:eastAsia="zh-CN"/>
        </w:rPr>
        <w:t>（网址：</w:t>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"https://www.crcrfsp.com/" </w:instrText>
      </w:r>
      <w:r>
        <w:rPr>
          <w:rFonts w:hint="eastAsia" w:ascii="宋体" w:hAnsi="宋体" w:eastAsia="宋体" w:cs="宋体"/>
          <w:color w:val="auto"/>
          <w:sz w:val="21"/>
          <w:szCs w:val="21"/>
          <w:highlight w:val="none"/>
          <w:lang w:eastAsia="zh-CN"/>
        </w:rPr>
        <w:fldChar w:fldCharType="separate"/>
      </w:r>
      <w:r>
        <w:rPr>
          <w:rStyle w:val="89"/>
          <w:rFonts w:hint="eastAsia" w:ascii="宋体" w:hAnsi="宋体" w:eastAsia="宋体" w:cs="宋体"/>
          <w:color w:val="auto"/>
          <w:sz w:val="21"/>
          <w:szCs w:val="21"/>
          <w:highlight w:val="none"/>
          <w:lang w:eastAsia="zh-CN"/>
        </w:rPr>
        <w:t>https://www.crcrfsp.com/</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，客服电话：</w:t>
      </w:r>
      <w:r>
        <w:rPr>
          <w:rFonts w:hint="eastAsia" w:ascii="宋体" w:hAnsi="宋体" w:eastAsia="宋体" w:cs="宋体"/>
          <w:color w:val="auto"/>
          <w:sz w:val="21"/>
          <w:szCs w:val="21"/>
          <w:highlight w:val="none"/>
          <w:lang w:val="en-US" w:eastAsia="zh-CN"/>
        </w:rPr>
        <w:t>400-009-0001</w:t>
      </w:r>
      <w:r>
        <w:rPr>
          <w:rFonts w:hint="eastAsia" w:ascii="宋体" w:hAnsi="宋体" w:eastAsia="宋体" w:cs="宋体"/>
          <w:color w:val="auto"/>
          <w:sz w:val="21"/>
          <w:szCs w:val="21"/>
          <w:highlight w:val="none"/>
          <w:lang w:eastAsia="zh-CN"/>
        </w:rPr>
        <w:t>）。</w:t>
      </w:r>
    </w:p>
    <w:p w14:paraId="06679112">
      <w:pPr>
        <w:spacing w:line="360" w:lineRule="auto"/>
        <w:jc w:val="center"/>
        <w:rPr>
          <w:rFonts w:hint="eastAsia" w:ascii="黑体" w:hAnsi="黑体" w:eastAsia="黑体" w:cs="黑体"/>
          <w:b/>
          <w:bCs/>
          <w:color w:val="auto"/>
          <w:sz w:val="28"/>
          <w:szCs w:val="44"/>
          <w:highlight w:val="none"/>
        </w:rPr>
      </w:pPr>
    </w:p>
    <w:p w14:paraId="55484299">
      <w:pPr>
        <w:spacing w:line="360" w:lineRule="auto"/>
        <w:jc w:val="center"/>
        <w:rPr>
          <w:rFonts w:hint="eastAsia" w:ascii="黑体" w:hAnsi="黑体" w:eastAsia="黑体" w:cs="黑体"/>
          <w:b/>
          <w:bCs/>
          <w:color w:val="auto"/>
          <w:sz w:val="28"/>
          <w:szCs w:val="44"/>
          <w:highlight w:val="none"/>
        </w:rPr>
      </w:pPr>
    </w:p>
    <w:p w14:paraId="740196B4">
      <w:pPr>
        <w:spacing w:line="360" w:lineRule="auto"/>
        <w:jc w:val="center"/>
        <w:rPr>
          <w:rFonts w:hint="eastAsia" w:ascii="黑体" w:hAnsi="黑体" w:eastAsia="黑体" w:cs="黑体"/>
          <w:b/>
          <w:bCs/>
          <w:color w:val="auto"/>
          <w:sz w:val="28"/>
          <w:szCs w:val="44"/>
          <w:highlight w:val="none"/>
        </w:rPr>
      </w:pPr>
    </w:p>
    <w:p w14:paraId="000FF54F">
      <w:pPr>
        <w:spacing w:line="360" w:lineRule="auto"/>
        <w:jc w:val="center"/>
        <w:rPr>
          <w:rFonts w:hint="eastAsia" w:ascii="黑体" w:hAnsi="黑体" w:eastAsia="黑体" w:cs="黑体"/>
          <w:b/>
          <w:bCs/>
          <w:color w:val="auto"/>
          <w:sz w:val="28"/>
          <w:szCs w:val="44"/>
          <w:highlight w:val="none"/>
        </w:rPr>
      </w:pPr>
    </w:p>
    <w:p w14:paraId="40F23D51">
      <w:pPr>
        <w:spacing w:line="360" w:lineRule="auto"/>
        <w:jc w:val="center"/>
        <w:rPr>
          <w:rFonts w:hint="eastAsia" w:ascii="黑体" w:hAnsi="黑体" w:eastAsia="黑体" w:cs="黑体"/>
          <w:b/>
          <w:bCs/>
          <w:color w:val="auto"/>
          <w:sz w:val="28"/>
          <w:szCs w:val="44"/>
          <w:highlight w:val="none"/>
        </w:rPr>
      </w:pPr>
    </w:p>
    <w:p w14:paraId="30852318">
      <w:pPr>
        <w:spacing w:line="360" w:lineRule="auto"/>
        <w:jc w:val="center"/>
        <w:rPr>
          <w:rFonts w:hint="eastAsia" w:ascii="黑体" w:hAnsi="黑体" w:eastAsia="黑体" w:cs="黑体"/>
          <w:b/>
          <w:bCs/>
          <w:color w:val="auto"/>
          <w:sz w:val="28"/>
          <w:szCs w:val="44"/>
          <w:highlight w:val="none"/>
        </w:rPr>
      </w:pPr>
    </w:p>
    <w:p w14:paraId="58A1661E">
      <w:pPr>
        <w:spacing w:line="360" w:lineRule="auto"/>
        <w:jc w:val="center"/>
        <w:rPr>
          <w:rFonts w:hint="eastAsia" w:ascii="黑体" w:hAnsi="黑体" w:eastAsia="黑体" w:cs="黑体"/>
          <w:b/>
          <w:bCs/>
          <w:color w:val="auto"/>
          <w:sz w:val="28"/>
          <w:szCs w:val="44"/>
          <w:highlight w:val="none"/>
        </w:rPr>
      </w:pPr>
    </w:p>
    <w:p w14:paraId="34F24A1A">
      <w:pPr>
        <w:spacing w:line="360" w:lineRule="auto"/>
        <w:jc w:val="center"/>
        <w:rPr>
          <w:rFonts w:hint="eastAsia" w:ascii="黑体" w:hAnsi="黑体" w:eastAsia="黑体" w:cs="黑体"/>
          <w:b/>
          <w:bCs/>
          <w:color w:val="auto"/>
          <w:sz w:val="28"/>
          <w:szCs w:val="44"/>
          <w:highlight w:val="none"/>
        </w:rPr>
      </w:pPr>
    </w:p>
    <w:p w14:paraId="0888CEE3">
      <w:pPr>
        <w:spacing w:line="360" w:lineRule="auto"/>
        <w:jc w:val="center"/>
        <w:rPr>
          <w:rFonts w:hint="eastAsia" w:ascii="黑体" w:hAnsi="黑体" w:eastAsia="黑体" w:cs="黑体"/>
          <w:b/>
          <w:bCs/>
          <w:color w:val="auto"/>
          <w:sz w:val="28"/>
          <w:szCs w:val="44"/>
          <w:highlight w:val="none"/>
        </w:rPr>
      </w:pPr>
    </w:p>
    <w:p w14:paraId="0A3590FA">
      <w:pPr>
        <w:spacing w:line="360" w:lineRule="auto"/>
        <w:jc w:val="center"/>
        <w:rPr>
          <w:rFonts w:hint="eastAsia" w:ascii="黑体" w:hAnsi="黑体" w:eastAsia="黑体" w:cs="黑体"/>
          <w:b/>
          <w:bCs/>
          <w:color w:val="auto"/>
          <w:sz w:val="28"/>
          <w:szCs w:val="44"/>
          <w:highlight w:val="none"/>
        </w:rPr>
      </w:pPr>
    </w:p>
    <w:p w14:paraId="3B8877DC">
      <w:pPr>
        <w:spacing w:line="360" w:lineRule="auto"/>
        <w:jc w:val="center"/>
        <w:rPr>
          <w:rFonts w:hint="eastAsia" w:ascii="黑体" w:hAnsi="黑体" w:eastAsia="黑体" w:cs="黑体"/>
          <w:b/>
          <w:bCs/>
          <w:color w:val="auto"/>
          <w:sz w:val="28"/>
          <w:szCs w:val="44"/>
          <w:highlight w:val="none"/>
        </w:rPr>
      </w:pPr>
    </w:p>
    <w:p w14:paraId="089DC109">
      <w:pPr>
        <w:spacing w:line="360" w:lineRule="auto"/>
        <w:jc w:val="center"/>
        <w:rPr>
          <w:rFonts w:hint="eastAsia" w:ascii="黑体" w:hAnsi="黑体" w:eastAsia="黑体" w:cs="黑体"/>
          <w:b/>
          <w:bCs/>
          <w:color w:val="auto"/>
          <w:sz w:val="28"/>
          <w:szCs w:val="44"/>
          <w:highlight w:val="none"/>
        </w:rPr>
      </w:pPr>
    </w:p>
    <w:p w14:paraId="57D486D0">
      <w:pPr>
        <w:spacing w:line="360" w:lineRule="auto"/>
        <w:jc w:val="center"/>
        <w:rPr>
          <w:rFonts w:hint="eastAsia" w:ascii="黑体" w:hAnsi="黑体" w:eastAsia="黑体" w:cs="黑体"/>
          <w:b/>
          <w:bCs/>
          <w:color w:val="auto"/>
          <w:sz w:val="28"/>
          <w:szCs w:val="44"/>
          <w:highlight w:val="none"/>
        </w:rPr>
      </w:pPr>
    </w:p>
    <w:p w14:paraId="0D3A3537">
      <w:pPr>
        <w:spacing w:line="360" w:lineRule="auto"/>
        <w:jc w:val="center"/>
        <w:rPr>
          <w:rFonts w:hint="eastAsia" w:ascii="黑体" w:hAnsi="黑体" w:eastAsia="黑体" w:cs="黑体"/>
          <w:b/>
          <w:bCs/>
          <w:color w:val="auto"/>
          <w:sz w:val="28"/>
          <w:szCs w:val="44"/>
          <w:highlight w:val="none"/>
        </w:rPr>
      </w:pPr>
    </w:p>
    <w:p w14:paraId="4C4443AF">
      <w:pPr>
        <w:spacing w:line="360" w:lineRule="auto"/>
        <w:jc w:val="center"/>
        <w:rPr>
          <w:rFonts w:hint="eastAsia" w:ascii="黑体" w:hAnsi="黑体" w:eastAsia="黑体" w:cs="黑体"/>
          <w:b/>
          <w:bCs/>
          <w:color w:val="auto"/>
          <w:sz w:val="28"/>
          <w:szCs w:val="44"/>
          <w:highlight w:val="none"/>
        </w:rPr>
      </w:pPr>
    </w:p>
    <w:p w14:paraId="058F509C">
      <w:pPr>
        <w:spacing w:line="360" w:lineRule="auto"/>
        <w:jc w:val="center"/>
        <w:rPr>
          <w:rFonts w:hint="eastAsia" w:ascii="黑体" w:hAnsi="黑体" w:eastAsia="黑体" w:cs="黑体"/>
          <w:b/>
          <w:bCs/>
          <w:color w:val="auto"/>
          <w:sz w:val="28"/>
          <w:szCs w:val="44"/>
          <w:highlight w:val="none"/>
        </w:rPr>
      </w:pPr>
    </w:p>
    <w:p w14:paraId="2B09BE97">
      <w:pPr>
        <w:spacing w:line="360" w:lineRule="auto"/>
        <w:jc w:val="center"/>
        <w:rPr>
          <w:rFonts w:hint="eastAsia" w:ascii="黑体" w:hAnsi="黑体" w:eastAsia="黑体" w:cs="黑体"/>
          <w:b/>
          <w:bCs/>
          <w:color w:val="auto"/>
          <w:sz w:val="28"/>
          <w:szCs w:val="44"/>
          <w:highlight w:val="none"/>
        </w:rPr>
      </w:pPr>
    </w:p>
    <w:p w14:paraId="6CA46B7E">
      <w:pPr>
        <w:spacing w:line="360" w:lineRule="auto"/>
        <w:jc w:val="center"/>
        <w:rPr>
          <w:rFonts w:hint="eastAsia" w:ascii="黑体" w:hAnsi="黑体" w:eastAsia="黑体" w:cs="黑体"/>
          <w:b/>
          <w:bCs/>
          <w:color w:val="auto"/>
          <w:sz w:val="28"/>
          <w:szCs w:val="44"/>
          <w:highlight w:val="none"/>
        </w:rPr>
      </w:pPr>
    </w:p>
    <w:p w14:paraId="53D428B4">
      <w:pPr>
        <w:spacing w:line="360" w:lineRule="auto"/>
        <w:jc w:val="center"/>
        <w:rPr>
          <w:rFonts w:hint="eastAsia" w:ascii="黑体" w:hAnsi="黑体" w:eastAsia="黑体" w:cs="黑体"/>
          <w:b/>
          <w:bCs/>
          <w:color w:val="auto"/>
          <w:sz w:val="28"/>
          <w:szCs w:val="44"/>
          <w:highlight w:val="none"/>
        </w:rPr>
      </w:pPr>
    </w:p>
    <w:p w14:paraId="2D5B8E4A">
      <w:pPr>
        <w:spacing w:line="360" w:lineRule="auto"/>
        <w:jc w:val="center"/>
        <w:rPr>
          <w:rFonts w:hint="eastAsia" w:ascii="宋体" w:hAnsi="宋体" w:eastAsia="宋体" w:cs="宋体"/>
          <w:b/>
          <w:bCs/>
          <w:color w:val="auto"/>
          <w:sz w:val="28"/>
          <w:szCs w:val="28"/>
          <w:highlight w:val="none"/>
        </w:rPr>
      </w:pPr>
      <w:r>
        <w:rPr>
          <w:rFonts w:hint="eastAsia" w:ascii="黑体" w:hAnsi="黑体" w:eastAsia="黑体" w:cs="黑体"/>
          <w:b/>
          <w:bCs/>
          <w:color w:val="auto"/>
          <w:sz w:val="28"/>
          <w:szCs w:val="44"/>
          <w:highlight w:val="none"/>
        </w:rPr>
        <w:t>附</w:t>
      </w:r>
      <w:r>
        <w:rPr>
          <w:rFonts w:hint="eastAsia" w:ascii="黑体" w:hAnsi="黑体" w:eastAsia="黑体" w:cs="黑体"/>
          <w:b/>
          <w:bCs/>
          <w:color w:val="auto"/>
          <w:sz w:val="28"/>
          <w:szCs w:val="44"/>
          <w:highlight w:val="none"/>
          <w:lang w:eastAsia="zh-CN"/>
        </w:rPr>
        <w:t>件</w:t>
      </w:r>
      <w:r>
        <w:rPr>
          <w:rFonts w:hint="eastAsia" w:ascii="黑体" w:hAnsi="黑体" w:eastAsia="黑体" w:cs="黑体"/>
          <w:b/>
          <w:bCs/>
          <w:color w:val="auto"/>
          <w:sz w:val="28"/>
          <w:szCs w:val="44"/>
          <w:highlight w:val="none"/>
          <w:lang w:val="en-US" w:eastAsia="zh-CN"/>
        </w:rPr>
        <w:t>2</w:t>
      </w:r>
      <w:r>
        <w:rPr>
          <w:rFonts w:hint="eastAsia" w:ascii="宋体" w:hAnsi="宋体" w:eastAsia="宋体" w:cs="宋体"/>
          <w:b/>
          <w:bCs/>
          <w:color w:val="auto"/>
          <w:sz w:val="28"/>
          <w:szCs w:val="28"/>
          <w:highlight w:val="none"/>
          <w:lang w:eastAsia="zh-CN"/>
        </w:rPr>
        <w:t>崇左市</w:t>
      </w:r>
      <w:r>
        <w:rPr>
          <w:rFonts w:hint="eastAsia" w:ascii="宋体" w:hAnsi="宋体" w:eastAsia="宋体" w:cs="宋体"/>
          <w:b/>
          <w:bCs/>
          <w:color w:val="auto"/>
          <w:sz w:val="28"/>
          <w:szCs w:val="28"/>
          <w:highlight w:val="none"/>
        </w:rPr>
        <w:t>线上“政采贷”业务流程图</w:t>
      </w:r>
    </w:p>
    <w:p w14:paraId="114A9122">
      <w:pPr>
        <w:pStyle w:val="96"/>
        <w:rPr>
          <w:rFonts w:hint="eastAsia" w:eastAsia="仿宋_GB2312"/>
          <w:color w:val="auto"/>
          <w:highlight w:val="none"/>
          <w:lang w:eastAsia="zh-CN"/>
        </w:rPr>
      </w:pPr>
      <w:r>
        <w:rPr>
          <w:rFonts w:hint="eastAsia" w:eastAsia="仿宋_GB2312"/>
          <w:color w:val="auto"/>
          <w:highlight w:val="none"/>
          <w:lang w:eastAsia="zh-CN"/>
        </w:rPr>
        <w:drawing>
          <wp:inline distT="0" distB="0" distL="114300" distR="114300">
            <wp:extent cx="4926965" cy="7002145"/>
            <wp:effectExtent l="0" t="0" r="6985" b="8255"/>
            <wp:docPr id="2"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流程图1011"/>
                    <pic:cNvPicPr>
                      <a:picLocks noChangeAspect="1"/>
                    </pic:cNvPicPr>
                  </pic:nvPicPr>
                  <pic:blipFill>
                    <a:blip r:embed="rId18"/>
                    <a:stretch>
                      <a:fillRect/>
                    </a:stretch>
                  </pic:blipFill>
                  <pic:spPr>
                    <a:xfrm>
                      <a:off x="0" y="0"/>
                      <a:ext cx="4926965" cy="7002145"/>
                    </a:xfrm>
                    <a:prstGeom prst="rect">
                      <a:avLst/>
                    </a:prstGeom>
                    <a:noFill/>
                    <a:ln>
                      <a:noFill/>
                    </a:ln>
                  </pic:spPr>
                </pic:pic>
              </a:graphicData>
            </a:graphic>
          </wp:inline>
        </w:drawing>
      </w:r>
    </w:p>
    <w:p w14:paraId="1F26562D">
      <w:pPr>
        <w:pStyle w:val="96"/>
        <w:jc w:val="center"/>
        <w:rPr>
          <w:rFonts w:hint="eastAsia" w:ascii="宋体" w:hAnsi="宋体" w:eastAsia="宋体" w:cs="宋体"/>
          <w:b/>
          <w:bCs/>
          <w:color w:val="auto"/>
          <w:sz w:val="28"/>
          <w:szCs w:val="28"/>
          <w:highlight w:val="none"/>
          <w:lang w:val="zh-CN"/>
        </w:rPr>
      </w:pPr>
    </w:p>
    <w:p w14:paraId="7BE0FFFA">
      <w:pPr>
        <w:pStyle w:val="96"/>
        <w:jc w:val="center"/>
        <w:rPr>
          <w:rFonts w:hint="eastAsia" w:ascii="宋体" w:hAnsi="宋体" w:eastAsia="宋体" w:cs="宋体"/>
          <w:b/>
          <w:bCs/>
          <w:color w:val="auto"/>
          <w:sz w:val="28"/>
          <w:szCs w:val="28"/>
          <w:highlight w:val="none"/>
          <w:lang w:val="zh-CN"/>
        </w:rPr>
      </w:pPr>
    </w:p>
    <w:p w14:paraId="176B6715">
      <w:pPr>
        <w:pStyle w:val="96"/>
        <w:jc w:val="center"/>
        <w:rPr>
          <w:rFonts w:hint="eastAsia" w:ascii="宋体" w:hAnsi="宋体" w:eastAsia="宋体" w:cs="宋体"/>
          <w:b/>
          <w:bCs/>
          <w:color w:val="auto"/>
          <w:sz w:val="28"/>
          <w:szCs w:val="28"/>
          <w:highlight w:val="none"/>
          <w:lang w:val="zh-CN"/>
        </w:rPr>
      </w:pPr>
    </w:p>
    <w:p w14:paraId="27626FFA">
      <w:pPr>
        <w:pStyle w:val="96"/>
        <w:jc w:val="center"/>
        <w:rPr>
          <w:rFonts w:hint="eastAsia" w:ascii="宋体" w:hAnsi="宋体" w:eastAsia="宋体" w:cs="宋体"/>
          <w:b/>
          <w:bCs/>
          <w:color w:val="auto"/>
          <w:sz w:val="28"/>
          <w:szCs w:val="28"/>
          <w:highlight w:val="none"/>
          <w:lang w:val="zh-CN"/>
        </w:rPr>
      </w:pPr>
    </w:p>
    <w:p w14:paraId="08522650">
      <w:pPr>
        <w:pStyle w:val="96"/>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附件</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lang w:eastAsia="zh-CN"/>
        </w:rPr>
        <w:t>崇左</w:t>
      </w:r>
      <w:r>
        <w:rPr>
          <w:rFonts w:hint="eastAsia" w:ascii="宋体" w:hAnsi="宋体" w:eastAsia="宋体" w:cs="宋体"/>
          <w:b/>
          <w:bCs/>
          <w:color w:val="auto"/>
          <w:sz w:val="28"/>
          <w:szCs w:val="28"/>
          <w:highlight w:val="none"/>
        </w:rPr>
        <w:t>市金融机构</w:t>
      </w:r>
      <w:r>
        <w:rPr>
          <w:rFonts w:hint="eastAsia" w:ascii="宋体" w:hAnsi="宋体" w:eastAsia="宋体" w:cs="宋体"/>
          <w:b/>
          <w:bCs/>
          <w:color w:val="auto"/>
          <w:sz w:val="28"/>
          <w:szCs w:val="28"/>
          <w:highlight w:val="none"/>
          <w:lang w:eastAsia="zh-CN"/>
        </w:rPr>
        <w:t>线上</w:t>
      </w:r>
      <w:r>
        <w:rPr>
          <w:rFonts w:hint="eastAsia" w:ascii="宋体" w:hAnsi="宋体" w:eastAsia="宋体" w:cs="宋体"/>
          <w:b/>
          <w:bCs/>
          <w:color w:val="auto"/>
          <w:sz w:val="28"/>
          <w:szCs w:val="28"/>
          <w:highlight w:val="none"/>
        </w:rPr>
        <w:t>“政采贷”业务办理联络表</w:t>
      </w:r>
    </w:p>
    <w:tbl>
      <w:tblPr>
        <w:tblStyle w:val="11"/>
        <w:tblW w:w="8314" w:type="dxa"/>
        <w:tblInd w:w="-12" w:type="dxa"/>
        <w:tblLayout w:type="fixed"/>
        <w:tblCellMar>
          <w:top w:w="0" w:type="dxa"/>
          <w:left w:w="108" w:type="dxa"/>
          <w:bottom w:w="0" w:type="dxa"/>
          <w:right w:w="108" w:type="dxa"/>
        </w:tblCellMar>
      </w:tblPr>
      <w:tblGrid>
        <w:gridCol w:w="2674"/>
        <w:gridCol w:w="3515"/>
        <w:gridCol w:w="2125"/>
      </w:tblGrid>
      <w:tr w14:paraId="05968A6C">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6B3D390F">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13AA9F56">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vAlign w:val="center"/>
          </w:tcPr>
          <w:p w14:paraId="161C9B89">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6B83EC67">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CF68096">
            <w:pPr>
              <w:widowControl/>
              <w:jc w:val="left"/>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7E7169FB">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C68840">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74B4981">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23F07278">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0771-7820439</w:t>
            </w:r>
          </w:p>
        </w:tc>
      </w:tr>
      <w:tr w14:paraId="6F742F43">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8E4626">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114DC44">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297045E">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3A18DE4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931954">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BF36BAC">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56CBBC3">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0E763F7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FF7331">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9E01210">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vAlign w:val="center"/>
          </w:tcPr>
          <w:p w14:paraId="74FC42D3">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1EA6711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EB682C">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912495E">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3708778A">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0771-7920613</w:t>
            </w:r>
          </w:p>
        </w:tc>
      </w:tr>
      <w:tr w14:paraId="3A1EFDA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7685DA">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0731049">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51C2344">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41195DFE">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2D8BFE">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CF07B67">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72160911">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7FFC2C5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8BD97F">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844B09E">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vAlign w:val="center"/>
          </w:tcPr>
          <w:p w14:paraId="640DB397">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1767658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41200A">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4DD9E0E">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06D2992F">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37F0BE9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169B87">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7ED0163">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38B35BC9">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669D566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6485C0">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13D45FC">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748A3D11">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46EC869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64E487">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8BEC2C8">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30200529">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6512EF53">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22D3095">
            <w:pPr>
              <w:widowControl/>
              <w:jc w:val="left"/>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扶绥</w:t>
            </w:r>
            <w:r>
              <w:rPr>
                <w:rFonts w:hint="eastAsia" w:ascii="宋体" w:hAnsi="宋体" w:eastAsia="宋体" w:cs="宋体"/>
                <w:b/>
                <w:bCs/>
                <w:color w:val="auto"/>
                <w:sz w:val="21"/>
                <w:szCs w:val="21"/>
                <w:highlight w:val="none"/>
                <w:lang w:eastAsia="zh-CN"/>
              </w:rPr>
              <w:t>县</w:t>
            </w:r>
          </w:p>
        </w:tc>
      </w:tr>
      <w:tr w14:paraId="781EE5D4">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11A0AB">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w:t>
            </w:r>
            <w:r>
              <w:rPr>
                <w:rFonts w:hint="eastAsia" w:ascii="宋体" w:hAnsi="宋体" w:cs="宋体"/>
                <w:color w:val="auto"/>
                <w:sz w:val="21"/>
                <w:szCs w:val="21"/>
                <w:highlight w:val="none"/>
                <w:lang w:val="en-US" w:eastAsia="zh-CN"/>
              </w:rPr>
              <w:t>扶绥</w:t>
            </w:r>
            <w:r>
              <w:rPr>
                <w:rFonts w:hint="eastAsia" w:ascii="宋体" w:hAnsi="宋体" w:eastAsia="宋体" w:cs="宋体"/>
                <w:color w:val="auto"/>
                <w:sz w:val="21"/>
                <w:szCs w:val="21"/>
                <w:highlight w:val="none"/>
                <w:lang w:val="en-US" w:eastAsia="zh-CN"/>
              </w:rPr>
              <w:t>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1BA2590">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扶绥</w:t>
            </w:r>
            <w:r>
              <w:rPr>
                <w:rFonts w:hint="eastAsia" w:ascii="宋体" w:hAnsi="宋体" w:eastAsia="宋体" w:cs="宋体"/>
                <w:color w:val="auto"/>
                <w:sz w:val="21"/>
                <w:szCs w:val="21"/>
                <w:highlight w:val="none"/>
                <w:lang w:val="en-US" w:eastAsia="zh-CN"/>
              </w:rPr>
              <w:t>县新宁镇同正大道94号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3F89532">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343F031A">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57FCAA">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w:t>
            </w:r>
            <w:r>
              <w:rPr>
                <w:rFonts w:hint="eastAsia" w:ascii="宋体" w:hAnsi="宋体" w:cs="宋体"/>
                <w:color w:val="auto"/>
                <w:sz w:val="21"/>
                <w:szCs w:val="21"/>
                <w:highlight w:val="none"/>
                <w:lang w:val="en-US" w:eastAsia="zh-CN"/>
              </w:rPr>
              <w:t>扶绥</w:t>
            </w:r>
            <w:r>
              <w:rPr>
                <w:rFonts w:hint="eastAsia" w:ascii="宋体" w:hAnsi="宋体" w:eastAsia="宋体" w:cs="宋体"/>
                <w:color w:val="auto"/>
                <w:sz w:val="21"/>
                <w:szCs w:val="21"/>
                <w:highlight w:val="none"/>
                <w:lang w:val="en-US" w:eastAsia="zh-CN"/>
              </w:rPr>
              <w:t>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2D3C3D3">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扶绥</w:t>
            </w:r>
            <w:r>
              <w:rPr>
                <w:rFonts w:hint="eastAsia" w:ascii="宋体" w:hAnsi="宋体" w:eastAsia="宋体" w:cs="宋体"/>
                <w:color w:val="auto"/>
                <w:sz w:val="21"/>
                <w:szCs w:val="21"/>
                <w:highlight w:val="none"/>
                <w:lang w:eastAsia="zh-CN"/>
              </w:rPr>
              <w:t>县</w:t>
            </w:r>
            <w:r>
              <w:rPr>
                <w:rFonts w:hint="eastAsia" w:ascii="宋体" w:hAnsi="宋体" w:eastAsia="宋体" w:cs="宋体"/>
                <w:color w:val="auto"/>
                <w:sz w:val="21"/>
                <w:szCs w:val="21"/>
                <w:highlight w:val="none"/>
              </w:rPr>
              <w:t>新宁镇新华路126号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2221A58">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00D62415">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23E1A5">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cs="宋体"/>
                <w:color w:val="auto"/>
                <w:sz w:val="21"/>
                <w:szCs w:val="21"/>
                <w:highlight w:val="none"/>
                <w:lang w:val="en-US" w:eastAsia="zh-CN"/>
              </w:rPr>
              <w:t>扶绥</w:t>
            </w:r>
            <w:r>
              <w:rPr>
                <w:rFonts w:hint="eastAsia" w:ascii="宋体" w:hAnsi="宋体" w:eastAsia="宋体" w:cs="宋体"/>
                <w:color w:val="auto"/>
                <w:sz w:val="21"/>
                <w:szCs w:val="21"/>
                <w:highlight w:val="none"/>
                <w:lang w:val="en-US" w:eastAsia="zh-CN"/>
              </w:rPr>
              <w:t>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7BCF634">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扶绥</w:t>
            </w:r>
            <w:r>
              <w:rPr>
                <w:rFonts w:hint="eastAsia" w:ascii="宋体" w:hAnsi="宋体" w:eastAsia="宋体" w:cs="宋体"/>
                <w:color w:val="auto"/>
                <w:sz w:val="21"/>
                <w:szCs w:val="21"/>
                <w:highlight w:val="none"/>
                <w:lang w:val="en-US" w:eastAsia="zh-CN"/>
              </w:rPr>
              <w:t>县南密路6号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AFE68D4">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0771-7531157</w:t>
            </w:r>
          </w:p>
        </w:tc>
      </w:tr>
      <w:tr w14:paraId="72789FD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24972E">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EE26CE4">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扶绥</w:t>
            </w:r>
            <w:r>
              <w:rPr>
                <w:rFonts w:hint="eastAsia" w:ascii="宋体" w:hAnsi="宋体" w:eastAsia="宋体" w:cs="宋体"/>
                <w:color w:val="auto"/>
                <w:sz w:val="21"/>
                <w:szCs w:val="21"/>
                <w:highlight w:val="none"/>
                <w:lang w:val="en-US" w:eastAsia="zh-CN"/>
              </w:rPr>
              <w:t>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vAlign w:val="center"/>
          </w:tcPr>
          <w:p w14:paraId="7AD3D281">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1D240B2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488C7C">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006E4C9">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扶绥</w:t>
            </w:r>
            <w:r>
              <w:rPr>
                <w:rFonts w:hint="eastAsia" w:ascii="宋体" w:hAnsi="宋体" w:eastAsia="宋体" w:cs="宋体"/>
                <w:color w:val="auto"/>
                <w:sz w:val="21"/>
                <w:szCs w:val="21"/>
                <w:highlight w:val="none"/>
                <w:lang w:eastAsia="zh-CN"/>
              </w:rPr>
              <w:t>县－</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32361763">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21A57D42">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2F7241">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w:t>
            </w:r>
            <w:r>
              <w:rPr>
                <w:rFonts w:hint="eastAsia" w:ascii="宋体" w:hAnsi="宋体" w:eastAsia="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41A2CF9">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扶绥</w:t>
            </w:r>
            <w:r>
              <w:rPr>
                <w:rFonts w:hint="eastAsia" w:ascii="宋体" w:hAnsi="宋体" w:eastAsia="宋体" w:cs="宋体"/>
                <w:color w:val="auto"/>
                <w:kern w:val="2"/>
                <w:sz w:val="21"/>
                <w:szCs w:val="21"/>
                <w:highlight w:val="none"/>
                <w:lang w:eastAsia="zh-CN" w:bidi="ar-SA"/>
              </w:rPr>
              <w:t>县新宁镇永宁路2-1号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4A65BA8">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4869BBE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8AB94B">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w:t>
            </w:r>
            <w:r>
              <w:rPr>
                <w:rFonts w:hint="eastAsia" w:ascii="宋体" w:hAnsi="宋体" w:cs="宋体"/>
                <w:color w:val="auto"/>
                <w:sz w:val="21"/>
                <w:szCs w:val="21"/>
                <w:highlight w:val="none"/>
                <w:lang w:val="en-US" w:eastAsia="zh-CN"/>
              </w:rPr>
              <w:t>扶绥</w:t>
            </w:r>
            <w:r>
              <w:rPr>
                <w:rFonts w:hint="eastAsia" w:ascii="宋体" w:hAnsi="宋体" w:eastAsia="宋体" w:cs="宋体"/>
                <w:color w:val="auto"/>
                <w:sz w:val="21"/>
                <w:szCs w:val="21"/>
                <w:highlight w:val="none"/>
                <w:lang w:val="en-US" w:eastAsia="zh-CN"/>
              </w:rPr>
              <w:t>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4F9F9D9">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扶绥</w:t>
            </w:r>
            <w:r>
              <w:rPr>
                <w:rFonts w:hint="eastAsia" w:ascii="宋体" w:hAnsi="宋体" w:eastAsia="宋体" w:cs="宋体"/>
                <w:color w:val="auto"/>
                <w:sz w:val="21"/>
                <w:szCs w:val="21"/>
                <w:highlight w:val="none"/>
                <w:lang w:eastAsia="zh-CN"/>
              </w:rPr>
              <w:t>县</w:t>
            </w:r>
            <w:r>
              <w:rPr>
                <w:rFonts w:hint="eastAsia" w:ascii="宋体" w:hAnsi="宋体" w:eastAsia="宋体" w:cs="宋体"/>
                <w:color w:val="auto"/>
                <w:sz w:val="21"/>
                <w:szCs w:val="21"/>
                <w:highlight w:val="none"/>
              </w:rPr>
              <w:t>松江路138号</w:t>
            </w:r>
            <w:r>
              <w:rPr>
                <w:rFonts w:hint="eastAsia" w:ascii="宋体" w:hAnsi="宋体" w:eastAsia="宋体" w:cs="宋体"/>
                <w:color w:val="auto"/>
                <w:sz w:val="21"/>
                <w:szCs w:val="21"/>
                <w:highlight w:val="none"/>
                <w:lang w:val="en-US" w:eastAsia="zh-CN"/>
              </w:rPr>
              <w:t>中国邮政储蓄银行天等县支行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4D3A4C3A">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0771-7536177</w:t>
            </w:r>
          </w:p>
        </w:tc>
      </w:tr>
      <w:tr w14:paraId="5B3C9BB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204816">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6D01CC7">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w:t>
            </w:r>
            <w:r>
              <w:rPr>
                <w:rFonts w:hint="eastAsia" w:ascii="宋体" w:hAnsi="宋体" w:cs="宋体"/>
                <w:color w:val="auto"/>
                <w:sz w:val="21"/>
                <w:szCs w:val="21"/>
                <w:highlight w:val="none"/>
                <w:lang w:val="en-US" w:eastAsia="zh-CN"/>
              </w:rPr>
              <w:t>扶绥</w:t>
            </w:r>
            <w:r>
              <w:rPr>
                <w:rFonts w:hint="eastAsia" w:ascii="宋体" w:hAnsi="宋体" w:eastAsia="宋体" w:cs="宋体"/>
                <w:color w:val="auto"/>
                <w:sz w:val="21"/>
                <w:szCs w:val="21"/>
                <w:highlight w:val="none"/>
                <w:lang w:val="en-US" w:eastAsia="zh-CN"/>
              </w:rPr>
              <w:t>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418A86D7">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76F6A4B1">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A4D60E">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w:t>
            </w:r>
            <w:r>
              <w:rPr>
                <w:rFonts w:hint="eastAsia" w:ascii="宋体" w:hAnsi="宋体" w:cs="宋体"/>
                <w:color w:val="auto"/>
                <w:sz w:val="21"/>
                <w:szCs w:val="21"/>
                <w:highlight w:val="none"/>
                <w:lang w:val="en-US" w:eastAsia="zh-CN"/>
              </w:rPr>
              <w:t>扶绥</w:t>
            </w:r>
            <w:r>
              <w:rPr>
                <w:rFonts w:hint="eastAsia" w:ascii="宋体" w:hAnsi="宋体" w:eastAsia="宋体" w:cs="宋体"/>
                <w:color w:val="auto"/>
                <w:sz w:val="21"/>
                <w:szCs w:val="21"/>
                <w:highlight w:val="none"/>
                <w:lang w:val="en-US" w:eastAsia="zh-CN"/>
              </w:rPr>
              <w:t>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305FEE2">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w:t>
            </w:r>
            <w:r>
              <w:rPr>
                <w:rFonts w:hint="eastAsia" w:ascii="宋体" w:hAnsi="宋体" w:cs="宋体"/>
                <w:color w:val="auto"/>
                <w:kern w:val="2"/>
                <w:sz w:val="21"/>
                <w:szCs w:val="21"/>
                <w:highlight w:val="none"/>
                <w:lang w:val="en-US" w:eastAsia="zh-CN" w:bidi="ar-SA"/>
              </w:rPr>
              <w:t>扶绥</w:t>
            </w:r>
            <w:r>
              <w:rPr>
                <w:rFonts w:hint="eastAsia" w:ascii="宋体" w:hAnsi="宋体" w:eastAsia="宋体" w:cs="宋体"/>
                <w:color w:val="auto"/>
                <w:kern w:val="2"/>
                <w:sz w:val="21"/>
                <w:szCs w:val="21"/>
                <w:highlight w:val="none"/>
                <w:lang w:val="en-US" w:eastAsia="zh-CN" w:bidi="ar-SA"/>
              </w:rPr>
              <w:t>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1E053BB9">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1DF6664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591D19">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7F83363">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扶绥</w:t>
            </w:r>
            <w:r>
              <w:rPr>
                <w:rFonts w:hint="eastAsia" w:ascii="宋体" w:hAnsi="宋体" w:eastAsia="宋体" w:cs="宋体"/>
                <w:color w:val="auto"/>
                <w:sz w:val="21"/>
                <w:szCs w:val="21"/>
                <w:highlight w:val="none"/>
                <w:lang w:val="en-US" w:eastAsia="zh-CN"/>
              </w:rPr>
              <w:t>县大景城1号楼正门旁</w:t>
            </w:r>
          </w:p>
        </w:tc>
        <w:tc>
          <w:tcPr>
            <w:tcW w:w="2125" w:type="dxa"/>
            <w:tcBorders>
              <w:top w:val="single" w:color="000000" w:sz="4" w:space="0"/>
              <w:left w:val="single" w:color="000000" w:sz="4" w:space="0"/>
              <w:bottom w:val="single" w:color="000000" w:sz="4" w:space="0"/>
              <w:right w:val="single" w:color="000000" w:sz="4" w:space="0"/>
            </w:tcBorders>
            <w:vAlign w:val="center"/>
          </w:tcPr>
          <w:p w14:paraId="02B61B21">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6FB8CE67">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60C7D39">
            <w:pPr>
              <w:widowControl/>
              <w:jc w:val="left"/>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3C030028">
            <w:pPr>
              <w:widowControl/>
              <w:jc w:val="left"/>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00F2A0F2">
            <w:pPr>
              <w:widowControl/>
              <w:jc w:val="center"/>
              <w:rPr>
                <w:rFonts w:hint="eastAsia" w:ascii="宋体" w:hAnsi="宋体" w:eastAsia="宋体" w:cs="宋体"/>
                <w:color w:val="auto"/>
                <w:sz w:val="21"/>
                <w:szCs w:val="21"/>
                <w:highlight w:val="none"/>
              </w:rPr>
            </w:pPr>
          </w:p>
        </w:tc>
      </w:tr>
      <w:tr w14:paraId="7978B7BF">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368529">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48CED13">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4EBE53B">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078489E6">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F6106D">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793E7F5">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9CA8A93">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6A8E1EBA">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DF8C7D">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9338C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6E3B565">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4521019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391237">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w:t>
            </w:r>
            <w:r>
              <w:rPr>
                <w:rFonts w:hint="eastAsia" w:ascii="宋体" w:hAnsi="宋体" w:eastAsia="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92D43F8">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FFCDCC0">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5CE66D8F">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2E1BB6">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7D70129">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C32B732">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0F6F8FBB">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7B3ACC">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5D9D011">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w:t>
            </w:r>
            <w:r>
              <w:rPr>
                <w:rFonts w:hint="eastAsia" w:ascii="宋体" w:hAnsi="宋体" w:eastAsia="宋体" w:cs="宋体"/>
                <w:color w:val="auto"/>
                <w:sz w:val="21"/>
                <w:szCs w:val="21"/>
                <w:highlight w:val="none"/>
                <w:lang w:eastAsia="zh-CN"/>
              </w:rPr>
              <w:t>幢</w:t>
            </w:r>
            <w:r>
              <w:rPr>
                <w:rFonts w:hint="eastAsia" w:ascii="宋体" w:hAnsi="宋体" w:eastAsia="宋体" w:cs="宋体"/>
                <w:color w:val="auto"/>
                <w:sz w:val="21"/>
                <w:szCs w:val="21"/>
                <w:highlight w:val="none"/>
              </w:rPr>
              <w:t>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2571D14B">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2ED56D56">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1169B0A">
            <w:pPr>
              <w:widowControl/>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3BDD2AC9">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104D2D">
            <w:pPr>
              <w:widowControl/>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C227EC">
            <w:pPr>
              <w:widowControl/>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62E9718">
            <w:pPr>
              <w:widowControl/>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281C55CA">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986982">
            <w:pPr>
              <w:widowControl/>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F1591E6">
            <w:pPr>
              <w:widowControl/>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227803A">
            <w:pPr>
              <w:widowControl/>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287C40D4">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67C55C">
            <w:pPr>
              <w:widowControl/>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2EAB125">
            <w:pPr>
              <w:widowControl/>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88EA948">
            <w:pPr>
              <w:widowControl/>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0D33AAE5">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AA58FE">
            <w:pPr>
              <w:widowControl/>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w:t>
            </w:r>
            <w:r>
              <w:rPr>
                <w:rFonts w:hint="eastAsia" w:ascii="宋体" w:hAnsi="宋体" w:eastAsia="宋体" w:cs="宋体"/>
                <w:color w:val="auto"/>
                <w:kern w:val="0"/>
                <w:sz w:val="21"/>
                <w:szCs w:val="21"/>
                <w:highlight w:val="none"/>
                <w:lang w:eastAsia="zh-CN" w:bidi="ar"/>
              </w:rPr>
              <w:t>“三农”</w:t>
            </w:r>
            <w:r>
              <w:rPr>
                <w:rFonts w:hint="eastAsia" w:ascii="宋体" w:hAnsi="宋体" w:eastAsia="宋体" w:cs="宋体"/>
                <w:color w:val="auto"/>
                <w:kern w:val="0"/>
                <w:sz w:val="21"/>
                <w:szCs w:val="21"/>
                <w:highlight w:val="none"/>
                <w:lang w:bidi="ar"/>
              </w:rPr>
              <w:t>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F013738">
            <w:pPr>
              <w:widowControl/>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8809081">
            <w:pPr>
              <w:widowControl/>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11192FE3">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EB18EF">
            <w:pPr>
              <w:widowControl/>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AAC6CC8">
            <w:pPr>
              <w:widowControl/>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453154CC">
            <w:pPr>
              <w:widowControl/>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058BFA0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279E28">
            <w:pPr>
              <w:widowControl/>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F65E2E7">
            <w:pPr>
              <w:widowControl/>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44CE102B">
            <w:pPr>
              <w:widowControl/>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1E65F61E">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4C8DCA">
            <w:pPr>
              <w:widowControl/>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1747A0A">
            <w:pPr>
              <w:widowControl/>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20CD156">
            <w:pPr>
              <w:widowControl/>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16C1CCFA">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3D76CD">
            <w:pPr>
              <w:widowControl/>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0421EF0">
            <w:pPr>
              <w:widowControl/>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C3B25C1">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FB0A66A">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E63813">
            <w:pPr>
              <w:widowControl/>
              <w:jc w:val="left"/>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16F59B08">
            <w:pPr>
              <w:widowControl/>
              <w:jc w:val="left"/>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5108260B">
            <w:pPr>
              <w:widowControl/>
              <w:jc w:val="center"/>
              <w:rPr>
                <w:rFonts w:hint="eastAsia" w:ascii="宋体" w:hAnsi="宋体" w:eastAsia="宋体" w:cs="宋体"/>
                <w:color w:val="auto"/>
                <w:sz w:val="21"/>
                <w:szCs w:val="21"/>
                <w:highlight w:val="none"/>
              </w:rPr>
            </w:pPr>
          </w:p>
        </w:tc>
      </w:tr>
      <w:tr w14:paraId="7F5B79FB">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4E60E4">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DDC7E77">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1281659">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6C9EB525">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B5DF7F">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0492981">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A363648">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7ECE3151">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549D75">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2C1D5C2">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BDDC1E2">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5C29C83C">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CA0708">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40989AD">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2F62298">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49715FE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6FE7A47">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2393890">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vAlign w:val="center"/>
          </w:tcPr>
          <w:p w14:paraId="2435FF6B">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3F9EB17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3AFB13">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79B5FD8">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5F2E07E0">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2D7C09E5">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BBFAE0">
            <w:pPr>
              <w:widowControl/>
              <w:jc w:val="both"/>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62654CFB">
            <w:pPr>
              <w:widowControl/>
              <w:jc w:val="left"/>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2E132A33">
            <w:pPr>
              <w:widowControl/>
              <w:jc w:val="center"/>
              <w:rPr>
                <w:rFonts w:hint="eastAsia" w:ascii="宋体" w:hAnsi="宋体" w:eastAsia="宋体" w:cs="宋体"/>
                <w:color w:val="auto"/>
                <w:sz w:val="21"/>
                <w:szCs w:val="21"/>
                <w:highlight w:val="none"/>
              </w:rPr>
            </w:pPr>
          </w:p>
        </w:tc>
      </w:tr>
      <w:tr w14:paraId="7CA6701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158D6E">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00EDEFC">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FA74281">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1FC956A3">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118CF1">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F2DA8AA">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天等县天等镇天宝北路007号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7AD9595">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21316E95">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D99057">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1CC5E70">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E4BE41A">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335CF09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5B7DAA">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01A51E7">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08047FA">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104FEB31">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1BDCEF">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945A634">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E19BDAE">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2ADD2E5E">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8A4789B">
            <w:pPr>
              <w:widowControl/>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4BD57CC7">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118396">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C0BA965">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42DAC60">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11EEBE35">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3FB41B">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30BB474">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2A8D094">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19B193E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432A17">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A65AB93">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FC85B7F">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711AEF05">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E6B368">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ED507B1">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7F777B62">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283EF1D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4D4565">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592AEA2">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1CD8B17">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2399A3A1">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B5F420">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2DA62EA">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628DE8E">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1E018D3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7DC27F">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4CB036D">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524C7D7">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37D4B66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FF7C57">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BF87BB2">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39E9F6E">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743BA61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1477B6">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5ACCBD3">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FEB7D9F">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1CFF7491">
      <w:pPr>
        <w:pStyle w:val="16"/>
        <w:rPr>
          <w:rFonts w:hint="eastAsia" w:eastAsia="黑体"/>
          <w:color w:val="auto"/>
          <w:highlight w:val="none"/>
          <w:lang w:eastAsia="zh-CN"/>
        </w:rPr>
        <w:sectPr>
          <w:pgSz w:w="11906" w:h="16838"/>
          <w:pgMar w:top="1134" w:right="1247" w:bottom="1560" w:left="1247" w:header="851" w:footer="992" w:gutter="0"/>
          <w:cols w:space="720" w:num="1"/>
          <w:titlePg/>
          <w:docGrid w:linePitch="312" w:charSpace="0"/>
        </w:sectPr>
      </w:pPr>
    </w:p>
    <w:p w14:paraId="2524E839">
      <w:pPr>
        <w:pStyle w:val="15"/>
        <w:keepNext w:val="0"/>
        <w:keepLines w:val="0"/>
        <w:tabs>
          <w:tab w:val="left" w:pos="0"/>
          <w:tab w:val="left" w:pos="3165"/>
          <w:tab w:val="center" w:pos="4153"/>
        </w:tabs>
        <w:autoSpaceDE w:val="0"/>
        <w:autoSpaceDN w:val="0"/>
        <w:spacing w:before="0" w:after="0" w:line="360" w:lineRule="auto"/>
        <w:jc w:val="center"/>
        <w:rPr>
          <w:rFonts w:hint="eastAsia" w:ascii="宋体" w:hAnsi="宋体" w:cs="宋体"/>
          <w:color w:val="auto"/>
          <w:highlight w:val="none"/>
        </w:rPr>
      </w:pPr>
      <w:bookmarkStart w:id="163" w:name="_Toc254970689"/>
      <w:bookmarkStart w:id="164" w:name="_Toc19686832"/>
      <w:bookmarkStart w:id="165" w:name="_Toc330456896"/>
      <w:bookmarkStart w:id="166" w:name="_Toc11537"/>
      <w:bookmarkStart w:id="167" w:name="_Toc31034"/>
      <w:bookmarkStart w:id="168" w:name="_Toc18686"/>
      <w:bookmarkStart w:id="169" w:name="_Toc254970548"/>
      <w:r>
        <w:rPr>
          <w:rFonts w:hint="eastAsia" w:ascii="宋体" w:hAnsi="宋体" w:cs="宋体"/>
          <w:color w:val="auto"/>
          <w:highlight w:val="none"/>
        </w:rPr>
        <w:t>第四章评标方法及评标标准</w:t>
      </w:r>
      <w:bookmarkEnd w:id="163"/>
      <w:bookmarkEnd w:id="164"/>
      <w:bookmarkEnd w:id="165"/>
      <w:bookmarkEnd w:id="166"/>
      <w:bookmarkEnd w:id="167"/>
      <w:bookmarkEnd w:id="168"/>
      <w:bookmarkEnd w:id="169"/>
    </w:p>
    <w:p w14:paraId="754A7EB2">
      <w:pPr>
        <w:pStyle w:val="16"/>
        <w:spacing w:before="0" w:after="0" w:line="360" w:lineRule="auto"/>
        <w:rPr>
          <w:rFonts w:hint="eastAsia" w:ascii="宋体" w:hAnsi="宋体" w:eastAsia="宋体"/>
          <w:color w:val="auto"/>
          <w:highlight w:val="none"/>
        </w:rPr>
      </w:pPr>
      <w:bookmarkStart w:id="170" w:name="_Toc22768"/>
      <w:bookmarkStart w:id="171" w:name="_Toc24129"/>
      <w:bookmarkStart w:id="172" w:name="_Toc8752"/>
      <w:r>
        <w:rPr>
          <w:rFonts w:hint="eastAsia" w:ascii="宋体" w:hAnsi="宋体" w:eastAsia="宋体"/>
          <w:color w:val="auto"/>
          <w:highlight w:val="none"/>
        </w:rPr>
        <w:t>一、评标方法</w:t>
      </w:r>
      <w:bookmarkEnd w:id="170"/>
      <w:bookmarkEnd w:id="171"/>
      <w:bookmarkEnd w:id="172"/>
    </w:p>
    <w:p w14:paraId="24685D47">
      <w:pPr>
        <w:pStyle w:val="50"/>
        <w:spacing w:line="360" w:lineRule="auto"/>
        <w:ind w:firstLine="420"/>
        <w:rPr>
          <w:rFonts w:hint="eastAsia" w:hAnsi="宋体" w:cs="宋体"/>
          <w:color w:val="auto"/>
          <w:sz w:val="21"/>
          <w:highlight w:val="none"/>
        </w:rPr>
      </w:pPr>
      <w:r>
        <w:rPr>
          <w:rFonts w:hint="eastAsia" w:hAnsi="宋体" w:cs="宋体"/>
          <w:color w:val="auto"/>
          <w:sz w:val="21"/>
          <w:highlight w:val="none"/>
        </w:rPr>
        <w:t>综合评分法，是指投标文件满足招标文件全部实质性要求，且按照评审因素的量化指标评审得分最高的投标人为中标人的评标方法。</w:t>
      </w:r>
    </w:p>
    <w:p w14:paraId="1DE880E2">
      <w:pPr>
        <w:pStyle w:val="50"/>
        <w:spacing w:line="360" w:lineRule="auto"/>
        <w:ind w:firstLine="420"/>
        <w:rPr>
          <w:rFonts w:hint="eastAsia" w:hAnsi="宋体" w:cs="宋体"/>
          <w:color w:val="auto"/>
          <w:sz w:val="21"/>
          <w:highlight w:val="none"/>
        </w:rPr>
      </w:pPr>
      <w:r>
        <w:rPr>
          <w:rFonts w:hint="eastAsia" w:hAnsi="宋体" w:cs="宋体"/>
          <w:color w:val="auto"/>
          <w:sz w:val="21"/>
          <w:highlight w:val="none"/>
        </w:rPr>
        <w:t>最低评标价法，是指投标文件满足招标文件全部实质性要求，且投标报价最低的投标人为中标人的评标方法。</w:t>
      </w:r>
    </w:p>
    <w:p w14:paraId="394FED4A">
      <w:pPr>
        <w:pStyle w:val="16"/>
        <w:spacing w:before="0" w:after="0" w:line="360" w:lineRule="auto"/>
        <w:jc w:val="center"/>
        <w:rPr>
          <w:rFonts w:hint="eastAsia" w:ascii="宋体" w:hAnsi="宋体" w:eastAsia="宋体"/>
          <w:color w:val="auto"/>
          <w:highlight w:val="none"/>
        </w:rPr>
      </w:pPr>
      <w:bookmarkStart w:id="173" w:name="_Toc3300"/>
      <w:bookmarkStart w:id="174" w:name="_Toc25462"/>
      <w:bookmarkStart w:id="175" w:name="_Toc25169"/>
      <w:r>
        <w:rPr>
          <w:rFonts w:hint="eastAsia" w:ascii="宋体" w:hAnsi="宋体" w:eastAsia="宋体"/>
          <w:color w:val="auto"/>
          <w:highlight w:val="none"/>
        </w:rPr>
        <w:t>二、评标程序</w:t>
      </w:r>
      <w:bookmarkEnd w:id="173"/>
      <w:bookmarkEnd w:id="174"/>
      <w:bookmarkEnd w:id="175"/>
    </w:p>
    <w:p w14:paraId="41D98875">
      <w:pPr>
        <w:pStyle w:val="50"/>
        <w:spacing w:line="360" w:lineRule="auto"/>
        <w:ind w:firstLine="420"/>
        <w:rPr>
          <w:rFonts w:hint="eastAsia" w:hAnsi="宋体" w:cs="宋体"/>
          <w:b/>
          <w:color w:val="auto"/>
          <w:sz w:val="21"/>
          <w:highlight w:val="none"/>
        </w:rPr>
      </w:pPr>
      <w:r>
        <w:rPr>
          <w:rFonts w:hint="eastAsia" w:hAnsi="宋体" w:cs="宋体"/>
          <w:b/>
          <w:color w:val="auto"/>
          <w:sz w:val="21"/>
          <w:highlight w:val="none"/>
        </w:rPr>
        <w:t>1.符合性审查</w:t>
      </w:r>
    </w:p>
    <w:p w14:paraId="106AF33D">
      <w:pPr>
        <w:pStyle w:val="50"/>
        <w:spacing w:line="360" w:lineRule="auto"/>
        <w:ind w:firstLine="420"/>
        <w:rPr>
          <w:rFonts w:hint="eastAsia" w:hAnsi="宋体" w:cs="宋体"/>
          <w:color w:val="auto"/>
          <w:sz w:val="21"/>
          <w:highlight w:val="none"/>
        </w:rPr>
      </w:pPr>
      <w:r>
        <w:rPr>
          <w:rFonts w:hint="eastAsia" w:hAnsi="宋体" w:cs="宋体"/>
          <w:color w:val="auto"/>
          <w:sz w:val="21"/>
          <w:highlight w:val="none"/>
        </w:rPr>
        <w:t>评标委员会应当对符合资格的投标人的投标文件进行投标报价、商务、技术等实质性内容符合性审查，以确定其是否满足招标文件的实质性要求。</w:t>
      </w:r>
    </w:p>
    <w:p w14:paraId="1108800C">
      <w:pPr>
        <w:pStyle w:val="50"/>
        <w:spacing w:line="360" w:lineRule="auto"/>
        <w:ind w:firstLine="420"/>
        <w:rPr>
          <w:rFonts w:hint="eastAsia" w:hAnsi="宋体" w:cs="宋体"/>
          <w:b/>
          <w:color w:val="auto"/>
          <w:sz w:val="21"/>
          <w:highlight w:val="none"/>
        </w:rPr>
      </w:pPr>
      <w:r>
        <w:rPr>
          <w:rFonts w:hint="eastAsia" w:hAnsi="宋体" w:cs="宋体"/>
          <w:b/>
          <w:color w:val="auto"/>
          <w:sz w:val="21"/>
          <w:highlight w:val="none"/>
        </w:rPr>
        <w:t>2.符合性审查不通过而导致投标无效的情形</w:t>
      </w:r>
    </w:p>
    <w:p w14:paraId="641FE764">
      <w:pPr>
        <w:pStyle w:val="50"/>
        <w:spacing w:line="360" w:lineRule="auto"/>
        <w:ind w:firstLine="420"/>
        <w:rPr>
          <w:rFonts w:hint="eastAsia" w:hAnsi="宋体" w:cs="宋体"/>
          <w:color w:val="auto"/>
          <w:sz w:val="21"/>
          <w:highlight w:val="none"/>
        </w:rPr>
      </w:pPr>
      <w:r>
        <w:rPr>
          <w:rFonts w:hint="eastAsia" w:hAnsi="宋体" w:cs="宋体"/>
          <w:color w:val="auto"/>
          <w:sz w:val="21"/>
          <w:highlight w:val="none"/>
        </w:rPr>
        <w:t>投标人的投标文件中存在对招标文件的任何实质性要求和条件的负偏离，将被视为投标无效。</w:t>
      </w:r>
    </w:p>
    <w:p w14:paraId="5BF37391">
      <w:pPr>
        <w:pStyle w:val="50"/>
        <w:spacing w:line="360" w:lineRule="auto"/>
        <w:ind w:firstLine="420"/>
        <w:rPr>
          <w:rFonts w:hint="eastAsia" w:hAnsi="宋体" w:cs="宋体"/>
          <w:color w:val="auto"/>
          <w:sz w:val="21"/>
          <w:highlight w:val="none"/>
        </w:rPr>
      </w:pPr>
      <w:r>
        <w:rPr>
          <w:rFonts w:hint="eastAsia" w:hAnsi="宋体" w:cs="宋体"/>
          <w:color w:val="auto"/>
          <w:sz w:val="21"/>
          <w:highlight w:val="none"/>
        </w:rPr>
        <w:t>2.1在报价评审时，如发现下列情形之一的，将被视为投标无：</w:t>
      </w:r>
    </w:p>
    <w:p w14:paraId="130C4EF5">
      <w:pPr>
        <w:pStyle w:val="50"/>
        <w:spacing w:line="360" w:lineRule="auto"/>
        <w:ind w:firstLine="420"/>
        <w:rPr>
          <w:rFonts w:hint="eastAsia" w:hAnsi="宋体" w:cs="宋体"/>
          <w:color w:val="auto"/>
          <w:kern w:val="2"/>
          <w:sz w:val="21"/>
          <w:highlight w:val="none"/>
        </w:rPr>
      </w:pPr>
      <w:r>
        <w:rPr>
          <w:rFonts w:hint="eastAsia" w:hAnsi="宋体" w:cs="宋体"/>
          <w:color w:val="auto"/>
          <w:kern w:val="2"/>
          <w:sz w:val="21"/>
          <w:highlight w:val="none"/>
        </w:rPr>
        <w:t>（1）投标文件未提供</w:t>
      </w:r>
      <w:r>
        <w:rPr>
          <w:rFonts w:hint="eastAsia" w:hAnsi="宋体" w:cs="宋体"/>
          <w:color w:val="auto"/>
          <w:kern w:val="2"/>
          <w:sz w:val="21"/>
          <w:highlight w:val="none"/>
          <w:lang w:eastAsia="zh-CN"/>
        </w:rPr>
        <w:t>“</w:t>
      </w:r>
      <w:r>
        <w:rPr>
          <w:rFonts w:hint="eastAsia" w:hAnsi="宋体" w:cs="宋体"/>
          <w:color w:val="auto"/>
          <w:kern w:val="2"/>
          <w:sz w:val="21"/>
          <w:highlight w:val="none"/>
        </w:rPr>
        <w:t>投标人须知前附表</w:t>
      </w:r>
      <w:r>
        <w:rPr>
          <w:rFonts w:hint="eastAsia" w:hAnsi="宋体" w:cs="宋体"/>
          <w:color w:val="auto"/>
          <w:kern w:val="2"/>
          <w:sz w:val="21"/>
          <w:highlight w:val="none"/>
          <w:lang w:eastAsia="zh-CN"/>
        </w:rPr>
        <w:t>”</w:t>
      </w:r>
      <w:r>
        <w:rPr>
          <w:rFonts w:hint="eastAsia" w:hAnsi="宋体" w:cs="宋体"/>
          <w:color w:val="auto"/>
          <w:kern w:val="2"/>
          <w:sz w:val="21"/>
          <w:highlight w:val="none"/>
        </w:rPr>
        <w:t>第13.1条规定中必须提供的文件资料的</w:t>
      </w:r>
      <w:r>
        <w:rPr>
          <w:rFonts w:hint="eastAsia" w:hAnsi="宋体" w:cs="宋体"/>
          <w:color w:val="auto"/>
          <w:kern w:val="2"/>
          <w:sz w:val="21"/>
          <w:highlight w:val="none"/>
          <w:lang w:eastAsia="zh-CN"/>
        </w:rPr>
        <w:t>；</w:t>
      </w:r>
    </w:p>
    <w:p w14:paraId="25907592">
      <w:pPr>
        <w:pStyle w:val="50"/>
        <w:spacing w:line="360" w:lineRule="auto"/>
        <w:ind w:firstLine="420"/>
        <w:rPr>
          <w:rFonts w:hint="eastAsia" w:hAnsi="宋体" w:cs="宋体"/>
          <w:color w:val="auto"/>
          <w:kern w:val="2"/>
          <w:sz w:val="21"/>
          <w:highlight w:val="none"/>
        </w:rPr>
      </w:pPr>
      <w:r>
        <w:rPr>
          <w:rFonts w:hint="eastAsia" w:hAnsi="宋体" w:cs="宋体"/>
          <w:color w:val="auto"/>
          <w:kern w:val="2"/>
          <w:sz w:val="21"/>
          <w:highlight w:val="none"/>
        </w:rPr>
        <w:t>（2）未采用人民币报价或者未按照招标文件标明的币种报价的；</w:t>
      </w:r>
    </w:p>
    <w:p w14:paraId="0BE53DDC">
      <w:pPr>
        <w:pStyle w:val="50"/>
        <w:spacing w:line="360" w:lineRule="auto"/>
        <w:ind w:firstLine="420"/>
        <w:rPr>
          <w:rFonts w:hint="eastAsia" w:hAnsi="宋体" w:cs="宋体"/>
          <w:color w:val="auto"/>
          <w:kern w:val="2"/>
          <w:sz w:val="21"/>
          <w:highlight w:val="none"/>
        </w:rPr>
      </w:pPr>
      <w:r>
        <w:rPr>
          <w:rFonts w:hint="eastAsia" w:hAnsi="宋体" w:cs="宋体"/>
          <w:color w:val="auto"/>
          <w:kern w:val="2"/>
          <w:sz w:val="21"/>
          <w:highlight w:val="none"/>
        </w:rPr>
        <w:t>（3）报价超出招标文件规定最高限价，或者超出采购预算金额的；</w:t>
      </w:r>
    </w:p>
    <w:p w14:paraId="7E3FF7C8">
      <w:pPr>
        <w:pStyle w:val="50"/>
        <w:spacing w:line="360" w:lineRule="auto"/>
        <w:ind w:firstLine="420"/>
        <w:rPr>
          <w:rFonts w:hint="eastAsia" w:hAnsi="宋体" w:cs="宋体"/>
          <w:color w:val="auto"/>
          <w:kern w:val="2"/>
          <w:sz w:val="21"/>
          <w:highlight w:val="none"/>
        </w:rPr>
      </w:pPr>
      <w:r>
        <w:rPr>
          <w:rFonts w:hint="eastAsia" w:hAnsi="宋体" w:cs="宋体"/>
          <w:color w:val="auto"/>
          <w:kern w:val="2"/>
          <w:sz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08974AA6">
      <w:pPr>
        <w:pStyle w:val="50"/>
        <w:spacing w:line="360" w:lineRule="auto"/>
        <w:ind w:firstLine="420"/>
        <w:rPr>
          <w:rFonts w:hint="eastAsia" w:hAnsi="宋体" w:cs="宋体"/>
          <w:color w:val="auto"/>
          <w:kern w:val="2"/>
          <w:sz w:val="21"/>
          <w:highlight w:val="none"/>
        </w:rPr>
      </w:pPr>
      <w:r>
        <w:rPr>
          <w:rFonts w:hint="eastAsia" w:hAnsi="宋体" w:cs="宋体"/>
          <w:color w:val="auto"/>
          <w:kern w:val="2"/>
          <w:sz w:val="21"/>
          <w:highlight w:val="none"/>
        </w:rPr>
        <w:t>（5）修正后的报价，投标人不确认的；</w:t>
      </w:r>
    </w:p>
    <w:p w14:paraId="0A43CF85">
      <w:pPr>
        <w:pStyle w:val="50"/>
        <w:spacing w:line="360" w:lineRule="auto"/>
        <w:ind w:firstLine="420"/>
        <w:rPr>
          <w:rFonts w:hint="eastAsia" w:hAnsi="宋体" w:cs="宋体"/>
          <w:color w:val="auto"/>
          <w:kern w:val="2"/>
          <w:sz w:val="21"/>
          <w:highlight w:val="none"/>
        </w:rPr>
      </w:pPr>
      <w:r>
        <w:rPr>
          <w:rFonts w:hint="eastAsia" w:hAnsi="宋体" w:cs="宋体"/>
          <w:color w:val="auto"/>
          <w:kern w:val="2"/>
          <w:sz w:val="21"/>
          <w:highlight w:val="none"/>
        </w:rPr>
        <w:t>（6）投标人属于本章第5条第（2）项情形的。</w:t>
      </w:r>
    </w:p>
    <w:p w14:paraId="03CCBCD0">
      <w:pPr>
        <w:pStyle w:val="50"/>
        <w:spacing w:line="360" w:lineRule="auto"/>
        <w:ind w:firstLine="420"/>
        <w:rPr>
          <w:rFonts w:hint="eastAsia" w:hAnsi="宋体" w:cs="宋体"/>
          <w:color w:val="auto"/>
          <w:kern w:val="2"/>
          <w:sz w:val="21"/>
          <w:highlight w:val="none"/>
        </w:rPr>
      </w:pPr>
      <w:r>
        <w:rPr>
          <w:rFonts w:hint="eastAsia" w:hAnsi="宋体" w:cs="宋体"/>
          <w:color w:val="auto"/>
          <w:kern w:val="2"/>
          <w:sz w:val="21"/>
          <w:highlight w:val="none"/>
        </w:rPr>
        <w:t>（</w:t>
      </w:r>
      <w:r>
        <w:rPr>
          <w:rFonts w:hint="eastAsia" w:hAnsi="宋体" w:cs="宋体"/>
          <w:color w:val="auto"/>
          <w:kern w:val="2"/>
          <w:sz w:val="21"/>
          <w:highlight w:val="none"/>
          <w:lang w:val="en-US" w:eastAsia="zh-CN"/>
        </w:rPr>
        <w:t>7</w:t>
      </w:r>
      <w:r>
        <w:rPr>
          <w:rFonts w:hint="eastAsia" w:hAnsi="宋体" w:cs="宋体"/>
          <w:color w:val="auto"/>
          <w:kern w:val="2"/>
          <w:sz w:val="21"/>
          <w:highlight w:val="none"/>
        </w:rPr>
        <w:t>）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2483CCB0">
      <w:pPr>
        <w:pStyle w:val="50"/>
        <w:spacing w:line="360" w:lineRule="auto"/>
        <w:ind w:firstLine="420"/>
        <w:rPr>
          <w:rFonts w:hint="eastAsia" w:hAnsi="宋体" w:cs="宋体"/>
          <w:color w:val="auto"/>
          <w:kern w:val="2"/>
          <w:sz w:val="21"/>
          <w:highlight w:val="none"/>
        </w:rPr>
      </w:pPr>
      <w:r>
        <w:rPr>
          <w:rFonts w:hint="eastAsia" w:hAnsi="宋体" w:cs="宋体"/>
          <w:color w:val="auto"/>
          <w:kern w:val="2"/>
          <w:sz w:val="21"/>
          <w:highlight w:val="none"/>
        </w:rPr>
        <w:t>（</w:t>
      </w:r>
      <w:r>
        <w:rPr>
          <w:rFonts w:hint="eastAsia" w:hAnsi="宋体" w:cs="宋体"/>
          <w:color w:val="auto"/>
          <w:kern w:val="2"/>
          <w:sz w:val="21"/>
          <w:highlight w:val="none"/>
          <w:lang w:val="en-US" w:eastAsia="zh-CN"/>
        </w:rPr>
        <w:t>8</w:t>
      </w:r>
      <w:r>
        <w:rPr>
          <w:rFonts w:hint="eastAsia" w:hAnsi="宋体" w:cs="宋体"/>
          <w:color w:val="auto"/>
          <w:kern w:val="2"/>
          <w:sz w:val="21"/>
          <w:highlight w:val="none"/>
        </w:rPr>
        <w:t>）修正后的报价，投标人不</w:t>
      </w:r>
      <w:r>
        <w:rPr>
          <w:rFonts w:hint="eastAsia" w:hAnsi="宋体" w:cs="宋体"/>
          <w:color w:val="auto"/>
          <w:kern w:val="2"/>
          <w:sz w:val="21"/>
          <w:highlight w:val="none"/>
          <w:lang w:val="en-US" w:eastAsia="zh-CN"/>
        </w:rPr>
        <w:t>接受</w:t>
      </w:r>
      <w:r>
        <w:rPr>
          <w:rFonts w:hint="eastAsia" w:hAnsi="宋体" w:cs="宋体"/>
          <w:color w:val="auto"/>
          <w:kern w:val="2"/>
          <w:sz w:val="21"/>
          <w:highlight w:val="none"/>
        </w:rPr>
        <w:t>的；</w:t>
      </w:r>
    </w:p>
    <w:p w14:paraId="6C8CEAF1">
      <w:pPr>
        <w:pStyle w:val="50"/>
        <w:spacing w:line="360" w:lineRule="auto"/>
        <w:ind w:firstLine="420"/>
        <w:rPr>
          <w:rFonts w:hint="eastAsia" w:hAnsi="宋体" w:cs="宋体"/>
          <w:color w:val="auto"/>
          <w:kern w:val="2"/>
          <w:sz w:val="21"/>
          <w:highlight w:val="none"/>
        </w:rPr>
      </w:pPr>
      <w:r>
        <w:rPr>
          <w:rFonts w:hint="eastAsia" w:hAnsi="宋体" w:cs="宋体"/>
          <w:color w:val="auto"/>
          <w:kern w:val="2"/>
          <w:sz w:val="21"/>
          <w:highlight w:val="none"/>
        </w:rPr>
        <w:t>（12）投标人属于本章第5条第（2）项情形的。</w:t>
      </w:r>
    </w:p>
    <w:p w14:paraId="5DAE3563">
      <w:pPr>
        <w:pStyle w:val="50"/>
        <w:spacing w:line="360" w:lineRule="auto"/>
        <w:ind w:firstLine="420"/>
        <w:rPr>
          <w:rFonts w:hint="eastAsia" w:hAnsi="宋体" w:cs="宋体"/>
          <w:color w:val="auto"/>
          <w:kern w:val="2"/>
          <w:sz w:val="21"/>
          <w:highlight w:val="none"/>
        </w:rPr>
      </w:pPr>
      <w:r>
        <w:rPr>
          <w:rFonts w:hint="eastAsia" w:hAnsi="宋体" w:cs="宋体"/>
          <w:color w:val="auto"/>
          <w:kern w:val="2"/>
          <w:sz w:val="21"/>
          <w:highlight w:val="none"/>
        </w:rPr>
        <w:t>2.2在商务评审时，如发现下列情形之一的，将被视为投标无效：</w:t>
      </w:r>
    </w:p>
    <w:p w14:paraId="01273CF6">
      <w:pPr>
        <w:pStyle w:val="50"/>
        <w:spacing w:line="360" w:lineRule="auto"/>
        <w:ind w:firstLine="420"/>
        <w:rPr>
          <w:rFonts w:hint="eastAsia"/>
          <w:color w:val="auto"/>
          <w:sz w:val="21"/>
          <w:highlight w:val="none"/>
        </w:rPr>
      </w:pPr>
      <w:r>
        <w:rPr>
          <w:rFonts w:hint="eastAsia"/>
          <w:color w:val="auto"/>
          <w:sz w:val="21"/>
          <w:highlight w:val="none"/>
        </w:rPr>
        <w:t>（1）投标文件未按招标文件要求签署、盖章的；</w:t>
      </w:r>
    </w:p>
    <w:p w14:paraId="5FD65362">
      <w:pPr>
        <w:pStyle w:val="50"/>
        <w:spacing w:line="360" w:lineRule="auto"/>
        <w:ind w:firstLine="420"/>
        <w:rPr>
          <w:rFonts w:hint="eastAsia" w:eastAsia="宋体"/>
          <w:color w:val="auto"/>
          <w:sz w:val="21"/>
          <w:highlight w:val="none"/>
          <w:lang w:eastAsia="zh-CN"/>
        </w:rPr>
      </w:pPr>
      <w:r>
        <w:rPr>
          <w:rFonts w:hint="eastAsia"/>
          <w:color w:val="auto"/>
          <w:sz w:val="21"/>
          <w:highlight w:val="none"/>
        </w:rPr>
        <w:t>（2）委托代理人未能出具有效身份证明或者出具的身份证明与授权委托书中的信息不符的；</w:t>
      </w:r>
    </w:p>
    <w:p w14:paraId="2D1A8FD1">
      <w:pPr>
        <w:pStyle w:val="50"/>
        <w:spacing w:line="360" w:lineRule="auto"/>
        <w:ind w:firstLine="420"/>
        <w:rPr>
          <w:color w:val="auto"/>
          <w:sz w:val="21"/>
          <w:highlight w:val="none"/>
        </w:rPr>
      </w:pPr>
      <w:r>
        <w:rPr>
          <w:rFonts w:hint="eastAsia"/>
          <w:color w:val="auto"/>
          <w:sz w:val="21"/>
          <w:highlight w:val="none"/>
        </w:rPr>
        <w:t>（3）投标保证金</w:t>
      </w:r>
      <w:r>
        <w:rPr>
          <w:rFonts w:hint="eastAsia"/>
          <w:color w:val="auto"/>
          <w:sz w:val="21"/>
          <w:highlight w:val="none"/>
          <w:lang w:val="en-US" w:eastAsia="zh-CN"/>
        </w:rPr>
        <w:t>无效</w:t>
      </w:r>
      <w:r>
        <w:rPr>
          <w:rFonts w:hint="eastAsia"/>
          <w:color w:val="auto"/>
          <w:sz w:val="21"/>
          <w:highlight w:val="none"/>
        </w:rPr>
        <w:t>的或者未按照招标文件的规定提交投标保证金的；</w:t>
      </w:r>
    </w:p>
    <w:p w14:paraId="74937E54">
      <w:pPr>
        <w:pStyle w:val="35"/>
        <w:spacing w:line="360" w:lineRule="auto"/>
        <w:ind w:left="0" w:firstLine="420" w:firstLineChars="200"/>
        <w:rPr>
          <w:rFonts w:hint="eastAsia"/>
          <w:color w:val="auto"/>
          <w:highlight w:val="none"/>
        </w:rPr>
      </w:pPr>
      <w:r>
        <w:rPr>
          <w:rFonts w:hint="eastAsia"/>
          <w:color w:val="auto"/>
          <w:highlight w:val="none"/>
        </w:rPr>
        <w:t>（4）投标文件未提供“投标人须知前附表”第13.1条规定中“必须提供”或者“委托时必须提供”</w:t>
      </w:r>
      <w:r>
        <w:rPr>
          <w:rFonts w:hint="eastAsia"/>
          <w:color w:val="auto"/>
          <w:highlight w:val="none"/>
          <w:lang w:eastAsia="zh-CN"/>
        </w:rPr>
        <w:t>的</w:t>
      </w:r>
    </w:p>
    <w:p w14:paraId="344F50E6">
      <w:pPr>
        <w:pStyle w:val="35"/>
        <w:spacing w:line="360" w:lineRule="auto"/>
        <w:ind w:left="0" w:firstLine="420" w:firstLineChars="200"/>
        <w:rPr>
          <w:rFonts w:hint="eastAsia"/>
          <w:color w:val="auto"/>
          <w:highlight w:val="none"/>
        </w:rPr>
      </w:pPr>
      <w:r>
        <w:rPr>
          <w:rFonts w:hint="eastAsia"/>
          <w:color w:val="auto"/>
          <w:highlight w:val="none"/>
        </w:rPr>
        <w:t>文件</w:t>
      </w:r>
      <w:r>
        <w:rPr>
          <w:rFonts w:hint="eastAsia"/>
          <w:color w:val="auto"/>
          <w:highlight w:val="none"/>
          <w:lang w:eastAsia="zh-CN"/>
        </w:rPr>
        <w:t>资料；</w:t>
      </w:r>
    </w:p>
    <w:p w14:paraId="41D0AAC7">
      <w:pPr>
        <w:pStyle w:val="35"/>
        <w:spacing w:line="360" w:lineRule="auto"/>
        <w:ind w:left="0" w:firstLine="420" w:firstLineChars="200"/>
        <w:rPr>
          <w:rFonts w:hint="eastAsia"/>
          <w:color w:val="auto"/>
          <w:highlight w:val="none"/>
        </w:rPr>
      </w:pPr>
      <w:r>
        <w:rPr>
          <w:rFonts w:hint="eastAsia"/>
          <w:color w:val="auto"/>
          <w:highlight w:val="none"/>
        </w:rPr>
        <w:t>（5）投标有效期、项目完成时间（交货时间、服务完成时间或者服务期等）、质保期、后续服务等招标文件中</w:t>
      </w:r>
      <w:r>
        <w:rPr>
          <w:rFonts w:hint="eastAsia"/>
          <w:color w:val="auto"/>
          <w:highlight w:val="none"/>
          <w:lang w:val="en-US" w:eastAsia="zh-CN"/>
        </w:rPr>
        <w:t>标注</w:t>
      </w:r>
      <w:r>
        <w:rPr>
          <w:rFonts w:hint="eastAsia"/>
          <w:color w:val="auto"/>
          <w:highlight w:val="none"/>
        </w:rPr>
        <w:t>“▲”的发生负偏离的；</w:t>
      </w:r>
    </w:p>
    <w:p w14:paraId="32C3EFD6">
      <w:pPr>
        <w:pStyle w:val="35"/>
        <w:spacing w:line="360" w:lineRule="auto"/>
        <w:ind w:left="0" w:firstLine="420" w:firstLineChars="200"/>
        <w:rPr>
          <w:rFonts w:hint="eastAsia"/>
          <w:color w:val="auto"/>
          <w:highlight w:val="none"/>
        </w:rPr>
      </w:pPr>
      <w:r>
        <w:rPr>
          <w:rFonts w:hint="eastAsia"/>
          <w:color w:val="auto"/>
          <w:highlight w:val="none"/>
        </w:rPr>
        <w:t>（6）商务条款评审允许负偏离的条款数超过“投标人须知前附表”规定项数的。</w:t>
      </w:r>
    </w:p>
    <w:p w14:paraId="6E4D915F">
      <w:pPr>
        <w:pStyle w:val="35"/>
        <w:spacing w:line="360" w:lineRule="auto"/>
        <w:ind w:left="0" w:firstLine="420" w:firstLineChars="200"/>
        <w:rPr>
          <w:rFonts w:hint="eastAsia"/>
          <w:color w:val="auto"/>
          <w:highlight w:val="none"/>
        </w:rPr>
      </w:pPr>
      <w:r>
        <w:rPr>
          <w:rFonts w:hint="eastAsia"/>
          <w:color w:val="auto"/>
          <w:highlight w:val="none"/>
        </w:rPr>
        <w:t>（7）投标文件的实质性内容未使用中文表述、使用计量单位不符合招标文件要求的；</w:t>
      </w:r>
    </w:p>
    <w:p w14:paraId="1F9A33A3">
      <w:pPr>
        <w:pStyle w:val="35"/>
        <w:spacing w:line="360" w:lineRule="auto"/>
        <w:ind w:left="0" w:firstLine="420" w:firstLineChars="200"/>
        <w:rPr>
          <w:rFonts w:hint="eastAsia"/>
          <w:color w:val="auto"/>
          <w:highlight w:val="none"/>
        </w:rPr>
      </w:pPr>
      <w:r>
        <w:rPr>
          <w:rFonts w:hint="eastAsia"/>
          <w:color w:val="auto"/>
          <w:highlight w:val="none"/>
        </w:rPr>
        <w:t>（8）投标文件中的文件资料因填写不齐全或者内容虚假或者出现其他情形而导致被评标委员会认定无效的；</w:t>
      </w:r>
    </w:p>
    <w:p w14:paraId="4C0BBB83">
      <w:pPr>
        <w:pStyle w:val="35"/>
        <w:spacing w:line="360" w:lineRule="auto"/>
        <w:ind w:left="0" w:firstLine="420" w:firstLineChars="200"/>
        <w:rPr>
          <w:rFonts w:hint="eastAsia"/>
          <w:color w:val="auto"/>
          <w:highlight w:val="none"/>
        </w:rPr>
      </w:pPr>
      <w:r>
        <w:rPr>
          <w:rFonts w:hint="eastAsia"/>
          <w:color w:val="auto"/>
          <w:highlight w:val="none"/>
        </w:rPr>
        <w:t>（9）投标文件含有采购人不能接受的附加条件的；</w:t>
      </w:r>
    </w:p>
    <w:p w14:paraId="24730611">
      <w:pPr>
        <w:pStyle w:val="35"/>
        <w:spacing w:line="360" w:lineRule="auto"/>
        <w:ind w:left="0" w:firstLine="420" w:firstLineChars="200"/>
        <w:rPr>
          <w:rFonts w:hint="eastAsia"/>
          <w:color w:val="auto"/>
          <w:highlight w:val="none"/>
        </w:rPr>
      </w:pPr>
      <w:r>
        <w:rPr>
          <w:rFonts w:hint="eastAsia"/>
          <w:color w:val="auto"/>
          <w:highlight w:val="none"/>
        </w:rPr>
        <w:t>（10）未响应招标文件实质性要求的；</w:t>
      </w:r>
    </w:p>
    <w:p w14:paraId="182FDF4B">
      <w:pPr>
        <w:pStyle w:val="35"/>
        <w:spacing w:line="360" w:lineRule="auto"/>
        <w:ind w:left="0" w:firstLine="420" w:firstLineChars="200"/>
        <w:rPr>
          <w:rFonts w:hint="eastAsia"/>
          <w:color w:val="auto"/>
          <w:highlight w:val="none"/>
        </w:rPr>
      </w:pPr>
      <w:r>
        <w:rPr>
          <w:rFonts w:hint="eastAsia"/>
          <w:color w:val="auto"/>
          <w:highlight w:val="none"/>
        </w:rPr>
        <w:t>（11）属于投标人须知正文第9.2条情形的；</w:t>
      </w:r>
    </w:p>
    <w:p w14:paraId="07FC59EB">
      <w:pPr>
        <w:pStyle w:val="35"/>
        <w:spacing w:line="360" w:lineRule="auto"/>
        <w:ind w:left="0" w:firstLine="420" w:firstLineChars="200"/>
        <w:rPr>
          <w:rFonts w:hint="eastAsia"/>
          <w:color w:val="auto"/>
          <w:highlight w:val="none"/>
        </w:rPr>
      </w:pPr>
      <w:r>
        <w:rPr>
          <w:rFonts w:hint="eastAsia"/>
          <w:color w:val="auto"/>
          <w:highlight w:val="none"/>
        </w:rPr>
        <w:t>（12）法律、法规和招标文件规定的其他无效情形。</w:t>
      </w:r>
    </w:p>
    <w:p w14:paraId="5E5AA090">
      <w:pPr>
        <w:pStyle w:val="35"/>
        <w:spacing w:line="360" w:lineRule="auto"/>
        <w:ind w:left="0" w:firstLine="420" w:firstLineChars="200"/>
        <w:rPr>
          <w:rFonts w:hint="eastAsia"/>
          <w:color w:val="auto"/>
          <w:highlight w:val="none"/>
        </w:rPr>
      </w:pPr>
      <w:r>
        <w:rPr>
          <w:rFonts w:hint="eastAsia"/>
          <w:color w:val="auto"/>
          <w:highlight w:val="none"/>
        </w:rPr>
        <w:t>2.3在技术评审时，如发现下列情形之一的，将被视为投标无效：</w:t>
      </w:r>
    </w:p>
    <w:p w14:paraId="5DC71B53">
      <w:pPr>
        <w:pStyle w:val="35"/>
        <w:spacing w:line="360" w:lineRule="auto"/>
        <w:ind w:left="0" w:firstLine="420" w:firstLineChars="200"/>
        <w:rPr>
          <w:rFonts w:hint="eastAsia"/>
          <w:color w:val="auto"/>
          <w:highlight w:val="none"/>
        </w:rPr>
      </w:pPr>
      <w:r>
        <w:rPr>
          <w:rFonts w:hint="eastAsia"/>
          <w:color w:val="auto"/>
          <w:highlight w:val="none"/>
        </w:rPr>
        <w:t>（1）明显不满足招标文件要求的服务内容、技术要求、安全、质量标准，或者与招标文件中标“▲”的技术需求发生负偏离的；</w:t>
      </w:r>
    </w:p>
    <w:p w14:paraId="720DAA7A">
      <w:pPr>
        <w:pStyle w:val="35"/>
        <w:spacing w:line="360" w:lineRule="auto"/>
        <w:ind w:left="0" w:firstLine="420" w:firstLineChars="200"/>
        <w:rPr>
          <w:rFonts w:hint="eastAsia"/>
          <w:color w:val="auto"/>
          <w:highlight w:val="none"/>
        </w:rPr>
      </w:pPr>
      <w:r>
        <w:rPr>
          <w:rFonts w:hint="eastAsia"/>
          <w:color w:val="auto"/>
          <w:highlight w:val="none"/>
        </w:rPr>
        <w:t>（2）技术需求评审允许负偏离的条款数超过“投标人须知前附表”规定项数的；</w:t>
      </w:r>
    </w:p>
    <w:p w14:paraId="2DB2C385">
      <w:pPr>
        <w:pStyle w:val="35"/>
        <w:spacing w:line="360" w:lineRule="auto"/>
        <w:ind w:left="0" w:firstLine="420" w:firstLineChars="200"/>
        <w:rPr>
          <w:rFonts w:hint="eastAsia"/>
          <w:color w:val="auto"/>
          <w:highlight w:val="none"/>
        </w:rPr>
      </w:pPr>
      <w:r>
        <w:rPr>
          <w:rFonts w:hint="eastAsia"/>
          <w:color w:val="auto"/>
          <w:highlight w:val="none"/>
        </w:rPr>
        <w:t>（3）投标文件未提供“投标人须知前附表”第13.1条规定中“必须提供”的文件资料的</w:t>
      </w:r>
      <w:r>
        <w:rPr>
          <w:rFonts w:hint="eastAsia"/>
          <w:color w:val="auto"/>
          <w:highlight w:val="none"/>
          <w:lang w:eastAsia="zh-CN"/>
        </w:rPr>
        <w:t>；</w:t>
      </w:r>
    </w:p>
    <w:p w14:paraId="56D7DE01">
      <w:pPr>
        <w:pStyle w:val="35"/>
        <w:spacing w:line="360" w:lineRule="auto"/>
        <w:ind w:left="0" w:firstLine="420" w:firstLineChars="200"/>
        <w:rPr>
          <w:rFonts w:hint="eastAsia"/>
          <w:color w:val="auto"/>
          <w:highlight w:val="none"/>
        </w:rPr>
      </w:pPr>
      <w:r>
        <w:rPr>
          <w:rFonts w:hint="eastAsia"/>
          <w:color w:val="auto"/>
          <w:highlight w:val="none"/>
        </w:rPr>
        <w:t>（4）虚假投标，或者出现其他情形而导致被评标委员会认定无效的；</w:t>
      </w:r>
    </w:p>
    <w:p w14:paraId="51FF184A">
      <w:pPr>
        <w:pStyle w:val="35"/>
        <w:spacing w:line="360" w:lineRule="auto"/>
        <w:ind w:left="0" w:firstLine="420" w:firstLineChars="200"/>
        <w:rPr>
          <w:rFonts w:hint="eastAsia"/>
          <w:color w:val="auto"/>
          <w:highlight w:val="none"/>
        </w:rPr>
      </w:pPr>
      <w:r>
        <w:rPr>
          <w:rFonts w:hint="eastAsia"/>
          <w:color w:val="auto"/>
          <w:highlight w:val="none"/>
        </w:rPr>
        <w:t>（5）投标技术方案不明确，招标文件未允许但存在一个或者一个以上备选（替代）投标方案的。</w:t>
      </w:r>
    </w:p>
    <w:p w14:paraId="656B1F68">
      <w:pPr>
        <w:pStyle w:val="35"/>
        <w:spacing w:line="360" w:lineRule="auto"/>
        <w:ind w:left="0" w:firstLine="422" w:firstLineChars="200"/>
        <w:rPr>
          <w:rFonts w:hint="eastAsia"/>
          <w:b/>
          <w:color w:val="auto"/>
          <w:highlight w:val="none"/>
        </w:rPr>
      </w:pPr>
      <w:r>
        <w:rPr>
          <w:rFonts w:hint="eastAsia"/>
          <w:b/>
          <w:color w:val="auto"/>
          <w:highlight w:val="none"/>
        </w:rPr>
        <w:t>3.澄清补正</w:t>
      </w:r>
    </w:p>
    <w:p w14:paraId="089B185B">
      <w:pPr>
        <w:pStyle w:val="35"/>
        <w:spacing w:line="360" w:lineRule="auto"/>
        <w:ind w:left="0" w:firstLine="420" w:firstLineChars="200"/>
        <w:rPr>
          <w:rFonts w:hint="eastAsia"/>
          <w:color w:val="auto"/>
          <w:highlight w:val="none"/>
        </w:rPr>
      </w:pPr>
      <w:r>
        <w:rPr>
          <w:rFonts w:hint="eastAsia"/>
          <w:color w:val="auto"/>
          <w:highlight w:val="none"/>
        </w:rPr>
        <w:t>对投标文件中含义不明确、同类问题表述不一致或者有明显文字和计算错误的内容，评标委员会以书面形式要求投标人在规定时间内作出必要的澄清、说明或者纠正。投标人的澄清、说明或者补正必须采用书面形式，并加盖公章，或者由法定代表人或者其授权的代表签字。投标人的澄清、说明或者补正不得超出投标文件的范围或者改变投标文件的实质性内容。</w:t>
      </w:r>
    </w:p>
    <w:p w14:paraId="6B8ADBC6">
      <w:pPr>
        <w:pStyle w:val="35"/>
        <w:spacing w:line="360" w:lineRule="auto"/>
        <w:ind w:left="0" w:firstLine="422" w:firstLineChars="200"/>
        <w:rPr>
          <w:rFonts w:hint="eastAsia"/>
          <w:b/>
          <w:color w:val="auto"/>
          <w:highlight w:val="none"/>
        </w:rPr>
      </w:pPr>
      <w:r>
        <w:rPr>
          <w:rFonts w:hint="eastAsia"/>
          <w:b/>
          <w:color w:val="auto"/>
          <w:highlight w:val="none"/>
        </w:rPr>
        <w:t>4.投标文件修正</w:t>
      </w:r>
    </w:p>
    <w:p w14:paraId="0B40C736">
      <w:pPr>
        <w:pStyle w:val="35"/>
        <w:spacing w:line="360" w:lineRule="auto"/>
        <w:ind w:left="0" w:firstLine="420" w:firstLineChars="200"/>
        <w:rPr>
          <w:rFonts w:hint="eastAsia"/>
          <w:color w:val="auto"/>
          <w:highlight w:val="none"/>
        </w:rPr>
      </w:pPr>
      <w:r>
        <w:rPr>
          <w:rFonts w:hint="eastAsia"/>
          <w:color w:val="auto"/>
          <w:highlight w:val="none"/>
        </w:rPr>
        <w:t>4.1投标文件报价出现前后不一致的，按照下列规定修正：</w:t>
      </w:r>
    </w:p>
    <w:p w14:paraId="717911BB">
      <w:pPr>
        <w:pStyle w:val="35"/>
        <w:spacing w:line="360" w:lineRule="auto"/>
        <w:ind w:left="0" w:firstLine="420" w:firstLineChars="200"/>
        <w:rPr>
          <w:rFonts w:hint="eastAsia"/>
          <w:color w:val="auto"/>
          <w:highlight w:val="none"/>
        </w:rPr>
      </w:pPr>
      <w:r>
        <w:rPr>
          <w:rFonts w:hint="eastAsia"/>
          <w:color w:val="auto"/>
          <w:highlight w:val="none"/>
        </w:rPr>
        <w:t>（1）投标文件中开标一览表（报价表）内容与投标文件中相应内容不一致的，以开标一览表（报价表）为准；</w:t>
      </w:r>
    </w:p>
    <w:p w14:paraId="062AD6B2">
      <w:pPr>
        <w:pStyle w:val="35"/>
        <w:spacing w:line="360" w:lineRule="auto"/>
        <w:ind w:left="0" w:firstLine="420" w:firstLineChars="200"/>
        <w:rPr>
          <w:rFonts w:hint="eastAsia"/>
          <w:color w:val="auto"/>
          <w:szCs w:val="21"/>
          <w:highlight w:val="none"/>
        </w:rPr>
      </w:pPr>
      <w:r>
        <w:rPr>
          <w:rFonts w:hint="eastAsia"/>
          <w:color w:val="auto"/>
          <w:highlight w:val="none"/>
        </w:rPr>
        <w:t>（2）大写金额和小写金额不一致的，以大写金额</w:t>
      </w:r>
      <w:r>
        <w:rPr>
          <w:rFonts w:hint="eastAsia"/>
          <w:color w:val="auto"/>
          <w:szCs w:val="21"/>
          <w:highlight w:val="none"/>
        </w:rPr>
        <w:t>为准；</w:t>
      </w:r>
    </w:p>
    <w:p w14:paraId="3231E7FD">
      <w:pPr>
        <w:pStyle w:val="35"/>
        <w:spacing w:line="360" w:lineRule="auto"/>
        <w:ind w:left="0" w:firstLine="420" w:firstLineChars="200"/>
        <w:rPr>
          <w:rFonts w:hint="eastAsia"/>
          <w:color w:val="auto"/>
          <w:szCs w:val="21"/>
          <w:highlight w:val="none"/>
        </w:rPr>
      </w:pPr>
      <w:r>
        <w:rPr>
          <w:rFonts w:hint="eastAsia"/>
          <w:color w:val="auto"/>
          <w:szCs w:val="21"/>
          <w:highlight w:val="none"/>
        </w:rPr>
        <w:t>（3）单价金额小数点或者百分比有明显错位的，以开标一览表的总价为准，并修改单价；</w:t>
      </w:r>
    </w:p>
    <w:p w14:paraId="664031A6">
      <w:pPr>
        <w:pStyle w:val="35"/>
        <w:spacing w:line="360" w:lineRule="auto"/>
        <w:ind w:left="0" w:firstLine="420" w:firstLineChars="200"/>
        <w:rPr>
          <w:rFonts w:hint="eastAsia"/>
          <w:color w:val="auto"/>
          <w:szCs w:val="21"/>
          <w:highlight w:val="none"/>
        </w:rPr>
      </w:pPr>
      <w:r>
        <w:rPr>
          <w:rFonts w:hint="eastAsia"/>
          <w:color w:val="auto"/>
          <w:szCs w:val="21"/>
          <w:highlight w:val="none"/>
        </w:rPr>
        <w:t>（4）总价金额与按单价汇总金额不一致的，以单价金额计算结果为准。</w:t>
      </w:r>
    </w:p>
    <w:p w14:paraId="17E65574">
      <w:pPr>
        <w:pStyle w:val="50"/>
        <w:spacing w:line="360" w:lineRule="auto"/>
        <w:ind w:firstLine="420" w:firstLineChars="200"/>
        <w:rPr>
          <w:color w:val="auto"/>
          <w:sz w:val="21"/>
          <w:highlight w:val="none"/>
        </w:rPr>
      </w:pPr>
      <w:r>
        <w:rPr>
          <w:rFonts w:hint="eastAsia"/>
          <w:color w:val="auto"/>
          <w:sz w:val="21"/>
          <w:highlight w:val="none"/>
        </w:rPr>
        <w:t>同时出现两种以上不一致的，按照以上（1）</w:t>
      </w:r>
      <w:r>
        <w:rPr>
          <w:rFonts w:hint="eastAsia"/>
          <w:color w:val="auto"/>
          <w:sz w:val="21"/>
          <w:highlight w:val="none"/>
          <w:lang w:eastAsia="zh-CN"/>
        </w:rPr>
        <w:t>－</w:t>
      </w:r>
      <w:r>
        <w:rPr>
          <w:rFonts w:hint="eastAsia"/>
          <w:color w:val="auto"/>
          <w:sz w:val="21"/>
          <w:highlight w:val="none"/>
        </w:rPr>
        <w:t>（4）规定的顺序修正。修正后的报价经投标人确认后产生约束力，投标人不确认的，其投标无效。</w:t>
      </w:r>
    </w:p>
    <w:p w14:paraId="6FF5AAE9">
      <w:pPr>
        <w:pStyle w:val="5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4.2经投标人确认修正后的报价若超过采购预算金额或者最高限价，投标人的投标文件作无效投标处理。</w:t>
      </w:r>
    </w:p>
    <w:p w14:paraId="2595116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4.3经投标人确认修正后的报价作为签订合同的依据，并以此报价计算价格分。</w:t>
      </w:r>
    </w:p>
    <w:p w14:paraId="62EFE0F6">
      <w:pPr>
        <w:pStyle w:val="35"/>
        <w:spacing w:line="360" w:lineRule="auto"/>
        <w:ind w:left="0" w:firstLine="420" w:firstLineChars="200"/>
        <w:rPr>
          <w:color w:val="auto"/>
          <w:highlight w:val="none"/>
        </w:rPr>
      </w:pPr>
      <w:r>
        <w:rPr>
          <w:rFonts w:hint="eastAsia"/>
          <w:color w:val="auto"/>
          <w:highlight w:val="none"/>
        </w:rPr>
        <w:t>5.比较与评价</w:t>
      </w:r>
    </w:p>
    <w:p w14:paraId="41F80674">
      <w:pPr>
        <w:pStyle w:val="35"/>
        <w:keepNext w:val="0"/>
        <w:keepLines w:val="0"/>
        <w:pageBreakBefore w:val="0"/>
        <w:widowControl w:val="0"/>
        <w:kinsoku/>
        <w:wordWrap/>
        <w:overflowPunct/>
        <w:topLinePunct w:val="0"/>
        <w:autoSpaceDE/>
        <w:autoSpaceDN/>
        <w:bidi w:val="0"/>
        <w:spacing w:line="360" w:lineRule="auto"/>
        <w:ind w:lef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5.1异常低价投标（响应）审查程序根据《关于推动解决政府采购异常低价问题的通知》（财库〔2026〕2号）要求，评审委员会在评审过程中需对异常低价投标进行专项审查，具体如下：</w:t>
      </w:r>
    </w:p>
    <w:p w14:paraId="3E51A92E">
      <w:pPr>
        <w:pStyle w:val="35"/>
        <w:keepNext w:val="0"/>
        <w:keepLines w:val="0"/>
        <w:pageBreakBefore w:val="0"/>
        <w:widowControl w:val="0"/>
        <w:numPr>
          <w:ilvl w:val="0"/>
          <w:numId w:val="16"/>
        </w:numPr>
        <w:kinsoku/>
        <w:wordWrap/>
        <w:overflowPunct/>
        <w:topLinePunct w:val="0"/>
        <w:autoSpaceDE/>
        <w:autoSpaceDN/>
        <w:bidi w:val="0"/>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审查触发条件：出现下列情形之一的，评审委员会必须启动异常低价审查程序：</w:t>
      </w:r>
    </w:p>
    <w:p w14:paraId="4FD594AA">
      <w:pPr>
        <w:pStyle w:val="35"/>
        <w:keepNext w:val="0"/>
        <w:keepLines w:val="0"/>
        <w:pageBreakBefore w:val="0"/>
        <w:widowControl w:val="0"/>
        <w:numPr>
          <w:ilvl w:val="0"/>
          <w:numId w:val="0"/>
        </w:numPr>
        <w:kinsoku/>
        <w:wordWrap/>
        <w:overflowPunct/>
        <w:topLinePunct w:val="0"/>
        <w:autoSpaceDE/>
        <w:autoSpaceDN/>
        <w:bidi w:val="0"/>
        <w:spacing w:line="360" w:lineRule="auto"/>
        <w:ind w:left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①投标报价≤全部通过符合性审查</w:t>
      </w:r>
      <w:r>
        <w:rPr>
          <w:rFonts w:hint="eastAsia" w:ascii="宋体" w:hAnsi="宋体" w:cs="宋体"/>
          <w:color w:val="auto"/>
          <w:sz w:val="21"/>
          <w:szCs w:val="21"/>
          <w:highlight w:val="none"/>
          <w:lang w:eastAsia="zh-CN"/>
        </w:rPr>
        <w:t>的</w:t>
      </w:r>
      <w:r>
        <w:rPr>
          <w:rFonts w:hint="eastAsia" w:ascii="宋体" w:hAnsi="宋体" w:eastAsia="宋体" w:cs="宋体"/>
          <w:color w:val="auto"/>
          <w:sz w:val="21"/>
          <w:szCs w:val="21"/>
          <w:highlight w:val="none"/>
        </w:rPr>
        <w:t>供应商投标报价平均值×50%；</w:t>
      </w:r>
    </w:p>
    <w:p w14:paraId="3DB17274">
      <w:pPr>
        <w:pStyle w:val="35"/>
        <w:keepNext w:val="0"/>
        <w:keepLines w:val="0"/>
        <w:pageBreakBefore w:val="0"/>
        <w:widowControl w:val="0"/>
        <w:kinsoku/>
        <w:wordWrap/>
        <w:overflowPunct/>
        <w:topLinePunct w:val="0"/>
        <w:autoSpaceDE/>
        <w:autoSpaceDN/>
        <w:bidi w:val="0"/>
        <w:spacing w:line="360" w:lineRule="auto"/>
        <w:ind w:lef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②投标报价≤通过符合性审查的次低报价</w:t>
      </w:r>
      <w:r>
        <w:rPr>
          <w:rFonts w:hint="eastAsia" w:ascii="宋体" w:hAnsi="宋体" w:cs="宋体"/>
          <w:color w:val="auto"/>
          <w:sz w:val="21"/>
          <w:szCs w:val="21"/>
          <w:highlight w:val="none"/>
          <w:lang w:eastAsia="zh-CN"/>
        </w:rPr>
        <w:t>的</w:t>
      </w:r>
      <w:r>
        <w:rPr>
          <w:rFonts w:hint="eastAsia" w:ascii="宋体" w:hAnsi="宋体" w:eastAsia="宋体" w:cs="宋体"/>
          <w:color w:val="auto"/>
          <w:sz w:val="21"/>
          <w:szCs w:val="21"/>
          <w:highlight w:val="none"/>
        </w:rPr>
        <w:t>供应商投标报价×50%；</w:t>
      </w:r>
    </w:p>
    <w:p w14:paraId="11ADCE76">
      <w:pPr>
        <w:pStyle w:val="35"/>
        <w:keepNext w:val="0"/>
        <w:keepLines w:val="0"/>
        <w:pageBreakBefore w:val="0"/>
        <w:widowControl w:val="0"/>
        <w:kinsoku/>
        <w:wordWrap/>
        <w:overflowPunct/>
        <w:topLinePunct w:val="0"/>
        <w:autoSpaceDE/>
        <w:autoSpaceDN/>
        <w:bidi w:val="0"/>
        <w:spacing w:line="360" w:lineRule="auto"/>
        <w:ind w:lef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③投标报价≤本项目最高限价×45%；</w:t>
      </w:r>
    </w:p>
    <w:p w14:paraId="7136EECA">
      <w:pPr>
        <w:pStyle w:val="35"/>
        <w:keepNext w:val="0"/>
        <w:keepLines w:val="0"/>
        <w:pageBreakBefore w:val="0"/>
        <w:widowControl w:val="0"/>
        <w:kinsoku/>
        <w:wordWrap/>
        <w:overflowPunct/>
        <w:topLinePunct w:val="0"/>
        <w:autoSpaceDE/>
        <w:autoSpaceDN/>
        <w:bidi w:val="0"/>
        <w:spacing w:line="360" w:lineRule="auto"/>
        <w:ind w:lef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④评审委员会基于专业判断，认为报价过低可能影响服务质量或无法诚信履约的情形（如报价与成本测算严重不符、技术方案与报价不匹配等）。</w:t>
      </w:r>
    </w:p>
    <w:p w14:paraId="6D2F9ADF">
      <w:pPr>
        <w:pStyle w:val="35"/>
        <w:keepNext w:val="0"/>
        <w:keepLines w:val="0"/>
        <w:pageBreakBefore w:val="0"/>
        <w:widowControl w:val="0"/>
        <w:kinsoku/>
        <w:wordWrap/>
        <w:overflowPunct/>
        <w:topLinePunct w:val="0"/>
        <w:autoSpaceDE/>
        <w:autoSpaceDN/>
        <w:bidi w:val="0"/>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注：本项目不提高上述①-③项的阈值标准（若需提高，需补充“阈值提高</w:t>
      </w:r>
      <w:r>
        <w:rPr>
          <w:rFonts w:hint="eastAsia" w:ascii="宋体" w:hAnsi="宋体" w:cs="宋体"/>
          <w:color w:val="auto"/>
          <w:sz w:val="21"/>
          <w:szCs w:val="21"/>
          <w:highlight w:val="none"/>
          <w:lang w:eastAsia="zh-CN"/>
        </w:rPr>
        <w:t>的</w:t>
      </w:r>
      <w:r>
        <w:rPr>
          <w:rFonts w:hint="eastAsia" w:ascii="宋体" w:hAnsi="宋体" w:eastAsia="宋体" w:cs="宋体"/>
          <w:color w:val="auto"/>
          <w:sz w:val="21"/>
          <w:szCs w:val="21"/>
          <w:highlight w:val="none"/>
        </w:rPr>
        <w:t>合理性说明”，且最高不得超过65%）。</w:t>
      </w:r>
    </w:p>
    <w:p w14:paraId="4FB6F828">
      <w:pPr>
        <w:keepNext w:val="0"/>
        <w:keepLines w:val="0"/>
        <w:pageBreakBefore w:val="0"/>
        <w:widowControl w:val="0"/>
        <w:numPr>
          <w:ilvl w:val="0"/>
          <w:numId w:val="17"/>
        </w:numP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审查流程：</w:t>
      </w:r>
    </w:p>
    <w:p w14:paraId="14E57210">
      <w:pPr>
        <w:keepNext w:val="0"/>
        <w:keepLines w:val="0"/>
        <w:pageBreakBefore w:val="0"/>
        <w:widowControl w:val="0"/>
        <w:numPr>
          <w:ilvl w:val="0"/>
          <w:numId w:val="18"/>
        </w:numPr>
        <w:kinsoku/>
        <w:wordWrap/>
        <w:overflowPunct/>
        <w:topLinePunct w:val="0"/>
        <w:autoSpaceDE/>
        <w:autoSpaceDN/>
        <w:bidi w:val="0"/>
        <w:spacing w:line="360" w:lineRule="auto"/>
        <w:ind w:left="12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评审委员会启动审查后，应要求相关供应商在评审现场不少于30分钟的合理时间内，提交书面说明及证明材料；</w:t>
      </w:r>
    </w:p>
    <w:p w14:paraId="2EDB8CDB">
      <w:pPr>
        <w:keepNext w:val="0"/>
        <w:keepLines w:val="0"/>
        <w:pageBreakBefore w:val="0"/>
        <w:widowControl w:val="0"/>
        <w:numPr>
          <w:ilvl w:val="0"/>
          <w:numId w:val="18"/>
        </w:numPr>
        <w:kinsoku/>
        <w:wordWrap/>
        <w:overflowPunct/>
        <w:topLinePunct w:val="0"/>
        <w:autoSpaceDE/>
        <w:autoSpaceDN/>
        <w:bidi w:val="0"/>
        <w:spacing w:line="360" w:lineRule="auto"/>
        <w:ind w:left="12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应商需提供的材料包括（但不限于）：项目成本测算明细（含劳务费、设备租赁费、税费、等分项成本）、拟投入人员、设备购置/租赁协议、同类项目历史成本数据、行业人工费用标准（如专业技术人员日均薪酬）等；</w:t>
      </w:r>
    </w:p>
    <w:p w14:paraId="0ED5CBD6">
      <w:pPr>
        <w:keepNext w:val="0"/>
        <w:keepLines w:val="0"/>
        <w:pageBreakBefore w:val="0"/>
        <w:widowControl w:val="0"/>
        <w:numPr>
          <w:ilvl w:val="0"/>
          <w:numId w:val="18"/>
        </w:numPr>
        <w:kinsoku/>
        <w:wordWrap/>
        <w:overflowPunct/>
        <w:topLinePunct w:val="0"/>
        <w:autoSpaceDE/>
        <w:autoSpaceDN/>
        <w:bidi w:val="0"/>
        <w:spacing w:line="360" w:lineRule="auto"/>
        <w:ind w:left="12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若供应商已在投标文件中提交过与</w:t>
      </w:r>
      <w:r>
        <w:rPr>
          <w:rFonts w:hint="eastAsia" w:ascii="宋体" w:hAnsi="宋体" w:eastAsia="宋体" w:cs="宋体"/>
          <w:color w:val="auto"/>
          <w:sz w:val="21"/>
          <w:szCs w:val="21"/>
          <w:highlight w:val="none"/>
          <w:lang w:val="en-US" w:eastAsia="zh-CN"/>
        </w:rPr>
        <w:t>审查</w:t>
      </w:r>
      <w:r>
        <w:rPr>
          <w:rFonts w:hint="eastAsia" w:ascii="宋体" w:hAnsi="宋体" w:eastAsia="宋体" w:cs="宋体"/>
          <w:color w:val="auto"/>
          <w:sz w:val="21"/>
          <w:szCs w:val="21"/>
          <w:highlight w:val="none"/>
        </w:rPr>
        <w:t>触发条件第③项（低于最高限价45%）相关的成本证明材料，可不再重复提交。</w:t>
      </w:r>
    </w:p>
    <w:p w14:paraId="1470709D">
      <w:pPr>
        <w:keepNext w:val="0"/>
        <w:keepLines w:val="0"/>
        <w:pageBreakBefore w:val="0"/>
        <w:widowControl w:val="0"/>
        <w:numPr>
          <w:ilvl w:val="0"/>
          <w:numId w:val="17"/>
        </w:numPr>
        <w:kinsoku/>
        <w:wordWrap/>
        <w:overflowPunct/>
        <w:topLinePunct w:val="0"/>
        <w:autoSpaceDE/>
        <w:autoSpaceDN/>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合理性判定与处理：</w:t>
      </w:r>
    </w:p>
    <w:p w14:paraId="3A99E4A8">
      <w:pPr>
        <w:keepNext w:val="0"/>
        <w:keepLines w:val="0"/>
        <w:pageBreakBefore w:val="0"/>
        <w:widowControl w:val="0"/>
        <w:numPr>
          <w:ilvl w:val="0"/>
          <w:numId w:val="19"/>
        </w:numPr>
        <w:kinsoku/>
        <w:wordWrap/>
        <w:overflowPunct/>
        <w:topLinePunct w:val="0"/>
        <w:autoSpaceDE/>
        <w:autoSpaceDN/>
        <w:bidi w:val="0"/>
        <w:spacing w:line="36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评审委员会需参考以下依据判定报价合理性：同类技术服务项目中标（成交）价格；</w:t>
      </w:r>
      <w:r>
        <w:rPr>
          <w:rFonts w:hint="eastAsia" w:ascii="宋体" w:hAnsi="宋体" w:eastAsia="宋体" w:cs="宋体"/>
          <w:color w:val="auto"/>
          <w:sz w:val="21"/>
          <w:szCs w:val="21"/>
          <w:highlight w:val="none"/>
          <w:lang w:val="en-US" w:eastAsia="zh-CN"/>
        </w:rPr>
        <w:t>本项目所属</w:t>
      </w:r>
      <w:r>
        <w:rPr>
          <w:rFonts w:hint="eastAsia" w:ascii="宋体" w:hAnsi="宋体" w:eastAsia="宋体" w:cs="宋体"/>
          <w:color w:val="auto"/>
          <w:sz w:val="21"/>
          <w:szCs w:val="21"/>
          <w:highlight w:val="none"/>
        </w:rPr>
        <w:t>本项目标的所属行业人工费用标准；国家</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rPr>
        <w:t>自治区发布的行业平均成本；供应商提供的成本测算与证明材料的真实性、完整性。</w:t>
      </w:r>
    </w:p>
    <w:p w14:paraId="1C66EF2A">
      <w:pPr>
        <w:keepNext w:val="0"/>
        <w:keepLines w:val="0"/>
        <w:pageBreakBefore w:val="0"/>
        <w:widowControl w:val="0"/>
        <w:numPr>
          <w:ilvl w:val="0"/>
          <w:numId w:val="19"/>
        </w:numPr>
        <w:kinsoku/>
        <w:wordWrap/>
        <w:overflowPunct/>
        <w:topLinePunct w:val="0"/>
        <w:autoSpaceDE/>
        <w:autoSpaceDN/>
        <w:bidi w:val="0"/>
        <w:spacing w:line="360" w:lineRule="auto"/>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若供应商未按要求提供材料，或材料无法证明报价合理性的，评审委员会应将其投标按无效响应处理。</w:t>
      </w:r>
    </w:p>
    <w:p w14:paraId="4D44118D">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审查记录与归档：异常低价审查的启动原因、供应商说明材料、评审委员会意见、审查结果需完整记录于《评标报告》，并与供应商提交的证明材料、评审现场查询的行业成本数据（如截图）一并归档，保存期限不少于15年。</w:t>
      </w:r>
    </w:p>
    <w:p w14:paraId="4222F3F2">
      <w:pPr>
        <w:pStyle w:val="35"/>
        <w:keepNext w:val="0"/>
        <w:keepLines w:val="0"/>
        <w:pageBreakBefore w:val="0"/>
        <w:widowControl w:val="0"/>
        <w:kinsoku/>
        <w:wordWrap/>
        <w:overflowPunct/>
        <w:topLinePunct w:val="0"/>
        <w:autoSpaceDE/>
        <w:autoSpaceDN/>
        <w:bidi w:val="0"/>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w:t>
      </w:r>
      <w:r>
        <w:rPr>
          <w:rFonts w:hint="eastAsia" w:ascii="宋体" w:hAnsi="宋体" w:eastAsia="宋体" w:cs="宋体"/>
          <w:color w:val="auto"/>
          <w:sz w:val="21"/>
          <w:szCs w:val="21"/>
          <w:highlight w:val="none"/>
        </w:rPr>
        <w:t>评标委员会按照招标文件中规定的评标方法和评标标准，对符合性审查合格的投标文件进行商务和技术评估，综合比较与评价。</w:t>
      </w:r>
    </w:p>
    <w:p w14:paraId="25E41E8F">
      <w:pPr>
        <w:pStyle w:val="35"/>
        <w:keepNext w:val="0"/>
        <w:keepLines w:val="0"/>
        <w:pageBreakBefore w:val="0"/>
        <w:widowControl w:val="0"/>
        <w:kinsoku/>
        <w:wordWrap/>
        <w:overflowPunct/>
        <w:topLinePunct w:val="0"/>
        <w:autoSpaceDE/>
        <w:autoSpaceDN/>
        <w:bidi w:val="0"/>
        <w:spacing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5.3</w:t>
      </w:r>
      <w:r>
        <w:rPr>
          <w:rFonts w:hint="eastAsia" w:ascii="宋体" w:hAnsi="宋体" w:eastAsia="宋体" w:cs="宋体"/>
          <w:color w:val="auto"/>
          <w:sz w:val="21"/>
          <w:szCs w:val="21"/>
        </w:rPr>
        <w:t>评标委员会独立对每个投标人的投标文件进行评价，并汇总每个投标人的得分。</w:t>
      </w:r>
    </w:p>
    <w:p w14:paraId="5212FFFE">
      <w:pPr>
        <w:pStyle w:val="35"/>
        <w:keepNext w:val="0"/>
        <w:keepLines w:val="0"/>
        <w:pageBreakBefore w:val="0"/>
        <w:widowControl w:val="0"/>
        <w:kinsoku/>
        <w:wordWrap/>
        <w:overflowPunct/>
        <w:topLinePunct w:val="0"/>
        <w:autoSpaceDE/>
        <w:autoSpaceDN/>
        <w:bidi w:val="0"/>
        <w:spacing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5.4</w:t>
      </w:r>
      <w:r>
        <w:rPr>
          <w:rFonts w:hint="eastAsia" w:ascii="宋体" w:hAnsi="宋体" w:eastAsia="宋体" w:cs="宋体"/>
          <w:color w:val="auto"/>
          <w:sz w:val="21"/>
          <w:szCs w:val="21"/>
        </w:rPr>
        <w:t>评标委员会按照招标文件中规定的评标方法和标准计算各投标人的报价得分。在计算过程中，不得去掉最高报价或者最低报价。</w:t>
      </w:r>
    </w:p>
    <w:p w14:paraId="062F6E67">
      <w:pPr>
        <w:pStyle w:val="35"/>
        <w:keepNext w:val="0"/>
        <w:keepLines w:val="0"/>
        <w:pageBreakBefore w:val="0"/>
        <w:widowControl w:val="0"/>
        <w:kinsoku/>
        <w:wordWrap/>
        <w:overflowPunct/>
        <w:topLinePunct w:val="0"/>
        <w:autoSpaceDE/>
        <w:autoSpaceDN/>
        <w:bidi w:val="0"/>
        <w:spacing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5.5</w:t>
      </w:r>
      <w:r>
        <w:rPr>
          <w:rFonts w:hint="eastAsia" w:ascii="宋体" w:hAnsi="宋体" w:eastAsia="宋体" w:cs="宋体"/>
          <w:color w:val="auto"/>
          <w:sz w:val="21"/>
          <w:szCs w:val="21"/>
        </w:rPr>
        <w:t>各投标人的得分为所有评委的有效评分的算术平均数。</w:t>
      </w:r>
    </w:p>
    <w:p w14:paraId="3DA3780D">
      <w:pPr>
        <w:pStyle w:val="35"/>
        <w:keepNext w:val="0"/>
        <w:keepLines w:val="0"/>
        <w:pageBreakBefore w:val="0"/>
        <w:widowControl w:val="0"/>
        <w:kinsoku/>
        <w:wordWrap/>
        <w:overflowPunct/>
        <w:topLinePunct w:val="0"/>
        <w:autoSpaceDE/>
        <w:autoSpaceDN/>
        <w:bidi w:val="0"/>
        <w:spacing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5.6</w:t>
      </w:r>
      <w:r>
        <w:rPr>
          <w:rFonts w:hint="eastAsia" w:ascii="宋体" w:hAnsi="宋体" w:eastAsia="宋体" w:cs="宋体"/>
          <w:color w:val="auto"/>
          <w:sz w:val="21"/>
          <w:szCs w:val="21"/>
        </w:rPr>
        <w:t>评标委员会按照招标文件中的规定推荐中标候选人。</w:t>
      </w:r>
    </w:p>
    <w:p w14:paraId="62345896">
      <w:pPr>
        <w:pStyle w:val="16"/>
        <w:spacing w:before="0" w:after="0" w:line="360" w:lineRule="auto"/>
        <w:jc w:val="center"/>
        <w:rPr>
          <w:rFonts w:hint="eastAsia" w:ascii="宋体" w:hAnsi="宋体" w:eastAsia="宋体"/>
          <w:color w:val="auto"/>
          <w:highlight w:val="none"/>
          <w:lang w:eastAsia="zh-CN"/>
        </w:rPr>
      </w:pPr>
      <w:bookmarkStart w:id="176" w:name="_Toc19914"/>
      <w:r>
        <w:rPr>
          <w:rFonts w:hint="eastAsia" w:ascii="宋体" w:hAnsi="宋体" w:eastAsia="宋体" w:cs="宋体"/>
          <w:color w:val="auto"/>
          <w:sz w:val="21"/>
          <w:szCs w:val="21"/>
          <w:lang w:val="en-US" w:eastAsia="zh-CN"/>
        </w:rPr>
        <w:t>5.7</w:t>
      </w:r>
      <w:r>
        <w:rPr>
          <w:rFonts w:hint="eastAsia" w:ascii="宋体" w:hAnsi="宋体" w:eastAsia="宋体" w:cs="宋体"/>
          <w:color w:val="auto"/>
          <w:sz w:val="21"/>
          <w:szCs w:val="21"/>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应当在评标报告上签署不同意见及理由，否则视为同意评标报告。</w:t>
      </w:r>
      <w:bookmarkStart w:id="177" w:name="_Toc13373"/>
      <w:bookmarkStart w:id="178" w:name="_Toc2736"/>
      <w:r>
        <w:rPr>
          <w:rFonts w:hint="eastAsia" w:ascii="宋体" w:hAnsi="宋体" w:eastAsia="宋体"/>
          <w:color w:val="auto"/>
          <w:highlight w:val="none"/>
        </w:rPr>
        <w:t>三、</w:t>
      </w:r>
      <w:r>
        <w:rPr>
          <w:rFonts w:hint="eastAsia" w:ascii="宋体" w:hAnsi="宋体" w:eastAsia="宋体"/>
          <w:color w:val="auto"/>
          <w:highlight w:val="none"/>
          <w:lang w:eastAsia="zh-CN"/>
        </w:rPr>
        <w:t>评标标准</w:t>
      </w:r>
      <w:bookmarkEnd w:id="177"/>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适合标项一、二、三、四</w:t>
      </w:r>
      <w:r>
        <w:rPr>
          <w:rFonts w:hint="eastAsia" w:ascii="宋体" w:hAnsi="宋体" w:eastAsia="宋体"/>
          <w:color w:val="auto"/>
          <w:highlight w:val="none"/>
          <w:lang w:eastAsia="zh-CN"/>
        </w:rPr>
        <w:t>）</w:t>
      </w:r>
      <w:bookmarkEnd w:id="176"/>
    </w:p>
    <w:p w14:paraId="360156FD">
      <w:pPr>
        <w:pStyle w:val="16"/>
        <w:spacing w:before="0" w:after="0" w:line="360" w:lineRule="auto"/>
        <w:jc w:val="center"/>
        <w:rPr>
          <w:rFonts w:hint="eastAsia" w:ascii="宋体" w:hAnsi="宋体" w:eastAsia="宋体"/>
          <w:color w:val="auto"/>
          <w:highlight w:val="none"/>
        </w:rPr>
      </w:pPr>
      <w:bookmarkStart w:id="179" w:name="_Toc6864"/>
      <w:bookmarkStart w:id="180" w:name="_Toc6411"/>
      <w:r>
        <w:rPr>
          <w:rFonts w:hint="eastAsia" w:ascii="宋体" w:hAnsi="宋体" w:eastAsia="宋体"/>
          <w:color w:val="auto"/>
          <w:highlight w:val="none"/>
          <w:lang w:val="en-US" w:eastAsia="zh-CN"/>
        </w:rPr>
        <w:t>3.1</w:t>
      </w:r>
      <w:r>
        <w:rPr>
          <w:rFonts w:hint="eastAsia" w:ascii="宋体" w:hAnsi="宋体" w:eastAsia="宋体"/>
          <w:color w:val="auto"/>
          <w:highlight w:val="none"/>
        </w:rPr>
        <w:t>评标标准（综合评分法，计分方法按四舍五入取至百分位）</w:t>
      </w:r>
      <w:bookmarkEnd w:id="178"/>
      <w:bookmarkEnd w:id="179"/>
      <w:bookmarkEnd w:id="180"/>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36"/>
        <w:gridCol w:w="17"/>
        <w:gridCol w:w="1087"/>
        <w:gridCol w:w="55"/>
        <w:gridCol w:w="1340"/>
        <w:gridCol w:w="5767"/>
        <w:gridCol w:w="28"/>
      </w:tblGrid>
      <w:tr w14:paraId="05F8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749" w:hRule="atLeast"/>
          <w:jc w:val="center"/>
        </w:trPr>
        <w:tc>
          <w:tcPr>
            <w:tcW w:w="8964" w:type="dxa"/>
            <w:gridSpan w:val="7"/>
            <w:tcBorders>
              <w:top w:val="single" w:color="auto" w:sz="4" w:space="0"/>
              <w:left w:val="single" w:color="auto" w:sz="4" w:space="0"/>
              <w:bottom w:val="single" w:color="auto" w:sz="4" w:space="0"/>
              <w:right w:val="single" w:color="auto" w:sz="4" w:space="0"/>
            </w:tcBorders>
            <w:vAlign w:val="center"/>
          </w:tcPr>
          <w:p w14:paraId="40553975">
            <w:pPr>
              <w:pStyle w:val="94"/>
              <w:spacing w:line="360" w:lineRule="auto"/>
              <w:jc w:val="center"/>
              <w:rPr>
                <w:rFonts w:hint="eastAsia" w:ascii="宋体" w:hAnsi="宋体" w:eastAsia="宋体" w:cs="宋体"/>
                <w:bCs/>
                <w:color w:val="auto"/>
                <w:szCs w:val="21"/>
                <w:highlight w:val="none"/>
              </w:rPr>
            </w:pPr>
            <w:r>
              <w:rPr>
                <w:rFonts w:hint="eastAsia" w:ascii="宋体" w:hAnsi="宋体" w:eastAsia="宋体" w:cs="宋体"/>
                <w:b/>
                <w:bCs/>
                <w:color w:val="auto"/>
                <w:highlight w:val="none"/>
              </w:rPr>
              <w:t>价格分（满分1</w:t>
            </w:r>
            <w:r>
              <w:rPr>
                <w:rFonts w:hint="eastAsia" w:ascii="宋体" w:hAnsi="宋体" w:eastAsia="宋体" w:cs="宋体"/>
                <w:b/>
                <w:bCs/>
                <w:color w:val="auto"/>
                <w:highlight w:val="none"/>
                <w:lang w:val="en-US" w:eastAsia="zh-CN"/>
              </w:rPr>
              <w:t>0</w:t>
            </w:r>
            <w:r>
              <w:rPr>
                <w:rFonts w:hint="eastAsia" w:ascii="宋体" w:hAnsi="宋体" w:eastAsia="宋体" w:cs="宋体"/>
                <w:b/>
                <w:bCs/>
                <w:color w:val="auto"/>
                <w:highlight w:val="none"/>
              </w:rPr>
              <w:t>分）</w:t>
            </w:r>
          </w:p>
        </w:tc>
      </w:tr>
      <w:tr w14:paraId="1925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74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60FF84A4">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240" w:type="dxa"/>
            <w:gridSpan w:val="3"/>
            <w:tcBorders>
              <w:top w:val="single" w:color="auto" w:sz="4" w:space="0"/>
              <w:left w:val="single" w:color="auto" w:sz="4" w:space="0"/>
              <w:bottom w:val="single" w:color="auto" w:sz="4" w:space="0"/>
              <w:right w:val="single" w:color="auto" w:sz="4" w:space="0"/>
            </w:tcBorders>
            <w:vAlign w:val="center"/>
          </w:tcPr>
          <w:p w14:paraId="7D656DAE">
            <w:pPr>
              <w:spacing w:line="360" w:lineRule="auto"/>
              <w:jc w:val="center"/>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评审</w:t>
            </w:r>
            <w:r>
              <w:rPr>
                <w:rFonts w:hint="eastAsia" w:ascii="宋体" w:hAnsi="宋体" w:eastAsia="宋体" w:cs="宋体"/>
                <w:bCs/>
                <w:color w:val="auto"/>
                <w:szCs w:val="21"/>
                <w:highlight w:val="none"/>
              </w:rPr>
              <w:t>内容</w:t>
            </w:r>
          </w:p>
        </w:tc>
        <w:tc>
          <w:tcPr>
            <w:tcW w:w="1395" w:type="dxa"/>
            <w:gridSpan w:val="2"/>
            <w:tcBorders>
              <w:top w:val="single" w:color="auto" w:sz="4" w:space="0"/>
              <w:left w:val="single" w:color="auto" w:sz="4" w:space="0"/>
              <w:bottom w:val="single" w:color="auto" w:sz="4" w:space="0"/>
              <w:right w:val="single" w:color="auto" w:sz="4" w:space="0"/>
            </w:tcBorders>
            <w:vAlign w:val="center"/>
          </w:tcPr>
          <w:p w14:paraId="5161FC3E">
            <w:pPr>
              <w:spacing w:line="360" w:lineRule="auto"/>
              <w:jc w:val="center"/>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满分</w:t>
            </w:r>
            <w:r>
              <w:rPr>
                <w:rFonts w:hint="eastAsia" w:ascii="宋体" w:hAnsi="宋体" w:eastAsia="宋体" w:cs="宋体"/>
                <w:bCs/>
                <w:color w:val="auto"/>
                <w:szCs w:val="21"/>
                <w:highlight w:val="none"/>
              </w:rPr>
              <w:t>分值</w:t>
            </w:r>
          </w:p>
        </w:tc>
        <w:tc>
          <w:tcPr>
            <w:tcW w:w="5767" w:type="dxa"/>
            <w:tcBorders>
              <w:top w:val="single" w:color="auto" w:sz="4" w:space="0"/>
              <w:left w:val="single" w:color="auto" w:sz="4" w:space="0"/>
              <w:bottom w:val="single" w:color="auto" w:sz="4" w:space="0"/>
              <w:right w:val="single" w:color="auto" w:sz="4" w:space="0"/>
            </w:tcBorders>
            <w:vAlign w:val="center"/>
          </w:tcPr>
          <w:p w14:paraId="48E57E24">
            <w:pPr>
              <w:spacing w:line="360" w:lineRule="auto"/>
              <w:jc w:val="center"/>
              <w:rPr>
                <w:rFonts w:hint="eastAsia" w:ascii="宋体" w:hAnsi="宋体" w:eastAsia="宋体" w:cs="宋体"/>
                <w:bCs/>
                <w:color w:val="auto"/>
                <w:szCs w:val="21"/>
                <w:highlight w:val="none"/>
              </w:rPr>
            </w:pPr>
            <w:r>
              <w:rPr>
                <w:rFonts w:ascii="宋体" w:hAnsi="宋体" w:eastAsia="宋体" w:cs="宋体"/>
                <w:sz w:val="24"/>
                <w:szCs w:val="24"/>
              </w:rPr>
              <w:t>评审标准</w:t>
            </w:r>
          </w:p>
        </w:tc>
      </w:tr>
      <w:tr w14:paraId="56EB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9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42BDD3FA">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240" w:type="dxa"/>
            <w:gridSpan w:val="3"/>
            <w:tcBorders>
              <w:top w:val="single" w:color="auto" w:sz="4" w:space="0"/>
              <w:left w:val="single" w:color="auto" w:sz="4" w:space="0"/>
              <w:bottom w:val="single" w:color="auto" w:sz="4" w:space="0"/>
              <w:right w:val="single" w:color="auto" w:sz="4" w:space="0"/>
            </w:tcBorders>
            <w:vAlign w:val="center"/>
          </w:tcPr>
          <w:p w14:paraId="779E965B">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价格分</w:t>
            </w:r>
          </w:p>
          <w:p w14:paraId="470C29D7">
            <w:pPr>
              <w:spacing w:line="360" w:lineRule="auto"/>
              <w:jc w:val="center"/>
              <w:rPr>
                <w:rFonts w:hint="eastAsia" w:ascii="宋体" w:hAnsi="宋体" w:eastAsia="宋体" w:cs="宋体"/>
                <w:bCs/>
                <w:color w:val="auto"/>
                <w:szCs w:val="21"/>
                <w:highlight w:val="none"/>
              </w:rPr>
            </w:pPr>
          </w:p>
        </w:tc>
        <w:tc>
          <w:tcPr>
            <w:tcW w:w="1395" w:type="dxa"/>
            <w:gridSpan w:val="2"/>
            <w:tcBorders>
              <w:top w:val="single" w:color="auto" w:sz="4" w:space="0"/>
              <w:left w:val="single" w:color="auto" w:sz="4" w:space="0"/>
              <w:bottom w:val="single" w:color="auto" w:sz="4" w:space="0"/>
              <w:right w:val="single" w:color="auto" w:sz="4" w:space="0"/>
            </w:tcBorders>
            <w:vAlign w:val="center"/>
          </w:tcPr>
          <w:p w14:paraId="287BD273">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满分1</w:t>
            </w:r>
            <w:r>
              <w:rPr>
                <w:rFonts w:hint="eastAsia" w:ascii="宋体" w:hAnsi="宋体" w:eastAsia="宋体" w:cs="宋体"/>
                <w:bCs/>
                <w:color w:val="auto"/>
                <w:szCs w:val="21"/>
                <w:highlight w:val="none"/>
                <w:lang w:val="en-US" w:eastAsia="zh-CN"/>
              </w:rPr>
              <w:t>0</w:t>
            </w:r>
            <w:r>
              <w:rPr>
                <w:rFonts w:hint="eastAsia" w:ascii="宋体" w:hAnsi="宋体" w:eastAsia="宋体" w:cs="宋体"/>
                <w:bCs/>
                <w:color w:val="auto"/>
                <w:szCs w:val="21"/>
                <w:highlight w:val="none"/>
              </w:rPr>
              <w:t>分</w:t>
            </w:r>
          </w:p>
        </w:tc>
        <w:tc>
          <w:tcPr>
            <w:tcW w:w="5767" w:type="dxa"/>
            <w:tcBorders>
              <w:top w:val="single" w:color="auto" w:sz="4" w:space="0"/>
              <w:left w:val="single" w:color="auto" w:sz="4" w:space="0"/>
              <w:bottom w:val="single" w:color="auto" w:sz="4" w:space="0"/>
              <w:right w:val="single" w:color="auto" w:sz="4" w:space="0"/>
            </w:tcBorders>
            <w:vAlign w:val="center"/>
          </w:tcPr>
          <w:p w14:paraId="797F3EC1">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评审报价为供应商的投标报价进行政策性扣除后的价格，评审报价</w:t>
            </w:r>
            <w:r>
              <w:rPr>
                <w:rFonts w:hint="eastAsia" w:ascii="宋体" w:hAnsi="宋体" w:eastAsia="宋体" w:cs="宋体"/>
                <w:bCs/>
                <w:color w:val="auto"/>
                <w:szCs w:val="21"/>
                <w:highlight w:val="none"/>
                <w:lang w:eastAsia="zh-CN"/>
              </w:rPr>
              <w:t>只</w:t>
            </w:r>
            <w:r>
              <w:rPr>
                <w:rFonts w:hint="eastAsia" w:ascii="宋体" w:hAnsi="宋体" w:eastAsia="宋体" w:cs="宋体"/>
                <w:bCs/>
                <w:color w:val="auto"/>
                <w:szCs w:val="21"/>
                <w:highlight w:val="none"/>
              </w:rPr>
              <w:t>作为评审时使用。最终</w:t>
            </w:r>
            <w:r>
              <w:rPr>
                <w:rFonts w:hint="eastAsia" w:ascii="宋体" w:hAnsi="宋体" w:eastAsia="宋体" w:cs="宋体"/>
                <w:bCs/>
                <w:color w:val="auto"/>
                <w:szCs w:val="21"/>
                <w:highlight w:val="none"/>
                <w:lang w:eastAsia="zh-CN"/>
              </w:rPr>
              <w:t>中标供应商</w:t>
            </w:r>
            <w:r>
              <w:rPr>
                <w:rFonts w:hint="eastAsia" w:ascii="宋体" w:hAnsi="宋体" w:eastAsia="宋体" w:cs="宋体"/>
                <w:bCs/>
                <w:color w:val="auto"/>
                <w:szCs w:val="21"/>
                <w:highlight w:val="none"/>
              </w:rPr>
              <w:t>的</w:t>
            </w:r>
            <w:r>
              <w:rPr>
                <w:rFonts w:hint="eastAsia" w:ascii="宋体" w:hAnsi="宋体" w:eastAsia="宋体" w:cs="宋体"/>
                <w:bCs/>
                <w:color w:val="auto"/>
                <w:szCs w:val="21"/>
                <w:highlight w:val="none"/>
                <w:lang w:eastAsia="zh-CN"/>
              </w:rPr>
              <w:t>中标金额</w:t>
            </w:r>
            <w:r>
              <w:rPr>
                <w:rFonts w:hint="eastAsia" w:ascii="宋体" w:hAnsi="宋体" w:eastAsia="宋体" w:cs="宋体"/>
                <w:bCs/>
                <w:color w:val="auto"/>
                <w:szCs w:val="21"/>
                <w:highlight w:val="none"/>
              </w:rPr>
              <w:t>等于投标报价（如有修正，以确认修正后的投标报价为准）。</w:t>
            </w:r>
          </w:p>
          <w:p w14:paraId="2B1B9268">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以进入比较与评价环节的最低的评审报价为基准价，基准价得分为1</w:t>
            </w:r>
            <w:r>
              <w:rPr>
                <w:rFonts w:hint="eastAsia" w:ascii="宋体" w:hAnsi="宋体" w:eastAsia="宋体" w:cs="宋体"/>
                <w:bCs/>
                <w:color w:val="auto"/>
                <w:szCs w:val="21"/>
                <w:highlight w:val="none"/>
                <w:lang w:val="en-US" w:eastAsia="zh-CN"/>
              </w:rPr>
              <w:t>0</w:t>
            </w:r>
            <w:r>
              <w:rPr>
                <w:rFonts w:hint="eastAsia" w:ascii="宋体" w:hAnsi="宋体" w:eastAsia="宋体" w:cs="宋体"/>
                <w:bCs/>
                <w:color w:val="auto"/>
                <w:szCs w:val="21"/>
                <w:highlight w:val="none"/>
              </w:rPr>
              <w:t>分。</w:t>
            </w:r>
          </w:p>
          <w:p w14:paraId="4AE7A634">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）价格分计算公式：报价得分=（基准价/投标报价）×</w:t>
            </w:r>
            <w:r>
              <w:rPr>
                <w:rFonts w:hint="eastAsia" w:ascii="宋体" w:hAnsi="宋体" w:eastAsia="宋体" w:cs="宋体"/>
                <w:bCs/>
                <w:color w:val="auto"/>
                <w:szCs w:val="21"/>
                <w:highlight w:val="none"/>
                <w:lang w:val="en-US" w:eastAsia="zh-CN"/>
              </w:rPr>
              <w:t>10</w:t>
            </w:r>
          </w:p>
        </w:tc>
      </w:tr>
      <w:tr w14:paraId="4FE0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992" w:type="dxa"/>
            <w:gridSpan w:val="8"/>
            <w:tcBorders>
              <w:top w:val="single" w:color="auto" w:sz="4" w:space="0"/>
              <w:left w:val="single" w:color="auto" w:sz="4" w:space="0"/>
              <w:bottom w:val="single" w:color="auto" w:sz="4" w:space="0"/>
              <w:right w:val="single" w:color="auto" w:sz="4" w:space="0"/>
            </w:tcBorders>
            <w:vAlign w:val="center"/>
          </w:tcPr>
          <w:p w14:paraId="12949C0B">
            <w:pPr>
              <w:pStyle w:val="94"/>
              <w:spacing w:line="360" w:lineRule="auto"/>
              <w:jc w:val="center"/>
              <w:rPr>
                <w:rFonts w:hint="eastAsia" w:ascii="宋体" w:hAnsi="宋体" w:eastAsia="宋体" w:cs="宋体"/>
                <w:bCs/>
                <w:color w:val="auto"/>
                <w:szCs w:val="21"/>
                <w:highlight w:val="none"/>
              </w:rPr>
            </w:pPr>
            <w:r>
              <w:rPr>
                <w:rFonts w:hint="eastAsia" w:ascii="宋体" w:hAnsi="宋体" w:eastAsia="宋体" w:cs="宋体"/>
                <w:b/>
                <w:bCs/>
                <w:color w:val="auto"/>
                <w:highlight w:val="none"/>
                <w:lang w:val="en-US" w:eastAsia="zh-CN"/>
              </w:rPr>
              <w:t>技术标</w:t>
            </w:r>
            <w:r>
              <w:rPr>
                <w:rFonts w:hint="eastAsia" w:ascii="宋体" w:hAnsi="宋体" w:eastAsia="宋体" w:cs="宋体"/>
                <w:b/>
                <w:bCs/>
                <w:color w:val="auto"/>
                <w:highlight w:val="none"/>
              </w:rPr>
              <w:t>（满分</w:t>
            </w:r>
            <w:r>
              <w:rPr>
                <w:rFonts w:hint="eastAsia" w:ascii="宋体" w:hAnsi="宋体" w:eastAsia="宋体" w:cs="宋体"/>
                <w:b/>
                <w:bCs/>
                <w:color w:val="auto"/>
                <w:highlight w:val="none"/>
                <w:lang w:val="en-US" w:eastAsia="zh-CN"/>
              </w:rPr>
              <w:t>85</w:t>
            </w:r>
            <w:r>
              <w:rPr>
                <w:rFonts w:hint="eastAsia" w:ascii="宋体" w:hAnsi="宋体" w:eastAsia="宋体" w:cs="宋体"/>
                <w:b/>
                <w:bCs/>
                <w:color w:val="auto"/>
                <w:highlight w:val="none"/>
              </w:rPr>
              <w:t>分）</w:t>
            </w:r>
          </w:p>
        </w:tc>
      </w:tr>
      <w:tr w14:paraId="4A209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15" w:type="dxa"/>
            <w:gridSpan w:val="3"/>
            <w:tcBorders>
              <w:top w:val="single" w:color="auto" w:sz="4" w:space="0"/>
              <w:left w:val="single" w:color="auto" w:sz="4" w:space="0"/>
              <w:bottom w:val="single" w:color="auto" w:sz="4" w:space="0"/>
              <w:right w:val="single" w:color="auto" w:sz="4" w:space="0"/>
            </w:tcBorders>
            <w:vAlign w:val="center"/>
          </w:tcPr>
          <w:p w14:paraId="5BEC0D2B">
            <w:pPr>
              <w:spacing w:line="36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w:t>
            </w:r>
          </w:p>
        </w:tc>
        <w:tc>
          <w:tcPr>
            <w:tcW w:w="1142" w:type="dxa"/>
            <w:gridSpan w:val="2"/>
            <w:tcBorders>
              <w:top w:val="single" w:color="auto" w:sz="4" w:space="0"/>
              <w:left w:val="single" w:color="auto" w:sz="4" w:space="0"/>
              <w:bottom w:val="single" w:color="auto" w:sz="4" w:space="0"/>
              <w:right w:val="single" w:color="auto" w:sz="4" w:space="0"/>
            </w:tcBorders>
            <w:vAlign w:val="center"/>
          </w:tcPr>
          <w:p w14:paraId="5805C126">
            <w:pPr>
              <w:spacing w:line="4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造价控制方法及措施（</w:t>
            </w:r>
            <w:r>
              <w:rPr>
                <w:rFonts w:hint="eastAsia" w:ascii="宋体" w:hAnsi="宋体" w:eastAsia="宋体" w:cs="宋体"/>
                <w:bCs/>
                <w:color w:val="auto"/>
                <w:szCs w:val="21"/>
                <w:highlight w:val="none"/>
                <w:lang w:eastAsia="zh-CN"/>
              </w:rPr>
              <w:t>满分</w:t>
            </w:r>
            <w:r>
              <w:rPr>
                <w:rFonts w:hint="eastAsia" w:ascii="宋体" w:hAnsi="宋体" w:eastAsia="宋体" w:cs="宋体"/>
                <w:bCs/>
                <w:color w:val="auto"/>
                <w:szCs w:val="21"/>
                <w:highlight w:val="none"/>
                <w:lang w:val="en-US" w:eastAsia="zh-CN"/>
              </w:rPr>
              <w:t>12</w:t>
            </w:r>
            <w:r>
              <w:rPr>
                <w:rFonts w:hint="eastAsia" w:ascii="宋体" w:hAnsi="宋体" w:eastAsia="宋体" w:cs="宋体"/>
                <w:bCs/>
                <w:color w:val="auto"/>
                <w:szCs w:val="21"/>
                <w:highlight w:val="none"/>
              </w:rPr>
              <w:t>分）</w:t>
            </w:r>
          </w:p>
        </w:tc>
        <w:tc>
          <w:tcPr>
            <w:tcW w:w="7135" w:type="dxa"/>
            <w:gridSpan w:val="3"/>
            <w:tcBorders>
              <w:top w:val="single" w:color="auto" w:sz="4" w:space="0"/>
              <w:left w:val="single" w:color="auto" w:sz="4" w:space="0"/>
              <w:bottom w:val="single" w:color="auto" w:sz="4" w:space="0"/>
              <w:right w:val="single" w:color="auto" w:sz="4" w:space="0"/>
            </w:tcBorders>
            <w:vAlign w:val="center"/>
          </w:tcPr>
          <w:p w14:paraId="0742B299">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优（12分）</w:t>
            </w:r>
            <w:r>
              <w:rPr>
                <w:rFonts w:ascii="宋体" w:hAnsi="宋体" w:eastAsia="宋体" w:cs="宋体"/>
                <w:color w:val="auto"/>
                <w:szCs w:val="21"/>
                <w:highlight w:val="none"/>
              </w:rPr>
              <w:t>：方案完全响应招标文件对投资控制的要求。控制流程完整严谨，与</w:t>
            </w:r>
            <w:r>
              <w:rPr>
                <w:rFonts w:hint="eastAsia" w:ascii="宋体" w:hAnsi="宋体" w:eastAsia="宋体" w:cs="宋体"/>
                <w:color w:val="auto"/>
                <w:szCs w:val="21"/>
                <w:highlight w:val="none"/>
                <w:lang w:val="en-US" w:eastAsia="zh-CN"/>
              </w:rPr>
              <w:t>采购人要求</w:t>
            </w:r>
            <w:r>
              <w:rPr>
                <w:rFonts w:ascii="宋体" w:hAnsi="宋体" w:eastAsia="宋体" w:cs="宋体"/>
                <w:color w:val="auto"/>
                <w:szCs w:val="21"/>
                <w:highlight w:val="none"/>
              </w:rPr>
              <w:t>的结算模式，对计量支付、工程变更审核提出了具体、可追溯的操作细则。能精准预判多子项实施中可能出现的造价控制难点（如分项结算、材料调差），并制定针对性强、权责清晰的风险预案与审核要点，确保监理费计算基础准确可靠。</w:t>
            </w:r>
          </w:p>
          <w:p w14:paraId="104B9639">
            <w:pPr>
              <w:spacing w:line="400" w:lineRule="exact"/>
              <w:ind w:firstLine="420" w:firstLineChars="200"/>
              <w:rPr>
                <w:rFonts w:hint="eastAsia" w:ascii="宋体" w:hAnsi="宋体" w:eastAsia="宋体" w:cs="宋体"/>
                <w:color w:val="auto"/>
                <w:szCs w:val="21"/>
                <w:highlight w:val="none"/>
                <w:lang w:eastAsia="zh-CN"/>
              </w:rPr>
            </w:pPr>
            <w:r>
              <w:rPr>
                <w:rFonts w:ascii="宋体" w:hAnsi="宋体" w:eastAsia="宋体" w:cs="宋体"/>
                <w:color w:val="auto"/>
                <w:szCs w:val="21"/>
                <w:highlight w:val="none"/>
              </w:rPr>
              <w:t>良（8分）：方案响应投资控制要求。控制流程较完整，能与项目结算模式结合。对主要的造价控制重点有识别，并提出了基本可行的控制措施和审核方法，具备操作性。</w:t>
            </w:r>
          </w:p>
          <w:p w14:paraId="62A37BE7">
            <w:pPr>
              <w:spacing w:line="400" w:lineRule="exact"/>
              <w:ind w:firstLine="420" w:firstLineChars="200"/>
              <w:rPr>
                <w:rFonts w:hint="eastAsia" w:ascii="宋体" w:hAnsi="宋体" w:eastAsia="宋体" w:cs="宋体"/>
                <w:color w:val="auto"/>
                <w:szCs w:val="21"/>
                <w:highlight w:val="none"/>
                <w:lang w:eastAsia="zh-CN"/>
              </w:rPr>
            </w:pPr>
            <w:r>
              <w:rPr>
                <w:rFonts w:ascii="宋体" w:hAnsi="宋体" w:eastAsia="宋体" w:cs="宋体"/>
                <w:color w:val="auto"/>
                <w:szCs w:val="21"/>
                <w:highlight w:val="none"/>
              </w:rPr>
              <w:t>中（6分）：方案基本响应投资控制要求。列出了投资控制的基本流程，但针对性不强。对造价控制难点分析较为笼统，提出的措施原则性较强，缺乏具体的操作指引和审核标准。</w:t>
            </w:r>
          </w:p>
          <w:p w14:paraId="37BC944D">
            <w:pPr>
              <w:spacing w:line="400" w:lineRule="exact"/>
              <w:ind w:firstLine="420" w:firstLineChars="200"/>
              <w:rPr>
                <w:rFonts w:hint="eastAsia" w:ascii="宋体" w:hAnsi="宋体" w:eastAsia="宋体" w:cs="宋体"/>
                <w:color w:val="auto"/>
                <w:szCs w:val="21"/>
                <w:highlight w:val="none"/>
                <w:lang w:eastAsia="zh-CN"/>
              </w:rPr>
            </w:pPr>
            <w:r>
              <w:rPr>
                <w:rFonts w:ascii="宋体" w:hAnsi="宋体" w:eastAsia="宋体" w:cs="宋体"/>
                <w:color w:val="auto"/>
                <w:szCs w:val="21"/>
                <w:highlight w:val="none"/>
              </w:rPr>
              <w:t>差（2分）：方案未能有效响应投资控制要求。控制流程缺失、混乱或与项目实际脱节。未结合结算模式进行分析，对造价风险无预判，措施空洞、不可行。</w:t>
            </w:r>
          </w:p>
        </w:tc>
      </w:tr>
      <w:tr w14:paraId="3977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15" w:type="dxa"/>
            <w:gridSpan w:val="3"/>
            <w:tcBorders>
              <w:top w:val="single" w:color="auto" w:sz="4" w:space="0"/>
              <w:left w:val="single" w:color="auto" w:sz="4" w:space="0"/>
              <w:bottom w:val="single" w:color="auto" w:sz="4" w:space="0"/>
              <w:right w:val="single" w:color="auto" w:sz="4" w:space="0"/>
            </w:tcBorders>
            <w:vAlign w:val="center"/>
          </w:tcPr>
          <w:p w14:paraId="0229E77E">
            <w:pPr>
              <w:spacing w:line="36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w:t>
            </w:r>
          </w:p>
        </w:tc>
        <w:tc>
          <w:tcPr>
            <w:tcW w:w="1142" w:type="dxa"/>
            <w:gridSpan w:val="2"/>
            <w:tcBorders>
              <w:top w:val="single" w:color="auto" w:sz="4" w:space="0"/>
              <w:left w:val="single" w:color="auto" w:sz="4" w:space="0"/>
              <w:bottom w:val="single" w:color="auto" w:sz="4" w:space="0"/>
              <w:right w:val="single" w:color="auto" w:sz="4" w:space="0"/>
            </w:tcBorders>
            <w:vAlign w:val="center"/>
          </w:tcPr>
          <w:p w14:paraId="1269D932">
            <w:pPr>
              <w:spacing w:line="400" w:lineRule="exact"/>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进度控制重点及监理措施</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满分</w:t>
            </w:r>
            <w:r>
              <w:rPr>
                <w:rFonts w:hint="eastAsia" w:ascii="宋体" w:hAnsi="宋体" w:eastAsia="宋体" w:cs="宋体"/>
                <w:bCs/>
                <w:color w:val="auto"/>
                <w:szCs w:val="21"/>
                <w:highlight w:val="none"/>
                <w:lang w:val="en-US" w:eastAsia="zh-CN"/>
              </w:rPr>
              <w:t>12</w:t>
            </w:r>
            <w:r>
              <w:rPr>
                <w:rFonts w:hint="eastAsia" w:ascii="宋体" w:hAnsi="宋体" w:eastAsia="宋体" w:cs="宋体"/>
                <w:bCs/>
                <w:color w:val="auto"/>
                <w:szCs w:val="21"/>
                <w:highlight w:val="none"/>
              </w:rPr>
              <w:t>分）</w:t>
            </w:r>
          </w:p>
        </w:tc>
        <w:tc>
          <w:tcPr>
            <w:tcW w:w="7135" w:type="dxa"/>
            <w:gridSpan w:val="3"/>
            <w:tcBorders>
              <w:top w:val="single" w:color="auto" w:sz="4" w:space="0"/>
              <w:left w:val="single" w:color="auto" w:sz="4" w:space="0"/>
              <w:bottom w:val="single" w:color="auto" w:sz="4" w:space="0"/>
              <w:right w:val="single" w:color="auto" w:sz="4" w:space="0"/>
            </w:tcBorders>
            <w:vAlign w:val="center"/>
          </w:tcPr>
          <w:p w14:paraId="3F588A88">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优（12分）</w:t>
            </w:r>
            <w:r>
              <w:rPr>
                <w:rFonts w:ascii="宋体" w:hAnsi="宋体" w:eastAsia="宋体" w:cs="宋体"/>
                <w:color w:val="auto"/>
                <w:szCs w:val="21"/>
                <w:highlight w:val="none"/>
              </w:rPr>
              <w:t>：方案深刻理解本项目分片区、多子项、可能分期实施的特点。进度控制体系科学完整，不仅包含常规的计划审批与跟踪，更提出了系统性的片区总体进度协调方案与子项目间衔接的动态管理机制。预警与纠偏机制具体、响应，能有效保障总体工期目标。</w:t>
            </w:r>
          </w:p>
          <w:p w14:paraId="2899C574">
            <w:pPr>
              <w:spacing w:line="400" w:lineRule="exact"/>
              <w:ind w:firstLine="420" w:firstLineChars="200"/>
              <w:rPr>
                <w:rFonts w:hint="eastAsia" w:ascii="宋体" w:hAnsi="宋体" w:eastAsia="宋体" w:cs="宋体"/>
                <w:color w:val="auto"/>
                <w:szCs w:val="21"/>
                <w:highlight w:val="none"/>
                <w:lang w:eastAsia="zh-CN"/>
              </w:rPr>
            </w:pPr>
            <w:r>
              <w:rPr>
                <w:rFonts w:ascii="宋体" w:hAnsi="宋体" w:eastAsia="宋体" w:cs="宋体"/>
                <w:color w:val="auto"/>
                <w:szCs w:val="21"/>
                <w:highlight w:val="none"/>
              </w:rPr>
              <w:t>良（8分）：方案考虑到项目多子项特点。进度控制体系较为完整，对总体协调有一定考虑。具备进度计划的动态监控和基本的偏差处理程序，预警纠偏措施基本可行。</w:t>
            </w:r>
          </w:p>
          <w:p w14:paraId="7835FF12">
            <w:pPr>
              <w:spacing w:line="400" w:lineRule="exact"/>
              <w:ind w:firstLine="420" w:firstLineChars="200"/>
              <w:rPr>
                <w:rFonts w:hint="eastAsia" w:ascii="宋体" w:hAnsi="宋体" w:eastAsia="宋体" w:cs="宋体"/>
                <w:color w:val="auto"/>
                <w:szCs w:val="21"/>
                <w:highlight w:val="none"/>
                <w:lang w:eastAsia="zh-CN"/>
              </w:rPr>
            </w:pPr>
            <w:r>
              <w:rPr>
                <w:rFonts w:ascii="宋体" w:hAnsi="宋体" w:eastAsia="宋体" w:cs="宋体"/>
                <w:color w:val="auto"/>
                <w:szCs w:val="21"/>
                <w:highlight w:val="none"/>
              </w:rPr>
              <w:t>中（6分）：方案提及了多子项情况。进度控制方法以常规描述为主，缺乏针对性的协调管理设计。有进度跟踪概念，但预警纠偏机制不健全或响应滞后。</w:t>
            </w:r>
          </w:p>
          <w:p w14:paraId="17E48E70">
            <w:pPr>
              <w:spacing w:line="400" w:lineRule="exact"/>
              <w:ind w:firstLine="420" w:firstLineChars="200"/>
              <w:rPr>
                <w:rFonts w:hint="eastAsia" w:ascii="宋体" w:hAnsi="宋体" w:eastAsia="宋体" w:cs="宋体"/>
                <w:color w:val="auto"/>
                <w:szCs w:val="21"/>
                <w:highlight w:val="none"/>
                <w:lang w:eastAsia="zh-CN"/>
              </w:rPr>
            </w:pPr>
            <w:r>
              <w:rPr>
                <w:rFonts w:ascii="宋体" w:hAnsi="宋体" w:eastAsia="宋体" w:cs="宋体"/>
                <w:color w:val="auto"/>
                <w:szCs w:val="21"/>
                <w:highlight w:val="none"/>
              </w:rPr>
              <w:t>差（2分）：方案未体现项目多子项特点。进度控制措施零散、不成体系，或完全照搬通用模板。无有效的进度和纠偏手段。</w:t>
            </w:r>
          </w:p>
        </w:tc>
      </w:tr>
      <w:tr w14:paraId="3E17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15" w:type="dxa"/>
            <w:gridSpan w:val="3"/>
            <w:tcBorders>
              <w:top w:val="single" w:color="auto" w:sz="4" w:space="0"/>
              <w:left w:val="single" w:color="auto" w:sz="4" w:space="0"/>
              <w:bottom w:val="single" w:color="auto" w:sz="4" w:space="0"/>
              <w:right w:val="single" w:color="auto" w:sz="4" w:space="0"/>
            </w:tcBorders>
            <w:vAlign w:val="center"/>
          </w:tcPr>
          <w:p w14:paraId="4BF0C5F1">
            <w:pPr>
              <w:spacing w:line="36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w:t>
            </w:r>
          </w:p>
        </w:tc>
        <w:tc>
          <w:tcPr>
            <w:tcW w:w="1142" w:type="dxa"/>
            <w:gridSpan w:val="2"/>
            <w:tcBorders>
              <w:top w:val="single" w:color="auto" w:sz="4" w:space="0"/>
              <w:left w:val="single" w:color="auto" w:sz="4" w:space="0"/>
              <w:bottom w:val="single" w:color="auto" w:sz="4" w:space="0"/>
              <w:right w:val="single" w:color="auto" w:sz="4" w:space="0"/>
            </w:tcBorders>
            <w:vAlign w:val="center"/>
          </w:tcPr>
          <w:p w14:paraId="1A852B00">
            <w:pPr>
              <w:spacing w:line="4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质量控制方法及措施（</w:t>
            </w:r>
            <w:r>
              <w:rPr>
                <w:rFonts w:hint="eastAsia" w:ascii="宋体" w:hAnsi="宋体" w:eastAsia="宋体" w:cs="宋体"/>
                <w:bCs/>
                <w:color w:val="auto"/>
                <w:szCs w:val="21"/>
                <w:highlight w:val="none"/>
                <w:lang w:eastAsia="zh-CN"/>
              </w:rPr>
              <w:t>满分</w:t>
            </w:r>
            <w:r>
              <w:rPr>
                <w:rFonts w:hint="eastAsia" w:ascii="宋体" w:hAnsi="宋体" w:eastAsia="宋体" w:cs="宋体"/>
                <w:bCs/>
                <w:color w:val="auto"/>
                <w:szCs w:val="21"/>
                <w:highlight w:val="none"/>
                <w:lang w:val="en-US" w:eastAsia="zh-CN"/>
              </w:rPr>
              <w:t>11</w:t>
            </w:r>
            <w:r>
              <w:rPr>
                <w:rFonts w:hint="eastAsia" w:ascii="宋体" w:hAnsi="宋体" w:eastAsia="宋体" w:cs="宋体"/>
                <w:bCs/>
                <w:color w:val="auto"/>
                <w:szCs w:val="21"/>
                <w:highlight w:val="none"/>
              </w:rPr>
              <w:t>分）</w:t>
            </w:r>
          </w:p>
        </w:tc>
        <w:tc>
          <w:tcPr>
            <w:tcW w:w="7135" w:type="dxa"/>
            <w:gridSpan w:val="3"/>
            <w:tcBorders>
              <w:top w:val="single" w:color="auto" w:sz="4" w:space="0"/>
              <w:left w:val="single" w:color="auto" w:sz="4" w:space="0"/>
              <w:bottom w:val="single" w:color="auto" w:sz="4" w:space="0"/>
              <w:right w:val="single" w:color="auto" w:sz="4" w:space="0"/>
            </w:tcBorders>
            <w:vAlign w:val="center"/>
          </w:tcPr>
          <w:p w14:paraId="0DCB1F34">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优（11分）</w:t>
            </w:r>
            <w:r>
              <w:rPr>
                <w:rFonts w:ascii="宋体" w:hAnsi="宋体" w:eastAsia="宋体" w:cs="宋体"/>
                <w:color w:val="auto"/>
                <w:szCs w:val="21"/>
                <w:highlight w:val="none"/>
              </w:rPr>
              <w:t>：方案系统性构建了覆盖全过程的质控体系，全面贯彻采购需求第6.1条所列各项监理工作制度（技术文件审查至安全文明检查）。对、工序的旁站、见证、平行检验计划详尽具体，可操作性强。质量事故处理程序（第2章1.2(10)条）严谨规范，档案管理要求（第2章6.2条）明确。</w:t>
            </w:r>
          </w:p>
          <w:p w14:paraId="135E1343">
            <w:pPr>
              <w:spacing w:line="400" w:lineRule="exact"/>
              <w:ind w:firstLine="420" w:firstLineChars="200"/>
              <w:rPr>
                <w:rFonts w:hint="eastAsia" w:ascii="宋体" w:hAnsi="宋体" w:eastAsia="宋体" w:cs="宋体"/>
                <w:color w:val="auto"/>
                <w:szCs w:val="21"/>
                <w:highlight w:val="none"/>
                <w:lang w:eastAsia="zh-CN"/>
              </w:rPr>
            </w:pPr>
            <w:r>
              <w:rPr>
                <w:rFonts w:ascii="宋体" w:hAnsi="宋体" w:eastAsia="宋体" w:cs="宋体"/>
                <w:color w:val="auto"/>
                <w:szCs w:val="21"/>
                <w:highlight w:val="none"/>
              </w:rPr>
              <w:t>良（7分）：方案建立了主要的质控制度，响应了采购需求的核心要求。对关键工序有控制计划和措施，质量事故处理有基本程序，档案管理有要求。</w:t>
            </w:r>
          </w:p>
          <w:p w14:paraId="5D5BE30A">
            <w:pPr>
              <w:spacing w:line="400" w:lineRule="exact"/>
              <w:ind w:firstLine="420" w:firstLineChars="200"/>
              <w:rPr>
                <w:rFonts w:hint="eastAsia" w:ascii="宋体" w:hAnsi="宋体" w:eastAsia="宋体" w:cs="宋体"/>
                <w:color w:val="auto"/>
                <w:szCs w:val="21"/>
                <w:highlight w:val="none"/>
                <w:lang w:eastAsia="zh-CN"/>
              </w:rPr>
            </w:pPr>
            <w:r>
              <w:rPr>
                <w:rFonts w:ascii="宋体" w:hAnsi="宋体" w:eastAsia="宋体" w:cs="宋体"/>
                <w:color w:val="auto"/>
                <w:szCs w:val="21"/>
                <w:highlight w:val="none"/>
              </w:rPr>
              <w:t>中（5分）：方案列出了基本的质控制度，但不够系统或部分缺失。对关键工序控制描述笼统，计划性不强。质量事故处理程序。</w:t>
            </w:r>
          </w:p>
          <w:p w14:paraId="6D4A9A2D">
            <w:pPr>
              <w:spacing w:line="400" w:lineRule="exact"/>
              <w:ind w:firstLine="420" w:firstLineChars="200"/>
              <w:rPr>
                <w:rFonts w:hint="eastAsia" w:ascii="宋体" w:hAnsi="宋体" w:eastAsia="宋体" w:cs="宋体"/>
                <w:color w:val="auto"/>
                <w:szCs w:val="21"/>
                <w:highlight w:val="none"/>
                <w:lang w:eastAsia="zh-CN"/>
              </w:rPr>
            </w:pPr>
            <w:r>
              <w:rPr>
                <w:rFonts w:ascii="宋体" w:hAnsi="宋体" w:eastAsia="宋体" w:cs="宋体"/>
                <w:color w:val="auto"/>
                <w:szCs w:val="21"/>
                <w:highlight w:val="none"/>
              </w:rPr>
              <w:t>差（2分）：质控体系严重缺失或与需求严重不符。未识别关键工序，无专项控制计划。对质量问题和档案管理无有效方案。</w:t>
            </w:r>
          </w:p>
        </w:tc>
      </w:tr>
      <w:tr w14:paraId="28A4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15" w:type="dxa"/>
            <w:gridSpan w:val="3"/>
            <w:tcBorders>
              <w:top w:val="single" w:color="auto" w:sz="4" w:space="0"/>
              <w:left w:val="single" w:color="auto" w:sz="4" w:space="0"/>
              <w:bottom w:val="single" w:color="auto" w:sz="4" w:space="0"/>
              <w:right w:val="single" w:color="auto" w:sz="4" w:space="0"/>
            </w:tcBorders>
            <w:vAlign w:val="center"/>
          </w:tcPr>
          <w:p w14:paraId="19E89556">
            <w:pPr>
              <w:spacing w:line="36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4</w:t>
            </w:r>
          </w:p>
        </w:tc>
        <w:tc>
          <w:tcPr>
            <w:tcW w:w="1142" w:type="dxa"/>
            <w:gridSpan w:val="2"/>
            <w:tcBorders>
              <w:top w:val="single" w:color="auto" w:sz="4" w:space="0"/>
              <w:left w:val="single" w:color="auto" w:sz="4" w:space="0"/>
              <w:bottom w:val="single" w:color="auto" w:sz="4" w:space="0"/>
              <w:right w:val="single" w:color="auto" w:sz="4" w:space="0"/>
            </w:tcBorders>
            <w:vAlign w:val="center"/>
          </w:tcPr>
          <w:p w14:paraId="14C9DE7D">
            <w:pPr>
              <w:spacing w:line="400" w:lineRule="exact"/>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环境保护及文明施工监理措施</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满分</w:t>
            </w: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rPr>
              <w:t>分）</w:t>
            </w:r>
          </w:p>
        </w:tc>
        <w:tc>
          <w:tcPr>
            <w:tcW w:w="7135" w:type="dxa"/>
            <w:gridSpan w:val="3"/>
            <w:tcBorders>
              <w:top w:val="single" w:color="auto" w:sz="4" w:space="0"/>
              <w:left w:val="single" w:color="auto" w:sz="4" w:space="0"/>
              <w:bottom w:val="single" w:color="auto" w:sz="4" w:space="0"/>
              <w:right w:val="single" w:color="auto" w:sz="4" w:space="0"/>
            </w:tcBorders>
            <w:vAlign w:val="center"/>
          </w:tcPr>
          <w:p w14:paraId="6DC4BF23">
            <w:pPr>
              <w:spacing w:line="40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优（10分）：方案全面落实安全监理法定职责及相关需求。安全责任体系健全，制度完善。危险源辨识全面准确，对专项方案审查与现场监控</w:t>
            </w:r>
            <w:r>
              <w:rPr>
                <w:rFonts w:hint="eastAsia" w:ascii="宋体" w:hAnsi="宋体" w:eastAsia="宋体" w:cs="宋体"/>
                <w:color w:val="auto"/>
                <w:szCs w:val="21"/>
                <w:highlight w:val="none"/>
                <w:lang w:val="en-US" w:eastAsia="zh-CN"/>
              </w:rPr>
              <w:t>要</w:t>
            </w:r>
            <w:r>
              <w:rPr>
                <w:rFonts w:ascii="宋体" w:hAnsi="宋体" w:eastAsia="宋体" w:cs="宋体"/>
                <w:color w:val="auto"/>
                <w:szCs w:val="21"/>
                <w:highlight w:val="none"/>
              </w:rPr>
              <w:t>求具体、标准明确。文明施工与环境保护措施细化、可检查、可考核，与乡村环境特点结合。</w:t>
            </w:r>
          </w:p>
          <w:p w14:paraId="4828CE90">
            <w:pPr>
              <w:spacing w:line="40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良（7分）：方案建立了较完整的安全责任体系和主要制度。能辨识主要危险源，有监控要求。文明施工与环保措施基本可行。</w:t>
            </w:r>
          </w:p>
          <w:p w14:paraId="3955DBFD">
            <w:pPr>
              <w:spacing w:line="40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中（5分）：方案有安全监理框架和性要求。危险源辨识和措施较为泛泛。文明施工与环保措施内容，针对性不足。</w:t>
            </w:r>
          </w:p>
          <w:p w14:paraId="7F5A4CD6">
            <w:pPr>
              <w:spacing w:line="400" w:lineRule="exact"/>
              <w:ind w:firstLine="420" w:firstLineChars="200"/>
              <w:rPr>
                <w:rFonts w:hint="eastAsia" w:ascii="宋体" w:hAnsi="宋体" w:eastAsia="宋体" w:cs="宋体"/>
                <w:color w:val="auto"/>
                <w:szCs w:val="21"/>
                <w:highlight w:val="none"/>
                <w:lang w:eastAsia="zh-CN"/>
              </w:rPr>
            </w:pPr>
            <w:r>
              <w:rPr>
                <w:rFonts w:ascii="宋体" w:hAnsi="宋体" w:eastAsia="宋体" w:cs="宋体"/>
                <w:color w:val="auto"/>
                <w:szCs w:val="21"/>
                <w:highlight w:val="none"/>
              </w:rPr>
              <w:t>差（2分）：安全监理方案不健全，责任不清。未进行有效危险源辨识。文明施工与环保措施缺失或流于形式。</w:t>
            </w:r>
          </w:p>
        </w:tc>
      </w:tr>
      <w:tr w14:paraId="0903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15" w:type="dxa"/>
            <w:gridSpan w:val="3"/>
            <w:tcBorders>
              <w:top w:val="single" w:color="auto" w:sz="4" w:space="0"/>
              <w:left w:val="single" w:color="auto" w:sz="4" w:space="0"/>
              <w:bottom w:val="single" w:color="auto" w:sz="4" w:space="0"/>
              <w:right w:val="single" w:color="auto" w:sz="4" w:space="0"/>
            </w:tcBorders>
            <w:vAlign w:val="center"/>
          </w:tcPr>
          <w:p w14:paraId="12B92D47">
            <w:pPr>
              <w:spacing w:line="36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5</w:t>
            </w:r>
          </w:p>
        </w:tc>
        <w:tc>
          <w:tcPr>
            <w:tcW w:w="1142" w:type="dxa"/>
            <w:gridSpan w:val="2"/>
            <w:tcBorders>
              <w:top w:val="single" w:color="auto" w:sz="4" w:space="0"/>
              <w:left w:val="single" w:color="auto" w:sz="4" w:space="0"/>
              <w:bottom w:val="single" w:color="auto" w:sz="4" w:space="0"/>
              <w:right w:val="single" w:color="auto" w:sz="4" w:space="0"/>
            </w:tcBorders>
            <w:vAlign w:val="center"/>
          </w:tcPr>
          <w:p w14:paraId="33D2FD0E">
            <w:pPr>
              <w:spacing w:line="400" w:lineRule="exact"/>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工程难点重点及措施（10分）</w:t>
            </w:r>
          </w:p>
        </w:tc>
        <w:tc>
          <w:tcPr>
            <w:tcW w:w="7135" w:type="dxa"/>
            <w:gridSpan w:val="3"/>
            <w:tcBorders>
              <w:top w:val="single" w:color="auto" w:sz="4" w:space="0"/>
              <w:left w:val="single" w:color="auto" w:sz="4" w:space="0"/>
              <w:bottom w:val="single" w:color="auto" w:sz="4" w:space="0"/>
              <w:right w:val="single" w:color="auto" w:sz="4" w:space="0"/>
            </w:tcBorders>
            <w:vAlign w:val="center"/>
          </w:tcPr>
          <w:p w14:paraId="291A6B16">
            <w:pPr>
              <w:spacing w:line="40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优（10分）：分析深刻透彻，精准把握了衔接资金项目在管理协同（多界面）、工期压力、质量标准、资金敏感度及现场复杂环境等方面的核心挑战。提出的监理对策极具针对性、创新性和系统性，能有效整合人员管理、信息报告等资源形成管理合力，展现了的项目统筹能力。</w:t>
            </w:r>
          </w:p>
          <w:p w14:paraId="3A885DF7">
            <w:pPr>
              <w:spacing w:line="40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良（7分）：分析较为准确，能识别项目主要难点。提出的监理对策合理、可行，能够应对主要挑战，并与部分管理要求相结合。</w:t>
            </w:r>
          </w:p>
          <w:p w14:paraId="12177159">
            <w:pPr>
              <w:spacing w:line="40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中（5分）：分析涉及了部分项目难点，但深度不够。对策较为常规，以通用方法为主，针对性和创新性不足，与管理要求结合不紧。</w:t>
            </w:r>
          </w:p>
          <w:p w14:paraId="687091E1">
            <w:pPr>
              <w:spacing w:line="400" w:lineRule="exact"/>
              <w:ind w:firstLine="420" w:firstLineChars="200"/>
              <w:rPr>
                <w:rFonts w:hint="eastAsia" w:ascii="宋体" w:hAnsi="宋体" w:eastAsia="宋体" w:cs="宋体"/>
                <w:color w:val="auto"/>
                <w:szCs w:val="21"/>
                <w:highlight w:val="none"/>
                <w:lang w:eastAsia="zh-CN"/>
              </w:rPr>
            </w:pPr>
            <w:r>
              <w:rPr>
                <w:rFonts w:ascii="宋体" w:hAnsi="宋体" w:eastAsia="宋体" w:cs="宋体"/>
                <w:color w:val="auto"/>
                <w:szCs w:val="21"/>
                <w:highlight w:val="none"/>
              </w:rPr>
              <w:t>差（2分）：分析、泛泛而谈，与本项目特殊性关联弱。对策空洞、缺乏操作性，或完全脱离采购需求的具体管理框架。</w:t>
            </w:r>
          </w:p>
        </w:tc>
      </w:tr>
      <w:tr w14:paraId="386B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15" w:type="dxa"/>
            <w:gridSpan w:val="3"/>
            <w:tcBorders>
              <w:top w:val="single" w:color="auto" w:sz="4" w:space="0"/>
              <w:left w:val="single" w:color="auto" w:sz="4" w:space="0"/>
              <w:bottom w:val="single" w:color="auto" w:sz="4" w:space="0"/>
              <w:right w:val="single" w:color="auto" w:sz="4" w:space="0"/>
            </w:tcBorders>
            <w:vAlign w:val="center"/>
          </w:tcPr>
          <w:p w14:paraId="59DDB457">
            <w:pPr>
              <w:spacing w:line="36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6</w:t>
            </w:r>
          </w:p>
        </w:tc>
        <w:tc>
          <w:tcPr>
            <w:tcW w:w="1142" w:type="dxa"/>
            <w:gridSpan w:val="2"/>
            <w:tcBorders>
              <w:top w:val="single" w:color="auto" w:sz="4" w:space="0"/>
              <w:left w:val="single" w:color="auto" w:sz="4" w:space="0"/>
              <w:bottom w:val="single" w:color="auto" w:sz="4" w:space="0"/>
              <w:right w:val="single" w:color="auto" w:sz="4" w:space="0"/>
            </w:tcBorders>
            <w:vAlign w:val="center"/>
          </w:tcPr>
          <w:p w14:paraId="6B1AE3A7">
            <w:pPr>
              <w:spacing w:line="4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合同及信息管理（</w:t>
            </w:r>
            <w:r>
              <w:rPr>
                <w:rFonts w:hint="eastAsia" w:ascii="宋体" w:hAnsi="宋体" w:eastAsia="宋体" w:cs="宋体"/>
                <w:bCs/>
                <w:color w:val="auto"/>
                <w:szCs w:val="21"/>
                <w:highlight w:val="none"/>
                <w:lang w:eastAsia="zh-CN"/>
              </w:rPr>
              <w:t>满分</w:t>
            </w: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rPr>
              <w:t>分）</w:t>
            </w:r>
          </w:p>
        </w:tc>
        <w:tc>
          <w:tcPr>
            <w:tcW w:w="7135" w:type="dxa"/>
            <w:gridSpan w:val="3"/>
            <w:tcBorders>
              <w:top w:val="single" w:color="auto" w:sz="4" w:space="0"/>
              <w:left w:val="single" w:color="auto" w:sz="4" w:space="0"/>
              <w:bottom w:val="single" w:color="auto" w:sz="4" w:space="0"/>
              <w:right w:val="single" w:color="auto" w:sz="4" w:space="0"/>
            </w:tcBorders>
            <w:vAlign w:val="center"/>
          </w:tcPr>
          <w:p w14:paraId="6BF660EA">
            <w:pPr>
              <w:spacing w:line="40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优（10分）：合同管理机制严谨高效，变更与索赔处理流程清晰、权责明确。信息管理体系高度契合采购需求，针对每一类成果文件（监理月报、规划细则、通知单、会议纪要、评估报告、影像资料、竣工档案等）的编制、审核、提交、归档均制定了标准化、时限化、责任到人的保障流程与质量控制措施，确保文件交付的及时性、准确性与完整性。</w:t>
            </w:r>
          </w:p>
          <w:p w14:paraId="5158BD5D">
            <w:pPr>
              <w:spacing w:line="40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良（7分）：合同管理有较清晰的流程。信息管理体系响应了主要成果文件的管理要求，对关键文件的提交和归档有措施和时限规定，基本满足需求。</w:t>
            </w:r>
          </w:p>
          <w:p w14:paraId="52085A9E">
            <w:pPr>
              <w:spacing w:line="40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中（5分）：合同与信息管理有基本框架。对成果文件的管理提出了要求但不够系统，部分关键环节（如时限、质量控制）的措施不具体或存在缺失。</w:t>
            </w:r>
          </w:p>
          <w:p w14:paraId="606B6D4D">
            <w:pPr>
              <w:spacing w:line="400" w:lineRule="exact"/>
              <w:ind w:firstLine="420" w:firstLineChars="200"/>
              <w:rPr>
                <w:rFonts w:hint="eastAsia" w:ascii="宋体" w:hAnsi="宋体" w:eastAsia="宋体" w:cs="宋体"/>
                <w:color w:val="auto"/>
                <w:szCs w:val="21"/>
                <w:highlight w:val="none"/>
                <w:lang w:eastAsia="zh-CN"/>
              </w:rPr>
            </w:pPr>
            <w:r>
              <w:rPr>
                <w:rFonts w:ascii="宋体" w:hAnsi="宋体" w:eastAsia="宋体" w:cs="宋体"/>
                <w:color w:val="auto"/>
                <w:szCs w:val="21"/>
                <w:highlight w:val="none"/>
              </w:rPr>
              <w:t>差（2分）：合同与信息管理方案或缺失。未对采购需求中明确的成果文件管理体系做出有效响应，管理要求未能落实到具体操作中。</w:t>
            </w:r>
          </w:p>
        </w:tc>
      </w:tr>
      <w:tr w14:paraId="22F8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15" w:type="dxa"/>
            <w:gridSpan w:val="3"/>
            <w:tcBorders>
              <w:top w:val="single" w:color="auto" w:sz="4" w:space="0"/>
              <w:left w:val="single" w:color="auto" w:sz="4" w:space="0"/>
              <w:bottom w:val="single" w:color="auto" w:sz="4" w:space="0"/>
              <w:right w:val="single" w:color="auto" w:sz="4" w:space="0"/>
            </w:tcBorders>
            <w:vAlign w:val="center"/>
          </w:tcPr>
          <w:p w14:paraId="1571255F">
            <w:pPr>
              <w:spacing w:line="36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7</w:t>
            </w:r>
          </w:p>
        </w:tc>
        <w:tc>
          <w:tcPr>
            <w:tcW w:w="1142" w:type="dxa"/>
            <w:gridSpan w:val="2"/>
            <w:tcBorders>
              <w:top w:val="single" w:color="auto" w:sz="4" w:space="0"/>
              <w:left w:val="single" w:color="auto" w:sz="4" w:space="0"/>
              <w:bottom w:val="single" w:color="auto" w:sz="4" w:space="0"/>
              <w:right w:val="single" w:color="auto" w:sz="4" w:space="0"/>
            </w:tcBorders>
            <w:vAlign w:val="top"/>
          </w:tcPr>
          <w:p w14:paraId="450EF71C">
            <w:pPr>
              <w:spacing w:line="400" w:lineRule="exact"/>
              <w:jc w:val="center"/>
              <w:rPr>
                <w:rFonts w:hint="eastAsia" w:ascii="宋体" w:hAnsi="宋体" w:eastAsia="宋体" w:cs="宋体"/>
                <w:bCs/>
                <w:color w:val="auto"/>
                <w:szCs w:val="21"/>
                <w:highlight w:val="none"/>
              </w:rPr>
            </w:pPr>
          </w:p>
          <w:p w14:paraId="21616D24">
            <w:pPr>
              <w:spacing w:line="4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组织协调的方法（</w:t>
            </w:r>
            <w:r>
              <w:rPr>
                <w:rFonts w:hint="eastAsia" w:ascii="宋体" w:hAnsi="宋体" w:eastAsia="宋体" w:cs="宋体"/>
                <w:bCs/>
                <w:color w:val="auto"/>
                <w:szCs w:val="21"/>
                <w:highlight w:val="none"/>
                <w:lang w:eastAsia="zh-CN"/>
              </w:rPr>
              <w:t>满分</w:t>
            </w: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rPr>
              <w:t>分）</w:t>
            </w:r>
          </w:p>
          <w:p w14:paraId="4F4DA632">
            <w:pPr>
              <w:spacing w:line="400" w:lineRule="exact"/>
              <w:jc w:val="center"/>
              <w:rPr>
                <w:rFonts w:hint="eastAsia" w:ascii="宋体" w:hAnsi="宋体" w:eastAsia="宋体" w:cs="宋体"/>
                <w:bCs/>
                <w:color w:val="auto"/>
                <w:szCs w:val="21"/>
                <w:highlight w:val="none"/>
              </w:rPr>
            </w:pPr>
          </w:p>
        </w:tc>
        <w:tc>
          <w:tcPr>
            <w:tcW w:w="7135" w:type="dxa"/>
            <w:gridSpan w:val="3"/>
            <w:tcBorders>
              <w:top w:val="single" w:color="auto" w:sz="4" w:space="0"/>
              <w:left w:val="single" w:color="auto" w:sz="4" w:space="0"/>
              <w:bottom w:val="single" w:color="auto" w:sz="4" w:space="0"/>
              <w:right w:val="single" w:color="auto" w:sz="4" w:space="0"/>
            </w:tcBorders>
            <w:vAlign w:val="center"/>
          </w:tcPr>
          <w:p w14:paraId="63FCAE21">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优（10分）：协调机制科学完善。工地会议制度设计周密，从筹备、召开到</w:t>
            </w:r>
            <w:r>
              <w:rPr>
                <w:color w:val="auto"/>
              </w:rPr>
              <w:t>纪要签发、决议落实</w:t>
            </w:r>
            <w:r>
              <w:rPr>
                <w:rFonts w:ascii="宋体" w:hAnsi="宋体" w:eastAsia="宋体" w:cs="宋体"/>
                <w:color w:val="auto"/>
                <w:szCs w:val="21"/>
                <w:highlight w:val="none"/>
              </w:rPr>
              <w:t>、决议跟踪形成闭环管理。针对项目内外部复杂接口（</w:t>
            </w:r>
            <w:r>
              <w:rPr>
                <w:rFonts w:hint="eastAsia" w:ascii="宋体" w:hAnsi="宋体" w:cs="宋体"/>
                <w:color w:val="auto"/>
                <w:szCs w:val="21"/>
                <w:highlight w:val="none"/>
                <w:lang w:eastAsia="zh-CN"/>
              </w:rPr>
              <w:t>委托人</w:t>
            </w:r>
            <w:r>
              <w:rPr>
                <w:rFonts w:ascii="宋体" w:hAnsi="宋体" w:eastAsia="宋体" w:cs="宋体"/>
                <w:color w:val="auto"/>
                <w:szCs w:val="21"/>
                <w:highlight w:val="none"/>
              </w:rPr>
              <w:t>、设计、施工、分包、地方政府及社区），提出了前瞻性、策略性的沟通协调预案与冲突解决方案。监理机构内部职责清晰、协同高效，信息共享机制。</w:t>
            </w:r>
          </w:p>
          <w:p w14:paraId="3C857B7B">
            <w:pPr>
              <w:spacing w:line="40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良（7分）：协调机制较为健全。工地会议制度完整，有决议跟踪。能考虑到多方协调需求，并提出基本可行的沟通原则和方法。内部有协调分工。</w:t>
            </w:r>
          </w:p>
          <w:p w14:paraId="3AEF9155">
            <w:pPr>
              <w:spacing w:line="40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中（5分）：有组织协调的概念和性方法。工地会议和协调工作有提及但制度性不强。对复杂接口的协调考虑不足或方法。</w:t>
            </w:r>
          </w:p>
          <w:p w14:paraId="60267051">
            <w:pPr>
              <w:spacing w:line="400" w:lineRule="exact"/>
              <w:ind w:firstLine="420" w:firstLineChars="200"/>
              <w:rPr>
                <w:rFonts w:hint="eastAsia" w:ascii="宋体" w:hAnsi="宋体" w:eastAsia="宋体" w:cs="宋体"/>
                <w:color w:val="auto"/>
                <w:szCs w:val="21"/>
                <w:highlight w:val="none"/>
                <w:lang w:eastAsia="zh-CN"/>
              </w:rPr>
            </w:pPr>
            <w:r>
              <w:rPr>
                <w:rFonts w:ascii="宋体" w:hAnsi="宋体" w:eastAsia="宋体" w:cs="宋体"/>
                <w:color w:val="auto"/>
                <w:szCs w:val="21"/>
                <w:highlight w:val="none"/>
              </w:rPr>
              <w:t>差（2分）：组织协调方案欠缺或无效。缺乏制度化的会议和沟通安排。未考虑项目协调难度，内部运作机制不清。</w:t>
            </w:r>
          </w:p>
        </w:tc>
      </w:tr>
      <w:tr w14:paraId="47A4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15" w:type="dxa"/>
            <w:gridSpan w:val="3"/>
            <w:tcBorders>
              <w:top w:val="single" w:color="auto" w:sz="4" w:space="0"/>
              <w:left w:val="single" w:color="auto" w:sz="4" w:space="0"/>
              <w:bottom w:val="single" w:color="auto" w:sz="4" w:space="0"/>
              <w:right w:val="single" w:color="auto" w:sz="4" w:space="0"/>
            </w:tcBorders>
            <w:vAlign w:val="center"/>
          </w:tcPr>
          <w:p w14:paraId="5EC3D46D">
            <w:pPr>
              <w:spacing w:line="36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8</w:t>
            </w:r>
          </w:p>
        </w:tc>
        <w:tc>
          <w:tcPr>
            <w:tcW w:w="1142" w:type="dxa"/>
            <w:gridSpan w:val="2"/>
            <w:tcBorders>
              <w:top w:val="single" w:color="auto" w:sz="4" w:space="0"/>
              <w:left w:val="single" w:color="auto" w:sz="4" w:space="0"/>
              <w:bottom w:val="single" w:color="auto" w:sz="4" w:space="0"/>
              <w:right w:val="single" w:color="auto" w:sz="4" w:space="0"/>
            </w:tcBorders>
            <w:vAlign w:val="center"/>
          </w:tcPr>
          <w:p w14:paraId="2E6D06ED">
            <w:pPr>
              <w:spacing w:line="400" w:lineRule="exact"/>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履行安全职责措施</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满分</w:t>
            </w:r>
            <w:r>
              <w:rPr>
                <w:rFonts w:hint="eastAsia" w:ascii="宋体" w:hAnsi="宋体" w:eastAsia="宋体" w:cs="宋体"/>
                <w:bCs/>
                <w:color w:val="auto"/>
                <w:szCs w:val="21"/>
                <w:highlight w:val="none"/>
                <w:lang w:val="en-US" w:eastAsia="zh-CN"/>
              </w:rPr>
              <w:t>1</w:t>
            </w:r>
            <w:r>
              <w:rPr>
                <w:rFonts w:hint="eastAsia" w:ascii="宋体" w:hAnsi="宋体" w:cs="宋体"/>
                <w:bCs/>
                <w:color w:val="auto"/>
                <w:szCs w:val="21"/>
                <w:highlight w:val="none"/>
                <w:lang w:val="en-US" w:eastAsia="zh-CN"/>
              </w:rPr>
              <w:t>0</w:t>
            </w:r>
            <w:r>
              <w:rPr>
                <w:rFonts w:hint="eastAsia" w:ascii="宋体" w:hAnsi="宋体" w:eastAsia="宋体" w:cs="宋体"/>
                <w:bCs/>
                <w:color w:val="auto"/>
                <w:szCs w:val="21"/>
                <w:highlight w:val="none"/>
              </w:rPr>
              <w:t>分）</w:t>
            </w:r>
          </w:p>
        </w:tc>
        <w:tc>
          <w:tcPr>
            <w:tcW w:w="7135" w:type="dxa"/>
            <w:gridSpan w:val="3"/>
            <w:tcBorders>
              <w:top w:val="single" w:color="auto" w:sz="4" w:space="0"/>
              <w:left w:val="single" w:color="auto" w:sz="4" w:space="0"/>
              <w:bottom w:val="single" w:color="auto" w:sz="4" w:space="0"/>
              <w:right w:val="single" w:color="auto" w:sz="4" w:space="0"/>
            </w:tcBorders>
            <w:vAlign w:val="center"/>
          </w:tcPr>
          <w:p w14:paraId="77AA17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ascii="宋体" w:hAnsi="宋体" w:eastAsia="宋体" w:cs="宋体"/>
                <w:color w:val="auto"/>
                <w:szCs w:val="21"/>
                <w:highlight w:val="none"/>
              </w:rPr>
              <w:t>优（1</w:t>
            </w:r>
            <w:r>
              <w:rPr>
                <w:rFonts w:hint="eastAsia" w:ascii="宋体" w:hAnsi="宋体" w:cs="宋体"/>
                <w:color w:val="auto"/>
                <w:szCs w:val="21"/>
                <w:highlight w:val="none"/>
                <w:lang w:val="en-US" w:eastAsia="zh-CN"/>
              </w:rPr>
              <w:t>0</w:t>
            </w:r>
            <w:r>
              <w:rPr>
                <w:rFonts w:ascii="宋体" w:hAnsi="宋体" w:eastAsia="宋体" w:cs="宋体"/>
                <w:color w:val="auto"/>
                <w:szCs w:val="21"/>
                <w:highlight w:val="none"/>
              </w:rPr>
              <w:t>分）：项目监理机构配置强大、</w:t>
            </w:r>
            <w:r>
              <w:rPr>
                <w:color w:val="auto"/>
              </w:rPr>
              <w:t>配置充足</w:t>
            </w:r>
            <w:r>
              <w:rPr>
                <w:rFonts w:ascii="宋体" w:hAnsi="宋体" w:eastAsia="宋体" w:cs="宋体"/>
                <w:color w:val="auto"/>
                <w:szCs w:val="21"/>
                <w:highlight w:val="none"/>
              </w:rPr>
              <w:t>，人员资格、经验、专业构成全面优于采购需求基本要求，证明材料齐全。专项制定的《项目人员履约保障方案》完全响应并强化了采购需求全部要求：对人员稳定性（含更换条件与内部罚则）、总监现场履职时间（</w:t>
            </w:r>
            <w:r>
              <w:rPr>
                <w:color w:val="auto"/>
              </w:rPr>
              <w:t>≥80%的具体保障措施</w:t>
            </w:r>
            <w:r>
              <w:rPr>
                <w:rFonts w:ascii="宋体" w:hAnsi="宋体" w:eastAsia="宋体" w:cs="宋体"/>
                <w:color w:val="auto"/>
                <w:szCs w:val="21"/>
                <w:highlight w:val="none"/>
              </w:rPr>
              <w:t>）、人脸识别/定点考勤实施计划、人员储备与培训机制等作出了可核查、可追溯的郑重承诺与细致安排，展现了的履约管控决心与能力。</w:t>
            </w:r>
          </w:p>
          <w:p w14:paraId="57AA1B03">
            <w:pPr>
              <w:spacing w:line="40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良（</w:t>
            </w:r>
            <w:r>
              <w:rPr>
                <w:rFonts w:hint="eastAsia" w:ascii="宋体" w:hAnsi="宋体" w:cs="宋体"/>
                <w:color w:val="auto"/>
                <w:szCs w:val="21"/>
                <w:highlight w:val="none"/>
                <w:lang w:val="en-US" w:eastAsia="zh-CN"/>
              </w:rPr>
              <w:t>7</w:t>
            </w:r>
            <w:r>
              <w:rPr>
                <w:rFonts w:ascii="宋体" w:hAnsi="宋体" w:eastAsia="宋体" w:cs="宋体"/>
                <w:color w:val="auto"/>
                <w:szCs w:val="21"/>
                <w:highlight w:val="none"/>
              </w:rPr>
              <w:t>分）：项目监理机构配置合理，完全满足采购需求。制定了人员履约保障方案，对稳定性、考勤等核心要求有明确的承诺和基本可行的措施，能覆盖需求要点。</w:t>
            </w:r>
          </w:p>
          <w:p w14:paraId="2CA95C67">
            <w:pPr>
              <w:spacing w:line="40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中（</w:t>
            </w:r>
            <w:r>
              <w:rPr>
                <w:rFonts w:hint="eastAsia" w:ascii="宋体" w:hAnsi="宋体" w:cs="宋体"/>
                <w:color w:val="auto"/>
                <w:szCs w:val="21"/>
                <w:highlight w:val="none"/>
                <w:lang w:val="en-US" w:eastAsia="zh-CN"/>
              </w:rPr>
              <w:t>5</w:t>
            </w:r>
            <w:r>
              <w:rPr>
                <w:rFonts w:ascii="宋体" w:hAnsi="宋体" w:eastAsia="宋体" w:cs="宋体"/>
                <w:color w:val="auto"/>
                <w:szCs w:val="21"/>
                <w:highlight w:val="none"/>
              </w:rPr>
              <w:t>分）：项目监理机构配置基本满足要求。对人员履约保障有性承诺，但方案不够细致，对于如何确保驻场时间、实施考勤等缺乏具体、硬性的保障手段。</w:t>
            </w:r>
          </w:p>
          <w:p w14:paraId="60F43FD1">
            <w:pPr>
              <w:spacing w:line="400" w:lineRule="exact"/>
              <w:ind w:firstLine="420" w:firstLineChars="200"/>
              <w:rPr>
                <w:rFonts w:hint="eastAsia" w:ascii="宋体" w:hAnsi="宋体" w:eastAsia="宋体" w:cs="宋体"/>
                <w:color w:val="auto"/>
                <w:szCs w:val="21"/>
                <w:highlight w:val="none"/>
                <w:lang w:val="zh-CN" w:eastAsia="zh-CN"/>
              </w:rPr>
            </w:pPr>
            <w:r>
              <w:rPr>
                <w:rFonts w:ascii="宋体" w:hAnsi="宋体" w:eastAsia="宋体" w:cs="宋体"/>
                <w:color w:val="auto"/>
                <w:szCs w:val="21"/>
                <w:highlight w:val="none"/>
              </w:rPr>
              <w:t>差（</w:t>
            </w:r>
            <w:r>
              <w:rPr>
                <w:rFonts w:hint="eastAsia" w:ascii="宋体" w:hAnsi="宋体" w:cs="宋体"/>
                <w:color w:val="auto"/>
                <w:szCs w:val="21"/>
                <w:highlight w:val="none"/>
                <w:lang w:val="en-US" w:eastAsia="zh-CN"/>
              </w:rPr>
              <w:t>2</w:t>
            </w:r>
            <w:r>
              <w:rPr>
                <w:rFonts w:ascii="宋体" w:hAnsi="宋体" w:eastAsia="宋体" w:cs="宋体"/>
                <w:color w:val="auto"/>
                <w:szCs w:val="21"/>
                <w:highlight w:val="none"/>
              </w:rPr>
              <w:t>分）：项目监理机构配置存在瑕疵或证明不充分。未针对采购需求的严格要求提供有效、可信的保障方案，承诺空洞，措施缺失，无法确保服务团队稳定与现场投入。</w:t>
            </w:r>
          </w:p>
        </w:tc>
      </w:tr>
      <w:tr w14:paraId="424E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92" w:type="dxa"/>
            <w:gridSpan w:val="8"/>
            <w:tcBorders>
              <w:top w:val="single" w:color="auto" w:sz="4" w:space="0"/>
              <w:left w:val="single" w:color="auto" w:sz="4" w:space="0"/>
              <w:bottom w:val="single" w:color="auto" w:sz="4" w:space="0"/>
              <w:right w:val="single" w:color="auto" w:sz="4" w:space="0"/>
            </w:tcBorders>
            <w:vAlign w:val="center"/>
          </w:tcPr>
          <w:p w14:paraId="44F8080C">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lang w:eastAsia="zh-CN"/>
              </w:rPr>
              <w:t>业绩分（满分</w:t>
            </w:r>
            <w:r>
              <w:rPr>
                <w:rFonts w:hint="eastAsia" w:ascii="宋体" w:hAnsi="宋体" w:eastAsia="宋体" w:cs="宋体"/>
                <w:b/>
                <w:bCs/>
                <w:color w:val="auto"/>
                <w:szCs w:val="21"/>
                <w:highlight w:val="none"/>
                <w:lang w:val="en-US" w:eastAsia="zh-CN"/>
              </w:rPr>
              <w:t>5分</w:t>
            </w:r>
            <w:r>
              <w:rPr>
                <w:rFonts w:hint="eastAsia" w:ascii="宋体" w:hAnsi="宋体" w:eastAsia="宋体" w:cs="宋体"/>
                <w:b/>
                <w:bCs/>
                <w:color w:val="auto"/>
                <w:szCs w:val="21"/>
                <w:highlight w:val="none"/>
                <w:lang w:eastAsia="zh-CN"/>
              </w:rPr>
              <w:t>）</w:t>
            </w:r>
          </w:p>
        </w:tc>
      </w:tr>
      <w:tr w14:paraId="7B3D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gridSpan w:val="2"/>
            <w:tcBorders>
              <w:top w:val="single" w:color="auto" w:sz="4" w:space="0"/>
              <w:left w:val="single" w:color="auto" w:sz="4" w:space="0"/>
              <w:bottom w:val="single" w:color="auto" w:sz="4" w:space="0"/>
              <w:right w:val="single" w:color="auto" w:sz="4" w:space="0"/>
            </w:tcBorders>
            <w:vAlign w:val="center"/>
          </w:tcPr>
          <w:p w14:paraId="512AFBC2">
            <w:pPr>
              <w:spacing w:line="36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序号</w:t>
            </w:r>
          </w:p>
        </w:tc>
        <w:tc>
          <w:tcPr>
            <w:tcW w:w="1159" w:type="dxa"/>
            <w:gridSpan w:val="3"/>
            <w:tcBorders>
              <w:top w:val="single" w:color="auto" w:sz="4" w:space="0"/>
              <w:left w:val="single" w:color="auto" w:sz="4" w:space="0"/>
              <w:bottom w:val="single" w:color="auto" w:sz="4" w:space="0"/>
              <w:right w:val="single" w:color="auto" w:sz="4" w:space="0"/>
            </w:tcBorders>
            <w:vAlign w:val="center"/>
          </w:tcPr>
          <w:p w14:paraId="706EA3F5">
            <w:pPr>
              <w:spacing w:line="360" w:lineRule="auto"/>
              <w:jc w:val="center"/>
              <w:rPr>
                <w:rFonts w:hint="eastAsia" w:ascii="宋体" w:hAnsi="宋体" w:eastAsia="宋体" w:cs="宋体"/>
                <w:color w:val="auto"/>
                <w:sz w:val="21"/>
                <w:highlight w:val="none"/>
                <w:lang w:eastAsia="zh-CN"/>
              </w:rPr>
            </w:pPr>
            <w:r>
              <w:rPr>
                <w:rFonts w:hint="eastAsia" w:ascii="宋体" w:hAnsi="宋体" w:eastAsia="宋体" w:cs="宋体"/>
                <w:bCs/>
                <w:color w:val="auto"/>
                <w:szCs w:val="21"/>
                <w:highlight w:val="none"/>
              </w:rPr>
              <w:t>内容</w:t>
            </w:r>
          </w:p>
        </w:tc>
        <w:tc>
          <w:tcPr>
            <w:tcW w:w="7135" w:type="dxa"/>
            <w:gridSpan w:val="3"/>
            <w:tcBorders>
              <w:top w:val="single" w:color="auto" w:sz="4" w:space="0"/>
              <w:left w:val="single" w:color="auto" w:sz="4" w:space="0"/>
              <w:bottom w:val="single" w:color="auto" w:sz="4" w:space="0"/>
              <w:right w:val="single" w:color="auto" w:sz="4" w:space="0"/>
            </w:tcBorders>
            <w:vAlign w:val="center"/>
          </w:tcPr>
          <w:p w14:paraId="24268321">
            <w:pPr>
              <w:spacing w:line="360" w:lineRule="auto"/>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评审标准和要求</w:t>
            </w:r>
          </w:p>
        </w:tc>
      </w:tr>
      <w:tr w14:paraId="4925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gridSpan w:val="2"/>
            <w:tcBorders>
              <w:top w:val="single" w:color="auto" w:sz="4" w:space="0"/>
              <w:left w:val="single" w:color="auto" w:sz="4" w:space="0"/>
              <w:bottom w:val="single" w:color="auto" w:sz="4" w:space="0"/>
              <w:right w:val="single" w:color="auto" w:sz="4" w:space="0"/>
            </w:tcBorders>
            <w:vAlign w:val="center"/>
          </w:tcPr>
          <w:p w14:paraId="4E9896EA">
            <w:pPr>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1</w:t>
            </w:r>
          </w:p>
        </w:tc>
        <w:tc>
          <w:tcPr>
            <w:tcW w:w="1159" w:type="dxa"/>
            <w:gridSpan w:val="3"/>
            <w:tcBorders>
              <w:top w:val="single" w:color="auto" w:sz="4" w:space="0"/>
              <w:left w:val="single" w:color="auto" w:sz="4" w:space="0"/>
              <w:bottom w:val="single" w:color="auto" w:sz="4" w:space="0"/>
              <w:right w:val="single" w:color="auto" w:sz="4" w:space="0"/>
            </w:tcBorders>
            <w:vAlign w:val="top"/>
          </w:tcPr>
          <w:p w14:paraId="0B4B9CB1">
            <w:pPr>
              <w:pStyle w:val="50"/>
              <w:spacing w:line="360" w:lineRule="auto"/>
              <w:rPr>
                <w:rFonts w:hint="eastAsia" w:ascii="宋体" w:hAnsi="宋体" w:eastAsia="宋体" w:cs="宋体"/>
                <w:bCs/>
                <w:color w:val="auto"/>
                <w:szCs w:val="21"/>
                <w:highlight w:val="none"/>
              </w:rPr>
            </w:pPr>
            <w:r>
              <w:rPr>
                <w:rFonts w:hint="eastAsia" w:ascii="宋体" w:hAnsi="宋体" w:eastAsia="宋体" w:cs="宋体"/>
                <w:color w:val="auto"/>
                <w:sz w:val="21"/>
                <w:highlight w:val="none"/>
                <w:lang w:eastAsia="zh-CN"/>
              </w:rPr>
              <w:t>业绩分</w:t>
            </w:r>
          </w:p>
        </w:tc>
        <w:tc>
          <w:tcPr>
            <w:tcW w:w="7135" w:type="dxa"/>
            <w:gridSpan w:val="3"/>
            <w:tcBorders>
              <w:top w:val="single" w:color="auto" w:sz="4" w:space="0"/>
              <w:left w:val="single" w:color="auto" w:sz="4" w:space="0"/>
              <w:bottom w:val="single" w:color="auto" w:sz="4" w:space="0"/>
              <w:right w:val="single" w:color="auto" w:sz="4" w:space="0"/>
            </w:tcBorders>
            <w:vAlign w:val="top"/>
          </w:tcPr>
          <w:p w14:paraId="13598E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lang w:eastAsia="zh-CN"/>
              </w:rPr>
            </w:pPr>
            <w:r>
              <w:rPr>
                <w:rFonts w:hint="eastAsia" w:ascii="宋体" w:hAnsi="宋体" w:eastAsia="宋体" w:cs="宋体"/>
                <w:color w:val="auto"/>
                <w:szCs w:val="21"/>
                <w:highlight w:val="none"/>
              </w:rPr>
              <w:t>自投标截止日起</w:t>
            </w:r>
            <w:r>
              <w:rPr>
                <w:rFonts w:hint="eastAsia" w:ascii="宋体" w:hAnsi="宋体" w:cs="宋体"/>
                <w:color w:val="auto"/>
                <w:szCs w:val="21"/>
                <w:highlight w:val="none"/>
                <w:lang w:val="en-US" w:eastAsia="zh-CN"/>
              </w:rPr>
              <w:t>近</w:t>
            </w:r>
            <w:r>
              <w:rPr>
                <w:rFonts w:hint="eastAsia" w:ascii="宋体" w:hAnsi="宋体" w:eastAsia="宋体" w:cs="宋体"/>
                <w:color w:val="auto"/>
                <w:szCs w:val="21"/>
                <w:highlight w:val="none"/>
              </w:rPr>
              <w:t>三年内，已完成或</w:t>
            </w:r>
            <w:r>
              <w:rPr>
                <w:color w:val="auto"/>
              </w:rPr>
              <w:t>正在履行（合同履行期未结束）的</w:t>
            </w:r>
            <w:r>
              <w:rPr>
                <w:rFonts w:hint="eastAsia" w:ascii="宋体" w:hAnsi="宋体" w:eastAsia="宋体" w:cs="宋体"/>
                <w:color w:val="auto"/>
                <w:szCs w:val="21"/>
                <w:highlight w:val="none"/>
              </w:rPr>
              <w:t>市政公用工程或水利水电工程项目的施工监理服务，</w:t>
            </w:r>
            <w:r>
              <w:rPr>
                <w:color w:val="auto"/>
              </w:rPr>
              <w:t>每提供一个符合要求的业绩得1分</w:t>
            </w:r>
            <w:r>
              <w:rPr>
                <w:rFonts w:hint="eastAsia" w:ascii="宋体" w:hAnsi="宋体" w:eastAsia="宋体" w:cs="宋体"/>
                <w:color w:val="auto"/>
                <w:szCs w:val="21"/>
                <w:highlight w:val="none"/>
              </w:rPr>
              <w:t>，满分</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业绩证明须提供中标通知书及合同关键页复印件</w:t>
            </w:r>
            <w:r>
              <w:rPr>
                <w:rFonts w:hint="eastAsia" w:ascii="宋体" w:hAnsi="宋体" w:eastAsia="宋体" w:cs="宋体"/>
                <w:color w:val="auto"/>
                <w:szCs w:val="21"/>
                <w:highlight w:val="none"/>
                <w:lang w:eastAsia="zh-CN"/>
              </w:rPr>
              <w:t>，否则不予计分）</w:t>
            </w:r>
          </w:p>
        </w:tc>
      </w:tr>
    </w:tbl>
    <w:p w14:paraId="3C01C730">
      <w:pPr>
        <w:spacing w:line="360" w:lineRule="auto"/>
        <w:ind w:firstLine="440" w:firstLineChars="200"/>
        <w:rPr>
          <w:rFonts w:hint="eastAsia" w:ascii="Segoe UI" w:hAnsi="Segoe UI" w:eastAsia="Segoe UI" w:cs="Segoe UI"/>
          <w:i w:val="0"/>
          <w:iCs w:val="0"/>
          <w:caps w:val="0"/>
          <w:color w:val="auto"/>
          <w:spacing w:val="0"/>
          <w:sz w:val="22"/>
          <w:szCs w:val="22"/>
          <w:shd w:val="clear" w:color="auto" w:fill="FFFFFF"/>
          <w:lang w:eastAsia="zh-CN"/>
        </w:rPr>
        <w:sectPr>
          <w:pgSz w:w="11906" w:h="16838"/>
          <w:pgMar w:top="1134" w:right="1247" w:bottom="1560" w:left="1247" w:header="851" w:footer="992" w:gutter="0"/>
          <w:cols w:space="720" w:num="1"/>
          <w:titlePg/>
          <w:docGrid w:linePitch="312" w:charSpace="0"/>
        </w:sectPr>
      </w:pPr>
      <w:r>
        <w:rPr>
          <w:rFonts w:ascii="Segoe UI" w:hAnsi="Segoe UI" w:eastAsia="Segoe UI" w:cs="Segoe UI"/>
          <w:i w:val="0"/>
          <w:iCs w:val="0"/>
          <w:caps w:val="0"/>
          <w:color w:val="auto"/>
          <w:spacing w:val="0"/>
          <w:sz w:val="22"/>
          <w:szCs w:val="22"/>
          <w:shd w:val="clear" w:color="auto" w:fill="FFFFFF"/>
        </w:rPr>
        <w:t>评标委员会将根据总得分由高到低排列次序并推荐中标候选人。若总得分相同，则按投标报价由低到高顺序排列。若总得分与投标报价均相同，则由评标委员会投票表决确定排序，或按技术标得分高低确定排序（须在招标文件中明确选择一种）。得分最高且排序第一的投标人，为第一中标候选人</w:t>
      </w:r>
      <w:r>
        <w:rPr>
          <w:rFonts w:hint="eastAsia" w:ascii="Segoe UI" w:hAnsi="Segoe UI" w:eastAsia="Segoe UI" w:cs="Segoe UI"/>
          <w:i w:val="0"/>
          <w:iCs w:val="0"/>
          <w:caps w:val="0"/>
          <w:color w:val="auto"/>
          <w:spacing w:val="0"/>
          <w:sz w:val="22"/>
          <w:szCs w:val="22"/>
          <w:shd w:val="clear" w:color="auto" w:fill="FFFFFF"/>
          <w:lang w:eastAsia="zh-CN"/>
        </w:rPr>
        <w:t>。</w:t>
      </w:r>
    </w:p>
    <w:p w14:paraId="3AC4EE57">
      <w:pPr>
        <w:pStyle w:val="94"/>
        <w:rPr>
          <w:rFonts w:hint="eastAsia"/>
          <w:color w:val="auto"/>
          <w:highlight w:val="none"/>
        </w:rPr>
      </w:pPr>
      <w:bookmarkStart w:id="181" w:name="_Toc19686833"/>
    </w:p>
    <w:p w14:paraId="7E44661E">
      <w:pPr>
        <w:numPr>
          <w:ilvl w:val="0"/>
          <w:numId w:val="20"/>
        </w:numPr>
        <w:spacing w:line="360" w:lineRule="auto"/>
        <w:jc w:val="center"/>
        <w:rPr>
          <w:rStyle w:val="27"/>
          <w:color w:val="auto"/>
          <w:highlight w:val="none"/>
        </w:rPr>
      </w:pPr>
      <w:bookmarkStart w:id="182" w:name="_Toc25119"/>
      <w:bookmarkStart w:id="183" w:name="_Toc21707"/>
      <w:bookmarkStart w:id="184" w:name="_Toc6912"/>
      <w:r>
        <w:rPr>
          <w:rStyle w:val="27"/>
          <w:color w:val="auto"/>
          <w:highlight w:val="none"/>
        </w:rPr>
        <w:t>拟签订的合同文本</w:t>
      </w:r>
      <w:bookmarkEnd w:id="181"/>
    </w:p>
    <w:bookmarkEnd w:id="182"/>
    <w:p w14:paraId="1077CD1E">
      <w:pPr>
        <w:pStyle w:val="2"/>
        <w:rPr>
          <w:color w:val="auto"/>
        </w:rPr>
      </w:pPr>
    </w:p>
    <w:bookmarkEnd w:id="183"/>
    <w:bookmarkEnd w:id="184"/>
    <w:p w14:paraId="495DE5C3">
      <w:pPr>
        <w:spacing w:line="360" w:lineRule="auto"/>
        <w:jc w:val="center"/>
        <w:rPr>
          <w:rFonts w:hint="eastAsia" w:ascii="方正小标宋简体" w:hAnsi="方正小标宋简体" w:eastAsia="方正小标宋简体" w:cs="方正小标宋简体"/>
          <w:b w:val="0"/>
          <w:bCs/>
          <w:color w:val="auto"/>
          <w:w w:val="90"/>
          <w:sz w:val="44"/>
          <w:szCs w:val="44"/>
          <w:highlight w:val="none"/>
          <w:lang w:eastAsia="zh-CN"/>
        </w:rPr>
      </w:pPr>
      <w:r>
        <w:rPr>
          <w:rFonts w:hint="eastAsia" w:ascii="方正小标宋简体" w:hAnsi="方正小标宋简体" w:eastAsia="方正小标宋简体" w:cs="方正小标宋简体"/>
          <w:b w:val="0"/>
          <w:bCs/>
          <w:color w:val="auto"/>
          <w:w w:val="90"/>
          <w:sz w:val="44"/>
          <w:szCs w:val="44"/>
          <w:highlight w:val="none"/>
          <w:lang w:eastAsia="zh-CN"/>
        </w:rPr>
        <w:t>天等县农业农村局2026</w:t>
      </w:r>
      <w:r>
        <w:rPr>
          <w:rFonts w:hint="eastAsia" w:ascii="方正小标宋简体" w:hAnsi="方正小标宋简体" w:eastAsia="方正小标宋简体" w:cs="方正小标宋简体"/>
          <w:b w:val="0"/>
          <w:bCs/>
          <w:color w:val="auto"/>
          <w:w w:val="90"/>
          <w:sz w:val="44"/>
          <w:szCs w:val="44"/>
          <w:highlight w:val="none"/>
          <w:lang w:val="en-US" w:eastAsia="zh-CN"/>
        </w:rPr>
        <w:t>年</w:t>
      </w:r>
      <w:r>
        <w:rPr>
          <w:rFonts w:hint="eastAsia" w:ascii="方正小标宋简体" w:hAnsi="方正小标宋简体" w:eastAsia="方正小标宋简体" w:cs="方正小标宋简体"/>
          <w:b w:val="0"/>
          <w:bCs/>
          <w:color w:val="auto"/>
          <w:w w:val="90"/>
          <w:sz w:val="44"/>
          <w:szCs w:val="44"/>
          <w:highlight w:val="none"/>
          <w:lang w:eastAsia="zh-CN"/>
        </w:rPr>
        <w:t>年度衔接资金建设项目</w:t>
      </w:r>
    </w:p>
    <w:p w14:paraId="14EA47F5">
      <w:pPr>
        <w:keepNext w:val="0"/>
        <w:keepLines w:val="0"/>
        <w:widowControl/>
        <w:suppressLineNumbers w:val="0"/>
        <w:jc w:val="center"/>
        <w:rPr>
          <w:rFonts w:hint="eastAsia" w:ascii="方正小标宋简体" w:hAnsi="方正小标宋简体" w:eastAsia="方正小标宋简体" w:cs="方正小标宋简体"/>
          <w:b w:val="0"/>
          <w:bCs/>
          <w:color w:val="auto"/>
          <w:w w:val="90"/>
          <w:sz w:val="44"/>
          <w:szCs w:val="44"/>
          <w:highlight w:val="none"/>
        </w:rPr>
      </w:pPr>
      <w:r>
        <w:rPr>
          <w:rFonts w:hint="eastAsia" w:ascii="方正小标宋简体" w:hAnsi="方正小标宋简体" w:eastAsia="方正小标宋简体" w:cs="方正小标宋简体"/>
          <w:b w:val="0"/>
          <w:bCs/>
          <w:color w:val="auto"/>
          <w:w w:val="90"/>
          <w:sz w:val="44"/>
          <w:szCs w:val="44"/>
          <w:highlight w:val="none"/>
          <w:lang w:eastAsia="zh-CN"/>
        </w:rPr>
        <w:t>建设工程</w:t>
      </w:r>
      <w:r>
        <w:rPr>
          <w:rFonts w:hint="eastAsia" w:ascii="方正小标宋简体" w:hAnsi="方正小标宋简体" w:eastAsia="方正小标宋简体" w:cs="方正小标宋简体"/>
          <w:b w:val="0"/>
          <w:bCs/>
          <w:color w:val="auto"/>
          <w:w w:val="90"/>
          <w:sz w:val="44"/>
          <w:szCs w:val="44"/>
          <w:highlight w:val="none"/>
          <w:lang w:val="en-US" w:eastAsia="zh-CN"/>
        </w:rPr>
        <w:t>监理服务</w:t>
      </w:r>
      <w:r>
        <w:rPr>
          <w:rFonts w:hint="eastAsia" w:ascii="方正小标宋简体" w:hAnsi="方正小标宋简体" w:eastAsia="方正小标宋简体" w:cs="方正小标宋简体"/>
          <w:b w:val="0"/>
          <w:bCs/>
          <w:color w:val="auto"/>
          <w:w w:val="90"/>
          <w:sz w:val="44"/>
          <w:szCs w:val="44"/>
          <w:highlight w:val="none"/>
        </w:rPr>
        <w:t>合同书</w:t>
      </w:r>
    </w:p>
    <w:p w14:paraId="48E0C0AA">
      <w:pPr>
        <w:pStyle w:val="2"/>
        <w:rPr>
          <w:rFonts w:hint="eastAsia"/>
          <w:color w:val="auto"/>
        </w:rPr>
      </w:pPr>
    </w:p>
    <w:p w14:paraId="48CF9F6E">
      <w:pPr>
        <w:rPr>
          <w:rFonts w:hint="eastAsia"/>
          <w:color w:val="auto"/>
        </w:rPr>
      </w:pPr>
    </w:p>
    <w:p w14:paraId="40892091">
      <w:pPr>
        <w:keepNext w:val="0"/>
        <w:keepLines w:val="0"/>
        <w:widowControl/>
        <w:suppressLineNumbers w:val="0"/>
        <w:jc w:val="center"/>
        <w:rPr>
          <w:rFonts w:hint="eastAsia" w:ascii="黑体" w:hAnsi="黑体" w:eastAsia="黑体" w:cs="黑体"/>
          <w:b w:val="0"/>
          <w:bCs/>
          <w:color w:val="auto"/>
          <w:w w:val="90"/>
          <w:sz w:val="36"/>
          <w:szCs w:val="36"/>
          <w:highlight w:val="none"/>
          <w:lang w:val="en-US" w:eastAsia="zh-CN"/>
        </w:rPr>
      </w:pPr>
      <w:r>
        <w:rPr>
          <w:rFonts w:hint="eastAsia" w:ascii="黑体" w:hAnsi="黑体" w:eastAsia="黑体" w:cs="黑体"/>
          <w:b w:val="0"/>
          <w:bCs/>
          <w:color w:val="auto"/>
          <w:w w:val="90"/>
          <w:sz w:val="36"/>
          <w:szCs w:val="36"/>
          <w:highlight w:val="none"/>
          <w:lang w:val="en-US" w:eastAsia="zh-CN"/>
        </w:rPr>
        <w:t>合同编号：天农监理〔〕号</w:t>
      </w:r>
    </w:p>
    <w:p w14:paraId="20F28B90">
      <w:pPr>
        <w:keepNext w:val="0"/>
        <w:keepLines w:val="0"/>
        <w:widowControl/>
        <w:suppressLineNumbers w:val="0"/>
        <w:jc w:val="left"/>
        <w:rPr>
          <w:rFonts w:hint="eastAsia" w:ascii="黑体" w:hAnsi="黑体" w:eastAsia="黑体" w:cs="黑体"/>
          <w:b w:val="0"/>
          <w:bCs/>
          <w:color w:val="auto"/>
          <w:w w:val="90"/>
          <w:sz w:val="36"/>
          <w:szCs w:val="36"/>
          <w:highlight w:val="none"/>
          <w:lang w:val="en-US" w:eastAsia="zh-CN"/>
        </w:rPr>
      </w:pPr>
    </w:p>
    <w:p w14:paraId="5790971B">
      <w:pPr>
        <w:keepNext w:val="0"/>
        <w:keepLines w:val="0"/>
        <w:widowControl/>
        <w:suppressLineNumbers w:val="0"/>
        <w:jc w:val="left"/>
        <w:rPr>
          <w:rFonts w:hint="eastAsia" w:ascii="黑体" w:hAnsi="黑体" w:eastAsia="黑体" w:cs="黑体"/>
          <w:b w:val="0"/>
          <w:bCs/>
          <w:color w:val="auto"/>
          <w:w w:val="90"/>
          <w:sz w:val="36"/>
          <w:szCs w:val="36"/>
          <w:highlight w:val="none"/>
          <w:lang w:val="en-US" w:eastAsia="zh-CN"/>
        </w:rPr>
      </w:pPr>
    </w:p>
    <w:p w14:paraId="475A72BA">
      <w:pPr>
        <w:keepNext w:val="0"/>
        <w:keepLines w:val="0"/>
        <w:widowControl/>
        <w:suppressLineNumbers w:val="0"/>
        <w:jc w:val="left"/>
        <w:rPr>
          <w:rFonts w:hint="eastAsia" w:ascii="宋体" w:hAnsi="宋体" w:eastAsia="宋体" w:cs="宋体"/>
          <w:b w:val="0"/>
          <w:bCs w:val="0"/>
          <w:color w:val="auto"/>
          <w:w w:val="90"/>
          <w:sz w:val="32"/>
          <w:szCs w:val="32"/>
          <w:highlight w:val="none"/>
        </w:rPr>
      </w:pPr>
      <w:r>
        <w:rPr>
          <w:rFonts w:hint="eastAsia" w:ascii="宋体" w:hAnsi="宋体" w:eastAsia="宋体" w:cs="宋体"/>
          <w:b/>
          <w:bCs/>
          <w:color w:val="auto"/>
          <w:w w:val="90"/>
          <w:sz w:val="32"/>
          <w:szCs w:val="32"/>
          <w:highlight w:val="none"/>
          <w:lang w:eastAsia="zh-CN"/>
        </w:rPr>
        <w:t>项目</w:t>
      </w:r>
      <w:r>
        <w:rPr>
          <w:rFonts w:hint="eastAsia" w:ascii="宋体" w:hAnsi="宋体" w:eastAsia="宋体" w:cs="宋体"/>
          <w:b/>
          <w:bCs/>
          <w:color w:val="auto"/>
          <w:w w:val="90"/>
          <w:sz w:val="32"/>
          <w:szCs w:val="32"/>
          <w:highlight w:val="none"/>
        </w:rPr>
        <w:t>名称</w:t>
      </w:r>
      <w:r>
        <w:rPr>
          <w:rFonts w:hint="eastAsia" w:ascii="宋体" w:hAnsi="宋体" w:eastAsia="宋体" w:cs="宋体"/>
          <w:b w:val="0"/>
          <w:bCs w:val="0"/>
          <w:color w:val="auto"/>
          <w:w w:val="90"/>
          <w:sz w:val="32"/>
          <w:szCs w:val="32"/>
          <w:highlight w:val="none"/>
        </w:rPr>
        <w:t>：</w:t>
      </w:r>
    </w:p>
    <w:p w14:paraId="0AEA236D">
      <w:pPr>
        <w:pStyle w:val="2"/>
        <w:rPr>
          <w:rFonts w:hint="eastAsia"/>
          <w:color w:val="auto"/>
          <w:lang w:val="en-US" w:eastAsia="zh-CN"/>
        </w:rPr>
      </w:pPr>
    </w:p>
    <w:p w14:paraId="72CE8BC5">
      <w:pPr>
        <w:keepNext w:val="0"/>
        <w:keepLines w:val="0"/>
        <w:widowControl/>
        <w:suppressLineNumbers w:val="0"/>
        <w:jc w:val="left"/>
        <w:rPr>
          <w:rFonts w:hint="eastAsia" w:ascii="宋体" w:hAnsi="宋体" w:eastAsia="宋体" w:cs="宋体"/>
          <w:b w:val="0"/>
          <w:bCs w:val="0"/>
          <w:color w:val="auto"/>
          <w:w w:val="90"/>
          <w:sz w:val="32"/>
          <w:szCs w:val="32"/>
          <w:highlight w:val="none"/>
          <w:u w:val="single"/>
          <w:lang w:eastAsia="zh-CN"/>
        </w:rPr>
      </w:pPr>
      <w:r>
        <w:rPr>
          <w:rFonts w:hint="eastAsia" w:ascii="宋体" w:hAnsi="宋体" w:eastAsia="宋体" w:cs="宋体"/>
          <w:b/>
          <w:bCs/>
          <w:color w:val="auto"/>
          <w:w w:val="90"/>
          <w:sz w:val="32"/>
          <w:szCs w:val="32"/>
          <w:highlight w:val="none"/>
          <w:lang w:eastAsia="zh-CN"/>
        </w:rPr>
        <w:t>采购项目编号</w:t>
      </w:r>
      <w:r>
        <w:rPr>
          <w:rFonts w:hint="eastAsia" w:ascii="宋体" w:hAnsi="宋体" w:eastAsia="宋体" w:cs="宋体"/>
          <w:b w:val="0"/>
          <w:bCs w:val="0"/>
          <w:color w:val="auto"/>
          <w:w w:val="90"/>
          <w:sz w:val="32"/>
          <w:szCs w:val="32"/>
          <w:highlight w:val="none"/>
          <w:lang w:eastAsia="zh-CN"/>
        </w:rPr>
        <w:t>：</w:t>
      </w:r>
      <w:r>
        <w:rPr>
          <w:rFonts w:hint="eastAsia" w:ascii="宋体" w:hAnsi="宋体" w:eastAsia="宋体" w:cs="宋体"/>
          <w:b w:val="0"/>
          <w:bCs w:val="0"/>
          <w:color w:val="auto"/>
          <w:w w:val="90"/>
          <w:sz w:val="32"/>
          <w:szCs w:val="32"/>
          <w:highlight w:val="none"/>
          <w:u w:val="single"/>
          <w:lang w:eastAsia="zh-CN"/>
        </w:rPr>
        <w:t>　</w:t>
      </w:r>
    </w:p>
    <w:p w14:paraId="462369DC">
      <w:pPr>
        <w:pStyle w:val="2"/>
        <w:rPr>
          <w:rFonts w:hint="eastAsia"/>
          <w:color w:val="auto"/>
          <w:lang w:eastAsia="zh-CN"/>
        </w:rPr>
      </w:pPr>
    </w:p>
    <w:p w14:paraId="722D0F62">
      <w:pPr>
        <w:spacing w:line="360" w:lineRule="auto"/>
        <w:jc w:val="left"/>
        <w:rPr>
          <w:rFonts w:hint="eastAsia" w:ascii="宋体" w:hAnsi="宋体" w:eastAsia="宋体" w:cs="宋体"/>
          <w:b w:val="0"/>
          <w:bCs w:val="0"/>
          <w:color w:val="auto"/>
          <w:w w:val="90"/>
          <w:sz w:val="32"/>
          <w:szCs w:val="32"/>
          <w:highlight w:val="none"/>
          <w:u w:val="single"/>
          <w:lang w:eastAsia="zh-CN"/>
        </w:rPr>
      </w:pPr>
      <w:r>
        <w:rPr>
          <w:rFonts w:hint="eastAsia" w:ascii="宋体" w:hAnsi="宋体" w:eastAsia="宋体" w:cs="宋体"/>
          <w:b/>
          <w:bCs/>
          <w:color w:val="auto"/>
          <w:w w:val="90"/>
          <w:sz w:val="32"/>
          <w:szCs w:val="32"/>
          <w:highlight w:val="none"/>
          <w:lang w:eastAsia="zh-CN"/>
        </w:rPr>
        <w:t>采购</w:t>
      </w:r>
      <w:r>
        <w:rPr>
          <w:rFonts w:hint="eastAsia" w:ascii="宋体" w:hAnsi="宋体" w:eastAsia="宋体" w:cs="宋体"/>
          <w:b/>
          <w:bCs/>
          <w:color w:val="auto"/>
          <w:w w:val="90"/>
          <w:sz w:val="32"/>
          <w:szCs w:val="32"/>
          <w:highlight w:val="none"/>
        </w:rPr>
        <w:t>单位</w:t>
      </w:r>
      <w:r>
        <w:rPr>
          <w:rFonts w:hint="eastAsia" w:ascii="宋体" w:hAnsi="宋体" w:eastAsia="宋体" w:cs="宋体"/>
          <w:b w:val="0"/>
          <w:bCs w:val="0"/>
          <w:color w:val="auto"/>
          <w:w w:val="90"/>
          <w:sz w:val="32"/>
          <w:szCs w:val="32"/>
          <w:highlight w:val="none"/>
        </w:rPr>
        <w:t>：</w:t>
      </w:r>
      <w:r>
        <w:rPr>
          <w:rFonts w:hint="eastAsia" w:ascii="宋体" w:hAnsi="宋体" w:eastAsia="宋体" w:cs="宋体"/>
          <w:b w:val="0"/>
          <w:bCs w:val="0"/>
          <w:color w:val="auto"/>
          <w:w w:val="95"/>
          <w:sz w:val="32"/>
          <w:szCs w:val="32"/>
          <w:highlight w:val="none"/>
          <w:u w:val="single"/>
          <w:lang w:eastAsia="zh-CN"/>
        </w:rPr>
        <w:t>天等县农业农村局</w:t>
      </w:r>
      <w:r>
        <w:rPr>
          <w:rFonts w:hint="eastAsia" w:ascii="宋体" w:hAnsi="宋体" w:eastAsia="宋体" w:cs="宋体"/>
          <w:b w:val="0"/>
          <w:bCs w:val="0"/>
          <w:color w:val="auto"/>
          <w:w w:val="90"/>
          <w:sz w:val="32"/>
          <w:szCs w:val="32"/>
          <w:highlight w:val="none"/>
          <w:u w:val="single"/>
          <w:lang w:eastAsia="zh-CN"/>
        </w:rPr>
        <w:t>　　　　　　</w:t>
      </w:r>
    </w:p>
    <w:p w14:paraId="3700934C">
      <w:pPr>
        <w:pStyle w:val="2"/>
        <w:rPr>
          <w:rFonts w:hint="eastAsia"/>
          <w:color w:val="auto"/>
          <w:lang w:eastAsia="zh-CN"/>
        </w:rPr>
      </w:pPr>
    </w:p>
    <w:p w14:paraId="1C1440A5">
      <w:pPr>
        <w:spacing w:line="360" w:lineRule="auto"/>
        <w:jc w:val="left"/>
        <w:rPr>
          <w:rFonts w:hint="eastAsia" w:ascii="宋体" w:hAnsi="宋体" w:eastAsia="宋体" w:cs="宋体"/>
          <w:b w:val="0"/>
          <w:bCs w:val="0"/>
          <w:color w:val="auto"/>
          <w:w w:val="90"/>
          <w:sz w:val="32"/>
          <w:szCs w:val="32"/>
          <w:highlight w:val="none"/>
          <w:u w:val="single"/>
          <w:lang w:eastAsia="zh-CN"/>
        </w:rPr>
      </w:pPr>
      <w:r>
        <w:rPr>
          <w:rFonts w:hint="eastAsia" w:ascii="宋体" w:hAnsi="宋体" w:eastAsia="宋体" w:cs="宋体"/>
          <w:b/>
          <w:bCs/>
          <w:color w:val="auto"/>
          <w:w w:val="90"/>
          <w:sz w:val="32"/>
          <w:szCs w:val="32"/>
          <w:highlight w:val="none"/>
        </w:rPr>
        <w:t>设计单位：</w:t>
      </w:r>
      <w:r>
        <w:rPr>
          <w:rFonts w:hint="eastAsia" w:ascii="宋体" w:hAnsi="宋体" w:eastAsia="宋体" w:cs="宋体"/>
          <w:b w:val="0"/>
          <w:bCs w:val="0"/>
          <w:color w:val="auto"/>
          <w:w w:val="90"/>
          <w:sz w:val="32"/>
          <w:szCs w:val="32"/>
          <w:highlight w:val="none"/>
          <w:u w:val="single"/>
          <w:lang w:eastAsia="zh-CN"/>
        </w:rPr>
        <w:t>　　　</w:t>
      </w:r>
    </w:p>
    <w:p w14:paraId="1D3C8781">
      <w:pPr>
        <w:pStyle w:val="2"/>
        <w:rPr>
          <w:rFonts w:hint="eastAsia"/>
          <w:color w:val="auto"/>
          <w:lang w:eastAsia="zh-CN"/>
        </w:rPr>
      </w:pPr>
    </w:p>
    <w:p w14:paraId="64A83986">
      <w:pPr>
        <w:spacing w:line="360" w:lineRule="auto"/>
        <w:jc w:val="left"/>
        <w:rPr>
          <w:rFonts w:hint="eastAsia" w:ascii="宋体" w:hAnsi="宋体" w:eastAsia="宋体" w:cs="宋体"/>
          <w:b w:val="0"/>
          <w:bCs w:val="0"/>
          <w:color w:val="auto"/>
          <w:w w:val="90"/>
          <w:sz w:val="32"/>
          <w:szCs w:val="32"/>
          <w:highlight w:val="none"/>
          <w:u w:val="single"/>
          <w:lang w:eastAsia="zh-CN"/>
        </w:rPr>
      </w:pPr>
      <w:r>
        <w:rPr>
          <w:rFonts w:hint="eastAsia" w:ascii="宋体" w:hAnsi="宋体" w:eastAsia="宋体" w:cs="宋体"/>
          <w:b/>
          <w:bCs/>
          <w:color w:val="auto"/>
          <w:w w:val="90"/>
          <w:sz w:val="32"/>
          <w:szCs w:val="32"/>
          <w:highlight w:val="none"/>
          <w:lang w:eastAsia="zh-CN"/>
        </w:rPr>
        <w:t>签订</w:t>
      </w:r>
      <w:r>
        <w:rPr>
          <w:rFonts w:hint="eastAsia" w:ascii="宋体" w:hAnsi="宋体" w:eastAsia="宋体" w:cs="宋体"/>
          <w:b/>
          <w:bCs/>
          <w:color w:val="auto"/>
          <w:w w:val="90"/>
          <w:sz w:val="32"/>
          <w:szCs w:val="32"/>
          <w:highlight w:val="none"/>
        </w:rPr>
        <w:t>日期：</w:t>
      </w:r>
      <w:r>
        <w:rPr>
          <w:rFonts w:hint="eastAsia" w:ascii="宋体" w:hAnsi="宋体" w:eastAsia="宋体" w:cs="宋体"/>
          <w:b w:val="0"/>
          <w:bCs w:val="0"/>
          <w:color w:val="auto"/>
          <w:w w:val="90"/>
          <w:sz w:val="32"/>
          <w:szCs w:val="32"/>
          <w:highlight w:val="none"/>
          <w:u w:val="single"/>
          <w:lang w:eastAsia="zh-CN"/>
        </w:rPr>
        <w:t>　　　</w:t>
      </w:r>
      <w:r>
        <w:rPr>
          <w:rFonts w:hint="eastAsia" w:ascii="宋体" w:hAnsi="宋体" w:eastAsia="宋体" w:cs="宋体"/>
          <w:b w:val="0"/>
          <w:bCs w:val="0"/>
          <w:color w:val="auto"/>
          <w:w w:val="90"/>
          <w:sz w:val="32"/>
          <w:szCs w:val="32"/>
          <w:highlight w:val="none"/>
          <w:u w:val="single"/>
        </w:rPr>
        <w:t>年</w:t>
      </w:r>
      <w:r>
        <w:rPr>
          <w:rFonts w:hint="eastAsia" w:ascii="宋体" w:hAnsi="宋体" w:eastAsia="宋体" w:cs="宋体"/>
          <w:b w:val="0"/>
          <w:bCs w:val="0"/>
          <w:color w:val="auto"/>
          <w:w w:val="90"/>
          <w:sz w:val="32"/>
          <w:szCs w:val="32"/>
          <w:highlight w:val="none"/>
          <w:u w:val="single"/>
          <w:lang w:eastAsia="zh-CN"/>
        </w:rPr>
        <w:t>　　</w:t>
      </w:r>
      <w:r>
        <w:rPr>
          <w:rFonts w:hint="eastAsia" w:ascii="宋体" w:hAnsi="宋体" w:eastAsia="宋体" w:cs="宋体"/>
          <w:b w:val="0"/>
          <w:bCs w:val="0"/>
          <w:color w:val="auto"/>
          <w:w w:val="90"/>
          <w:sz w:val="32"/>
          <w:szCs w:val="32"/>
          <w:highlight w:val="none"/>
          <w:u w:val="single"/>
        </w:rPr>
        <w:t>月</w:t>
      </w:r>
      <w:r>
        <w:rPr>
          <w:rFonts w:hint="eastAsia" w:ascii="宋体" w:hAnsi="宋体" w:eastAsia="宋体" w:cs="宋体"/>
          <w:b w:val="0"/>
          <w:bCs w:val="0"/>
          <w:color w:val="auto"/>
          <w:w w:val="90"/>
          <w:sz w:val="32"/>
          <w:szCs w:val="32"/>
          <w:highlight w:val="none"/>
          <w:u w:val="single"/>
          <w:lang w:eastAsia="zh-CN"/>
        </w:rPr>
        <w:t>　　日</w:t>
      </w:r>
    </w:p>
    <w:p w14:paraId="7E777B30">
      <w:pPr>
        <w:pStyle w:val="2"/>
        <w:rPr>
          <w:rFonts w:hint="eastAsia"/>
          <w:color w:val="auto"/>
          <w:lang w:eastAsia="zh-CN"/>
        </w:rPr>
      </w:pPr>
    </w:p>
    <w:p w14:paraId="3B6F59C7">
      <w:pPr>
        <w:keepNext w:val="0"/>
        <w:keepLines w:val="0"/>
        <w:pageBreakBefore w:val="0"/>
        <w:wordWrap/>
        <w:overflowPunct/>
        <w:topLinePunct w:val="0"/>
        <w:bidi w:val="0"/>
        <w:spacing w:line="440" w:lineRule="atLeast"/>
        <w:rPr>
          <w:rFonts w:hint="eastAsia" w:ascii="宋体" w:hAnsi="宋体" w:eastAsia="宋体" w:cs="宋体"/>
          <w:b w:val="0"/>
          <w:bCs w:val="0"/>
          <w:color w:val="auto"/>
          <w:w w:val="90"/>
          <w:sz w:val="32"/>
          <w:szCs w:val="32"/>
          <w:highlight w:val="none"/>
          <w:u w:val="single"/>
          <w:lang w:eastAsia="zh-CN"/>
        </w:rPr>
      </w:pPr>
      <w:r>
        <w:rPr>
          <w:rFonts w:hint="eastAsia" w:ascii="宋体" w:hAnsi="宋体" w:eastAsia="宋体" w:cs="宋体"/>
          <w:b/>
          <w:bCs/>
          <w:color w:val="auto"/>
          <w:w w:val="90"/>
          <w:sz w:val="32"/>
          <w:szCs w:val="32"/>
          <w:highlight w:val="none"/>
          <w:lang w:val="en-US" w:eastAsia="zh-CN"/>
        </w:rPr>
        <w:t>签订地点：</w:t>
      </w:r>
      <w:r>
        <w:rPr>
          <w:rFonts w:hint="eastAsia" w:ascii="宋体" w:hAnsi="宋体" w:eastAsia="宋体" w:cs="宋体"/>
          <w:b w:val="0"/>
          <w:bCs w:val="0"/>
          <w:color w:val="auto"/>
          <w:w w:val="90"/>
          <w:sz w:val="32"/>
          <w:szCs w:val="32"/>
          <w:highlight w:val="none"/>
          <w:u w:val="single"/>
          <w:lang w:eastAsia="zh-CN"/>
        </w:rPr>
        <w:t>　</w:t>
      </w:r>
    </w:p>
    <w:p w14:paraId="3107BD37">
      <w:pPr>
        <w:pStyle w:val="2"/>
        <w:rPr>
          <w:rFonts w:hint="eastAsia"/>
          <w:color w:val="auto"/>
          <w:lang w:eastAsia="zh-CN"/>
        </w:rPr>
      </w:pPr>
    </w:p>
    <w:p w14:paraId="0A58F6DC">
      <w:pPr>
        <w:rPr>
          <w:rFonts w:hint="eastAsia" w:ascii="宋体" w:hAnsi="宋体" w:eastAsia="宋体" w:cs="宋体"/>
          <w:b w:val="0"/>
          <w:bCs w:val="0"/>
          <w:color w:val="auto"/>
          <w:w w:val="90"/>
          <w:sz w:val="32"/>
          <w:szCs w:val="32"/>
          <w:highlight w:val="none"/>
          <w:u w:val="single"/>
          <w:lang w:eastAsia="zh-CN"/>
        </w:rPr>
      </w:pPr>
    </w:p>
    <w:p w14:paraId="55401754">
      <w:pPr>
        <w:pageBreakBefore w:val="0"/>
        <w:kinsoku/>
        <w:wordWrap/>
        <w:overflowPunct/>
        <w:topLinePunct w:val="0"/>
        <w:bidi w:val="0"/>
        <w:spacing w:line="420" w:lineRule="exact"/>
        <w:rPr>
          <w:rFonts w:hint="eastAsia" w:ascii="宋体" w:hAnsi="宋体" w:eastAsia="宋体" w:cs="宋体"/>
          <w:color w:val="auto"/>
          <w:sz w:val="21"/>
          <w:szCs w:val="21"/>
          <w:highlight w:val="none"/>
          <w:lang w:eastAsia="zh-CN"/>
        </w:rPr>
      </w:pPr>
    </w:p>
    <w:p w14:paraId="5D5D37FF">
      <w:pPr>
        <w:pageBreakBefore w:val="0"/>
        <w:kinsoku/>
        <w:wordWrap/>
        <w:overflowPunct/>
        <w:topLinePunct w:val="0"/>
        <w:bidi w:val="0"/>
        <w:spacing w:line="420" w:lineRule="exac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委托人</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single"/>
          <w:lang w:eastAsia="zh-CN"/>
        </w:rPr>
        <w:t>天等县农业农村局</w:t>
      </w:r>
      <w:r>
        <w:rPr>
          <w:rFonts w:hint="eastAsia" w:ascii="宋体" w:hAnsi="宋体" w:eastAsia="宋体" w:cs="宋体"/>
          <w:color w:val="auto"/>
          <w:spacing w:val="-20"/>
          <w:sz w:val="21"/>
          <w:szCs w:val="21"/>
          <w:highlight w:val="none"/>
        </w:rPr>
        <w:t>采购计划号</w:t>
      </w:r>
      <w:r>
        <w:rPr>
          <w:rFonts w:hint="eastAsia" w:ascii="宋体" w:hAnsi="宋体" w:eastAsia="宋体" w:cs="宋体"/>
          <w:color w:val="auto"/>
          <w:sz w:val="21"/>
          <w:szCs w:val="21"/>
          <w:highlight w:val="none"/>
          <w:u w:val="none"/>
        </w:rPr>
        <w:t>：</w:t>
      </w:r>
    </w:p>
    <w:p w14:paraId="42632D48">
      <w:pPr>
        <w:pageBreakBefore w:val="0"/>
        <w:kinsoku/>
        <w:wordWrap/>
        <w:overflowPunct/>
        <w:topLinePunct w:val="0"/>
        <w:bidi w:val="0"/>
        <w:spacing w:line="420" w:lineRule="exac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lang w:eastAsia="zh-CN"/>
        </w:rPr>
        <w:t>监理人</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none"/>
        </w:rPr>
        <w:t>：</w:t>
      </w:r>
    </w:p>
    <w:p w14:paraId="363E83B7">
      <w:pPr>
        <w:pageBreakBefore w:val="0"/>
        <w:kinsoku/>
        <w:wordWrap/>
        <w:overflowPunct/>
        <w:topLinePunct w:val="0"/>
        <w:bidi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p w14:paraId="4DAFDB09">
      <w:pPr>
        <w:pageBreakBefore w:val="0"/>
        <w:kinsoku/>
        <w:wordWrap/>
        <w:overflowPunct/>
        <w:topLinePunct w:val="0"/>
        <w:bidi w:val="0"/>
        <w:spacing w:line="420" w:lineRule="exac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p>
    <w:p w14:paraId="50235AD5">
      <w:pPr>
        <w:pStyle w:val="42"/>
        <w:keepNext w:val="0"/>
        <w:keepLines w:val="0"/>
        <w:pageBreakBefore w:val="0"/>
        <w:widowControl/>
        <w:kinsoku/>
        <w:wordWrap/>
        <w:overflowPunct/>
        <w:topLinePunct w:val="0"/>
        <w:bidi w:val="0"/>
        <w:spacing w:after="0" w:line="440" w:lineRule="exact"/>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lang w:eastAsia="zh-CN"/>
        </w:rPr>
        <w:t>是否面向中小企业</w:t>
      </w:r>
      <w:r>
        <w:rPr>
          <w:rFonts w:hint="eastAsia" w:ascii="宋体" w:hAnsi="宋体" w:eastAsia="宋体" w:cs="宋体"/>
          <w:color w:val="auto"/>
          <w:sz w:val="21"/>
          <w:szCs w:val="21"/>
          <w:highlight w:val="none"/>
          <w:u w:val="none"/>
          <w:lang w:eastAsia="zh-CN"/>
        </w:rPr>
        <w:t>：</w:t>
      </w:r>
    </w:p>
    <w:p w14:paraId="2D455154">
      <w:pPr>
        <w:pStyle w:val="42"/>
        <w:keepNext w:val="0"/>
        <w:keepLines w:val="0"/>
        <w:pageBreakBefore w:val="0"/>
        <w:widowControl/>
        <w:kinsoku/>
        <w:wordWrap/>
        <w:overflowPunct/>
        <w:topLinePunct w:val="0"/>
        <w:bidi w:val="0"/>
        <w:spacing w:after="0" w:line="440" w:lineRule="exact"/>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eastAsia="zh-CN"/>
        </w:rPr>
        <w:t>是</w:t>
      </w:r>
      <w:r>
        <w:rPr>
          <w:rFonts w:hint="eastAsia" w:ascii="宋体" w:hAnsi="宋体" w:eastAsia="宋体" w:cs="宋体"/>
          <w:color w:val="auto"/>
          <w:sz w:val="21"/>
          <w:szCs w:val="21"/>
          <w:highlight w:val="none"/>
          <w:u w:val="none"/>
          <w:lang w:val="en-US" w:eastAsia="zh-CN"/>
        </w:rPr>
        <w:t>预留份额：</w:t>
      </w:r>
      <w:r>
        <w:rPr>
          <w:rFonts w:hint="eastAsia" w:ascii="宋体" w:hAnsi="宋体" w:eastAsia="宋体" w:cs="宋体"/>
          <w:color w:val="auto"/>
          <w:sz w:val="21"/>
          <w:szCs w:val="21"/>
          <w:highlight w:val="none"/>
          <w:u w:val="single"/>
          <w:lang w:val="en-US" w:eastAsia="zh-CN"/>
        </w:rPr>
        <w:t>100%</w:t>
      </w:r>
    </w:p>
    <w:p w14:paraId="111AE959">
      <w:pPr>
        <w:pStyle w:val="42"/>
        <w:keepNext w:val="0"/>
        <w:keepLines w:val="0"/>
        <w:pageBreakBefore w:val="0"/>
        <w:widowControl/>
        <w:kinsoku/>
        <w:wordWrap/>
        <w:overflowPunct/>
        <w:topLinePunct w:val="0"/>
        <w:bidi w:val="0"/>
        <w:spacing w:after="0" w:line="440" w:lineRule="exact"/>
        <w:ind w:firstLine="630" w:firstLineChars="300"/>
        <w:jc w:val="left"/>
        <w:rPr>
          <w:rFonts w:hint="eastAsia" w:ascii="宋体" w:hAnsi="宋体" w:eastAsia="宋体" w:cs="宋体"/>
          <w:color w:val="auto"/>
          <w:w w:val="100"/>
          <w:sz w:val="21"/>
          <w:szCs w:val="21"/>
          <w:highlight w:val="none"/>
        </w:rPr>
      </w:pPr>
      <w:r>
        <w:rPr>
          <w:rFonts w:hint="eastAsia" w:ascii="宋体" w:hAnsi="宋体" w:eastAsia="宋体" w:cs="宋体"/>
          <w:color w:val="auto"/>
          <w:sz w:val="21"/>
          <w:szCs w:val="21"/>
          <w:highlight w:val="none"/>
        </w:rPr>
        <w:t>根据《中华人民共和国</w:t>
      </w:r>
      <w:r>
        <w:rPr>
          <w:rFonts w:hint="eastAsia" w:ascii="宋体" w:hAnsi="宋体" w:eastAsia="宋体" w:cs="宋体"/>
          <w:color w:val="auto"/>
          <w:sz w:val="21"/>
          <w:szCs w:val="21"/>
          <w:highlight w:val="none"/>
          <w:lang w:eastAsia="zh-CN"/>
        </w:rPr>
        <w:t>民法典</w:t>
      </w:r>
      <w:r>
        <w:rPr>
          <w:rFonts w:hint="eastAsia" w:ascii="宋体" w:hAnsi="宋体" w:eastAsia="宋体" w:cs="宋体"/>
          <w:color w:val="auto"/>
          <w:sz w:val="21"/>
          <w:szCs w:val="21"/>
          <w:highlight w:val="none"/>
        </w:rPr>
        <w:t>》《中华人民共和国建筑法》</w:t>
      </w:r>
      <w:r>
        <w:rPr>
          <w:rFonts w:hint="eastAsia" w:ascii="宋体" w:hAnsi="宋体" w:eastAsia="宋体" w:cs="宋体"/>
          <w:color w:val="auto"/>
          <w:w w:val="100"/>
          <w:sz w:val="21"/>
          <w:szCs w:val="21"/>
          <w:highlight w:val="none"/>
        </w:rPr>
        <w:t>及国家、地方有关工程监理规范和法规，遵循平等、自愿、公平和诚实信用的原则，双方就项目工程监理事项协商一致，特订立本合同。</w:t>
      </w:r>
    </w:p>
    <w:p w14:paraId="224CCD6F">
      <w:pPr>
        <w:keepNext w:val="0"/>
        <w:keepLines w:val="0"/>
        <w:pageBreakBefore w:val="0"/>
        <w:widowControl/>
        <w:kinsoku/>
        <w:wordWrap/>
        <w:overflowPunct/>
        <w:topLinePunct w:val="0"/>
        <w:bidi w:val="0"/>
        <w:spacing w:line="440" w:lineRule="exact"/>
        <w:ind w:firstLine="680"/>
        <w:jc w:val="both"/>
        <w:rPr>
          <w:rFonts w:hint="eastAsia" w:ascii="宋体" w:hAnsi="宋体" w:eastAsia="宋体" w:cs="宋体"/>
          <w:b w:val="0"/>
          <w:bCs w:val="0"/>
          <w:color w:val="auto"/>
          <w:w w:val="100"/>
          <w:sz w:val="21"/>
          <w:szCs w:val="21"/>
          <w:highlight w:val="none"/>
        </w:rPr>
      </w:pPr>
      <w:r>
        <w:rPr>
          <w:rFonts w:hint="eastAsia" w:ascii="宋体" w:hAnsi="宋体" w:eastAsia="宋体" w:cs="宋体"/>
          <w:color w:val="auto"/>
          <w:w w:val="100"/>
          <w:sz w:val="21"/>
          <w:szCs w:val="21"/>
          <w:highlight w:val="none"/>
        </w:rPr>
        <w:t>一、项目概况</w:t>
      </w:r>
    </w:p>
    <w:p w14:paraId="2FAF8CC6">
      <w:pPr>
        <w:keepNext w:val="0"/>
        <w:keepLines w:val="0"/>
        <w:widowControl/>
        <w:numPr>
          <w:ilvl w:val="0"/>
          <w:numId w:val="21"/>
        </w:numPr>
        <w:suppressLineNumbers w:val="0"/>
        <w:spacing w:before="0" w:beforeAutospacing="0" w:after="0" w:afterAutospacing="0" w:line="360" w:lineRule="auto"/>
        <w:ind w:left="0" w:leftChars="0" w:right="0" w:firstLine="420" w:firstLineChars="200"/>
        <w:rPr>
          <w:rFonts w:ascii="Segoe UI" w:hAnsi="Segoe UI" w:eastAsia="Segoe UI" w:cs="Segoe UI"/>
          <w:i w:val="0"/>
          <w:iCs w:val="0"/>
          <w:caps w:val="0"/>
          <w:color w:val="auto"/>
          <w:spacing w:val="0"/>
          <w:sz w:val="21"/>
          <w:szCs w:val="21"/>
          <w:shd w:val="clear" w:color="auto" w:fill="FFFFFF"/>
        </w:rPr>
      </w:pPr>
      <w:r>
        <w:rPr>
          <w:rFonts w:ascii="Segoe UI" w:hAnsi="Segoe UI" w:eastAsia="Segoe UI" w:cs="Segoe UI"/>
          <w:i w:val="0"/>
          <w:iCs w:val="0"/>
          <w:caps w:val="0"/>
          <w:color w:val="auto"/>
          <w:spacing w:val="0"/>
          <w:sz w:val="21"/>
          <w:szCs w:val="21"/>
          <w:shd w:val="clear" w:color="auto" w:fill="FFFFFF"/>
        </w:rPr>
        <w:t>项目名称：天等县农业农村局2026年项目管理费（2026年度衔接资金建设项目监理服务）【第______</w:t>
      </w:r>
      <w:r>
        <w:rPr>
          <w:rFonts w:hint="eastAsia" w:ascii="Segoe UI" w:hAnsi="Segoe UI" w:cs="Segoe UI"/>
          <w:i w:val="0"/>
          <w:iCs w:val="0"/>
          <w:caps w:val="0"/>
          <w:color w:val="auto"/>
          <w:spacing w:val="0"/>
          <w:sz w:val="21"/>
          <w:szCs w:val="21"/>
          <w:shd w:val="clear" w:color="auto" w:fill="FFFFFF"/>
          <w:lang w:val="en-US" w:eastAsia="zh-CN"/>
        </w:rPr>
        <w:t>组</w:t>
      </w:r>
      <w:r>
        <w:rPr>
          <w:rFonts w:ascii="Segoe UI" w:hAnsi="Segoe UI" w:eastAsia="Segoe UI" w:cs="Segoe UI"/>
          <w:i w:val="0"/>
          <w:iCs w:val="0"/>
          <w:caps w:val="0"/>
          <w:color w:val="auto"/>
          <w:spacing w:val="0"/>
          <w:sz w:val="21"/>
          <w:szCs w:val="21"/>
          <w:shd w:val="clear" w:color="auto" w:fill="FFFFFF"/>
        </w:rPr>
        <w:t>】。</w:t>
      </w:r>
    </w:p>
    <w:p w14:paraId="42172ACC">
      <w:pPr>
        <w:keepNext w:val="0"/>
        <w:keepLines w:val="0"/>
        <w:widowControl/>
        <w:numPr>
          <w:ilvl w:val="0"/>
          <w:numId w:val="21"/>
        </w:numPr>
        <w:suppressLineNumbers w:val="0"/>
        <w:spacing w:before="0" w:beforeAutospacing="0" w:after="0" w:afterAutospacing="0" w:line="360" w:lineRule="auto"/>
        <w:ind w:left="0" w:leftChars="0" w:right="0" w:firstLine="420" w:firstLineChars="200"/>
        <w:rPr>
          <w:rFonts w:ascii="Segoe UI" w:hAnsi="Segoe UI" w:eastAsia="Segoe UI" w:cs="Segoe UI"/>
          <w:i w:val="0"/>
          <w:iCs w:val="0"/>
          <w:caps w:val="0"/>
          <w:color w:val="auto"/>
          <w:spacing w:val="0"/>
          <w:sz w:val="21"/>
          <w:szCs w:val="21"/>
          <w:shd w:val="clear" w:color="auto" w:fill="FFFFFF"/>
        </w:rPr>
      </w:pPr>
      <w:r>
        <w:rPr>
          <w:rFonts w:ascii="Segoe UI" w:hAnsi="Segoe UI" w:eastAsia="Segoe UI" w:cs="Segoe UI"/>
          <w:i w:val="0"/>
          <w:iCs w:val="0"/>
          <w:caps w:val="0"/>
          <w:color w:val="auto"/>
          <w:spacing w:val="0"/>
          <w:sz w:val="21"/>
          <w:szCs w:val="21"/>
          <w:shd w:val="clear" w:color="auto" w:fill="FFFFFF"/>
        </w:rPr>
        <w:t>建设地点：崇左市天等县，指定地点。</w:t>
      </w:r>
    </w:p>
    <w:p w14:paraId="272068C8">
      <w:pPr>
        <w:keepNext w:val="0"/>
        <w:keepLines w:val="0"/>
        <w:widowControl/>
        <w:numPr>
          <w:ilvl w:val="0"/>
          <w:numId w:val="21"/>
        </w:numPr>
        <w:suppressLineNumbers w:val="0"/>
        <w:spacing w:before="0" w:beforeAutospacing="0" w:after="0" w:afterAutospacing="0" w:line="360" w:lineRule="auto"/>
        <w:ind w:left="0" w:leftChars="0" w:right="0" w:firstLine="420" w:firstLineChars="200"/>
        <w:rPr>
          <w:rFonts w:ascii="Segoe UI" w:hAnsi="Segoe UI" w:eastAsia="Segoe UI" w:cs="Segoe UI"/>
          <w:i w:val="0"/>
          <w:iCs w:val="0"/>
          <w:caps w:val="0"/>
          <w:color w:val="auto"/>
          <w:spacing w:val="0"/>
          <w:sz w:val="21"/>
          <w:szCs w:val="21"/>
          <w:shd w:val="clear" w:color="auto" w:fill="FFFFFF"/>
        </w:rPr>
      </w:pPr>
      <w:r>
        <w:rPr>
          <w:rFonts w:ascii="Segoe UI" w:hAnsi="Segoe UI" w:eastAsia="Segoe UI" w:cs="Segoe UI"/>
          <w:i w:val="0"/>
          <w:iCs w:val="0"/>
          <w:caps w:val="0"/>
          <w:color w:val="auto"/>
          <w:spacing w:val="0"/>
          <w:sz w:val="21"/>
          <w:szCs w:val="21"/>
          <w:shd w:val="clear" w:color="auto" w:fill="FFFFFF"/>
        </w:rPr>
        <w:t>项目概况：本项目为利用年度衔接资金实施的建设项目，包含多个子项目，具体建设内容以各子项目施工图纸及设计文件为准。</w:t>
      </w:r>
    </w:p>
    <w:p w14:paraId="33CBD50C">
      <w:pPr>
        <w:keepNext w:val="0"/>
        <w:keepLines w:val="0"/>
        <w:pageBreakBefore w:val="0"/>
        <w:widowControl/>
        <w:kinsoku/>
        <w:wordWrap/>
        <w:overflowPunct/>
        <w:topLinePunct w:val="0"/>
        <w:bidi w:val="0"/>
        <w:spacing w:line="440" w:lineRule="exact"/>
        <w:ind w:firstLine="417" w:firstLineChars="199"/>
        <w:jc w:val="left"/>
        <w:rPr>
          <w:rFonts w:hint="eastAsia" w:ascii="宋体" w:hAnsi="宋体" w:eastAsia="宋体" w:cs="宋体"/>
          <w:color w:val="auto"/>
          <w:w w:val="100"/>
          <w:sz w:val="21"/>
          <w:szCs w:val="21"/>
          <w:highlight w:val="none"/>
          <w:u w:val="none"/>
        </w:rPr>
      </w:pPr>
      <w:r>
        <w:rPr>
          <w:rFonts w:hint="eastAsia" w:ascii="宋体" w:hAnsi="宋体" w:eastAsia="宋体" w:cs="宋体"/>
          <w:color w:val="auto"/>
          <w:w w:val="100"/>
          <w:sz w:val="21"/>
          <w:szCs w:val="21"/>
          <w:highlight w:val="none"/>
          <w:u w:val="none"/>
          <w:lang w:eastAsia="zh-CN"/>
        </w:rPr>
        <w:t>二</w:t>
      </w:r>
      <w:r>
        <w:rPr>
          <w:rFonts w:hint="eastAsia" w:ascii="宋体" w:hAnsi="宋体" w:eastAsia="宋体" w:cs="宋体"/>
          <w:color w:val="auto"/>
          <w:w w:val="100"/>
          <w:sz w:val="21"/>
          <w:szCs w:val="21"/>
          <w:highlight w:val="none"/>
          <w:u w:val="none"/>
        </w:rPr>
        <w:t>、本协议书中的名词定义与合同通用条款中约定的定义</w:t>
      </w:r>
      <w:r>
        <w:rPr>
          <w:rFonts w:hint="eastAsia" w:ascii="宋体" w:hAnsi="宋体" w:eastAsia="宋体" w:cs="宋体"/>
          <w:color w:val="auto"/>
          <w:w w:val="100"/>
          <w:sz w:val="21"/>
          <w:szCs w:val="21"/>
          <w:highlight w:val="none"/>
          <w:u w:val="none"/>
          <w:lang w:eastAsia="zh-CN"/>
        </w:rPr>
        <w:t>与解释</w:t>
      </w:r>
      <w:r>
        <w:rPr>
          <w:rFonts w:hint="eastAsia" w:ascii="宋体" w:hAnsi="宋体" w:eastAsia="宋体" w:cs="宋体"/>
          <w:color w:val="auto"/>
          <w:w w:val="100"/>
          <w:sz w:val="21"/>
          <w:szCs w:val="21"/>
          <w:highlight w:val="none"/>
          <w:u w:val="none"/>
        </w:rPr>
        <w:t>相同。</w:t>
      </w:r>
    </w:p>
    <w:p w14:paraId="5681D76E">
      <w:pPr>
        <w:keepNext w:val="0"/>
        <w:keepLines w:val="0"/>
        <w:pageBreakBefore w:val="0"/>
        <w:widowControl/>
        <w:kinsoku/>
        <w:wordWrap/>
        <w:overflowPunct/>
        <w:topLinePunct w:val="0"/>
        <w:bidi w:val="0"/>
        <w:spacing w:line="440" w:lineRule="exact"/>
        <w:ind w:firstLine="417" w:firstLineChars="199"/>
        <w:jc w:val="left"/>
        <w:rPr>
          <w:rFonts w:hint="eastAsia" w:ascii="宋体" w:hAnsi="宋体" w:eastAsia="宋体" w:cs="宋体"/>
          <w:color w:val="auto"/>
          <w:w w:val="100"/>
          <w:sz w:val="21"/>
          <w:szCs w:val="21"/>
          <w:highlight w:val="none"/>
          <w:u w:val="none"/>
        </w:rPr>
      </w:pPr>
      <w:r>
        <w:rPr>
          <w:rFonts w:hint="eastAsia" w:ascii="宋体" w:hAnsi="宋体" w:eastAsia="宋体" w:cs="宋体"/>
          <w:color w:val="auto"/>
          <w:w w:val="100"/>
          <w:sz w:val="21"/>
          <w:szCs w:val="21"/>
          <w:highlight w:val="none"/>
          <w:u w:val="none"/>
          <w:lang w:eastAsia="zh-CN"/>
        </w:rPr>
        <w:t>三</w:t>
      </w:r>
      <w:r>
        <w:rPr>
          <w:rFonts w:hint="eastAsia" w:ascii="宋体" w:hAnsi="宋体" w:eastAsia="宋体" w:cs="宋体"/>
          <w:color w:val="auto"/>
          <w:w w:val="100"/>
          <w:sz w:val="21"/>
          <w:szCs w:val="21"/>
          <w:highlight w:val="none"/>
          <w:u w:val="none"/>
        </w:rPr>
        <w:t>、</w:t>
      </w:r>
      <w:r>
        <w:rPr>
          <w:rFonts w:hint="eastAsia" w:ascii="宋体" w:hAnsi="宋体" w:eastAsia="宋体" w:cs="宋体"/>
          <w:color w:val="auto"/>
          <w:w w:val="100"/>
          <w:sz w:val="21"/>
          <w:szCs w:val="21"/>
          <w:highlight w:val="none"/>
          <w:u w:val="none"/>
          <w:lang w:eastAsia="zh-CN"/>
        </w:rPr>
        <w:t>本合同的组成文件</w:t>
      </w:r>
    </w:p>
    <w:p w14:paraId="0AF1586B">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　　</w:t>
      </w:r>
      <w:r>
        <w:rPr>
          <w:rFonts w:hint="eastAsia" w:ascii="宋体" w:hAnsi="宋体" w:eastAsia="宋体" w:cs="宋体"/>
          <w:b w:val="0"/>
          <w:bCs w:val="0"/>
          <w:color w:val="auto"/>
          <w:w w:val="100"/>
          <w:kern w:val="0"/>
          <w:sz w:val="21"/>
          <w:szCs w:val="21"/>
          <w:highlight w:val="none"/>
          <w:lang w:val="en-US" w:eastAsia="zh-CN"/>
        </w:rPr>
        <w:t>1.</w:t>
      </w:r>
      <w:r>
        <w:rPr>
          <w:rFonts w:hint="eastAsia" w:ascii="宋体" w:hAnsi="宋体" w:eastAsia="宋体" w:cs="宋体"/>
          <w:b w:val="0"/>
          <w:bCs w:val="0"/>
          <w:color w:val="auto"/>
          <w:w w:val="100"/>
          <w:sz w:val="21"/>
          <w:szCs w:val="21"/>
          <w:highlight w:val="none"/>
          <w:u w:val="none"/>
        </w:rPr>
        <w:t>监理合同协议书</w:t>
      </w:r>
      <w:r>
        <w:rPr>
          <w:rFonts w:hint="eastAsia" w:ascii="宋体" w:hAnsi="宋体" w:eastAsia="宋体" w:cs="宋体"/>
          <w:b w:val="0"/>
          <w:bCs w:val="0"/>
          <w:color w:val="auto"/>
          <w:w w:val="100"/>
          <w:sz w:val="21"/>
          <w:szCs w:val="21"/>
          <w:highlight w:val="none"/>
          <w:u w:val="none"/>
          <w:lang w:eastAsia="zh-CN"/>
        </w:rPr>
        <w:t>；</w:t>
      </w:r>
    </w:p>
    <w:p w14:paraId="04F01259">
      <w:pPr>
        <w:keepNext w:val="0"/>
        <w:keepLines w:val="0"/>
        <w:pageBreakBefore w:val="0"/>
        <w:widowControl w:val="0"/>
        <w:kinsoku/>
        <w:wordWrap/>
        <w:overflowPunct/>
        <w:topLinePunct w:val="0"/>
        <w:autoSpaceDE/>
        <w:autoSpaceDN/>
        <w:bidi w:val="0"/>
        <w:spacing w:line="440" w:lineRule="exact"/>
        <w:ind w:left="0" w:leftChars="0" w:firstLine="480" w:firstLineChars="0"/>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sz w:val="21"/>
          <w:szCs w:val="21"/>
          <w:highlight w:val="none"/>
          <w:u w:val="none"/>
          <w:lang w:val="en-US" w:eastAsia="zh-CN"/>
        </w:rPr>
        <w:t>2.</w:t>
      </w:r>
      <w:r>
        <w:rPr>
          <w:rFonts w:hint="eastAsia" w:ascii="宋体" w:hAnsi="宋体" w:eastAsia="宋体" w:cs="宋体"/>
          <w:b w:val="0"/>
          <w:bCs w:val="0"/>
          <w:color w:val="auto"/>
          <w:sz w:val="21"/>
          <w:szCs w:val="21"/>
          <w:highlight w:val="none"/>
        </w:rPr>
        <w:t>中标通知书</w:t>
      </w:r>
      <w:r>
        <w:rPr>
          <w:rFonts w:hint="eastAsia" w:ascii="宋体" w:hAnsi="宋体" w:eastAsia="宋体" w:cs="宋体"/>
          <w:b w:val="0"/>
          <w:bCs w:val="0"/>
          <w:color w:val="auto"/>
          <w:w w:val="100"/>
          <w:kern w:val="0"/>
          <w:sz w:val="21"/>
          <w:szCs w:val="21"/>
          <w:highlight w:val="none"/>
          <w:lang w:val="en-US" w:eastAsia="zh-CN"/>
        </w:rPr>
        <w:t>；</w:t>
      </w:r>
    </w:p>
    <w:p w14:paraId="5C44B53A">
      <w:pPr>
        <w:keepNext w:val="0"/>
        <w:keepLines w:val="0"/>
        <w:pageBreakBefore w:val="0"/>
        <w:widowControl w:val="0"/>
        <w:kinsoku/>
        <w:wordWrap/>
        <w:overflowPunct/>
        <w:topLinePunct w:val="0"/>
        <w:autoSpaceDE/>
        <w:autoSpaceDN/>
        <w:bidi w:val="0"/>
        <w:spacing w:line="440" w:lineRule="exact"/>
        <w:ind w:left="0" w:leftChars="0" w:firstLine="480" w:firstLineChars="0"/>
        <w:rPr>
          <w:rFonts w:hint="eastAsia" w:ascii="宋体" w:hAnsi="宋体" w:eastAsia="宋体" w:cs="宋体"/>
          <w:b w:val="0"/>
          <w:bCs w:val="0"/>
          <w:color w:val="auto"/>
          <w:w w:val="100"/>
          <w:sz w:val="21"/>
          <w:szCs w:val="21"/>
          <w:highlight w:val="none"/>
          <w:u w:val="none"/>
        </w:rPr>
      </w:pPr>
      <w:r>
        <w:rPr>
          <w:rFonts w:hint="eastAsia" w:ascii="宋体" w:hAnsi="宋体" w:eastAsia="宋体" w:cs="宋体"/>
          <w:b w:val="0"/>
          <w:bCs w:val="0"/>
          <w:color w:val="auto"/>
          <w:w w:val="100"/>
          <w:sz w:val="21"/>
          <w:szCs w:val="21"/>
          <w:highlight w:val="none"/>
          <w:u w:val="none"/>
          <w:lang w:val="en-US" w:eastAsia="zh-CN"/>
        </w:rPr>
        <w:t>3.</w:t>
      </w:r>
      <w:r>
        <w:rPr>
          <w:rFonts w:hint="eastAsia" w:ascii="宋体" w:hAnsi="宋体" w:eastAsia="宋体" w:cs="宋体"/>
          <w:b w:val="0"/>
          <w:bCs w:val="0"/>
          <w:color w:val="auto"/>
          <w:w w:val="100"/>
          <w:sz w:val="21"/>
          <w:szCs w:val="21"/>
          <w:highlight w:val="none"/>
          <w:u w:val="none"/>
        </w:rPr>
        <w:t>通用条款；</w:t>
      </w:r>
    </w:p>
    <w:p w14:paraId="1F582BE7">
      <w:pPr>
        <w:keepNext w:val="0"/>
        <w:keepLines w:val="0"/>
        <w:pageBreakBefore w:val="0"/>
        <w:widowControl/>
        <w:kinsoku/>
        <w:wordWrap/>
        <w:overflowPunct/>
        <w:topLinePunct w:val="0"/>
        <w:autoSpaceDE/>
        <w:autoSpaceDN/>
        <w:bidi w:val="0"/>
        <w:spacing w:line="440" w:lineRule="exact"/>
        <w:ind w:left="0" w:leftChars="0" w:firstLine="480" w:firstLineChars="0"/>
        <w:jc w:val="left"/>
        <w:rPr>
          <w:rFonts w:hint="eastAsia" w:ascii="宋体" w:hAnsi="宋体" w:eastAsia="宋体" w:cs="宋体"/>
          <w:b w:val="0"/>
          <w:bCs w:val="0"/>
          <w:color w:val="auto"/>
          <w:w w:val="100"/>
          <w:sz w:val="21"/>
          <w:szCs w:val="21"/>
          <w:highlight w:val="none"/>
          <w:u w:val="none"/>
        </w:rPr>
      </w:pPr>
      <w:r>
        <w:rPr>
          <w:rFonts w:hint="eastAsia" w:ascii="宋体" w:hAnsi="宋体" w:eastAsia="宋体" w:cs="宋体"/>
          <w:b w:val="0"/>
          <w:bCs w:val="0"/>
          <w:color w:val="auto"/>
          <w:w w:val="100"/>
          <w:sz w:val="21"/>
          <w:szCs w:val="21"/>
          <w:highlight w:val="none"/>
          <w:u w:val="none"/>
          <w:lang w:val="en-US" w:eastAsia="zh-CN"/>
        </w:rPr>
        <w:t>4.</w:t>
      </w:r>
      <w:r>
        <w:rPr>
          <w:rFonts w:hint="eastAsia" w:ascii="宋体" w:hAnsi="宋体" w:eastAsia="宋体" w:cs="宋体"/>
          <w:b w:val="0"/>
          <w:bCs w:val="0"/>
          <w:color w:val="auto"/>
          <w:w w:val="100"/>
          <w:sz w:val="21"/>
          <w:szCs w:val="21"/>
          <w:highlight w:val="none"/>
          <w:u w:val="none"/>
        </w:rPr>
        <w:t>专用条款；</w:t>
      </w:r>
    </w:p>
    <w:p w14:paraId="0E7C3BD3">
      <w:pPr>
        <w:keepNext w:val="0"/>
        <w:keepLines w:val="0"/>
        <w:pageBreakBefore w:val="0"/>
        <w:widowControl/>
        <w:kinsoku/>
        <w:wordWrap/>
        <w:overflowPunct/>
        <w:topLinePunct w:val="0"/>
        <w:autoSpaceDE/>
        <w:autoSpaceDN/>
        <w:bidi w:val="0"/>
        <w:spacing w:line="440" w:lineRule="atLeast"/>
        <w:ind w:left="0" w:leftChars="0" w:firstLine="0" w:firstLineChars="0"/>
        <w:jc w:val="left"/>
        <w:rPr>
          <w:rFonts w:hint="eastAsia" w:ascii="宋体" w:hAnsi="宋体" w:eastAsia="宋体" w:cs="宋体"/>
          <w:b w:val="0"/>
          <w:bCs w:val="0"/>
          <w:color w:val="auto"/>
          <w:w w:val="100"/>
          <w:sz w:val="21"/>
          <w:szCs w:val="21"/>
          <w:highlight w:val="none"/>
          <w:u w:val="none"/>
        </w:rPr>
      </w:pPr>
      <w:r>
        <w:rPr>
          <w:rFonts w:hint="eastAsia" w:ascii="宋体" w:hAnsi="宋体" w:eastAsia="宋体" w:cs="宋体"/>
          <w:b w:val="0"/>
          <w:bCs w:val="0"/>
          <w:color w:val="auto"/>
          <w:w w:val="100"/>
          <w:sz w:val="21"/>
          <w:szCs w:val="21"/>
          <w:highlight w:val="none"/>
          <w:u w:val="none"/>
          <w:lang w:eastAsia="zh-CN"/>
        </w:rPr>
        <w:t>　　</w:t>
      </w:r>
      <w:r>
        <w:rPr>
          <w:rFonts w:hint="eastAsia" w:ascii="宋体" w:hAnsi="宋体" w:eastAsia="宋体" w:cs="宋体"/>
          <w:b w:val="0"/>
          <w:bCs w:val="0"/>
          <w:color w:val="auto"/>
          <w:w w:val="100"/>
          <w:sz w:val="21"/>
          <w:szCs w:val="21"/>
          <w:highlight w:val="none"/>
          <w:u w:val="none"/>
          <w:lang w:val="en-US" w:eastAsia="zh-CN"/>
        </w:rPr>
        <w:t>5.附件1　廉政协议</w:t>
      </w:r>
      <w:r>
        <w:rPr>
          <w:rFonts w:hint="eastAsia" w:ascii="宋体" w:hAnsi="宋体" w:eastAsia="宋体" w:cs="宋体"/>
          <w:b w:val="0"/>
          <w:bCs w:val="0"/>
          <w:color w:val="auto"/>
          <w:w w:val="100"/>
          <w:sz w:val="21"/>
          <w:szCs w:val="21"/>
          <w:highlight w:val="none"/>
          <w:u w:val="none"/>
        </w:rPr>
        <w:t>；</w:t>
      </w:r>
    </w:p>
    <w:p w14:paraId="0EAD84D6">
      <w:pPr>
        <w:keepNext w:val="0"/>
        <w:keepLines w:val="0"/>
        <w:pageBreakBefore w:val="0"/>
        <w:widowControl/>
        <w:kinsoku/>
        <w:wordWrap/>
        <w:overflowPunct/>
        <w:topLinePunct w:val="0"/>
        <w:autoSpaceDE/>
        <w:autoSpaceDN/>
        <w:bidi w:val="0"/>
        <w:spacing w:line="440" w:lineRule="atLeast"/>
        <w:ind w:left="0" w:leftChars="0" w:firstLine="480" w:firstLineChars="0"/>
        <w:jc w:val="left"/>
        <w:rPr>
          <w:rFonts w:hint="eastAsia" w:ascii="宋体" w:hAnsi="宋体" w:eastAsia="宋体" w:cs="宋体"/>
          <w:b w:val="0"/>
          <w:bCs w:val="0"/>
          <w:color w:val="auto"/>
          <w:w w:val="100"/>
          <w:sz w:val="21"/>
          <w:szCs w:val="21"/>
          <w:highlight w:val="none"/>
          <w:u w:val="none"/>
        </w:rPr>
      </w:pPr>
      <w:r>
        <w:rPr>
          <w:rFonts w:hint="eastAsia" w:ascii="宋体" w:hAnsi="宋体" w:eastAsia="宋体" w:cs="宋体"/>
          <w:b w:val="0"/>
          <w:bCs w:val="0"/>
          <w:color w:val="auto"/>
          <w:w w:val="100"/>
          <w:sz w:val="21"/>
          <w:szCs w:val="21"/>
          <w:highlight w:val="none"/>
          <w:u w:val="none"/>
          <w:lang w:val="en-US" w:eastAsia="zh-CN"/>
        </w:rPr>
        <w:t>6.附件2　</w:t>
      </w:r>
      <w:r>
        <w:rPr>
          <w:rStyle w:val="86"/>
          <w:rFonts w:hint="eastAsia" w:ascii="宋体" w:hAnsi="宋体" w:eastAsia="宋体" w:cs="宋体"/>
          <w:b w:val="0"/>
          <w:bCs w:val="0"/>
          <w:color w:val="auto"/>
          <w:sz w:val="21"/>
          <w:szCs w:val="21"/>
          <w:highlight w:val="none"/>
        </w:rPr>
        <w:t>安全监理责任</w:t>
      </w:r>
      <w:r>
        <w:rPr>
          <w:rFonts w:hint="eastAsia" w:ascii="宋体" w:hAnsi="宋体" w:eastAsia="宋体" w:cs="宋体"/>
          <w:b w:val="0"/>
          <w:bCs w:val="0"/>
          <w:color w:val="auto"/>
          <w:sz w:val="21"/>
          <w:szCs w:val="21"/>
          <w:highlight w:val="none"/>
          <w:lang w:val="en-US" w:eastAsia="zh-CN"/>
        </w:rPr>
        <w:t>协议</w:t>
      </w:r>
      <w:r>
        <w:rPr>
          <w:rFonts w:hint="eastAsia" w:ascii="宋体" w:hAnsi="宋体" w:eastAsia="宋体" w:cs="宋体"/>
          <w:b w:val="0"/>
          <w:bCs w:val="0"/>
          <w:color w:val="auto"/>
          <w:w w:val="100"/>
          <w:sz w:val="21"/>
          <w:szCs w:val="21"/>
          <w:highlight w:val="none"/>
          <w:u w:val="none"/>
        </w:rPr>
        <w:t>；</w:t>
      </w:r>
    </w:p>
    <w:p w14:paraId="61C68126">
      <w:pPr>
        <w:pStyle w:val="18"/>
        <w:keepNext/>
        <w:keepLines/>
        <w:pageBreakBefore w:val="0"/>
        <w:widowControl w:val="0"/>
        <w:kinsoku/>
        <w:wordWrap/>
        <w:overflowPunct/>
        <w:topLinePunct w:val="0"/>
        <w:autoSpaceDE/>
        <w:autoSpaceDN/>
        <w:bidi w:val="0"/>
        <w:spacing w:before="0" w:after="0" w:line="440" w:lineRule="exact"/>
        <w:ind w:firstLine="482"/>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竞争性磋商文件的条款要求</w:t>
      </w:r>
    </w:p>
    <w:p w14:paraId="06C5DAC3">
      <w:pPr>
        <w:keepNext w:val="0"/>
        <w:keepLines w:val="0"/>
        <w:pageBreakBefore w:val="0"/>
        <w:widowControl/>
        <w:kinsoku/>
        <w:wordWrap/>
        <w:overflowPunct/>
        <w:topLinePunct w:val="0"/>
        <w:autoSpaceDE/>
        <w:autoSpaceDN/>
        <w:bidi w:val="0"/>
        <w:spacing w:line="440" w:lineRule="atLeast"/>
        <w:ind w:left="0" w:leftChars="0" w:firstLine="420" w:firstLineChars="200"/>
        <w:jc w:val="left"/>
        <w:rPr>
          <w:rFonts w:hint="eastAsia" w:ascii="宋体" w:hAnsi="宋体" w:eastAsia="宋体" w:cs="宋体"/>
          <w:color w:val="auto"/>
          <w:w w:val="100"/>
          <w:sz w:val="21"/>
          <w:szCs w:val="21"/>
          <w:highlight w:val="none"/>
          <w:u w:val="single"/>
          <w:lang w:eastAsia="zh-CN"/>
        </w:rPr>
      </w:pPr>
      <w:r>
        <w:rPr>
          <w:rFonts w:hint="eastAsia" w:ascii="宋体" w:hAnsi="宋体" w:eastAsia="宋体" w:cs="宋体"/>
          <w:color w:val="auto"/>
          <w:w w:val="100"/>
          <w:sz w:val="21"/>
          <w:szCs w:val="21"/>
          <w:highlight w:val="none"/>
          <w:u w:val="none"/>
          <w:lang w:val="en-US" w:eastAsia="zh-CN"/>
        </w:rPr>
        <w:t>8.</w:t>
      </w:r>
      <w:r>
        <w:rPr>
          <w:rFonts w:hint="eastAsia" w:ascii="宋体" w:hAnsi="宋体" w:eastAsia="宋体" w:cs="宋体"/>
          <w:color w:val="auto"/>
          <w:w w:val="100"/>
          <w:sz w:val="21"/>
          <w:szCs w:val="21"/>
          <w:highlight w:val="none"/>
          <w:u w:val="none"/>
        </w:rPr>
        <w:t>在本合同中约定的构成本合同组成部分的其他文件</w:t>
      </w:r>
      <w:r>
        <w:rPr>
          <w:rFonts w:hint="eastAsia" w:ascii="宋体" w:hAnsi="宋体" w:eastAsia="宋体" w:cs="宋体"/>
          <w:color w:val="auto"/>
          <w:w w:val="100"/>
          <w:sz w:val="21"/>
          <w:szCs w:val="21"/>
          <w:highlight w:val="none"/>
          <w:u w:val="none"/>
          <w:lang w:eastAsia="zh-CN"/>
        </w:rPr>
        <w:t>。</w:t>
      </w:r>
    </w:p>
    <w:p w14:paraId="205C1008">
      <w:pPr>
        <w:keepNext w:val="0"/>
        <w:keepLines w:val="0"/>
        <w:pageBreakBefore w:val="0"/>
        <w:widowControl/>
        <w:kinsoku/>
        <w:wordWrap/>
        <w:overflowPunct/>
        <w:topLinePunct w:val="0"/>
        <w:bidi w:val="0"/>
        <w:spacing w:line="440" w:lineRule="exact"/>
        <w:ind w:firstLine="420" w:firstLineChars="200"/>
        <w:jc w:val="left"/>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9.本合同签订后，双方依法签订的补充协议也是本合同文件的组成部分。</w:t>
      </w:r>
    </w:p>
    <w:p w14:paraId="0D079FFE">
      <w:pPr>
        <w:keepNext w:val="0"/>
        <w:keepLines w:val="0"/>
        <w:pageBreakBefore w:val="0"/>
        <w:widowControl/>
        <w:kinsoku/>
        <w:wordWrap/>
        <w:overflowPunct/>
        <w:topLinePunct w:val="0"/>
        <w:bidi w:val="0"/>
        <w:spacing w:line="440" w:lineRule="exact"/>
        <w:ind w:firstLine="680"/>
        <w:jc w:val="left"/>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lang w:eastAsia="zh-CN"/>
        </w:rPr>
        <w:t>四</w:t>
      </w:r>
      <w:r>
        <w:rPr>
          <w:rFonts w:hint="eastAsia" w:ascii="宋体" w:hAnsi="宋体" w:eastAsia="宋体" w:cs="宋体"/>
          <w:color w:val="auto"/>
          <w:w w:val="100"/>
          <w:sz w:val="21"/>
          <w:szCs w:val="21"/>
          <w:highlight w:val="none"/>
        </w:rPr>
        <w:t>、工程监理范围</w:t>
      </w:r>
    </w:p>
    <w:p w14:paraId="36A0F83E">
      <w:pPr>
        <w:keepNext w:val="0"/>
        <w:keepLines w:val="0"/>
        <w:pageBreakBefore w:val="0"/>
        <w:widowControl/>
        <w:kinsoku/>
        <w:wordWrap/>
        <w:overflowPunct/>
        <w:topLinePunct w:val="0"/>
        <w:autoSpaceDE/>
        <w:autoSpaceDN/>
        <w:bidi w:val="0"/>
        <w:spacing w:line="440" w:lineRule="exact"/>
        <w:ind w:firstLine="422" w:firstLineChars="200"/>
        <w:jc w:val="left"/>
        <w:rPr>
          <w:rFonts w:hint="eastAsia" w:ascii="宋体" w:hAnsi="宋体" w:eastAsia="宋体" w:cs="宋体"/>
          <w:b w:val="0"/>
          <w:bCs w:val="0"/>
          <w:color w:val="auto"/>
          <w:w w:val="100"/>
          <w:sz w:val="21"/>
          <w:szCs w:val="21"/>
          <w:highlight w:val="none"/>
          <w:u w:val="none"/>
        </w:rPr>
      </w:pPr>
      <w:r>
        <w:rPr>
          <w:rFonts w:hint="eastAsia" w:ascii="宋体" w:hAnsi="宋体" w:eastAsia="宋体" w:cs="宋体"/>
          <w:b/>
          <w:bCs/>
          <w:color w:val="auto"/>
          <w:w w:val="100"/>
          <w:sz w:val="21"/>
          <w:szCs w:val="21"/>
          <w:highlight w:val="none"/>
          <w:u w:val="none"/>
        </w:rPr>
        <w:t>监理范围</w:t>
      </w:r>
      <w:r>
        <w:rPr>
          <w:rFonts w:hint="eastAsia" w:ascii="宋体" w:hAnsi="宋体" w:eastAsia="宋体" w:cs="宋体"/>
          <w:b w:val="0"/>
          <w:bCs w:val="0"/>
          <w:color w:val="auto"/>
          <w:w w:val="100"/>
          <w:sz w:val="21"/>
          <w:szCs w:val="21"/>
          <w:highlight w:val="none"/>
          <w:u w:val="none"/>
        </w:rPr>
        <w:t>：</w:t>
      </w:r>
      <w:r>
        <w:rPr>
          <w:rFonts w:ascii="Segoe UI" w:hAnsi="Segoe UI" w:eastAsia="Segoe UI" w:cs="Segoe UI"/>
          <w:i w:val="0"/>
          <w:iCs w:val="0"/>
          <w:caps w:val="0"/>
          <w:color w:val="auto"/>
          <w:spacing w:val="0"/>
          <w:sz w:val="21"/>
          <w:szCs w:val="21"/>
          <w:shd w:val="clear" w:color="auto" w:fill="FFFFFF"/>
        </w:rPr>
        <w:t>本合同约定（标项）内全部子项目工程的施工准备阶段、施工阶段的全过程监理服务</w:t>
      </w:r>
      <w:r>
        <w:rPr>
          <w:rFonts w:hint="eastAsia" w:ascii="宋体" w:hAnsi="宋体" w:eastAsia="宋体" w:cs="宋体"/>
          <w:b w:val="0"/>
          <w:bCs w:val="0"/>
          <w:color w:val="auto"/>
          <w:w w:val="100"/>
          <w:sz w:val="21"/>
          <w:szCs w:val="21"/>
          <w:highlight w:val="none"/>
          <w:u w:val="none"/>
        </w:rPr>
        <w:t>。</w:t>
      </w:r>
    </w:p>
    <w:p w14:paraId="57DA9FD4">
      <w:pPr>
        <w:keepNext w:val="0"/>
        <w:keepLines w:val="0"/>
        <w:pageBreakBefore w:val="0"/>
        <w:widowControl/>
        <w:kinsoku/>
        <w:wordWrap/>
        <w:overflowPunct/>
        <w:topLinePunct w:val="0"/>
        <w:autoSpaceDE/>
        <w:autoSpaceDN/>
        <w:bidi w:val="0"/>
        <w:spacing w:line="440" w:lineRule="exact"/>
        <w:ind w:firstLine="422" w:firstLineChars="200"/>
        <w:rPr>
          <w:rFonts w:hint="eastAsia" w:ascii="宋体" w:hAnsi="宋体" w:eastAsia="宋体" w:cs="宋体"/>
          <w:b w:val="0"/>
          <w:bCs w:val="0"/>
          <w:color w:val="auto"/>
          <w:sz w:val="21"/>
          <w:szCs w:val="21"/>
          <w:highlight w:val="none"/>
          <w:u w:val="single"/>
          <w:lang w:eastAsia="zh-CN"/>
        </w:rPr>
      </w:pPr>
      <w:r>
        <w:rPr>
          <w:rFonts w:hint="eastAsia" w:ascii="宋体" w:hAnsi="宋体" w:eastAsia="宋体" w:cs="宋体"/>
          <w:b/>
          <w:bCs/>
          <w:color w:val="auto"/>
          <w:sz w:val="21"/>
          <w:szCs w:val="21"/>
          <w:highlight w:val="none"/>
          <w:lang w:eastAsia="zh-CN"/>
        </w:rPr>
        <w:t>监理工作内容还包括</w:t>
      </w:r>
      <w:r>
        <w:rPr>
          <w:rFonts w:hint="eastAsia" w:ascii="宋体" w:hAnsi="宋体" w:eastAsia="宋体" w:cs="宋体"/>
          <w:b w:val="0"/>
          <w:bCs w:val="0"/>
          <w:color w:val="auto"/>
          <w:sz w:val="21"/>
          <w:szCs w:val="21"/>
          <w:highlight w:val="none"/>
          <w:lang w:eastAsia="zh-CN"/>
        </w:rPr>
        <w:t>：</w:t>
      </w:r>
      <w:r>
        <w:rPr>
          <w:rFonts w:ascii="Segoe UI" w:hAnsi="Segoe UI" w:eastAsia="Segoe UI" w:cs="Segoe UI"/>
          <w:i w:val="0"/>
          <w:iCs w:val="0"/>
          <w:caps w:val="0"/>
          <w:color w:val="auto"/>
          <w:spacing w:val="0"/>
          <w:sz w:val="21"/>
          <w:szCs w:val="21"/>
          <w:shd w:val="clear" w:color="auto" w:fill="FFFFFF"/>
        </w:rPr>
        <w:t>包括但不限于质量控制、进度控制、投资控制、安全生产和文明施工监督管理、合同管理、信息管理及现场组织协调等。详细的监理工作内容、人员配置、成果文件要求及工作制度。</w:t>
      </w:r>
    </w:p>
    <w:p w14:paraId="7DCE37DC">
      <w:pPr>
        <w:keepNext w:val="0"/>
        <w:keepLines w:val="0"/>
        <w:pageBreakBefore w:val="0"/>
        <w:widowControl/>
        <w:kinsoku/>
        <w:wordWrap/>
        <w:overflowPunct/>
        <w:topLinePunct w:val="0"/>
        <w:bidi w:val="0"/>
        <w:spacing w:line="440" w:lineRule="exact"/>
        <w:ind w:left="1654" w:leftChars="332" w:hanging="957" w:hangingChars="456"/>
        <w:rPr>
          <w:rFonts w:hint="eastAsia" w:ascii="宋体" w:hAnsi="宋体" w:eastAsia="宋体" w:cs="宋体"/>
          <w:b w:val="0"/>
          <w:bCs w:val="0"/>
          <w:color w:val="auto"/>
          <w:w w:val="100"/>
          <w:sz w:val="21"/>
          <w:szCs w:val="21"/>
          <w:highlight w:val="none"/>
          <w:u w:val="none"/>
        </w:rPr>
      </w:pPr>
      <w:r>
        <w:rPr>
          <w:rFonts w:hint="eastAsia" w:ascii="宋体" w:hAnsi="宋体" w:eastAsia="宋体" w:cs="宋体"/>
          <w:b w:val="0"/>
          <w:bCs w:val="0"/>
          <w:color w:val="auto"/>
          <w:w w:val="100"/>
          <w:sz w:val="21"/>
          <w:szCs w:val="21"/>
          <w:highlight w:val="none"/>
          <w:u w:val="none"/>
          <w:lang w:eastAsia="zh-CN"/>
        </w:rPr>
        <w:t>五</w:t>
      </w:r>
      <w:r>
        <w:rPr>
          <w:rFonts w:hint="eastAsia" w:ascii="宋体" w:hAnsi="宋体" w:eastAsia="宋体" w:cs="宋体"/>
          <w:b w:val="0"/>
          <w:bCs w:val="0"/>
          <w:color w:val="auto"/>
          <w:w w:val="100"/>
          <w:sz w:val="21"/>
          <w:szCs w:val="21"/>
          <w:highlight w:val="none"/>
          <w:u w:val="none"/>
        </w:rPr>
        <w:t>、监理服务期</w:t>
      </w:r>
    </w:p>
    <w:p w14:paraId="150BCF33">
      <w:pPr>
        <w:keepNext w:val="0"/>
        <w:keepLines w:val="0"/>
        <w:pageBreakBefore w:val="0"/>
        <w:widowControl/>
        <w:tabs>
          <w:tab w:val="left" w:pos="1580"/>
        </w:tabs>
        <w:kinsoku/>
        <w:wordWrap/>
        <w:overflowPunct/>
        <w:topLinePunct w:val="0"/>
        <w:autoSpaceDE w:val="0"/>
        <w:autoSpaceDN w:val="0"/>
        <w:bidi w:val="0"/>
        <w:spacing w:line="440" w:lineRule="exact"/>
        <w:ind w:right="-96" w:firstLine="420" w:firstLineChars="200"/>
        <w:jc w:val="left"/>
        <w:rPr>
          <w:rFonts w:hint="eastAsia" w:ascii="宋体" w:hAnsi="宋体" w:eastAsia="宋体" w:cs="宋体"/>
          <w:b w:val="0"/>
          <w:bCs w:val="0"/>
          <w:color w:val="auto"/>
          <w:w w:val="100"/>
          <w:sz w:val="21"/>
          <w:szCs w:val="21"/>
          <w:highlight w:val="none"/>
          <w:u w:val="single"/>
        </w:rPr>
      </w:pPr>
      <w:r>
        <w:rPr>
          <w:rFonts w:hint="eastAsia" w:ascii="宋体" w:hAnsi="宋体" w:eastAsia="宋体" w:cs="宋体"/>
          <w:b w:val="0"/>
          <w:bCs w:val="0"/>
          <w:color w:val="auto"/>
          <w:w w:val="100"/>
          <w:sz w:val="21"/>
          <w:szCs w:val="21"/>
          <w:highlight w:val="none"/>
          <w:u w:val="none"/>
        </w:rPr>
        <w:t>监理服务期：</w:t>
      </w:r>
      <w:r>
        <w:rPr>
          <w:rFonts w:hint="eastAsia" w:ascii="宋体" w:hAnsi="宋体" w:eastAsia="宋体" w:cs="宋体"/>
          <w:color w:val="auto"/>
          <w:sz w:val="21"/>
          <w:szCs w:val="21"/>
          <w:highlight w:val="none"/>
          <w:u w:val="single"/>
          <w:lang w:eastAsia="zh-CN"/>
        </w:rPr>
        <w:t>本合同项下监理服务按各子项目独立履行。单个子项目的监理服务期自该子项目开工令载明的开工日期起，至该子项目工程竣工验收合格之日止。监理人应按采购人要求提供保修期阶段的相关服务。若各子项目分期实施，监理服务相应分段执行</w:t>
      </w:r>
      <w:r>
        <w:rPr>
          <w:rFonts w:hint="eastAsia" w:ascii="宋体" w:hAnsi="宋体" w:eastAsia="宋体" w:cs="宋体"/>
          <w:color w:val="auto"/>
          <w:sz w:val="21"/>
          <w:szCs w:val="21"/>
          <w:highlight w:val="none"/>
        </w:rPr>
        <w:t>。</w:t>
      </w:r>
    </w:p>
    <w:p w14:paraId="4DB8A017">
      <w:pPr>
        <w:pStyle w:val="18"/>
        <w:keepNext/>
        <w:keepLines/>
        <w:pageBreakBefore w:val="0"/>
        <w:widowControl/>
        <w:numPr>
          <w:ilvl w:val="0"/>
          <w:numId w:val="0"/>
        </w:numPr>
        <w:kinsoku/>
        <w:wordWrap/>
        <w:overflowPunct/>
        <w:topLinePunct w:val="0"/>
        <w:autoSpaceDE/>
        <w:autoSpaceDN/>
        <w:bidi w:val="0"/>
        <w:spacing w:before="0" w:after="0" w:line="440" w:lineRule="exact"/>
        <w:ind w:left="562" w:leftChars="0"/>
        <w:rPr>
          <w:rFonts w:hint="eastAsia" w:ascii="宋体" w:hAnsi="宋体" w:eastAsia="宋体" w:cs="宋体"/>
          <w:b w:val="0"/>
          <w:bCs w:val="0"/>
          <w:color w:val="auto"/>
          <w:w w:val="100"/>
          <w:sz w:val="21"/>
          <w:szCs w:val="21"/>
          <w:highlight w:val="none"/>
          <w:lang w:eastAsia="zh-CN"/>
        </w:rPr>
      </w:pPr>
      <w:r>
        <w:rPr>
          <w:rFonts w:hint="eastAsia" w:ascii="宋体" w:hAnsi="宋体" w:eastAsia="宋体" w:cs="宋体"/>
          <w:b w:val="0"/>
          <w:bCs w:val="0"/>
          <w:color w:val="auto"/>
          <w:w w:val="100"/>
          <w:sz w:val="21"/>
          <w:szCs w:val="21"/>
          <w:highlight w:val="none"/>
          <w:lang w:eastAsia="zh-CN"/>
        </w:rPr>
        <w:t>六、总监理工程师</w:t>
      </w:r>
    </w:p>
    <w:p w14:paraId="14C00E7B">
      <w:pPr>
        <w:pageBreakBefore w:val="0"/>
        <w:numPr>
          <w:ilvl w:val="0"/>
          <w:numId w:val="0"/>
        </w:numPr>
        <w:kinsoku/>
        <w:wordWrap/>
        <w:overflowPunct/>
        <w:topLinePunct w:val="0"/>
        <w:bidi w:val="0"/>
        <w:spacing w:line="440" w:lineRule="exact"/>
        <w:ind w:firstLine="420" w:firstLineChars="200"/>
        <w:rPr>
          <w:rFonts w:hint="eastAsia" w:ascii="宋体" w:hAnsi="宋体" w:eastAsia="宋体" w:cs="宋体"/>
          <w:color w:val="auto"/>
          <w:w w:val="100"/>
          <w:sz w:val="21"/>
          <w:szCs w:val="21"/>
          <w:highlight w:val="none"/>
          <w:u w:val="none"/>
          <w:lang w:val="en-US" w:eastAsia="zh-CN"/>
        </w:rPr>
      </w:pPr>
      <w:r>
        <w:rPr>
          <w:rFonts w:hint="eastAsia" w:ascii="宋体" w:hAnsi="宋体" w:eastAsia="宋体" w:cs="宋体"/>
          <w:color w:val="auto"/>
          <w:w w:val="100"/>
          <w:sz w:val="21"/>
          <w:szCs w:val="21"/>
          <w:highlight w:val="none"/>
          <w:u w:val="none"/>
          <w:lang w:val="en-US" w:eastAsia="zh-CN"/>
        </w:rPr>
        <w:t>总监理工程师</w:t>
      </w:r>
      <w:r>
        <w:rPr>
          <w:rFonts w:hint="eastAsia" w:ascii="宋体" w:hAnsi="宋体" w:eastAsia="宋体" w:cs="宋体"/>
          <w:color w:val="auto"/>
          <w:w w:val="100"/>
          <w:sz w:val="21"/>
          <w:szCs w:val="21"/>
          <w:highlight w:val="none"/>
          <w:u w:val="none"/>
          <w:lang w:eastAsia="zh-CN"/>
        </w:rPr>
        <w:t>：</w:t>
      </w:r>
      <w:r>
        <w:rPr>
          <w:rFonts w:hint="eastAsia" w:ascii="宋体" w:hAnsi="宋体" w:eastAsia="宋体" w:cs="宋体"/>
          <w:color w:val="auto"/>
          <w:w w:val="100"/>
          <w:sz w:val="21"/>
          <w:szCs w:val="21"/>
          <w:highlight w:val="none"/>
          <w:u w:val="single"/>
          <w:lang w:eastAsia="zh-CN"/>
        </w:rPr>
        <w:t>　　　　　　</w:t>
      </w:r>
      <w:r>
        <w:rPr>
          <w:rFonts w:hint="eastAsia" w:ascii="宋体" w:hAnsi="宋体" w:eastAsia="宋体" w:cs="宋体"/>
          <w:color w:val="auto"/>
          <w:w w:val="100"/>
          <w:sz w:val="21"/>
          <w:szCs w:val="21"/>
          <w:highlight w:val="none"/>
          <w:u w:val="none"/>
          <w:lang w:eastAsia="zh-CN"/>
        </w:rPr>
        <w:t>，身份证号码：</w:t>
      </w:r>
      <w:r>
        <w:rPr>
          <w:rFonts w:hint="eastAsia" w:ascii="宋体" w:hAnsi="宋体" w:eastAsia="宋体" w:cs="宋体"/>
          <w:color w:val="auto"/>
          <w:w w:val="100"/>
          <w:sz w:val="21"/>
          <w:szCs w:val="21"/>
          <w:highlight w:val="none"/>
          <w:u w:val="single"/>
          <w:lang w:eastAsia="zh-CN"/>
        </w:rPr>
        <w:t>　　　　　　　　　</w:t>
      </w:r>
      <w:r>
        <w:rPr>
          <w:rFonts w:hint="eastAsia" w:ascii="宋体" w:hAnsi="宋体" w:eastAsia="宋体" w:cs="宋体"/>
          <w:color w:val="auto"/>
          <w:w w:val="100"/>
          <w:sz w:val="21"/>
          <w:szCs w:val="21"/>
          <w:highlight w:val="none"/>
          <w:u w:val="none"/>
          <w:lang w:eastAsia="zh-CN"/>
        </w:rPr>
        <w:t>，注册号：</w:t>
      </w:r>
      <w:r>
        <w:rPr>
          <w:rFonts w:hint="eastAsia" w:ascii="宋体" w:hAnsi="宋体" w:eastAsia="宋体" w:cs="宋体"/>
          <w:color w:val="auto"/>
          <w:w w:val="100"/>
          <w:sz w:val="21"/>
          <w:szCs w:val="21"/>
          <w:highlight w:val="none"/>
          <w:u w:val="single"/>
          <w:lang w:eastAsia="zh-CN"/>
        </w:rPr>
        <w:t>　　　　　　　</w:t>
      </w:r>
      <w:r>
        <w:rPr>
          <w:rFonts w:hint="eastAsia" w:ascii="宋体" w:hAnsi="宋体" w:eastAsia="宋体" w:cs="宋体"/>
          <w:color w:val="auto"/>
          <w:w w:val="100"/>
          <w:sz w:val="21"/>
          <w:szCs w:val="21"/>
          <w:highlight w:val="none"/>
          <w:u w:val="none"/>
          <w:lang w:eastAsia="zh-CN"/>
        </w:rPr>
        <w:t>，</w:t>
      </w:r>
      <w:r>
        <w:rPr>
          <w:rFonts w:hint="eastAsia" w:ascii="宋体" w:hAnsi="宋体" w:eastAsia="宋体" w:cs="宋体"/>
          <w:color w:val="auto"/>
          <w:w w:val="100"/>
          <w:sz w:val="21"/>
          <w:szCs w:val="21"/>
          <w:highlight w:val="none"/>
          <w:u w:val="none"/>
          <w:lang w:val="en-US" w:eastAsia="zh-CN"/>
        </w:rPr>
        <w:t>联系电话：</w:t>
      </w:r>
      <w:r>
        <w:rPr>
          <w:rFonts w:hint="eastAsia" w:ascii="宋体" w:hAnsi="宋体" w:eastAsia="宋体" w:cs="宋体"/>
          <w:color w:val="auto"/>
          <w:w w:val="100"/>
          <w:sz w:val="21"/>
          <w:szCs w:val="21"/>
          <w:highlight w:val="none"/>
          <w:u w:val="single"/>
          <w:lang w:val="en-US" w:eastAsia="zh-CN"/>
        </w:rPr>
        <w:t>　　　　　　　　　</w:t>
      </w:r>
      <w:r>
        <w:rPr>
          <w:rFonts w:hint="eastAsia" w:ascii="宋体" w:hAnsi="宋体" w:eastAsia="宋体" w:cs="宋体"/>
          <w:color w:val="auto"/>
          <w:w w:val="100"/>
          <w:sz w:val="21"/>
          <w:szCs w:val="21"/>
          <w:highlight w:val="none"/>
          <w:u w:val="none"/>
          <w:lang w:val="en-US" w:eastAsia="zh-CN"/>
        </w:rPr>
        <w:t>。</w:t>
      </w:r>
    </w:p>
    <w:p w14:paraId="0E3C472E">
      <w:pPr>
        <w:keepNext w:val="0"/>
        <w:keepLines w:val="0"/>
        <w:pageBreakBefore w:val="0"/>
        <w:widowControl/>
        <w:numPr>
          <w:ilvl w:val="0"/>
          <w:numId w:val="0"/>
        </w:numPr>
        <w:kinsoku/>
        <w:wordWrap/>
        <w:overflowPunct/>
        <w:topLinePunct w:val="0"/>
        <w:autoSpaceDE/>
        <w:autoSpaceDN/>
        <w:bidi w:val="0"/>
        <w:spacing w:line="440" w:lineRule="exact"/>
        <w:ind w:left="560" w:leftChars="0"/>
        <w:jc w:val="left"/>
        <w:rPr>
          <w:rFonts w:hint="eastAsia" w:ascii="宋体" w:hAnsi="宋体" w:eastAsia="宋体" w:cs="宋体"/>
          <w:b w:val="0"/>
          <w:bCs w:val="0"/>
          <w:color w:val="auto"/>
          <w:w w:val="100"/>
          <w:sz w:val="21"/>
          <w:szCs w:val="21"/>
          <w:highlight w:val="none"/>
          <w:u w:val="none"/>
          <w:lang w:eastAsia="zh-CN"/>
        </w:rPr>
      </w:pPr>
      <w:r>
        <w:rPr>
          <w:rFonts w:hint="eastAsia" w:ascii="宋体" w:hAnsi="宋体" w:eastAsia="宋体" w:cs="宋体"/>
          <w:b w:val="0"/>
          <w:bCs w:val="0"/>
          <w:color w:val="auto"/>
          <w:w w:val="100"/>
          <w:sz w:val="21"/>
          <w:szCs w:val="21"/>
          <w:highlight w:val="none"/>
          <w:u w:val="none"/>
          <w:lang w:eastAsia="zh-CN"/>
        </w:rPr>
        <w:t>七、</w:t>
      </w:r>
      <w:r>
        <w:rPr>
          <w:rFonts w:hint="eastAsia" w:ascii="宋体" w:hAnsi="宋体" w:eastAsia="宋体" w:cs="宋体"/>
          <w:b w:val="0"/>
          <w:bCs w:val="0"/>
          <w:color w:val="auto"/>
          <w:w w:val="100"/>
          <w:sz w:val="21"/>
          <w:szCs w:val="21"/>
          <w:highlight w:val="none"/>
          <w:u w:val="none"/>
        </w:rPr>
        <w:t>监理服务费用</w:t>
      </w:r>
      <w:r>
        <w:rPr>
          <w:rFonts w:hint="eastAsia" w:ascii="宋体" w:hAnsi="宋体" w:eastAsia="宋体" w:cs="宋体"/>
          <w:b w:val="0"/>
          <w:bCs w:val="0"/>
          <w:color w:val="auto"/>
          <w:w w:val="100"/>
          <w:sz w:val="21"/>
          <w:szCs w:val="21"/>
          <w:highlight w:val="none"/>
          <w:u w:val="none"/>
          <w:lang w:eastAsia="zh-CN"/>
        </w:rPr>
        <w:t>及支付方式</w:t>
      </w:r>
    </w:p>
    <w:p w14:paraId="5FA1123C">
      <w:pPr>
        <w:pStyle w:val="42"/>
        <w:keepNext w:val="0"/>
        <w:keepLines w:val="0"/>
        <w:pageBreakBefore w:val="0"/>
        <w:kinsoku/>
        <w:wordWrap/>
        <w:overflowPunct/>
        <w:topLinePunct w:val="0"/>
        <w:bidi w:val="0"/>
        <w:spacing w:after="0" w:line="440" w:lineRule="exact"/>
        <w:ind w:firstLine="422" w:firstLineChars="200"/>
        <w:rPr>
          <w:rFonts w:ascii="宋体" w:hAnsi="宋体" w:eastAsia="宋体" w:cs="宋体"/>
          <w:b/>
          <w:bCs/>
          <w:snapToGrid w:val="0"/>
          <w:color w:val="auto"/>
          <w:sz w:val="21"/>
          <w:szCs w:val="21"/>
          <w:highlight w:val="none"/>
          <w:lang w:val="en-US" w:eastAsia="zh-CN" w:bidi="ar-SA"/>
        </w:rPr>
      </w:pPr>
      <w:r>
        <w:rPr>
          <w:rFonts w:hint="eastAsia" w:ascii="宋体" w:hAnsi="宋体" w:eastAsia="宋体" w:cs="宋体"/>
          <w:b/>
          <w:bCs/>
          <w:snapToGrid w:val="0"/>
          <w:color w:val="auto"/>
          <w:sz w:val="21"/>
          <w:szCs w:val="21"/>
          <w:highlight w:val="none"/>
          <w:lang w:val="en-US" w:eastAsia="zh-CN" w:bidi="ar-SA"/>
        </w:rPr>
        <w:t>1.合同金额</w:t>
      </w:r>
      <w:r>
        <w:rPr>
          <w:rFonts w:hint="eastAsia" w:ascii="宋体" w:hAnsi="宋体" w:eastAsia="宋体" w:cs="宋体"/>
          <w:b/>
          <w:bCs/>
          <w:snapToGrid w:val="0"/>
          <w:color w:val="auto"/>
          <w:sz w:val="21"/>
          <w:szCs w:val="21"/>
          <w:highlight w:val="none"/>
          <w:u w:val="single"/>
          <w:lang w:val="en-US" w:eastAsia="zh-CN" w:bidi="ar-SA"/>
        </w:rPr>
        <w:t>：暂定为人民币（大写）（¥元），本项目的中标折扣率为：%。</w:t>
      </w:r>
    </w:p>
    <w:p w14:paraId="7E6D6E6C">
      <w:pPr>
        <w:keepNext w:val="0"/>
        <w:keepLines w:val="0"/>
        <w:pageBreakBefore w:val="0"/>
        <w:widowControl/>
        <w:kinsoku/>
        <w:wordWrap/>
        <w:overflowPunct/>
        <w:topLinePunct w:val="0"/>
        <w:autoSpaceDE w:val="0"/>
        <w:autoSpaceDN w:val="0"/>
        <w:bidi w:val="0"/>
        <w:spacing w:line="440" w:lineRule="exact"/>
        <w:ind w:left="420" w:leftChars="200" w:right="-20" w:firstLine="105" w:firstLineChars="50"/>
        <w:jc w:val="left"/>
        <w:rPr>
          <w:rFonts w:ascii="宋体" w:hAnsi="宋体" w:eastAsia="宋体" w:cs="宋体"/>
          <w:b/>
          <w:bCs/>
          <w:color w:val="auto"/>
          <w:w w:val="100"/>
          <w:sz w:val="21"/>
          <w:szCs w:val="21"/>
          <w:highlight w:val="none"/>
          <w:lang w:val="en-US" w:eastAsia="zh-CN"/>
        </w:rPr>
      </w:pPr>
      <w:r>
        <w:rPr>
          <w:rFonts w:hint="eastAsia" w:ascii="宋体" w:hAnsi="宋体" w:eastAsia="宋体" w:cs="宋体"/>
          <w:b/>
          <w:bCs/>
          <w:color w:val="auto"/>
          <w:w w:val="100"/>
          <w:sz w:val="21"/>
          <w:szCs w:val="21"/>
          <w:highlight w:val="none"/>
        </w:rPr>
        <w:t>2</w:t>
      </w:r>
      <w:r>
        <w:rPr>
          <w:rFonts w:hint="eastAsia" w:ascii="宋体" w:hAnsi="宋体" w:eastAsia="宋体" w:cs="宋体"/>
          <w:b/>
          <w:bCs/>
          <w:color w:val="auto"/>
          <w:w w:val="100"/>
          <w:sz w:val="21"/>
          <w:szCs w:val="21"/>
          <w:highlight w:val="none"/>
          <w:lang w:val="en-US" w:eastAsia="zh-CN"/>
        </w:rPr>
        <w:t>.</w:t>
      </w:r>
      <w:r>
        <w:rPr>
          <w:rFonts w:hint="eastAsia" w:ascii="宋体" w:hAnsi="宋体" w:eastAsia="宋体" w:cs="宋体"/>
          <w:b/>
          <w:bCs/>
          <w:color w:val="auto"/>
          <w:w w:val="100"/>
          <w:sz w:val="21"/>
          <w:szCs w:val="21"/>
          <w:highlight w:val="none"/>
        </w:rPr>
        <w:t>工程监理服务费支付方式：</w:t>
      </w:r>
    </w:p>
    <w:p w14:paraId="6F06E4F9">
      <w:pPr>
        <w:pStyle w:val="42"/>
        <w:pageBreakBefore w:val="0"/>
        <w:widowControl w:val="0"/>
        <w:numPr>
          <w:ilvl w:val="0"/>
          <w:numId w:val="22"/>
        </w:numPr>
        <w:kinsoku/>
        <w:wordWrap/>
        <w:overflowPunct/>
        <w:topLinePunct w:val="0"/>
        <w:autoSpaceDE/>
        <w:autoSpaceDN/>
        <w:bidi w:val="0"/>
        <w:spacing w:line="360" w:lineRule="auto"/>
        <w:ind w:left="420" w:leftChars="200" w:firstLine="0" w:firstLineChars="0"/>
        <w:rPr>
          <w:rFonts w:hint="eastAsia" w:ascii="宋体" w:hAnsi="宋体" w:eastAsia="宋体" w:cs="宋体"/>
          <w:b w:val="0"/>
          <w:bCs w:val="0"/>
          <w:color w:val="auto"/>
          <w:sz w:val="21"/>
          <w:szCs w:val="21"/>
          <w:highlight w:val="none"/>
          <w:lang w:val="en-US" w:eastAsia="zh-CN"/>
        </w:rPr>
      </w:pPr>
      <w:r>
        <w:rPr>
          <w:rFonts w:ascii="宋体" w:hAnsi="宋体" w:eastAsia="宋体" w:cs="宋体"/>
          <w:color w:val="auto"/>
          <w:sz w:val="21"/>
          <w:szCs w:val="21"/>
          <w:highlight w:val="none"/>
          <w:lang w:val="en-US" w:eastAsia="zh-CN"/>
        </w:rPr>
        <w:t>（1）计价与结算方式：</w:t>
      </w:r>
      <w:r>
        <w:rPr>
          <w:rFonts w:ascii="宋体" w:hAnsi="宋体" w:eastAsia="宋体" w:cs="宋体"/>
          <w:color w:val="auto"/>
          <w:sz w:val="21"/>
          <w:szCs w:val="21"/>
          <w:highlight w:val="none"/>
          <w:lang w:val="en-US" w:eastAsia="zh-CN"/>
        </w:rPr>
        <w:br w:type="textWrapping" w:clear="all"/>
      </w:r>
      <w:r>
        <w:rPr>
          <w:rFonts w:ascii="宋体" w:hAnsi="宋体" w:eastAsia="宋体" w:cs="宋体"/>
          <w:b w:val="0"/>
          <w:bCs w:val="0"/>
          <w:color w:val="auto"/>
          <w:sz w:val="21"/>
          <w:szCs w:val="21"/>
          <w:highlight w:val="none"/>
          <w:lang w:val="en-US" w:eastAsia="zh-CN"/>
        </w:rPr>
        <w:t>①中标折扣率：中标折扣率=中标价/采购预算金额。</w:t>
      </w:r>
      <w:r>
        <w:rPr>
          <w:rFonts w:ascii="宋体" w:hAnsi="宋体" w:eastAsia="宋体" w:cs="宋体"/>
          <w:b w:val="0"/>
          <w:bCs w:val="0"/>
          <w:color w:val="auto"/>
          <w:sz w:val="21"/>
          <w:szCs w:val="21"/>
          <w:highlight w:val="none"/>
          <w:lang w:val="en-US" w:eastAsia="zh-CN"/>
        </w:rPr>
        <w:br w:type="textWrapping" w:clear="all"/>
      </w:r>
      <w:r>
        <w:rPr>
          <w:rFonts w:ascii="宋体" w:hAnsi="宋体" w:eastAsia="宋体" w:cs="宋体"/>
          <w:b w:val="0"/>
          <w:bCs w:val="0"/>
          <w:color w:val="auto"/>
          <w:sz w:val="21"/>
          <w:szCs w:val="21"/>
          <w:highlight w:val="none"/>
          <w:lang w:val="en-US" w:eastAsia="zh-CN"/>
        </w:rPr>
        <w:t>②计费基数：</w:t>
      </w:r>
      <w:r>
        <w:rPr>
          <w:rFonts w:hint="eastAsia" w:ascii="宋体" w:hAnsi="宋体" w:eastAsia="宋体" w:cs="宋体"/>
          <w:b w:val="0"/>
          <w:bCs w:val="0"/>
          <w:color w:val="auto"/>
          <w:sz w:val="21"/>
          <w:szCs w:val="21"/>
          <w:highlight w:val="none"/>
          <w:lang w:val="en-US" w:eastAsia="zh-CN"/>
        </w:rPr>
        <w:t>单个子项目的计费基数，以该子项目经审核的施工合同金额为准</w:t>
      </w:r>
      <w:r>
        <w:rPr>
          <w:rFonts w:ascii="宋体" w:hAnsi="宋体" w:eastAsia="宋体" w:cs="宋体"/>
          <w:b w:val="0"/>
          <w:bCs w:val="0"/>
          <w:color w:val="auto"/>
          <w:sz w:val="21"/>
          <w:szCs w:val="21"/>
          <w:highlight w:val="none"/>
          <w:lang w:val="en-US" w:eastAsia="zh-CN"/>
        </w:rPr>
        <w:t>。</w:t>
      </w:r>
      <w:r>
        <w:rPr>
          <w:rFonts w:ascii="宋体" w:hAnsi="宋体" w:eastAsia="宋体" w:cs="宋体"/>
          <w:b w:val="0"/>
          <w:bCs w:val="0"/>
          <w:color w:val="auto"/>
          <w:sz w:val="21"/>
          <w:szCs w:val="21"/>
          <w:highlight w:val="none"/>
          <w:lang w:val="en-US" w:eastAsia="zh-CN"/>
        </w:rPr>
        <w:br w:type="textWrapping" w:clear="all"/>
      </w:r>
      <w:r>
        <w:rPr>
          <w:rFonts w:ascii="宋体" w:hAnsi="宋体" w:eastAsia="宋体" w:cs="宋体"/>
          <w:b w:val="0"/>
          <w:bCs w:val="0"/>
          <w:color w:val="auto"/>
          <w:sz w:val="21"/>
          <w:szCs w:val="21"/>
          <w:highlight w:val="none"/>
          <w:lang w:val="en-US" w:eastAsia="zh-CN"/>
        </w:rPr>
        <w:t>③结算公式：单个子项目结算监理费=该子项目的</w:t>
      </w:r>
      <w:r>
        <w:rPr>
          <w:rFonts w:hint="eastAsia" w:ascii="宋体" w:hAnsi="宋体" w:cs="宋体"/>
          <w:b w:val="0"/>
          <w:bCs w:val="0"/>
          <w:color w:val="auto"/>
          <w:sz w:val="21"/>
          <w:szCs w:val="21"/>
          <w:highlight w:val="none"/>
          <w:lang w:val="en-US" w:eastAsia="zh-CN"/>
        </w:rPr>
        <w:t>施工合同金额×1.6%×中标折扣率</w:t>
      </w:r>
      <w:r>
        <w:rPr>
          <w:rFonts w:ascii="宋体" w:hAnsi="宋体" w:eastAsia="宋体" w:cs="宋体"/>
          <w:b w:val="0"/>
          <w:bCs w:val="0"/>
          <w:color w:val="auto"/>
          <w:sz w:val="21"/>
          <w:szCs w:val="21"/>
          <w:highlight w:val="none"/>
          <w:lang w:val="en-US" w:eastAsia="zh-CN"/>
        </w:rPr>
        <w:t>。</w:t>
      </w:r>
      <w:r>
        <w:rPr>
          <w:rFonts w:ascii="宋体" w:hAnsi="宋体" w:eastAsia="宋体" w:cs="宋体"/>
          <w:b w:val="0"/>
          <w:bCs w:val="0"/>
          <w:color w:val="auto"/>
          <w:sz w:val="21"/>
          <w:szCs w:val="21"/>
          <w:highlight w:val="none"/>
          <w:lang w:val="en-US" w:eastAsia="zh-CN"/>
        </w:rPr>
        <w:br w:type="textWrapping" w:clear="all"/>
      </w:r>
      <w:r>
        <w:rPr>
          <w:rFonts w:hint="eastAsia" w:ascii="宋体" w:hAnsi="宋体" w:eastAsia="宋体" w:cs="宋体"/>
          <w:b w:val="0"/>
          <w:bCs w:val="0"/>
          <w:color w:val="auto"/>
          <w:sz w:val="21"/>
          <w:szCs w:val="21"/>
          <w:highlight w:val="none"/>
          <w:lang w:val="en-US" w:eastAsia="zh-CN"/>
        </w:rPr>
        <w:t>④最高限价：本合同项下全部子项目结算监理费总和不超过采购预算金额。</w:t>
      </w:r>
    </w:p>
    <w:p w14:paraId="405D1A1E">
      <w:pPr>
        <w:pStyle w:val="42"/>
        <w:pageBreakBefore w:val="0"/>
        <w:widowControl w:val="0"/>
        <w:numPr>
          <w:ilvl w:val="0"/>
          <w:numId w:val="0"/>
        </w:numPr>
        <w:kinsoku/>
        <w:wordWrap/>
        <w:overflowPunct/>
        <w:topLinePunct w:val="0"/>
        <w:autoSpaceDE/>
        <w:autoSpaceDN/>
        <w:bidi w:val="0"/>
        <w:spacing w:line="360" w:lineRule="auto"/>
        <w:ind w:leftChars="200"/>
        <w:rPr>
          <w:rFonts w:hint="eastAsia" w:ascii="宋体" w:hAnsi="宋体" w:eastAsia="宋体" w:cs="宋体"/>
          <w:b w:val="0"/>
          <w:bCs w:val="0"/>
          <w:color w:val="auto"/>
          <w:sz w:val="21"/>
          <w:szCs w:val="21"/>
          <w:highlight w:val="none"/>
          <w:lang w:val="en-US" w:eastAsia="zh-CN"/>
        </w:rPr>
      </w:pPr>
      <w:r>
        <w:rPr>
          <w:rFonts w:ascii="宋体" w:hAnsi="宋体" w:eastAsia="宋体" w:cs="宋体"/>
          <w:b w:val="0"/>
          <w:bCs w:val="0"/>
          <w:color w:val="auto"/>
          <w:sz w:val="21"/>
          <w:szCs w:val="21"/>
          <w:highlight w:val="none"/>
          <w:lang w:val="en-US" w:eastAsia="zh-CN"/>
        </w:rPr>
        <w:t>⑤最终结算：合同最终结算总价=</w:t>
      </w:r>
      <w:r>
        <w:rPr>
          <w:rFonts w:hint="eastAsia" w:ascii="宋体" w:hAnsi="宋体" w:cs="宋体"/>
          <w:b w:val="0"/>
          <w:bCs w:val="0"/>
          <w:color w:val="auto"/>
          <w:sz w:val="21"/>
          <w:szCs w:val="21"/>
          <w:highlight w:val="none"/>
          <w:lang w:val="en-US" w:eastAsia="zh-CN"/>
        </w:rPr>
        <w:t>∑（所有已实施子项目结算监理费）</w:t>
      </w:r>
      <w:r>
        <w:rPr>
          <w:rFonts w:ascii="宋体" w:hAnsi="宋体" w:eastAsia="宋体" w:cs="宋体"/>
          <w:b w:val="0"/>
          <w:bCs w:val="0"/>
          <w:color w:val="auto"/>
          <w:sz w:val="21"/>
          <w:szCs w:val="21"/>
          <w:highlight w:val="none"/>
          <w:lang w:val="en-US" w:eastAsia="zh-CN"/>
        </w:rPr>
        <w:t>，且不超过上述最高限价</w:t>
      </w:r>
    </w:p>
    <w:p w14:paraId="19B62968">
      <w:pPr>
        <w:pStyle w:val="42"/>
        <w:pageBreakBefore w:val="0"/>
        <w:widowControl w:val="0"/>
        <w:numPr>
          <w:ilvl w:val="0"/>
          <w:numId w:val="0"/>
        </w:numPr>
        <w:kinsoku/>
        <w:wordWrap/>
        <w:overflowPunct/>
        <w:topLinePunct w:val="0"/>
        <w:autoSpaceDE/>
        <w:autoSpaceDN/>
        <w:bidi w:val="0"/>
        <w:spacing w:line="360" w:lineRule="auto"/>
        <w:ind w:left="420" w:hanging="420" w:hangingChars="200"/>
        <w:rPr>
          <w:rFonts w:ascii="宋体" w:hAnsi="宋体" w:eastAsia="宋体" w:cs="宋体"/>
          <w:color w:val="auto"/>
          <w:sz w:val="21"/>
          <w:szCs w:val="21"/>
          <w:highlight w:val="none"/>
          <w:lang w:val="en-US" w:eastAsia="zh-CN"/>
        </w:rPr>
      </w:pPr>
      <w:r>
        <w:rPr>
          <w:rFonts w:ascii="宋体" w:hAnsi="宋体" w:eastAsia="宋体" w:cs="宋体"/>
          <w:color w:val="auto"/>
          <w:sz w:val="21"/>
          <w:szCs w:val="21"/>
          <w:highlight w:val="none"/>
          <w:lang w:val="en-US" w:eastAsia="zh-CN"/>
        </w:rPr>
        <w:t>（2）支付方式：</w:t>
      </w:r>
      <w:r>
        <w:rPr>
          <w:rFonts w:ascii="宋体" w:hAnsi="宋体" w:eastAsia="宋体" w:cs="宋体"/>
          <w:color w:val="auto"/>
          <w:sz w:val="21"/>
          <w:szCs w:val="21"/>
          <w:highlight w:val="none"/>
          <w:lang w:val="en-US" w:eastAsia="zh-CN"/>
        </w:rPr>
        <w:br w:type="textWrapping" w:clear="all"/>
      </w:r>
      <w:r>
        <w:rPr>
          <w:rFonts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lang w:val="en-US" w:eastAsia="zh-CN"/>
        </w:rPr>
        <w:t>本项目</w:t>
      </w:r>
      <w:r>
        <w:rPr>
          <w:rFonts w:ascii="宋体" w:hAnsi="宋体" w:eastAsia="宋体" w:cs="宋体"/>
          <w:color w:val="auto"/>
          <w:sz w:val="21"/>
          <w:szCs w:val="21"/>
          <w:highlight w:val="none"/>
          <w:lang w:val="en-US" w:eastAsia="zh-CN"/>
        </w:rPr>
        <w:t>无预付款。</w:t>
      </w:r>
      <w:r>
        <w:rPr>
          <w:rFonts w:ascii="宋体" w:hAnsi="宋体" w:eastAsia="宋体" w:cs="宋体"/>
          <w:color w:val="auto"/>
          <w:sz w:val="21"/>
          <w:szCs w:val="21"/>
          <w:highlight w:val="none"/>
          <w:lang w:val="en-US" w:eastAsia="zh-CN"/>
        </w:rPr>
        <w:br w:type="textWrapping" w:clear="all"/>
      </w:r>
      <w:r>
        <w:rPr>
          <w:rFonts w:ascii="宋体" w:hAnsi="宋体" w:eastAsia="宋体" w:cs="宋体"/>
          <w:color w:val="auto"/>
          <w:sz w:val="21"/>
          <w:szCs w:val="21"/>
          <w:highlight w:val="none"/>
          <w:lang w:val="en-US" w:eastAsia="zh-CN"/>
        </w:rPr>
        <w:t>②进度款：</w:t>
      </w:r>
      <w:r>
        <w:rPr>
          <w:rFonts w:hint="eastAsia" w:ascii="宋体" w:hAnsi="宋体" w:eastAsia="宋体" w:cs="宋体"/>
          <w:color w:val="auto"/>
          <w:sz w:val="21"/>
          <w:szCs w:val="21"/>
          <w:highlight w:val="none"/>
          <w:lang w:val="en-US" w:eastAsia="zh-CN"/>
        </w:rPr>
        <w:t>单个子项目施工</w:t>
      </w:r>
      <w:r>
        <w:rPr>
          <w:rFonts w:hint="eastAsia" w:ascii="宋体" w:hAnsi="宋体" w:cs="宋体"/>
          <w:color w:val="auto"/>
          <w:sz w:val="21"/>
          <w:szCs w:val="21"/>
          <w:highlight w:val="none"/>
          <w:lang w:val="en-US" w:eastAsia="zh-CN"/>
        </w:rPr>
        <w:t>进场后</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监理人向采购人提交支付申请</w:t>
      </w:r>
      <w:r>
        <w:rPr>
          <w:rFonts w:hint="eastAsia" w:ascii="宋体" w:hAnsi="宋体" w:eastAsia="宋体" w:cs="宋体"/>
          <w:color w:val="auto"/>
          <w:sz w:val="21"/>
          <w:szCs w:val="21"/>
          <w:highlight w:val="none"/>
          <w:lang w:val="en-US" w:eastAsia="zh-CN"/>
        </w:rPr>
        <w:t>，采购人审核后，在供应商开具等额发票后10个工作日内，</w:t>
      </w:r>
      <w:r>
        <w:rPr>
          <w:rFonts w:hint="eastAsia" w:ascii="宋体" w:hAnsi="宋体" w:cs="宋体"/>
          <w:color w:val="auto"/>
          <w:sz w:val="21"/>
          <w:szCs w:val="21"/>
          <w:highlight w:val="none"/>
          <w:lang w:val="en-US" w:eastAsia="zh-CN"/>
        </w:rPr>
        <w:t>支付该子项目按</w:t>
      </w:r>
      <w:r>
        <w:rPr>
          <w:rFonts w:hint="eastAsia" w:ascii="宋体" w:hAnsi="宋体" w:eastAsia="宋体" w:cs="宋体"/>
          <w:color w:val="auto"/>
          <w:sz w:val="21"/>
          <w:szCs w:val="21"/>
          <w:highlight w:val="none"/>
          <w:lang w:val="en-US" w:eastAsia="zh-CN"/>
        </w:rPr>
        <w:t>施工合同</w:t>
      </w:r>
      <w:r>
        <w:rPr>
          <w:rFonts w:hint="eastAsia" w:ascii="宋体" w:hAnsi="宋体" w:cs="宋体"/>
          <w:color w:val="auto"/>
          <w:sz w:val="21"/>
          <w:szCs w:val="21"/>
          <w:highlight w:val="none"/>
          <w:lang w:val="en-US" w:eastAsia="zh-CN"/>
        </w:rPr>
        <w:t>金额</w:t>
      </w:r>
      <w:r>
        <w:rPr>
          <w:rFonts w:hint="eastAsia" w:ascii="宋体" w:hAnsi="宋体" w:eastAsia="宋体" w:cs="宋体"/>
          <w:color w:val="auto"/>
          <w:sz w:val="21"/>
          <w:szCs w:val="21"/>
          <w:highlight w:val="none"/>
          <w:lang w:val="en-US" w:eastAsia="zh-CN"/>
        </w:rPr>
        <w:t>计取监理费的40%</w:t>
      </w:r>
      <w:r>
        <w:rPr>
          <w:rFonts w:ascii="宋体" w:hAnsi="宋体" w:eastAsia="宋体" w:cs="宋体"/>
          <w:color w:val="auto"/>
          <w:sz w:val="21"/>
          <w:szCs w:val="21"/>
          <w:highlight w:val="none"/>
          <w:lang w:val="en-US" w:eastAsia="zh-CN"/>
        </w:rPr>
        <w:t>。</w:t>
      </w:r>
      <w:r>
        <w:rPr>
          <w:rFonts w:ascii="宋体" w:hAnsi="宋体" w:eastAsia="宋体" w:cs="宋体"/>
          <w:color w:val="auto"/>
          <w:sz w:val="21"/>
          <w:szCs w:val="21"/>
          <w:highlight w:val="none"/>
          <w:lang w:val="en-US" w:eastAsia="zh-CN"/>
        </w:rPr>
        <w:br w:type="textWrapping" w:clear="all"/>
      </w:r>
      <w:r>
        <w:rPr>
          <w:rFonts w:ascii="宋体" w:hAnsi="宋体" w:eastAsia="宋体" w:cs="宋体"/>
          <w:color w:val="auto"/>
          <w:sz w:val="21"/>
          <w:szCs w:val="21"/>
          <w:highlight w:val="none"/>
          <w:lang w:val="en-US" w:eastAsia="zh-CN"/>
        </w:rPr>
        <w:t>③竣工款：</w:t>
      </w:r>
      <w:r>
        <w:rPr>
          <w:rFonts w:hint="eastAsia" w:ascii="宋体" w:hAnsi="宋体" w:eastAsia="宋体" w:cs="宋体"/>
          <w:color w:val="auto"/>
          <w:sz w:val="21"/>
          <w:szCs w:val="21"/>
          <w:highlight w:val="none"/>
          <w:lang w:val="en-US" w:eastAsia="zh-CN"/>
        </w:rPr>
        <w:t>单个子项目工程竣工验收合格且监理档案资料移交完毕经采购人签收后，</w:t>
      </w:r>
      <w:r>
        <w:rPr>
          <w:rFonts w:hint="eastAsia" w:ascii="宋体" w:hAnsi="宋体" w:cs="宋体"/>
          <w:color w:val="auto"/>
          <w:sz w:val="21"/>
          <w:szCs w:val="21"/>
          <w:highlight w:val="none"/>
          <w:lang w:val="en-US" w:eastAsia="zh-CN"/>
        </w:rPr>
        <w:t>监理人向采购人提交支付申请</w:t>
      </w:r>
      <w:r>
        <w:rPr>
          <w:rFonts w:hint="eastAsia" w:ascii="宋体" w:hAnsi="宋体" w:eastAsia="宋体" w:cs="宋体"/>
          <w:color w:val="auto"/>
          <w:sz w:val="21"/>
          <w:szCs w:val="21"/>
          <w:highlight w:val="none"/>
          <w:lang w:val="en-US" w:eastAsia="zh-CN"/>
        </w:rPr>
        <w:t>。采购人审核后，在供应商开具等额发票后10个工作日内，</w:t>
      </w:r>
      <w:r>
        <w:rPr>
          <w:rFonts w:hint="eastAsia" w:ascii="宋体" w:hAnsi="宋体" w:cs="宋体"/>
          <w:color w:val="auto"/>
          <w:sz w:val="21"/>
          <w:szCs w:val="21"/>
          <w:highlight w:val="none"/>
          <w:lang w:val="en-US" w:eastAsia="zh-CN"/>
        </w:rPr>
        <w:t>支付至该子项目按施工合同金额计取监理费的90%</w:t>
      </w:r>
      <w:r>
        <w:rPr>
          <w:rFonts w:ascii="宋体" w:hAnsi="宋体" w:eastAsia="宋体" w:cs="宋体"/>
          <w:color w:val="auto"/>
          <w:sz w:val="21"/>
          <w:szCs w:val="21"/>
          <w:highlight w:val="none"/>
          <w:lang w:val="en-US" w:eastAsia="zh-CN"/>
        </w:rPr>
        <w:t>。</w:t>
      </w:r>
      <w:r>
        <w:rPr>
          <w:rFonts w:ascii="宋体" w:hAnsi="宋体" w:eastAsia="宋体" w:cs="宋体"/>
          <w:color w:val="auto"/>
          <w:sz w:val="21"/>
          <w:szCs w:val="21"/>
          <w:highlight w:val="none"/>
          <w:lang w:val="en-US" w:eastAsia="zh-CN"/>
        </w:rPr>
        <w:br w:type="textWrapping" w:clear="all"/>
      </w:r>
      <w:r>
        <w:rPr>
          <w:rFonts w:ascii="宋体" w:hAnsi="宋体" w:eastAsia="宋体" w:cs="宋体"/>
          <w:color w:val="auto"/>
          <w:sz w:val="21"/>
          <w:szCs w:val="21"/>
          <w:highlight w:val="none"/>
          <w:lang w:val="en-US" w:eastAsia="zh-CN"/>
        </w:rPr>
        <w:t>④尾款：</w:t>
      </w:r>
      <w:r>
        <w:rPr>
          <w:rFonts w:hint="eastAsia" w:ascii="宋体" w:hAnsi="宋体" w:eastAsia="宋体" w:cs="宋体"/>
          <w:color w:val="auto"/>
          <w:sz w:val="21"/>
          <w:szCs w:val="21"/>
          <w:highlight w:val="none"/>
          <w:lang w:val="en-US" w:eastAsia="zh-CN"/>
        </w:rPr>
        <w:t>单个子项目工程保修期届满且无因监理人责任导致的遗留问题后，</w:t>
      </w:r>
      <w:r>
        <w:rPr>
          <w:rFonts w:hint="eastAsia" w:ascii="宋体" w:hAnsi="宋体" w:cs="宋体"/>
          <w:color w:val="auto"/>
          <w:sz w:val="21"/>
          <w:szCs w:val="21"/>
          <w:highlight w:val="none"/>
          <w:lang w:val="en-US" w:eastAsia="zh-CN"/>
        </w:rPr>
        <w:t>监理人向采购人提交支付申请</w:t>
      </w:r>
      <w:r>
        <w:rPr>
          <w:rFonts w:hint="eastAsia" w:ascii="宋体" w:hAnsi="宋体" w:eastAsia="宋体" w:cs="宋体"/>
          <w:color w:val="auto"/>
          <w:sz w:val="21"/>
          <w:szCs w:val="21"/>
          <w:highlight w:val="none"/>
          <w:lang w:val="en-US" w:eastAsia="zh-CN"/>
        </w:rPr>
        <w:t>。采购人审核后，在供应商开具等额发票后10个工作日内，一次性付清该子项目余款（即支付至100%）</w:t>
      </w:r>
      <w:r>
        <w:rPr>
          <w:rFonts w:ascii="宋体" w:hAnsi="宋体" w:eastAsia="宋体" w:cs="宋体"/>
          <w:color w:val="auto"/>
          <w:sz w:val="21"/>
          <w:szCs w:val="21"/>
          <w:highlight w:val="none"/>
          <w:lang w:val="en-US" w:eastAsia="zh-CN"/>
        </w:rPr>
        <w:t>。</w:t>
      </w:r>
    </w:p>
    <w:p w14:paraId="4C49A696">
      <w:pPr>
        <w:pStyle w:val="42"/>
        <w:pageBreakBefore w:val="0"/>
        <w:widowControl w:val="0"/>
        <w:numPr>
          <w:ilvl w:val="0"/>
          <w:numId w:val="0"/>
        </w:numPr>
        <w:kinsoku/>
        <w:wordWrap/>
        <w:overflowPunct/>
        <w:topLinePunct w:val="0"/>
        <w:autoSpaceDE/>
        <w:autoSpaceDN/>
        <w:bidi w:val="0"/>
        <w:spacing w:line="360" w:lineRule="auto"/>
        <w:ind w:leftChars="0" w:firstLine="420" w:firstLineChars="200"/>
        <w:rPr>
          <w:rFonts w:ascii="宋体" w:hAnsi="宋体" w:eastAsia="宋体" w:cs="宋体"/>
          <w:color w:val="auto"/>
          <w:sz w:val="21"/>
          <w:szCs w:val="21"/>
          <w:highlight w:val="none"/>
          <w:lang w:val="en-US" w:eastAsia="zh-CN"/>
        </w:rPr>
      </w:pPr>
      <w:r>
        <w:rPr>
          <w:rFonts w:ascii="宋体" w:hAnsi="宋体" w:eastAsia="宋体" w:cs="宋体"/>
          <w:color w:val="auto"/>
          <w:sz w:val="21"/>
          <w:szCs w:val="21"/>
          <w:highlight w:val="none"/>
          <w:lang w:val="en-US" w:eastAsia="zh-CN"/>
        </w:rPr>
        <w:t>（3）特别说明：</w:t>
      </w:r>
    </w:p>
    <w:p w14:paraId="0D6FC548">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ascii="Segoe UI" w:hAnsi="Segoe UI" w:eastAsia="Segoe UI" w:cs="Segoe UI"/>
          <w:i w:val="0"/>
          <w:iCs w:val="0"/>
          <w:caps w:val="0"/>
          <w:color w:val="auto"/>
          <w:spacing w:val="0"/>
          <w:sz w:val="21"/>
          <w:szCs w:val="21"/>
          <w:shd w:val="clear" w:color="auto" w:fill="FFFFFF"/>
        </w:rPr>
        <w:t>①每个子项</w:t>
      </w:r>
      <w:r>
        <w:rPr>
          <w:rFonts w:hint="eastAsia" w:ascii="宋体" w:hAnsi="宋体" w:eastAsia="宋体" w:cs="宋体"/>
          <w:color w:val="auto"/>
          <w:kern w:val="0"/>
          <w:sz w:val="21"/>
          <w:szCs w:val="21"/>
          <w:highlight w:val="none"/>
          <w:lang w:val="en-US" w:eastAsia="zh-CN" w:bidi="ar-SA"/>
        </w:rPr>
        <w:t>目的监理费均独立按上述（1）（2）款进行计量与支付。片区尾款待该片区全部子项目保修期满后统一结算支付。</w:t>
      </w:r>
      <w:r>
        <w:rPr>
          <w:rFonts w:ascii="宋体" w:hAnsi="宋体" w:eastAsia="宋体" w:cs="宋体"/>
          <w:color w:val="auto"/>
          <w:kern w:val="0"/>
          <w:sz w:val="21"/>
          <w:szCs w:val="21"/>
          <w:highlight w:val="none"/>
          <w:lang w:val="en-US" w:eastAsia="zh-CN" w:bidi="ar-SA"/>
        </w:rPr>
        <w:br w:type="textWrapping" w:clear="all"/>
      </w:r>
      <w:r>
        <w:rPr>
          <w:rFonts w:ascii="宋体" w:hAnsi="宋体" w:eastAsia="宋体" w:cs="宋体"/>
          <w:color w:val="auto"/>
          <w:kern w:val="0"/>
          <w:sz w:val="21"/>
          <w:szCs w:val="21"/>
          <w:highlight w:val="none"/>
          <w:lang w:val="en-US" w:eastAsia="zh-CN" w:bidi="ar-SA"/>
        </w:rPr>
        <w:t>②“暂定监理费”仅用于进度款支付的临时估算，最终支付总额以“结算监理费”为准进行清算，实行多退少补。清算在子项目竣工款支付时或片区最终结算时进行。</w:t>
      </w:r>
      <w:r>
        <w:rPr>
          <w:rFonts w:ascii="宋体" w:hAnsi="宋体" w:eastAsia="宋体" w:cs="宋体"/>
          <w:color w:val="auto"/>
          <w:kern w:val="0"/>
          <w:sz w:val="21"/>
          <w:szCs w:val="21"/>
          <w:highlight w:val="none"/>
          <w:lang w:val="en-US" w:eastAsia="zh-CN" w:bidi="ar-SA"/>
        </w:rPr>
        <w:br w:type="textWrapping" w:clear="all"/>
      </w:r>
      <w:r>
        <w:rPr>
          <w:rFonts w:ascii="宋体" w:hAnsi="宋体" w:eastAsia="宋体" w:cs="宋体"/>
          <w:color w:val="auto"/>
          <w:kern w:val="0"/>
          <w:sz w:val="21"/>
          <w:szCs w:val="21"/>
          <w:highlight w:val="none"/>
          <w:lang w:val="en-US" w:eastAsia="zh-CN" w:bidi="ar-SA"/>
        </w:rPr>
        <w:t>③监理人申请付款时，应同时提交经采购人确认的、能够证明付款条件已成就的相应书面文件（如开工令、竣工验收备案表、资料移交签收单、保修期届满确认书等）</w:t>
      </w:r>
    </w:p>
    <w:p w14:paraId="0BC00475">
      <w:pPr>
        <w:pStyle w:val="42"/>
        <w:keepNext w:val="0"/>
        <w:keepLines w:val="0"/>
        <w:pageBreakBefore w:val="0"/>
        <w:widowControl/>
        <w:kinsoku/>
        <w:wordWrap/>
        <w:overflowPunct/>
        <w:topLinePunct w:val="0"/>
        <w:bidi w:val="0"/>
        <w:spacing w:after="0" w:line="440" w:lineRule="exact"/>
        <w:ind w:firstLine="560"/>
        <w:jc w:val="both"/>
        <w:rPr>
          <w:rFonts w:hint="eastAsia" w:ascii="宋体" w:hAnsi="宋体" w:eastAsia="宋体" w:cs="宋体"/>
          <w:b w:val="0"/>
          <w:bCs w:val="0"/>
          <w:color w:val="auto"/>
          <w:w w:val="100"/>
          <w:sz w:val="21"/>
          <w:szCs w:val="21"/>
          <w:highlight w:val="none"/>
        </w:rPr>
      </w:pPr>
      <w:r>
        <w:rPr>
          <w:rFonts w:hint="eastAsia" w:ascii="宋体" w:hAnsi="宋体" w:eastAsia="宋体" w:cs="宋体"/>
          <w:b w:val="0"/>
          <w:bCs w:val="0"/>
          <w:color w:val="auto"/>
          <w:w w:val="100"/>
          <w:sz w:val="21"/>
          <w:szCs w:val="21"/>
          <w:highlight w:val="none"/>
          <w:lang w:eastAsia="zh-CN"/>
        </w:rPr>
        <w:t>八</w:t>
      </w:r>
      <w:r>
        <w:rPr>
          <w:rFonts w:hint="eastAsia" w:ascii="宋体" w:hAnsi="宋体" w:eastAsia="宋体" w:cs="宋体"/>
          <w:b w:val="0"/>
          <w:bCs w:val="0"/>
          <w:color w:val="auto"/>
          <w:w w:val="100"/>
          <w:sz w:val="21"/>
          <w:szCs w:val="21"/>
          <w:highlight w:val="none"/>
        </w:rPr>
        <w:t>、双方承诺</w:t>
      </w:r>
    </w:p>
    <w:p w14:paraId="2A52BD23">
      <w:pPr>
        <w:pageBreakBefore w:val="0"/>
        <w:kinsoku/>
        <w:wordWrap/>
        <w:overflowPunct/>
        <w:topLinePunct w:val="0"/>
        <w:bidi w:val="0"/>
        <w:spacing w:line="440" w:lineRule="exact"/>
        <w:ind w:firstLine="420" w:firstLineChars="200"/>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lang w:val="en-US" w:eastAsia="zh-CN"/>
        </w:rPr>
        <w:t>1.</w:t>
      </w:r>
      <w:r>
        <w:rPr>
          <w:rFonts w:hint="eastAsia" w:ascii="宋体" w:hAnsi="宋体" w:eastAsia="宋体" w:cs="宋体"/>
          <w:color w:val="auto"/>
          <w:w w:val="100"/>
          <w:sz w:val="21"/>
          <w:szCs w:val="21"/>
          <w:highlight w:val="none"/>
        </w:rPr>
        <w:t>委托人向监理人承诺，同意按照本监理合同约定向支付其应支付的费用和提供监理工作条件。</w:t>
      </w:r>
    </w:p>
    <w:p w14:paraId="49EDF1F4">
      <w:pPr>
        <w:keepNext w:val="0"/>
        <w:keepLines w:val="0"/>
        <w:pageBreakBefore w:val="0"/>
        <w:widowControl/>
        <w:kinsoku/>
        <w:wordWrap/>
        <w:overflowPunct/>
        <w:topLinePunct w:val="0"/>
        <w:bidi w:val="0"/>
        <w:spacing w:line="440" w:lineRule="exact"/>
        <w:ind w:firstLine="420" w:firstLineChars="200"/>
        <w:jc w:val="left"/>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lang w:val="en-US" w:eastAsia="zh-CN"/>
        </w:rPr>
        <w:t>2.</w:t>
      </w:r>
      <w:r>
        <w:rPr>
          <w:rFonts w:hint="eastAsia" w:ascii="宋体" w:hAnsi="宋体" w:eastAsia="宋体" w:cs="宋体"/>
          <w:color w:val="auto"/>
          <w:w w:val="100"/>
          <w:sz w:val="21"/>
          <w:szCs w:val="21"/>
          <w:highlight w:val="none"/>
        </w:rPr>
        <w:t>监理人向委托人承诺，按照本合同约定</w:t>
      </w:r>
      <w:r>
        <w:rPr>
          <w:rFonts w:hint="eastAsia" w:ascii="宋体" w:hAnsi="宋体" w:eastAsia="宋体" w:cs="宋体"/>
          <w:color w:val="auto"/>
          <w:w w:val="100"/>
          <w:sz w:val="21"/>
          <w:szCs w:val="21"/>
          <w:highlight w:val="none"/>
          <w:lang w:eastAsia="zh-CN"/>
        </w:rPr>
        <w:t>及</w:t>
      </w:r>
      <w:r>
        <w:rPr>
          <w:rFonts w:hint="eastAsia" w:ascii="宋体" w:hAnsi="宋体" w:eastAsia="宋体" w:cs="宋体"/>
          <w:color w:val="auto"/>
          <w:w w:val="100"/>
          <w:sz w:val="21"/>
          <w:szCs w:val="21"/>
          <w:highlight w:val="none"/>
        </w:rPr>
        <w:t>国家有关监理规范、法规等规定，履行本监理合同规定的监理服务。</w:t>
      </w:r>
    </w:p>
    <w:p w14:paraId="2839E084">
      <w:pPr>
        <w:keepNext w:val="0"/>
        <w:keepLines w:val="0"/>
        <w:pageBreakBefore w:val="0"/>
        <w:widowControl w:val="0"/>
        <w:kinsoku/>
        <w:wordWrap/>
        <w:overflowPunct/>
        <w:topLinePunct w:val="0"/>
        <w:autoSpaceDE/>
        <w:autoSpaceDN/>
        <w:bidi w:val="0"/>
        <w:spacing w:line="440" w:lineRule="exact"/>
        <w:ind w:firstLine="510"/>
        <w:rPr>
          <w:rFonts w:hint="eastAsia" w:ascii="宋体" w:hAnsi="宋体" w:eastAsia="宋体" w:cs="宋体"/>
          <w:color w:val="auto"/>
          <w:w w:val="100"/>
          <w:kern w:val="0"/>
          <w:sz w:val="21"/>
          <w:szCs w:val="21"/>
          <w:highlight w:val="none"/>
        </w:rPr>
      </w:pPr>
      <w:r>
        <w:rPr>
          <w:rFonts w:hint="eastAsia" w:ascii="宋体" w:hAnsi="宋体" w:eastAsia="宋体" w:cs="宋体"/>
          <w:b w:val="0"/>
          <w:bCs/>
          <w:color w:val="auto"/>
          <w:w w:val="100"/>
          <w:kern w:val="0"/>
          <w:sz w:val="21"/>
          <w:szCs w:val="21"/>
          <w:highlight w:val="none"/>
          <w:lang w:val="en-US" w:eastAsia="zh-CN"/>
        </w:rPr>
        <w:t>九、</w:t>
      </w: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协议书由双方法定代表人或其委托代理人签署并加盖单位</w:t>
      </w:r>
      <w:r>
        <w:rPr>
          <w:rFonts w:hint="eastAsia" w:ascii="宋体" w:hAnsi="宋体" w:eastAsia="宋体" w:cs="宋体"/>
          <w:color w:val="auto"/>
          <w:w w:val="100"/>
          <w:kern w:val="0"/>
          <w:sz w:val="21"/>
          <w:szCs w:val="21"/>
          <w:highlight w:val="none"/>
          <w:lang w:eastAsia="zh-CN"/>
        </w:rPr>
        <w:t>公</w:t>
      </w:r>
      <w:r>
        <w:rPr>
          <w:rFonts w:hint="eastAsia" w:ascii="宋体" w:hAnsi="宋体" w:eastAsia="宋体" w:cs="宋体"/>
          <w:color w:val="auto"/>
          <w:w w:val="100"/>
          <w:kern w:val="0"/>
          <w:sz w:val="21"/>
          <w:szCs w:val="21"/>
          <w:highlight w:val="none"/>
        </w:rPr>
        <w:t>章后生效。</w:t>
      </w:r>
    </w:p>
    <w:p w14:paraId="3BB904A4">
      <w:pPr>
        <w:keepNext w:val="0"/>
        <w:keepLines w:val="0"/>
        <w:pageBreakBefore w:val="0"/>
        <w:widowControl/>
        <w:numPr>
          <w:ilvl w:val="0"/>
          <w:numId w:val="23"/>
        </w:numPr>
        <w:kinsoku/>
        <w:wordWrap/>
        <w:overflowPunct/>
        <w:topLinePunct w:val="0"/>
        <w:bidi w:val="0"/>
        <w:spacing w:line="440" w:lineRule="exact"/>
        <w:ind w:firstLine="420" w:firstLineChars="200"/>
        <w:jc w:val="left"/>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本监理合同协议书一式陆</w:t>
      </w:r>
      <w:r>
        <w:rPr>
          <w:rFonts w:hint="eastAsia" w:ascii="宋体" w:hAnsi="宋体" w:eastAsia="宋体" w:cs="宋体"/>
          <w:color w:val="auto"/>
          <w:w w:val="100"/>
          <w:sz w:val="21"/>
          <w:szCs w:val="21"/>
          <w:highlight w:val="none"/>
          <w:u w:val="none"/>
        </w:rPr>
        <w:t>份，双方各执</w:t>
      </w:r>
      <w:r>
        <w:rPr>
          <w:rFonts w:hint="eastAsia" w:ascii="宋体" w:hAnsi="宋体" w:eastAsia="宋体" w:cs="宋体"/>
          <w:color w:val="auto"/>
          <w:w w:val="100"/>
          <w:sz w:val="21"/>
          <w:szCs w:val="21"/>
          <w:highlight w:val="none"/>
          <w:u w:val="none"/>
          <w:lang w:eastAsia="zh-CN"/>
        </w:rPr>
        <w:t>叁</w:t>
      </w:r>
      <w:r>
        <w:rPr>
          <w:rFonts w:hint="eastAsia" w:ascii="宋体" w:hAnsi="宋体" w:eastAsia="宋体" w:cs="宋体"/>
          <w:color w:val="auto"/>
          <w:w w:val="100"/>
          <w:sz w:val="21"/>
          <w:szCs w:val="21"/>
          <w:highlight w:val="none"/>
          <w:u w:val="none"/>
        </w:rPr>
        <w:t>份</w:t>
      </w:r>
      <w:r>
        <w:rPr>
          <w:rFonts w:hint="eastAsia" w:ascii="宋体" w:hAnsi="宋体" w:eastAsia="宋体" w:cs="宋体"/>
          <w:color w:val="auto"/>
          <w:w w:val="100"/>
          <w:sz w:val="21"/>
          <w:szCs w:val="21"/>
          <w:highlight w:val="none"/>
        </w:rPr>
        <w:t>，具有同等法律效</w:t>
      </w:r>
    </w:p>
    <w:p w14:paraId="26495D12">
      <w:pPr>
        <w:pStyle w:val="2"/>
        <w:rPr>
          <w:rFonts w:hint="eastAsia" w:ascii="宋体" w:hAnsi="宋体" w:eastAsia="宋体" w:cs="宋体"/>
          <w:color w:val="auto"/>
          <w:sz w:val="21"/>
          <w:szCs w:val="21"/>
          <w:highlight w:val="none"/>
          <w:lang w:eastAsia="zh-CN"/>
        </w:rPr>
      </w:pPr>
      <w:r>
        <w:rPr>
          <w:rFonts w:hint="eastAsia" w:ascii="宋体" w:hAnsi="宋体" w:eastAsia="宋体" w:cs="宋体"/>
          <w:b/>
          <w:bCs/>
          <w:color w:val="auto"/>
          <w:w w:val="100"/>
          <w:kern w:val="0"/>
          <w:sz w:val="21"/>
          <w:szCs w:val="21"/>
          <w:highlight w:val="none"/>
          <w:u w:val="single"/>
        </w:rPr>
        <w:t>本</w:t>
      </w:r>
      <w:r>
        <w:rPr>
          <w:rFonts w:hint="eastAsia" w:ascii="宋体" w:hAnsi="宋体" w:eastAsia="宋体" w:cs="宋体"/>
          <w:b/>
          <w:bCs/>
          <w:color w:val="auto"/>
          <w:w w:val="100"/>
          <w:kern w:val="0"/>
          <w:sz w:val="21"/>
          <w:szCs w:val="21"/>
          <w:highlight w:val="none"/>
          <w:u w:val="single"/>
          <w:lang w:eastAsia="zh-CN"/>
        </w:rPr>
        <w:t>合同</w:t>
      </w:r>
      <w:r>
        <w:rPr>
          <w:rFonts w:hint="eastAsia" w:ascii="宋体" w:hAnsi="宋体" w:eastAsia="宋体" w:cs="宋体"/>
          <w:b/>
          <w:bCs/>
          <w:color w:val="auto"/>
          <w:w w:val="100"/>
          <w:kern w:val="0"/>
          <w:sz w:val="21"/>
          <w:szCs w:val="21"/>
          <w:highlight w:val="none"/>
          <w:u w:val="single"/>
        </w:rPr>
        <w:t>协议书</w:t>
      </w:r>
      <w:r>
        <w:rPr>
          <w:rFonts w:hint="eastAsia" w:ascii="宋体" w:hAnsi="宋体" w:eastAsia="宋体" w:cs="宋体"/>
          <w:b/>
          <w:bCs/>
          <w:color w:val="auto"/>
          <w:w w:val="100"/>
          <w:kern w:val="0"/>
          <w:sz w:val="21"/>
          <w:szCs w:val="21"/>
          <w:highlight w:val="none"/>
          <w:u w:val="single"/>
          <w:lang w:eastAsia="zh-CN"/>
        </w:rPr>
        <w:t>的</w:t>
      </w:r>
      <w:r>
        <w:rPr>
          <w:rFonts w:hint="eastAsia" w:ascii="宋体" w:hAnsi="宋体" w:eastAsia="宋体" w:cs="宋体"/>
          <w:b/>
          <w:bCs/>
          <w:color w:val="auto"/>
          <w:w w:val="100"/>
          <w:kern w:val="0"/>
          <w:sz w:val="21"/>
          <w:szCs w:val="21"/>
          <w:highlight w:val="none"/>
          <w:u w:val="single"/>
        </w:rPr>
        <w:t>附件为合同双方协议</w:t>
      </w:r>
      <w:r>
        <w:rPr>
          <w:rFonts w:hint="eastAsia" w:ascii="宋体" w:hAnsi="宋体" w:eastAsia="宋体" w:cs="宋体"/>
          <w:b/>
          <w:bCs/>
          <w:color w:val="auto"/>
          <w:w w:val="100"/>
          <w:kern w:val="0"/>
          <w:sz w:val="21"/>
          <w:szCs w:val="21"/>
          <w:highlight w:val="none"/>
          <w:u w:val="single"/>
          <w:lang w:eastAsia="zh-CN"/>
        </w:rPr>
        <w:t>的</w:t>
      </w:r>
      <w:r>
        <w:rPr>
          <w:rFonts w:hint="eastAsia" w:ascii="宋体" w:hAnsi="宋体" w:eastAsia="宋体" w:cs="宋体"/>
          <w:b/>
          <w:bCs/>
          <w:color w:val="auto"/>
          <w:w w:val="100"/>
          <w:kern w:val="0"/>
          <w:sz w:val="21"/>
          <w:szCs w:val="21"/>
          <w:highlight w:val="none"/>
          <w:u w:val="single"/>
        </w:rPr>
        <w:t>内容之一，其效力同等，缺一不可</w:t>
      </w:r>
      <w:r>
        <w:rPr>
          <w:rFonts w:hint="eastAsia" w:ascii="宋体" w:hAnsi="宋体" w:eastAsia="宋体" w:cs="宋体"/>
          <w:b/>
          <w:bCs/>
          <w:color w:val="auto"/>
          <w:w w:val="100"/>
          <w:kern w:val="0"/>
          <w:sz w:val="21"/>
          <w:szCs w:val="21"/>
          <w:highlight w:val="none"/>
          <w:lang w:eastAsia="zh-CN"/>
        </w:rPr>
        <w:t>。</w:t>
      </w:r>
    </w:p>
    <w:tbl>
      <w:tblPr>
        <w:tblStyle w:val="85"/>
        <w:tblpPr w:leftFromText="180" w:rightFromText="180" w:vertAnchor="text" w:horzAnchor="page" w:tblpX="1263" w:tblpY="477"/>
        <w:tblOverlap w:val="never"/>
        <w:tblW w:w="96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2"/>
        <w:gridCol w:w="4985"/>
      </w:tblGrid>
      <w:tr w14:paraId="7E5F4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4692" w:type="dxa"/>
            <w:tcBorders>
              <w:top w:val="single" w:color="auto" w:sz="4" w:space="0"/>
              <w:left w:val="single" w:color="auto" w:sz="4" w:space="0"/>
              <w:bottom w:val="single" w:color="auto" w:sz="4" w:space="0"/>
              <w:right w:val="single" w:color="auto" w:sz="4" w:space="0"/>
            </w:tcBorders>
            <w:vAlign w:val="top"/>
          </w:tcPr>
          <w:p w14:paraId="2D7D5E27">
            <w:pPr>
              <w:pStyle w:val="77"/>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委托人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天等县农业农村局</w:t>
            </w:r>
          </w:p>
          <w:p w14:paraId="040046DC">
            <w:pPr>
              <w:pStyle w:val="77"/>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1680" w:firstLineChars="8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c>
          <w:tcPr>
            <w:tcW w:w="4985" w:type="dxa"/>
            <w:tcBorders>
              <w:top w:val="single" w:color="auto" w:sz="4" w:space="0"/>
              <w:left w:val="single" w:color="auto" w:sz="4" w:space="0"/>
              <w:bottom w:val="single" w:color="auto" w:sz="4" w:space="0"/>
              <w:right w:val="single" w:color="auto" w:sz="4" w:space="0"/>
            </w:tcBorders>
            <w:vAlign w:val="top"/>
          </w:tcPr>
          <w:p w14:paraId="5C22A37C">
            <w:pPr>
              <w:pStyle w:val="77"/>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监理人</w:t>
            </w:r>
            <w:r>
              <w:rPr>
                <w:rFonts w:hint="eastAsia" w:ascii="宋体" w:hAnsi="宋体" w:eastAsia="宋体" w:cs="宋体"/>
                <w:color w:val="auto"/>
                <w:sz w:val="21"/>
                <w:szCs w:val="21"/>
                <w:highlight w:val="none"/>
              </w:rPr>
              <w:t>：</w:t>
            </w:r>
          </w:p>
          <w:p w14:paraId="394BDBAC">
            <w:pPr>
              <w:pStyle w:val="77"/>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2310" w:firstLine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r>
      <w:tr w14:paraId="397C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692" w:type="dxa"/>
            <w:tcBorders>
              <w:top w:val="single" w:color="auto" w:sz="4" w:space="0"/>
              <w:left w:val="single" w:color="auto" w:sz="4" w:space="0"/>
              <w:bottom w:val="single" w:color="auto" w:sz="4" w:space="0"/>
              <w:right w:val="single" w:color="auto" w:sz="4" w:space="0"/>
            </w:tcBorders>
            <w:vAlign w:val="top"/>
          </w:tcPr>
          <w:p w14:paraId="77A8D801">
            <w:pPr>
              <w:pStyle w:val="77"/>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4985" w:type="dxa"/>
            <w:tcBorders>
              <w:top w:val="single" w:color="auto" w:sz="4" w:space="0"/>
              <w:left w:val="single" w:color="auto" w:sz="4" w:space="0"/>
              <w:bottom w:val="single" w:color="auto" w:sz="4" w:space="0"/>
              <w:right w:val="single" w:color="auto" w:sz="4" w:space="0"/>
            </w:tcBorders>
            <w:vAlign w:val="top"/>
          </w:tcPr>
          <w:p w14:paraId="17F0E1B2">
            <w:pPr>
              <w:pStyle w:val="77"/>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r>
      <w:tr w14:paraId="7FE2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692" w:type="dxa"/>
            <w:tcBorders>
              <w:top w:val="single" w:color="auto" w:sz="4" w:space="0"/>
              <w:left w:val="single" w:color="auto" w:sz="4" w:space="0"/>
              <w:bottom w:val="single" w:color="auto" w:sz="4" w:space="0"/>
              <w:right w:val="single" w:color="auto" w:sz="4" w:space="0"/>
            </w:tcBorders>
            <w:vAlign w:val="top"/>
          </w:tcPr>
          <w:p w14:paraId="6FBAEAD8">
            <w:pPr>
              <w:pStyle w:val="77"/>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或委托代表人：</w:t>
            </w:r>
          </w:p>
        </w:tc>
        <w:tc>
          <w:tcPr>
            <w:tcW w:w="4985" w:type="dxa"/>
            <w:tcBorders>
              <w:top w:val="single" w:color="auto" w:sz="4" w:space="0"/>
              <w:left w:val="single" w:color="auto" w:sz="4" w:space="0"/>
              <w:bottom w:val="single" w:color="auto" w:sz="4" w:space="0"/>
              <w:right w:val="single" w:color="auto" w:sz="4" w:space="0"/>
            </w:tcBorders>
            <w:vAlign w:val="top"/>
          </w:tcPr>
          <w:p w14:paraId="7F90F3A7">
            <w:pPr>
              <w:pStyle w:val="77"/>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或委托代表人：</w:t>
            </w:r>
          </w:p>
        </w:tc>
      </w:tr>
      <w:tr w14:paraId="68B6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692" w:type="dxa"/>
            <w:tcBorders>
              <w:top w:val="single" w:color="auto" w:sz="4" w:space="0"/>
              <w:left w:val="single" w:color="auto" w:sz="4" w:space="0"/>
              <w:bottom w:val="single" w:color="auto" w:sz="4" w:space="0"/>
              <w:right w:val="single" w:color="auto" w:sz="4" w:space="0"/>
            </w:tcBorders>
            <w:vAlign w:val="top"/>
          </w:tcPr>
          <w:p w14:paraId="4C3EB52C">
            <w:pPr>
              <w:pStyle w:val="77"/>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w:t>
            </w:r>
            <w:r>
              <w:rPr>
                <w:rFonts w:hint="eastAsia" w:ascii="宋体" w:hAnsi="宋体" w:eastAsia="宋体" w:cs="宋体"/>
                <w:color w:val="auto"/>
                <w:sz w:val="21"/>
                <w:szCs w:val="21"/>
                <w:highlight w:val="none"/>
              </w:rPr>
              <w:t>代</w:t>
            </w:r>
            <w:r>
              <w:rPr>
                <w:rFonts w:hint="eastAsia" w:ascii="宋体" w:hAnsi="宋体" w:eastAsia="宋体" w:cs="宋体"/>
                <w:color w:val="auto"/>
                <w:sz w:val="21"/>
                <w:szCs w:val="21"/>
                <w:highlight w:val="none"/>
                <w:lang w:val="en-US" w:eastAsia="zh-CN"/>
              </w:rPr>
              <w:t>码：</w:t>
            </w:r>
          </w:p>
        </w:tc>
        <w:tc>
          <w:tcPr>
            <w:tcW w:w="4985" w:type="dxa"/>
            <w:tcBorders>
              <w:top w:val="single" w:color="auto" w:sz="4" w:space="0"/>
              <w:left w:val="single" w:color="auto" w:sz="4" w:space="0"/>
              <w:bottom w:val="single" w:color="auto" w:sz="4" w:space="0"/>
              <w:right w:val="single" w:color="auto" w:sz="4" w:space="0"/>
            </w:tcBorders>
            <w:vAlign w:val="top"/>
          </w:tcPr>
          <w:p w14:paraId="3C67CF1C">
            <w:pPr>
              <w:pStyle w:val="77"/>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w:t>
            </w:r>
            <w:r>
              <w:rPr>
                <w:rFonts w:hint="eastAsia" w:ascii="宋体" w:hAnsi="宋体" w:eastAsia="宋体" w:cs="宋体"/>
                <w:color w:val="auto"/>
                <w:sz w:val="21"/>
                <w:szCs w:val="21"/>
                <w:highlight w:val="none"/>
              </w:rPr>
              <w:t>代</w:t>
            </w:r>
            <w:r>
              <w:rPr>
                <w:rFonts w:hint="eastAsia" w:ascii="宋体" w:hAnsi="宋体" w:eastAsia="宋体" w:cs="宋体"/>
                <w:color w:val="auto"/>
                <w:sz w:val="21"/>
                <w:szCs w:val="21"/>
                <w:highlight w:val="none"/>
                <w:lang w:val="en-US" w:eastAsia="zh-CN"/>
              </w:rPr>
              <w:t>码：</w:t>
            </w:r>
          </w:p>
        </w:tc>
      </w:tr>
      <w:tr w14:paraId="3717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92" w:type="dxa"/>
            <w:tcBorders>
              <w:top w:val="single" w:color="auto" w:sz="4" w:space="0"/>
              <w:left w:val="single" w:color="auto" w:sz="4" w:space="0"/>
              <w:bottom w:val="single" w:color="auto" w:sz="4" w:space="0"/>
              <w:right w:val="single" w:color="auto" w:sz="4" w:space="0"/>
            </w:tcBorders>
            <w:vAlign w:val="top"/>
          </w:tcPr>
          <w:p w14:paraId="57EC020D">
            <w:pPr>
              <w:pStyle w:val="77"/>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c>
          <w:tcPr>
            <w:tcW w:w="4985" w:type="dxa"/>
            <w:tcBorders>
              <w:top w:val="single" w:color="auto" w:sz="4" w:space="0"/>
              <w:left w:val="single" w:color="auto" w:sz="4" w:space="0"/>
              <w:bottom w:val="single" w:color="auto" w:sz="4" w:space="0"/>
              <w:right w:val="single" w:color="auto" w:sz="4" w:space="0"/>
            </w:tcBorders>
            <w:vAlign w:val="top"/>
          </w:tcPr>
          <w:p w14:paraId="40F4BE2B">
            <w:pPr>
              <w:pStyle w:val="77"/>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r>
      <w:tr w14:paraId="2D69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2" w:type="dxa"/>
            <w:tcBorders>
              <w:top w:val="single" w:color="auto" w:sz="4" w:space="0"/>
              <w:left w:val="single" w:color="auto" w:sz="4" w:space="0"/>
              <w:bottom w:val="single" w:color="auto" w:sz="4" w:space="0"/>
              <w:right w:val="single" w:color="auto" w:sz="4" w:space="0"/>
            </w:tcBorders>
            <w:vAlign w:val="top"/>
          </w:tcPr>
          <w:p w14:paraId="58361B28">
            <w:pPr>
              <w:pStyle w:val="77"/>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4985" w:type="dxa"/>
            <w:tcBorders>
              <w:top w:val="single" w:color="auto" w:sz="4" w:space="0"/>
              <w:left w:val="single" w:color="auto" w:sz="4" w:space="0"/>
              <w:bottom w:val="single" w:color="auto" w:sz="4" w:space="0"/>
              <w:right w:val="single" w:color="auto" w:sz="4" w:space="0"/>
            </w:tcBorders>
            <w:vAlign w:val="top"/>
          </w:tcPr>
          <w:p w14:paraId="04A2FCD3">
            <w:pPr>
              <w:pStyle w:val="77"/>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14:paraId="3D9F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2" w:type="dxa"/>
            <w:tcBorders>
              <w:top w:val="single" w:color="auto" w:sz="4" w:space="0"/>
              <w:left w:val="single" w:color="auto" w:sz="4" w:space="0"/>
              <w:bottom w:val="single" w:color="auto" w:sz="4" w:space="0"/>
              <w:right w:val="single" w:color="auto" w:sz="4" w:space="0"/>
            </w:tcBorders>
            <w:vAlign w:val="top"/>
          </w:tcPr>
          <w:p w14:paraId="3DE290D6">
            <w:pPr>
              <w:pStyle w:val="77"/>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4985" w:type="dxa"/>
            <w:tcBorders>
              <w:top w:val="single" w:color="auto" w:sz="4" w:space="0"/>
              <w:left w:val="single" w:color="auto" w:sz="4" w:space="0"/>
              <w:bottom w:val="single" w:color="auto" w:sz="4" w:space="0"/>
              <w:right w:val="single" w:color="auto" w:sz="4" w:space="0"/>
            </w:tcBorders>
            <w:vAlign w:val="top"/>
          </w:tcPr>
          <w:p w14:paraId="69A473C3">
            <w:pPr>
              <w:pStyle w:val="77"/>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12E8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2" w:type="dxa"/>
            <w:tcBorders>
              <w:top w:val="single" w:color="auto" w:sz="4" w:space="0"/>
              <w:left w:val="single" w:color="auto" w:sz="4" w:space="0"/>
              <w:bottom w:val="single" w:color="auto" w:sz="4" w:space="0"/>
              <w:right w:val="single" w:color="auto" w:sz="4" w:space="0"/>
            </w:tcBorders>
            <w:vAlign w:val="top"/>
          </w:tcPr>
          <w:p w14:paraId="4D7AF75F">
            <w:pPr>
              <w:pStyle w:val="77"/>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c>
          <w:tcPr>
            <w:tcW w:w="4985" w:type="dxa"/>
            <w:tcBorders>
              <w:top w:val="single" w:color="auto" w:sz="4" w:space="0"/>
              <w:left w:val="single" w:color="auto" w:sz="4" w:space="0"/>
              <w:bottom w:val="single" w:color="auto" w:sz="4" w:space="0"/>
              <w:right w:val="single" w:color="auto" w:sz="4" w:space="0"/>
            </w:tcBorders>
            <w:vAlign w:val="top"/>
          </w:tcPr>
          <w:p w14:paraId="31F540D0">
            <w:pPr>
              <w:pStyle w:val="77"/>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r>
    </w:tbl>
    <w:p w14:paraId="4C8F06F4">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b/>
          <w:bCs w:val="0"/>
          <w:color w:val="auto"/>
          <w:sz w:val="24"/>
          <w:szCs w:val="24"/>
          <w:highlight w:val="none"/>
        </w:rPr>
      </w:pPr>
    </w:p>
    <w:p w14:paraId="28C4ABFB">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b/>
          <w:bCs w:val="0"/>
          <w:color w:val="auto"/>
          <w:sz w:val="24"/>
          <w:szCs w:val="24"/>
          <w:highlight w:val="none"/>
        </w:rPr>
      </w:pPr>
    </w:p>
    <w:p w14:paraId="43D852C3">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b/>
          <w:bCs w:val="0"/>
          <w:color w:val="auto"/>
          <w:sz w:val="24"/>
          <w:szCs w:val="24"/>
          <w:highlight w:val="none"/>
        </w:rPr>
      </w:pPr>
    </w:p>
    <w:p w14:paraId="6595A2A5">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b/>
          <w:bCs w:val="0"/>
          <w:color w:val="auto"/>
          <w:sz w:val="24"/>
          <w:szCs w:val="24"/>
          <w:highlight w:val="none"/>
        </w:rPr>
      </w:pPr>
    </w:p>
    <w:p w14:paraId="4DF7C1C4">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b/>
          <w:bCs w:val="0"/>
          <w:color w:val="auto"/>
          <w:sz w:val="24"/>
          <w:szCs w:val="24"/>
          <w:highlight w:val="none"/>
        </w:rPr>
      </w:pPr>
    </w:p>
    <w:p w14:paraId="37CC7621">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b/>
          <w:bCs w:val="0"/>
          <w:color w:val="auto"/>
          <w:sz w:val="24"/>
          <w:szCs w:val="24"/>
          <w:highlight w:val="none"/>
        </w:rPr>
      </w:pPr>
    </w:p>
    <w:p w14:paraId="74DD5C38">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b/>
          <w:bCs w:val="0"/>
          <w:color w:val="auto"/>
          <w:sz w:val="24"/>
          <w:szCs w:val="24"/>
          <w:highlight w:val="none"/>
        </w:rPr>
      </w:pPr>
    </w:p>
    <w:p w14:paraId="00663E79">
      <w:pPr>
        <w:keepNext w:val="0"/>
        <w:keepLines w:val="0"/>
        <w:pageBreakBefore w:val="0"/>
        <w:widowControl w:val="0"/>
        <w:kinsoku/>
        <w:wordWrap/>
        <w:overflowPunct/>
        <w:topLinePunct w:val="0"/>
        <w:autoSpaceDE/>
        <w:autoSpaceDN/>
        <w:bidi w:val="0"/>
        <w:spacing w:line="440" w:lineRule="exact"/>
        <w:rPr>
          <w:rFonts w:hint="eastAsia" w:ascii="宋体" w:hAnsi="宋体" w:cs="宋体"/>
          <w:b/>
          <w:bCs w:val="0"/>
          <w:color w:val="auto"/>
          <w:sz w:val="24"/>
          <w:szCs w:val="24"/>
          <w:highlight w:val="none"/>
          <w:lang w:eastAsia="zh-CN"/>
        </w:rPr>
      </w:pPr>
      <w:r>
        <w:rPr>
          <w:rFonts w:hint="eastAsia" w:ascii="宋体" w:hAnsi="宋体" w:cs="宋体"/>
          <w:b/>
          <w:bCs w:val="0"/>
          <w:color w:val="auto"/>
          <w:sz w:val="24"/>
          <w:szCs w:val="24"/>
          <w:highlight w:val="none"/>
          <w:lang w:eastAsia="zh-CN"/>
        </w:rPr>
        <w:t>、</w:t>
      </w:r>
    </w:p>
    <w:p w14:paraId="2FF17CF3">
      <w:pPr>
        <w:pStyle w:val="2"/>
        <w:rPr>
          <w:rFonts w:hint="eastAsia"/>
          <w:lang w:eastAsia="zh-CN"/>
        </w:rPr>
      </w:pPr>
    </w:p>
    <w:p w14:paraId="12101F99">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b/>
          <w:bCs w:val="0"/>
          <w:color w:val="auto"/>
          <w:sz w:val="24"/>
          <w:szCs w:val="24"/>
          <w:highlight w:val="none"/>
        </w:rPr>
      </w:pPr>
    </w:p>
    <w:p w14:paraId="72367939">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b/>
          <w:bCs w:val="0"/>
          <w:color w:val="auto"/>
          <w:sz w:val="24"/>
          <w:szCs w:val="24"/>
          <w:highlight w:val="none"/>
        </w:rPr>
      </w:pPr>
    </w:p>
    <w:p w14:paraId="1E8383A1">
      <w:pPr>
        <w:keepNext w:val="0"/>
        <w:keepLines w:val="0"/>
        <w:pageBreakBefore w:val="0"/>
        <w:widowControl w:val="0"/>
        <w:kinsoku/>
        <w:wordWrap/>
        <w:overflowPunct/>
        <w:topLinePunct w:val="0"/>
        <w:autoSpaceDE/>
        <w:autoSpaceDN/>
        <w:bidi w:val="0"/>
        <w:spacing w:line="440" w:lineRule="exact"/>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第二部分通用条件</w:t>
      </w:r>
    </w:p>
    <w:p w14:paraId="5CE3CEF4">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1.定义与解释</w:t>
      </w:r>
    </w:p>
    <w:p w14:paraId="4D2B9337">
      <w:pPr>
        <w:keepNext w:val="0"/>
        <w:keepLines w:val="0"/>
        <w:pageBreakBefore w:val="0"/>
        <w:widowControl w:val="0"/>
        <w:kinsoku/>
        <w:wordWrap/>
        <w:overflowPunct/>
        <w:topLinePunct w:val="0"/>
        <w:autoSpaceDE/>
        <w:autoSpaceDN/>
        <w:bidi w:val="0"/>
        <w:spacing w:line="440" w:lineRule="exact"/>
        <w:ind w:left="210" w:leftChars="100"/>
        <w:rPr>
          <w:rFonts w:hint="eastAsia" w:ascii="宋体" w:hAnsi="宋体" w:eastAsia="宋体" w:cs="宋体"/>
          <w:color w:val="auto"/>
          <w:sz w:val="21"/>
          <w:szCs w:val="21"/>
          <w:highlight w:val="none"/>
        </w:rPr>
      </w:pPr>
    </w:p>
    <w:p w14:paraId="0D6A6407">
      <w:pPr>
        <w:keepNext w:val="0"/>
        <w:keepLines w:val="0"/>
        <w:pageBreakBefore w:val="0"/>
        <w:widowControl w:val="0"/>
        <w:kinsoku/>
        <w:wordWrap/>
        <w:overflowPunct/>
        <w:topLinePunct w:val="0"/>
        <w:autoSpaceDE/>
        <w:autoSpaceDN/>
        <w:bidi w:val="0"/>
        <w:spacing w:line="440" w:lineRule="exact"/>
        <w:ind w:left="210" w:leftChars="1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bCs/>
          <w:color w:val="auto"/>
          <w:sz w:val="21"/>
          <w:szCs w:val="21"/>
          <w:highlight w:val="none"/>
        </w:rPr>
        <w:t>定义</w:t>
      </w:r>
    </w:p>
    <w:p w14:paraId="6559089E">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除根据上下文另有其意义外，组成本合同的全部文件中的下列名词和用语应具有本款所赋予的含义：</w:t>
      </w:r>
    </w:p>
    <w:p w14:paraId="70C0DC00">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1.1.1“工程”是指按照本合同约定实施监理与相关服务的建设工程。</w:t>
      </w:r>
    </w:p>
    <w:p w14:paraId="1F18DF7D">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1.1.2“委托人”是指本合同中委托监理与相关服务的一方其合法的继承人或受让人。</w:t>
      </w:r>
    </w:p>
    <w:p w14:paraId="7A74E3B7">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1.1.3“监理人”是指本合同中提供监理与相关服务的一方其合法的继承人。</w:t>
      </w:r>
    </w:p>
    <w:p w14:paraId="28A88713">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1.1.4“”是指在工程范围内与委托人签订勘察、设计、施工等有关合同的当事人其合法的继承人。</w:t>
      </w:r>
    </w:p>
    <w:p w14:paraId="6523AA07">
      <w:pPr>
        <w:pStyle w:val="50"/>
        <w:keepNext w:val="0"/>
        <w:keepLines w:val="0"/>
        <w:pageBreakBefore w:val="0"/>
        <w:widowControl w:val="0"/>
        <w:kinsoku/>
        <w:wordWrap/>
        <w:overflowPunct/>
        <w:topLinePunct w:val="0"/>
        <w:autoSpaceDE/>
        <w:autoSpaceDN/>
        <w:bidi w:val="0"/>
        <w:spacing w:line="44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3F1FB7A5">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1.1.6“相关服务”是指监理人受委托人的委托，按照本合同约定，在勘察、设计、保修等阶段提供的服务活动。</w:t>
      </w:r>
    </w:p>
    <w:p w14:paraId="105FBEC0">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1.1.7“正常工作”指本合同订立时通用条件和专用条件中约定的监理人的工作。</w:t>
      </w:r>
    </w:p>
    <w:p w14:paraId="4D61AA48">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1.1.8“附加工作”是指本合同约定的正常工作以外监理人的工作。</w:t>
      </w:r>
    </w:p>
    <w:p w14:paraId="715CF938">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1.1.9“项目监理机构”是指监理人派驻工程负责履行本合同的组织机构。</w:t>
      </w:r>
    </w:p>
    <w:p w14:paraId="02E78789">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1.1.10“总监理工程师”是指由监理人的法定代表人书面授权，全面负责履行本合同、主持项目监理机构工作的注册监理工程师。</w:t>
      </w:r>
    </w:p>
    <w:p w14:paraId="708625D9">
      <w:pPr>
        <w:keepNext w:val="0"/>
        <w:keepLines w:val="0"/>
        <w:pageBreakBefore w:val="0"/>
        <w:widowControl w:val="0"/>
        <w:kinsoku/>
        <w:wordWrap/>
        <w:overflowPunct/>
        <w:topLinePunct w:val="0"/>
        <w:autoSpaceDE/>
        <w:autoSpaceDN/>
        <w:bidi w:val="0"/>
        <w:spacing w:line="440" w:lineRule="exact"/>
        <w:ind w:firstLine="415" w:firstLineChars="1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1.1.11“酬金”是指监理人履行本合同义务，委托人按照本合同约定给付监理人的金额。</w:t>
      </w:r>
    </w:p>
    <w:p w14:paraId="4CFB5F41">
      <w:pPr>
        <w:keepNext w:val="0"/>
        <w:keepLines w:val="0"/>
        <w:pageBreakBefore w:val="0"/>
        <w:widowControl w:val="0"/>
        <w:kinsoku/>
        <w:wordWrap/>
        <w:overflowPunct/>
        <w:topLinePunct w:val="0"/>
        <w:autoSpaceDE/>
        <w:autoSpaceDN/>
        <w:bidi w:val="0"/>
        <w:spacing w:line="440" w:lineRule="exact"/>
        <w:ind w:firstLine="415" w:firstLineChars="1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1.1.12“正常工作</w:t>
      </w:r>
      <w:r>
        <w:rPr>
          <w:rFonts w:hint="eastAsia" w:ascii="宋体" w:hAnsi="宋体" w:eastAsia="宋体" w:cs="宋体"/>
          <w:color w:val="auto"/>
          <w:kern w:val="0"/>
          <w:sz w:val="21"/>
          <w:szCs w:val="21"/>
          <w:highlight w:val="none"/>
        </w:rPr>
        <w:t>酬金”</w:t>
      </w:r>
      <w:r>
        <w:rPr>
          <w:rFonts w:hint="eastAsia" w:ascii="宋体" w:hAnsi="宋体" w:eastAsia="宋体" w:cs="宋体"/>
          <w:color w:val="auto"/>
          <w:sz w:val="21"/>
          <w:szCs w:val="21"/>
          <w:highlight w:val="none"/>
        </w:rPr>
        <w:t>是指监理人完成正常工作，委托人应给付监理人并在协议书中载明的签约</w:t>
      </w:r>
      <w:r>
        <w:rPr>
          <w:rFonts w:hint="eastAsia" w:ascii="宋体" w:hAnsi="宋体" w:eastAsia="宋体" w:cs="宋体"/>
          <w:color w:val="auto"/>
          <w:kern w:val="0"/>
          <w:sz w:val="21"/>
          <w:szCs w:val="21"/>
          <w:highlight w:val="none"/>
        </w:rPr>
        <w:t>酬金额</w:t>
      </w:r>
      <w:r>
        <w:rPr>
          <w:rFonts w:hint="eastAsia" w:ascii="宋体" w:hAnsi="宋体" w:eastAsia="宋体" w:cs="宋体"/>
          <w:color w:val="auto"/>
          <w:sz w:val="21"/>
          <w:szCs w:val="21"/>
          <w:highlight w:val="none"/>
        </w:rPr>
        <w:t>。</w:t>
      </w:r>
    </w:p>
    <w:p w14:paraId="6EB72331">
      <w:pPr>
        <w:keepNext w:val="0"/>
        <w:keepLines w:val="0"/>
        <w:pageBreakBefore w:val="0"/>
        <w:widowControl w:val="0"/>
        <w:kinsoku/>
        <w:wordWrap/>
        <w:overflowPunct/>
        <w:topLinePunct w:val="0"/>
        <w:autoSpaceDE/>
        <w:autoSpaceDN/>
        <w:bidi w:val="0"/>
        <w:spacing w:line="440" w:lineRule="exact"/>
        <w:ind w:firstLine="415" w:firstLineChars="1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1.1.13“附加工作酬金”是指监理人完成附加工作，委托人应给付监理人的金额。</w:t>
      </w:r>
    </w:p>
    <w:p w14:paraId="1BA68A80">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1.1.14“一方”是指委托人或监理人；“双方”是指委托人和监理人；“第三方”是指除委托人和监理人以外的有关方。</w:t>
      </w:r>
    </w:p>
    <w:p w14:paraId="2C3F7817">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1.1.15“书面形式”是指合同书、信件和数据电文（包括电报、电传、传真、电子数据交换和电子邮件）等可以有形地表现所载内容的形式。</w:t>
      </w:r>
    </w:p>
    <w:p w14:paraId="0E3A5A62">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1.1.16“天”是指</w:t>
      </w:r>
      <w:r>
        <w:rPr>
          <w:color w:val="auto"/>
        </w:rPr>
        <w:t>第一天零时至第二天零时（含第一天零时，不含第二天零时）</w:t>
      </w:r>
      <w:r>
        <w:rPr>
          <w:rFonts w:hint="eastAsia" w:ascii="宋体" w:hAnsi="宋体" w:eastAsia="宋体" w:cs="宋体"/>
          <w:color w:val="auto"/>
          <w:sz w:val="21"/>
          <w:szCs w:val="21"/>
          <w:highlight w:val="none"/>
        </w:rPr>
        <w:t>的时间。</w:t>
      </w:r>
    </w:p>
    <w:p w14:paraId="33FF0B9C">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1.1.17“月”是指按公历</w:t>
      </w:r>
      <w:r>
        <w:rPr>
          <w:color w:val="auto"/>
        </w:rPr>
        <w:t>从一个月中任何一天开始，至下一个月同一日的前一日止的时间段</w:t>
      </w:r>
      <w:r>
        <w:rPr>
          <w:rFonts w:hint="eastAsia" w:ascii="宋体" w:hAnsi="宋体" w:eastAsia="宋体" w:cs="宋体"/>
          <w:color w:val="auto"/>
          <w:sz w:val="21"/>
          <w:szCs w:val="21"/>
          <w:highlight w:val="none"/>
        </w:rPr>
        <w:t>。</w:t>
      </w:r>
    </w:p>
    <w:p w14:paraId="691B319B">
      <w:pPr>
        <w:keepNext w:val="0"/>
        <w:keepLines w:val="0"/>
        <w:pageBreakBefore w:val="0"/>
        <w:widowControl w:val="0"/>
        <w:kinsoku/>
        <w:wordWrap/>
        <w:overflowPunct/>
        <w:topLinePunct w:val="0"/>
        <w:autoSpaceDE/>
        <w:autoSpaceDN/>
        <w:bidi w:val="0"/>
        <w:spacing w:line="440" w:lineRule="exact"/>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1.1.18“不可抗力”是指委托人和监理人在订立本合同时不可预见，在工程施工过程中不可避免发生并不能克服的自然灾害和社会性突发事件，如地震、海啸、瘟疫、水灾、骚乱、暴动、战争和专用条件约定的其他情形。</w:t>
      </w:r>
    </w:p>
    <w:p w14:paraId="64FBDDE0">
      <w:pPr>
        <w:keepNext w:val="0"/>
        <w:keepLines w:val="0"/>
        <w:pageBreakBefore w:val="0"/>
        <w:widowControl w:val="0"/>
        <w:kinsoku/>
        <w:wordWrap/>
        <w:overflowPunct/>
        <w:topLinePunct w:val="0"/>
        <w:autoSpaceDE/>
        <w:autoSpaceDN/>
        <w:bidi w:val="0"/>
        <w:spacing w:line="440" w:lineRule="exact"/>
        <w:ind w:left="210" w:leftChars="1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1.2</w:t>
      </w:r>
      <w:r>
        <w:rPr>
          <w:rFonts w:hint="eastAsia" w:ascii="宋体" w:hAnsi="宋体" w:eastAsia="宋体" w:cs="宋体"/>
          <w:color w:val="auto"/>
          <w:sz w:val="21"/>
          <w:szCs w:val="21"/>
          <w:highlight w:val="none"/>
        </w:rPr>
        <w:t>解释</w:t>
      </w:r>
    </w:p>
    <w:p w14:paraId="72C6F282">
      <w:pPr>
        <w:keepNext w:val="0"/>
        <w:keepLines w:val="0"/>
        <w:pageBreakBefore w:val="0"/>
        <w:widowControl w:val="0"/>
        <w:tabs>
          <w:tab w:val="left" w:pos="6140"/>
        </w:tabs>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1.2.1本合同使用中文书写、解释和说明。如专用条件约定使用两种及以上语言文字时，应以中文为准。</w:t>
      </w:r>
    </w:p>
    <w:p w14:paraId="62349994">
      <w:pPr>
        <w:keepNext w:val="0"/>
        <w:keepLines w:val="0"/>
        <w:pageBreakBefore w:val="0"/>
        <w:widowControl w:val="0"/>
        <w:tabs>
          <w:tab w:val="left" w:pos="6140"/>
        </w:tabs>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1.2.2组成本合同的下列文件彼此应能相互解释、互为说明。除专用条件另有约定外，本合同文件的解释顺序如下：</w:t>
      </w:r>
    </w:p>
    <w:p w14:paraId="4B43675C">
      <w:pPr>
        <w:keepNext w:val="0"/>
        <w:keepLines w:val="0"/>
        <w:pageBreakBefore w:val="0"/>
        <w:widowControl w:val="0"/>
        <w:numPr>
          <w:ilvl w:val="0"/>
          <w:numId w:val="24"/>
        </w:numPr>
        <w:kinsoku/>
        <w:wordWrap/>
        <w:overflowPunct/>
        <w:topLinePunct w:val="0"/>
        <w:autoSpaceDE/>
        <w:autoSpaceDN/>
        <w:bidi w:val="0"/>
        <w:spacing w:line="440" w:lineRule="exact"/>
        <w:ind w:left="545" w:leftChars="0" w:firstLine="0" w:firstLineChars="0"/>
        <w:rPr>
          <w:rFonts w:ascii="Segoe UI" w:hAnsi="Segoe UI" w:eastAsia="Segoe UI" w:cs="Segoe UI"/>
          <w:i w:val="0"/>
          <w:iCs w:val="0"/>
          <w:caps w:val="0"/>
          <w:color w:val="auto"/>
          <w:spacing w:val="0"/>
          <w:sz w:val="21"/>
          <w:szCs w:val="21"/>
          <w:shd w:val="clear" w:color="auto" w:fill="FFFFFF"/>
        </w:rPr>
      </w:pPr>
      <w:r>
        <w:rPr>
          <w:rFonts w:ascii="Segoe UI" w:hAnsi="Segoe UI" w:eastAsia="Segoe UI" w:cs="Segoe UI"/>
          <w:i w:val="0"/>
          <w:iCs w:val="0"/>
          <w:caps w:val="0"/>
          <w:color w:val="auto"/>
          <w:spacing w:val="0"/>
          <w:sz w:val="21"/>
          <w:szCs w:val="21"/>
          <w:shd w:val="clear" w:color="auto" w:fill="FFFFFF"/>
        </w:rPr>
        <w:t>本合同协议书及补充协议（如有）；</w:t>
      </w:r>
    </w:p>
    <w:p w14:paraId="27CA7157">
      <w:pPr>
        <w:keepNext w:val="0"/>
        <w:keepLines w:val="0"/>
        <w:pageBreakBefore w:val="0"/>
        <w:widowControl w:val="0"/>
        <w:numPr>
          <w:ilvl w:val="0"/>
          <w:numId w:val="24"/>
        </w:numPr>
        <w:kinsoku/>
        <w:wordWrap/>
        <w:overflowPunct/>
        <w:topLinePunct w:val="0"/>
        <w:autoSpaceDE/>
        <w:autoSpaceDN/>
        <w:bidi w:val="0"/>
        <w:spacing w:line="440" w:lineRule="exact"/>
        <w:ind w:left="545" w:leftChars="0" w:firstLine="0" w:firstLineChars="0"/>
        <w:rPr>
          <w:rFonts w:hint="eastAsia" w:ascii="宋体" w:hAnsi="宋体" w:eastAsia="宋体" w:cs="宋体"/>
          <w:color w:val="auto"/>
          <w:sz w:val="21"/>
          <w:szCs w:val="21"/>
          <w:highlight w:val="none"/>
        </w:rPr>
      </w:pPr>
      <w:r>
        <w:rPr>
          <w:rFonts w:ascii="Segoe UI" w:hAnsi="Segoe UI" w:eastAsia="Segoe UI" w:cs="Segoe UI"/>
          <w:i w:val="0"/>
          <w:iCs w:val="0"/>
          <w:caps w:val="0"/>
          <w:color w:val="auto"/>
          <w:spacing w:val="0"/>
          <w:sz w:val="21"/>
          <w:szCs w:val="21"/>
          <w:shd w:val="clear" w:color="auto" w:fill="FFFFFF"/>
        </w:rPr>
        <w:t>专用条件（含本合同附件）；</w:t>
      </w:r>
    </w:p>
    <w:p w14:paraId="45CB4164">
      <w:pPr>
        <w:keepNext w:val="0"/>
        <w:keepLines w:val="0"/>
        <w:pageBreakBefore w:val="0"/>
        <w:widowControl w:val="0"/>
        <w:numPr>
          <w:ilvl w:val="0"/>
          <w:numId w:val="24"/>
        </w:numPr>
        <w:kinsoku/>
        <w:wordWrap/>
        <w:overflowPunct/>
        <w:topLinePunct w:val="0"/>
        <w:autoSpaceDE/>
        <w:autoSpaceDN/>
        <w:bidi w:val="0"/>
        <w:spacing w:line="440" w:lineRule="exact"/>
        <w:ind w:left="545" w:leftChars="0" w:firstLine="0" w:firstLineChars="0"/>
        <w:rPr>
          <w:rFonts w:hint="eastAsia" w:ascii="宋体" w:hAnsi="宋体" w:eastAsia="宋体" w:cs="宋体"/>
          <w:color w:val="auto"/>
          <w:sz w:val="21"/>
          <w:szCs w:val="21"/>
          <w:highlight w:val="none"/>
        </w:rPr>
      </w:pPr>
      <w:r>
        <w:rPr>
          <w:rFonts w:ascii="Segoe UI" w:hAnsi="Segoe UI" w:eastAsia="Segoe UI" w:cs="Segoe UI"/>
          <w:i w:val="0"/>
          <w:iCs w:val="0"/>
          <w:caps w:val="0"/>
          <w:color w:val="auto"/>
          <w:spacing w:val="0"/>
          <w:sz w:val="21"/>
          <w:szCs w:val="21"/>
          <w:shd w:val="clear" w:color="auto" w:fill="FFFFFF"/>
        </w:rPr>
        <w:t>中标通知书；</w:t>
      </w:r>
    </w:p>
    <w:p w14:paraId="2F362FDC">
      <w:pPr>
        <w:keepNext w:val="0"/>
        <w:keepLines w:val="0"/>
        <w:pageBreakBefore w:val="0"/>
        <w:widowControl w:val="0"/>
        <w:numPr>
          <w:ilvl w:val="0"/>
          <w:numId w:val="24"/>
        </w:numPr>
        <w:kinsoku/>
        <w:wordWrap/>
        <w:overflowPunct/>
        <w:topLinePunct w:val="0"/>
        <w:autoSpaceDE/>
        <w:autoSpaceDN/>
        <w:bidi w:val="0"/>
        <w:spacing w:line="440" w:lineRule="exact"/>
        <w:ind w:left="545" w:leftChars="0" w:firstLine="0" w:firstLineChars="0"/>
        <w:rPr>
          <w:rFonts w:hint="eastAsia" w:ascii="宋体" w:hAnsi="宋体" w:eastAsia="宋体" w:cs="宋体"/>
          <w:color w:val="auto"/>
          <w:sz w:val="21"/>
          <w:szCs w:val="21"/>
          <w:highlight w:val="none"/>
        </w:rPr>
      </w:pPr>
      <w:r>
        <w:rPr>
          <w:rFonts w:ascii="Segoe UI" w:hAnsi="Segoe UI" w:eastAsia="Segoe UI" w:cs="Segoe UI"/>
          <w:i w:val="0"/>
          <w:iCs w:val="0"/>
          <w:caps w:val="0"/>
          <w:color w:val="auto"/>
          <w:spacing w:val="0"/>
          <w:sz w:val="21"/>
          <w:szCs w:val="21"/>
          <w:shd w:val="clear" w:color="auto" w:fill="FFFFFF"/>
        </w:rPr>
        <w:t>招标文件（含采购需求、澄清纪要）；</w:t>
      </w:r>
    </w:p>
    <w:p w14:paraId="252E4636">
      <w:pPr>
        <w:keepNext w:val="0"/>
        <w:keepLines w:val="0"/>
        <w:pageBreakBefore w:val="0"/>
        <w:widowControl w:val="0"/>
        <w:numPr>
          <w:ilvl w:val="0"/>
          <w:numId w:val="24"/>
        </w:numPr>
        <w:kinsoku/>
        <w:wordWrap/>
        <w:overflowPunct/>
        <w:topLinePunct w:val="0"/>
        <w:autoSpaceDE/>
        <w:autoSpaceDN/>
        <w:bidi w:val="0"/>
        <w:spacing w:line="440" w:lineRule="exact"/>
        <w:ind w:left="545" w:leftChars="0" w:firstLine="0" w:firstLineChars="0"/>
        <w:rPr>
          <w:rFonts w:hint="eastAsia" w:ascii="宋体" w:hAnsi="宋体" w:eastAsia="宋体" w:cs="宋体"/>
          <w:color w:val="auto"/>
          <w:sz w:val="21"/>
          <w:szCs w:val="21"/>
          <w:highlight w:val="none"/>
        </w:rPr>
      </w:pPr>
      <w:r>
        <w:rPr>
          <w:rFonts w:ascii="Segoe UI" w:hAnsi="Segoe UI" w:eastAsia="Segoe UI" w:cs="Segoe UI"/>
          <w:i w:val="0"/>
          <w:iCs w:val="0"/>
          <w:caps w:val="0"/>
          <w:color w:val="auto"/>
          <w:spacing w:val="0"/>
          <w:sz w:val="21"/>
          <w:szCs w:val="21"/>
          <w:shd w:val="clear" w:color="auto" w:fill="FFFFFF"/>
        </w:rPr>
        <w:t>投标文件；</w:t>
      </w:r>
    </w:p>
    <w:p w14:paraId="2703EC19">
      <w:pPr>
        <w:keepNext w:val="0"/>
        <w:keepLines w:val="0"/>
        <w:pageBreakBefore w:val="0"/>
        <w:widowControl w:val="0"/>
        <w:numPr>
          <w:ilvl w:val="0"/>
          <w:numId w:val="24"/>
        </w:numPr>
        <w:kinsoku/>
        <w:wordWrap/>
        <w:overflowPunct/>
        <w:topLinePunct w:val="0"/>
        <w:autoSpaceDE/>
        <w:autoSpaceDN/>
        <w:bidi w:val="0"/>
        <w:spacing w:line="440" w:lineRule="exact"/>
        <w:ind w:left="545" w:leftChars="0" w:firstLine="0" w:firstLineChars="0"/>
        <w:rPr>
          <w:rFonts w:hint="eastAsia" w:ascii="宋体" w:hAnsi="宋体" w:eastAsia="宋体" w:cs="宋体"/>
          <w:color w:val="auto"/>
          <w:sz w:val="21"/>
          <w:szCs w:val="21"/>
          <w:highlight w:val="none"/>
        </w:rPr>
      </w:pPr>
      <w:r>
        <w:rPr>
          <w:rFonts w:ascii="Segoe UI" w:hAnsi="Segoe UI" w:eastAsia="Segoe UI" w:cs="Segoe UI"/>
          <w:i w:val="0"/>
          <w:iCs w:val="0"/>
          <w:caps w:val="0"/>
          <w:color w:val="auto"/>
          <w:spacing w:val="0"/>
          <w:sz w:val="21"/>
          <w:szCs w:val="21"/>
          <w:shd w:val="clear" w:color="auto" w:fill="FFFFFF"/>
        </w:rPr>
        <w:t>通用条件。当各部分文件内容不一致时，</w:t>
      </w:r>
      <w:r>
        <w:rPr>
          <w:color w:val="auto"/>
        </w:rPr>
        <w:t>以排序在前的文件为准</w:t>
      </w:r>
      <w:r>
        <w:rPr>
          <w:rFonts w:hint="eastAsia" w:ascii="宋体" w:hAnsi="宋体" w:eastAsia="宋体" w:cs="宋体"/>
          <w:color w:val="auto"/>
          <w:sz w:val="21"/>
          <w:szCs w:val="21"/>
          <w:highlight w:val="none"/>
        </w:rPr>
        <w:t>。</w:t>
      </w:r>
    </w:p>
    <w:p w14:paraId="0C95FA99">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双方签订的补充协议与其他文件发生矛盾或歧义时，</w:t>
      </w:r>
      <w:r>
        <w:rPr>
          <w:color w:val="auto"/>
        </w:rPr>
        <w:t>对于同一类事项或内容</w:t>
      </w:r>
      <w:r>
        <w:rPr>
          <w:rFonts w:hint="eastAsia" w:ascii="宋体" w:hAnsi="宋体" w:eastAsia="宋体" w:cs="宋体"/>
          <w:color w:val="auto"/>
          <w:sz w:val="21"/>
          <w:szCs w:val="21"/>
          <w:highlight w:val="none"/>
        </w:rPr>
        <w:t>，应以最新签署的为准。</w:t>
      </w:r>
    </w:p>
    <w:p w14:paraId="0CF907F3">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2.监理人的义务</w:t>
      </w:r>
    </w:p>
    <w:p w14:paraId="03E5406D">
      <w:pPr>
        <w:keepNext w:val="0"/>
        <w:keepLines w:val="0"/>
        <w:pageBreakBefore w:val="0"/>
        <w:widowControl w:val="0"/>
        <w:kinsoku/>
        <w:wordWrap/>
        <w:overflowPunct/>
        <w:topLinePunct w:val="0"/>
        <w:autoSpaceDE/>
        <w:autoSpaceDN/>
        <w:bidi w:val="0"/>
        <w:spacing w:line="440" w:lineRule="exact"/>
        <w:ind w:left="210" w:leftChars="1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2.1监理的范围和工作内容</w:t>
      </w:r>
    </w:p>
    <w:p w14:paraId="1D1169A9">
      <w:pPr>
        <w:keepNext w:val="0"/>
        <w:keepLines w:val="0"/>
        <w:pageBreakBefore w:val="0"/>
        <w:widowControl w:val="0"/>
        <w:kinsoku/>
        <w:wordWrap/>
        <w:overflowPunct/>
        <w:topLinePunct w:val="0"/>
        <w:autoSpaceDE/>
        <w:autoSpaceDN/>
        <w:bidi w:val="0"/>
        <w:spacing w:line="440" w:lineRule="exact"/>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2.1.1监理范围在专用条件中约定。</w:t>
      </w:r>
    </w:p>
    <w:p w14:paraId="63CEA3F5">
      <w:pPr>
        <w:keepNext w:val="0"/>
        <w:keepLines w:val="0"/>
        <w:pageBreakBefore w:val="0"/>
        <w:widowControl w:val="0"/>
        <w:kinsoku/>
        <w:wordWrap/>
        <w:overflowPunct/>
        <w:topLinePunct w:val="0"/>
        <w:autoSpaceDE/>
        <w:autoSpaceDN/>
        <w:bidi w:val="0"/>
        <w:spacing w:line="440" w:lineRule="exact"/>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2.1.2除专用条件另有约定外，监理工作内容包括：</w:t>
      </w:r>
    </w:p>
    <w:p w14:paraId="7B80262D">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（1）收到工程设计文件后编制监理规划，并在第一次工地会议7</w:t>
      </w:r>
      <w:r>
        <w:rPr>
          <w:rFonts w:hint="eastAsia" w:ascii="宋体" w:hAnsi="宋体" w:cs="宋体"/>
          <w:color w:val="auto"/>
          <w:sz w:val="21"/>
          <w:szCs w:val="21"/>
          <w:highlight w:val="none"/>
          <w:lang w:val="en-US" w:eastAsia="zh-CN"/>
        </w:rPr>
        <w:t>日</w:t>
      </w:r>
      <w:r>
        <w:rPr>
          <w:rFonts w:hint="eastAsia" w:ascii="宋体" w:hAnsi="宋体" w:eastAsia="宋体" w:cs="宋体"/>
          <w:color w:val="auto"/>
          <w:sz w:val="21"/>
          <w:szCs w:val="21"/>
          <w:highlight w:val="none"/>
        </w:rPr>
        <w:t>前报委托人。根据有关规定和监理工作需要，编制监理实施细则；</w:t>
      </w:r>
    </w:p>
    <w:p w14:paraId="6B929B17">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（2）熟悉工程设计文件，并参加由委托人主持的图纸会审和设计交底会议；</w:t>
      </w:r>
    </w:p>
    <w:p w14:paraId="675C1B6D">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（3）参加由委托人主持的第一次工地会议；主持监理例会并根据工程需要主持或参加专题会议；</w:t>
      </w:r>
    </w:p>
    <w:p w14:paraId="6CF74286">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（4）审查施工提交的施工组织设计，重点审查其中的质量安全技术措施、专项施工方案与工程建设强制性标准的符合性；</w:t>
      </w:r>
    </w:p>
    <w:p w14:paraId="38264054">
      <w:pPr>
        <w:keepNext w:val="0"/>
        <w:keepLines w:val="0"/>
        <w:pageBreakBefore w:val="0"/>
        <w:widowControl w:val="0"/>
        <w:kinsoku/>
        <w:wordWrap/>
        <w:overflowPunct/>
        <w:topLinePunct w:val="0"/>
        <w:autoSpaceDE/>
        <w:autoSpaceDN/>
        <w:bidi w:val="0"/>
        <w:spacing w:line="440" w:lineRule="exact"/>
        <w:ind w:firstLine="6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（5）检查施工工程质量、安全生产管理制度及组织机构和人员资格；</w:t>
      </w:r>
    </w:p>
    <w:p w14:paraId="6D650459">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（6）检查施工专职安全生产管理人员的配备情况；</w:t>
      </w:r>
    </w:p>
    <w:p w14:paraId="3C9D6116">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（7）审查施工提交的施工进度计划，核查对施工进度计划的调整；</w:t>
      </w:r>
    </w:p>
    <w:p w14:paraId="77BE0CE2">
      <w:pPr>
        <w:keepNext w:val="0"/>
        <w:keepLines w:val="0"/>
        <w:pageBreakBefore w:val="0"/>
        <w:widowControl w:val="0"/>
        <w:kinsoku/>
        <w:wordWrap/>
        <w:overflowPunct/>
        <w:topLinePunct w:val="0"/>
        <w:autoSpaceDE/>
        <w:autoSpaceDN/>
        <w:bidi w:val="0"/>
        <w:spacing w:line="440" w:lineRule="exact"/>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（8）检查施工的试验室；</w:t>
      </w:r>
    </w:p>
    <w:p w14:paraId="73F306D7">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（9）审核施工分包人资质条件；</w:t>
      </w:r>
    </w:p>
    <w:p w14:paraId="1C098054">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（10）查验施工的施工测量放线成果；</w:t>
      </w:r>
    </w:p>
    <w:p w14:paraId="3DBDC789">
      <w:pPr>
        <w:keepNext w:val="0"/>
        <w:keepLines w:val="0"/>
        <w:pageBreakBefore w:val="0"/>
        <w:widowControl w:val="0"/>
        <w:kinsoku/>
        <w:wordWrap/>
        <w:overflowPunct/>
        <w:topLinePunct w:val="0"/>
        <w:autoSpaceDE/>
        <w:autoSpaceDN/>
        <w:bidi w:val="0"/>
        <w:spacing w:line="440" w:lineRule="exact"/>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（11）审查工程开工条件，对条件具备的签发开工令；</w:t>
      </w:r>
    </w:p>
    <w:p w14:paraId="75E760E3">
      <w:pPr>
        <w:keepNext w:val="0"/>
        <w:keepLines w:val="0"/>
        <w:pageBreakBefore w:val="0"/>
        <w:widowControl w:val="0"/>
        <w:kinsoku/>
        <w:wordWrap/>
        <w:overflowPunct/>
        <w:topLinePunct w:val="0"/>
        <w:autoSpaceDE/>
        <w:autoSpaceDN/>
        <w:bidi w:val="0"/>
        <w:spacing w:line="440" w:lineRule="exact"/>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（12）审查施工报送的工程材料、构配件和设备质量证明文件的有效性和符合性，并按规定对用于工程的材料采取平行检验或见证取样方式进行抽检；</w:t>
      </w:r>
    </w:p>
    <w:p w14:paraId="76F03429">
      <w:pPr>
        <w:keepNext w:val="0"/>
        <w:keepLines w:val="0"/>
        <w:pageBreakBefore w:val="0"/>
        <w:widowControl w:val="0"/>
        <w:kinsoku/>
        <w:wordWrap/>
        <w:overflowPunct/>
        <w:topLinePunct w:val="0"/>
        <w:autoSpaceDE/>
        <w:autoSpaceDN/>
        <w:bidi w:val="0"/>
        <w:spacing w:line="440" w:lineRule="exact"/>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（13）审核施工提交的工程款支付申请，签发或出具工程款支付证书，并报委托人审核、批准；</w:t>
      </w:r>
    </w:p>
    <w:p w14:paraId="2B4EFC35">
      <w:pPr>
        <w:keepNext w:val="0"/>
        <w:keepLines w:val="0"/>
        <w:pageBreakBefore w:val="0"/>
        <w:widowControl w:val="0"/>
        <w:kinsoku/>
        <w:wordWrap/>
        <w:overflowPunct/>
        <w:topLinePunct w:val="0"/>
        <w:autoSpaceDE/>
        <w:autoSpaceDN/>
        <w:bidi w:val="0"/>
        <w:spacing w:line="440" w:lineRule="exact"/>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（14）在巡视、旁站和检验过程中，发现工程质量、施工安全存在事故隐患的，要求施工整改并报委托人；</w:t>
      </w:r>
    </w:p>
    <w:p w14:paraId="5B0CDF76">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（15）经委托人同意，签发工程暂停令和复工令；</w:t>
      </w:r>
    </w:p>
    <w:p w14:paraId="2F3894B8">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（16）审查施工提交的采用新材料、新工艺、新技术、新设备的论证材料及相关验收标准；</w:t>
      </w:r>
    </w:p>
    <w:p w14:paraId="10E83572">
      <w:pPr>
        <w:keepNext w:val="0"/>
        <w:keepLines w:val="0"/>
        <w:pageBreakBefore w:val="0"/>
        <w:widowControl w:val="0"/>
        <w:kinsoku/>
        <w:wordWrap/>
        <w:overflowPunct/>
        <w:topLinePunct w:val="0"/>
        <w:autoSpaceDE/>
        <w:autoSpaceDN/>
        <w:bidi w:val="0"/>
        <w:spacing w:line="440" w:lineRule="exact"/>
        <w:ind w:firstLine="6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（17）验收隐蔽工程、分部分项工程；</w:t>
      </w:r>
    </w:p>
    <w:p w14:paraId="2DE21E77">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（18）审查施工提交的工程变更申请，协调处理施工进度调整、费用索赔、合同争议等事项；</w:t>
      </w:r>
    </w:p>
    <w:p w14:paraId="3B8444D2">
      <w:pPr>
        <w:keepNext w:val="0"/>
        <w:keepLines w:val="0"/>
        <w:pageBreakBefore w:val="0"/>
        <w:widowControl w:val="0"/>
        <w:kinsoku/>
        <w:wordWrap/>
        <w:overflowPunct/>
        <w:topLinePunct w:val="0"/>
        <w:autoSpaceDE/>
        <w:autoSpaceDN/>
        <w:bidi w:val="0"/>
        <w:spacing w:line="440" w:lineRule="exact"/>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（19）审查施工提交的竣工验收申请，编写工程质量评估报告；</w:t>
      </w:r>
    </w:p>
    <w:p w14:paraId="6472A54A">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（20）参加工程竣工验收，签署竣工验收意见；</w:t>
      </w:r>
    </w:p>
    <w:p w14:paraId="534CC5D9">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（21）审查施工提交的竣工结算申请并报委托人；</w:t>
      </w:r>
    </w:p>
    <w:p w14:paraId="4F9051F7">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（22）编制、整理工程监理归档文件并报委托人。</w:t>
      </w:r>
    </w:p>
    <w:p w14:paraId="48621DD0">
      <w:pPr>
        <w:keepNext w:val="0"/>
        <w:keepLines w:val="0"/>
        <w:pageBreakBefore w:val="0"/>
        <w:widowControl w:val="0"/>
        <w:kinsoku/>
        <w:wordWrap/>
        <w:overflowPunct/>
        <w:topLinePunct w:val="0"/>
        <w:autoSpaceDE/>
        <w:autoSpaceDN/>
        <w:bidi w:val="0"/>
        <w:spacing w:line="440" w:lineRule="exact"/>
        <w:ind w:left="420" w:leftChars="20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2.1.3相关服务的范围和内容在附录A中约定。</w:t>
      </w:r>
    </w:p>
    <w:p w14:paraId="146CE94E">
      <w:pPr>
        <w:keepNext w:val="0"/>
        <w:keepLines w:val="0"/>
        <w:pageBreakBefore w:val="0"/>
        <w:widowControl w:val="0"/>
        <w:kinsoku/>
        <w:wordWrap/>
        <w:overflowPunct/>
        <w:topLinePunct w:val="0"/>
        <w:autoSpaceDE/>
        <w:autoSpaceDN/>
        <w:bidi w:val="0"/>
        <w:spacing w:line="440" w:lineRule="exact"/>
        <w:ind w:firstLine="210" w:firstLineChars="1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bCs/>
          <w:color w:val="auto"/>
          <w:sz w:val="21"/>
          <w:szCs w:val="21"/>
          <w:highlight w:val="none"/>
        </w:rPr>
        <w:t>监理与相关服务依据</w:t>
      </w:r>
    </w:p>
    <w:p w14:paraId="4CC061F0">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2.2.1监理依据包括：</w:t>
      </w:r>
    </w:p>
    <w:p w14:paraId="699DA77D">
      <w:pPr>
        <w:keepNext w:val="0"/>
        <w:keepLines w:val="0"/>
        <w:pageBreakBefore w:val="0"/>
        <w:widowControl w:val="0"/>
        <w:kinsoku/>
        <w:wordWrap/>
        <w:overflowPunct/>
        <w:topLinePunct w:val="0"/>
        <w:autoSpaceDE/>
        <w:autoSpaceDN/>
        <w:bidi w:val="0"/>
        <w:spacing w:line="44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（1）适用的法律、行政法规及部门规章；</w:t>
      </w:r>
    </w:p>
    <w:p w14:paraId="3F6306BD">
      <w:pPr>
        <w:keepNext w:val="0"/>
        <w:keepLines w:val="0"/>
        <w:pageBreakBefore w:val="0"/>
        <w:widowControl w:val="0"/>
        <w:kinsoku/>
        <w:wordWrap/>
        <w:overflowPunct/>
        <w:topLinePunct w:val="0"/>
        <w:autoSpaceDE/>
        <w:autoSpaceDN/>
        <w:bidi w:val="0"/>
        <w:spacing w:line="44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（2）与工程有关的标准；</w:t>
      </w:r>
    </w:p>
    <w:p w14:paraId="45B64034">
      <w:pPr>
        <w:keepNext w:val="0"/>
        <w:keepLines w:val="0"/>
        <w:pageBreakBefore w:val="0"/>
        <w:widowControl w:val="0"/>
        <w:kinsoku/>
        <w:wordWrap/>
        <w:overflowPunct/>
        <w:topLinePunct w:val="0"/>
        <w:autoSpaceDE/>
        <w:autoSpaceDN/>
        <w:bidi w:val="0"/>
        <w:spacing w:line="44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（3）工程设计及；</w:t>
      </w:r>
    </w:p>
    <w:p w14:paraId="27E58FC5">
      <w:pPr>
        <w:keepNext w:val="0"/>
        <w:keepLines w:val="0"/>
        <w:pageBreakBefore w:val="0"/>
        <w:widowControl w:val="0"/>
        <w:kinsoku/>
        <w:wordWrap/>
        <w:overflowPunct/>
        <w:topLinePunct w:val="0"/>
        <w:autoSpaceDE/>
        <w:autoSpaceDN/>
        <w:bidi w:val="0"/>
        <w:spacing w:line="44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（4）本合同及委托人与第三方签订的与实施工程有关的其他合同。</w:t>
      </w:r>
    </w:p>
    <w:p w14:paraId="38922C23">
      <w:pPr>
        <w:keepNext w:val="0"/>
        <w:keepLines w:val="0"/>
        <w:pageBreakBefore w:val="0"/>
        <w:widowControl w:val="0"/>
        <w:kinsoku/>
        <w:wordWrap/>
        <w:overflowPunct/>
        <w:topLinePunct w:val="0"/>
        <w:autoSpaceDE/>
        <w:autoSpaceDN/>
        <w:bidi w:val="0"/>
        <w:spacing w:line="440" w:lineRule="exact"/>
        <w:ind w:left="210" w:leftChars="10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双方根据工程的行业和地域特点，在专用条件中具体约定监理依据。</w:t>
      </w:r>
    </w:p>
    <w:p w14:paraId="05FF1B4A">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2.2.2相关服务依据在专用条件中约定。</w:t>
      </w:r>
    </w:p>
    <w:p w14:paraId="7C5B370C">
      <w:pPr>
        <w:keepNext w:val="0"/>
        <w:keepLines w:val="0"/>
        <w:pageBreakBefore w:val="0"/>
        <w:widowControl w:val="0"/>
        <w:kinsoku/>
        <w:wordWrap/>
        <w:overflowPunct/>
        <w:topLinePunct w:val="0"/>
        <w:autoSpaceDE/>
        <w:autoSpaceDN/>
        <w:bidi w:val="0"/>
        <w:spacing w:line="440" w:lineRule="exact"/>
        <w:ind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2.3项目监理机构和人员</w:t>
      </w:r>
    </w:p>
    <w:p w14:paraId="282ED6C1">
      <w:pPr>
        <w:keepNext w:val="0"/>
        <w:keepLines w:val="0"/>
        <w:pageBreakBefore w:val="0"/>
        <w:widowControl w:val="0"/>
        <w:kinsoku/>
        <w:wordWrap/>
        <w:overflowPunct/>
        <w:topLinePunct w:val="0"/>
        <w:autoSpaceDE/>
        <w:autoSpaceDN/>
        <w:bidi w:val="0"/>
        <w:spacing w:line="440" w:lineRule="exact"/>
        <w:ind w:firstLine="64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2.3.1监理人应组建满足工作需要的项目监理机构，配备必要的检测设备。项目监理机构的主要人员应具有相应的资格条件。</w:t>
      </w:r>
    </w:p>
    <w:p w14:paraId="3B02F631">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2.3.2本合同履行过程中，总监理工程师及岗位监理人员应保持相对稳定，以保证监理工作正常进行。</w:t>
      </w:r>
    </w:p>
    <w:p w14:paraId="77CB3C8C">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10533127">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2.3.4监理人应及时更换有下列情形之一的监理人员：</w:t>
      </w:r>
    </w:p>
    <w:p w14:paraId="3EB95A96">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（1）严重</w:t>
      </w:r>
      <w:r>
        <w:rPr>
          <w:rFonts w:hint="eastAsia" w:ascii="宋体" w:hAnsi="宋体" w:cs="宋体"/>
          <w:color w:val="auto"/>
          <w:kern w:val="0"/>
          <w:sz w:val="21"/>
          <w:szCs w:val="21"/>
          <w:highlight w:val="none"/>
          <w:lang w:val="en-US" w:eastAsia="zh-CN"/>
        </w:rPr>
        <w:t>失职</w:t>
      </w:r>
      <w:r>
        <w:rPr>
          <w:rFonts w:hint="eastAsia" w:ascii="宋体" w:hAnsi="宋体" w:eastAsia="宋体" w:cs="宋体"/>
          <w:color w:val="auto"/>
          <w:kern w:val="0"/>
          <w:sz w:val="21"/>
          <w:szCs w:val="21"/>
          <w:highlight w:val="none"/>
        </w:rPr>
        <w:t>行为的；</w:t>
      </w:r>
    </w:p>
    <w:p w14:paraId="0C2262F3">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cs="宋体"/>
          <w:color w:val="auto"/>
          <w:kern w:val="0"/>
          <w:sz w:val="21"/>
          <w:szCs w:val="21"/>
          <w:highlight w:val="none"/>
          <w:lang w:val="en-US" w:eastAsia="zh-CN"/>
        </w:rPr>
        <w:t>因</w:t>
      </w:r>
      <w:r>
        <w:rPr>
          <w:rFonts w:hint="eastAsia" w:ascii="宋体" w:hAnsi="宋体" w:eastAsia="宋体" w:cs="宋体"/>
          <w:color w:val="auto"/>
          <w:kern w:val="0"/>
          <w:sz w:val="21"/>
          <w:szCs w:val="21"/>
          <w:highlight w:val="none"/>
        </w:rPr>
        <w:t>违法行为不能履行职责的；</w:t>
      </w:r>
    </w:p>
    <w:p w14:paraId="164F94AA">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（3）涉嫌犯罪的；</w:t>
      </w:r>
    </w:p>
    <w:p w14:paraId="382826EC">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（4）不能胜任岗位职责的；</w:t>
      </w:r>
    </w:p>
    <w:p w14:paraId="23801318">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（5）严重违反职业道德的；</w:t>
      </w:r>
    </w:p>
    <w:p w14:paraId="6126449A">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（6）专用条件约定的其他情形。</w:t>
      </w:r>
    </w:p>
    <w:p w14:paraId="2AC9D1C7">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2.3.5委托人可要求监理人更换不能胜任本职工作的项目监理机构人员。</w:t>
      </w:r>
    </w:p>
    <w:p w14:paraId="157A0D73">
      <w:pPr>
        <w:keepNext w:val="0"/>
        <w:keepLines w:val="0"/>
        <w:pageBreakBefore w:val="0"/>
        <w:widowControl w:val="0"/>
        <w:kinsoku/>
        <w:wordWrap/>
        <w:overflowPunct/>
        <w:topLinePunct w:val="0"/>
        <w:autoSpaceDE/>
        <w:autoSpaceDN/>
        <w:bidi w:val="0"/>
        <w:spacing w:line="440" w:lineRule="exact"/>
        <w:ind w:left="210" w:left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2.4履行职责</w:t>
      </w:r>
    </w:p>
    <w:p w14:paraId="28496811">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监理人应遵循职业道德准则和行为规范，严格按照法律法规、工程建设有关标准及本合同履行职责。</w:t>
      </w:r>
    </w:p>
    <w:p w14:paraId="7C567814">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2.4.1在监理与相关服务范围内，委托人和提出的意见和要求，监理人应及时提出处置意见。当委托人与之间发生合同争议时，监理人应协助委托人、协商解决。</w:t>
      </w:r>
    </w:p>
    <w:p w14:paraId="510FC71F">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2.4.2当委托人与之间的合同争议提交仲裁机构仲裁或人民法院审理时，监理人应提供必要的证明资料。</w:t>
      </w:r>
    </w:p>
    <w:p w14:paraId="04DF194A">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2.4.3监理人应在专用条件约定的授权范围内，处理委托人与所签订合同的变更事宜。如果变更超过授权范围，应以书面形式报委托人批准。</w:t>
      </w:r>
    </w:p>
    <w:p w14:paraId="78BC0DD2">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在紧急情况下，为了保护财产和人身安全，监理人所发出的指令未能事先报委托人批准时，应在发出指令后的24小时内以书面形式报委托人。</w:t>
      </w:r>
    </w:p>
    <w:p w14:paraId="58224638">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2.4.4除专用条件另有约定外，监理人发现的人员不能胜任本职工作的，有权要求予以调换。</w:t>
      </w:r>
    </w:p>
    <w:p w14:paraId="3BBEA674">
      <w:pPr>
        <w:keepNext w:val="0"/>
        <w:keepLines w:val="0"/>
        <w:pageBreakBefore w:val="0"/>
        <w:widowControl w:val="0"/>
        <w:kinsoku/>
        <w:wordWrap/>
        <w:overflowPunct/>
        <w:topLinePunct w:val="0"/>
        <w:autoSpaceDE/>
        <w:autoSpaceDN/>
        <w:bidi w:val="0"/>
        <w:spacing w:line="440" w:lineRule="exact"/>
        <w:ind w:left="210" w:left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2.5提交报告</w:t>
      </w:r>
    </w:p>
    <w:p w14:paraId="327CF2CA">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监理人应按专用条件约定的种类、时间和份数向委托人提交监理与相关服务的报告。</w:t>
      </w:r>
    </w:p>
    <w:p w14:paraId="565E14C6">
      <w:pPr>
        <w:keepNext w:val="0"/>
        <w:keepLines w:val="0"/>
        <w:pageBreakBefore w:val="0"/>
        <w:widowControl w:val="0"/>
        <w:kinsoku/>
        <w:wordWrap/>
        <w:overflowPunct/>
        <w:topLinePunct w:val="0"/>
        <w:autoSpaceDE/>
        <w:autoSpaceDN/>
        <w:bidi w:val="0"/>
        <w:spacing w:line="440" w:lineRule="exact"/>
        <w:ind w:left="210" w:left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2.6文件资料</w:t>
      </w:r>
    </w:p>
    <w:p w14:paraId="3D5D39BF">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在本合同履行期内，监理人应在现场保留工作所用的图纸、报告及记录监理工</w:t>
      </w:r>
      <w:r>
        <w:rPr>
          <w:rFonts w:hint="eastAsia" w:ascii="宋体" w:hAnsi="宋体" w:eastAsia="宋体" w:cs="宋体"/>
          <w:color w:val="auto"/>
          <w:sz w:val="21"/>
          <w:szCs w:val="21"/>
          <w:highlight w:val="none"/>
        </w:rPr>
        <w:t>作的相关文件。工程竣工后，应当按照档案管理规定将监理归档。</w:t>
      </w:r>
    </w:p>
    <w:p w14:paraId="63E4C53E">
      <w:pPr>
        <w:keepNext w:val="0"/>
        <w:keepLines w:val="0"/>
        <w:pageBreakBefore w:val="0"/>
        <w:widowControl w:val="0"/>
        <w:kinsoku/>
        <w:wordWrap/>
        <w:overflowPunct/>
        <w:topLinePunct w:val="0"/>
        <w:autoSpaceDE/>
        <w:autoSpaceDN/>
        <w:bidi w:val="0"/>
        <w:spacing w:line="440" w:lineRule="exact"/>
        <w:ind w:left="210" w:left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2.7使用委托人的财产</w:t>
      </w:r>
    </w:p>
    <w:p w14:paraId="1BC8BA05">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755769D4">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3．委托人的义务</w:t>
      </w:r>
    </w:p>
    <w:p w14:paraId="69893F18">
      <w:pPr>
        <w:keepNext w:val="0"/>
        <w:keepLines w:val="0"/>
        <w:pageBreakBefore w:val="0"/>
        <w:widowControl w:val="0"/>
        <w:kinsoku/>
        <w:wordWrap/>
        <w:overflowPunct/>
        <w:topLinePunct w:val="0"/>
        <w:autoSpaceDE/>
        <w:autoSpaceDN/>
        <w:bidi w:val="0"/>
        <w:spacing w:line="440" w:lineRule="exact"/>
        <w:ind w:left="210" w:left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3.1告知</w:t>
      </w:r>
    </w:p>
    <w:p w14:paraId="11345B13">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委托人应在委托人与签订的合同中明确监理人、总监理工程师和授予项目监理机构的权限。如有变更，应及时通知。</w:t>
      </w:r>
    </w:p>
    <w:p w14:paraId="58446497">
      <w:pPr>
        <w:keepNext w:val="0"/>
        <w:keepLines w:val="0"/>
        <w:pageBreakBefore w:val="0"/>
        <w:widowControl w:val="0"/>
        <w:kinsoku/>
        <w:wordWrap/>
        <w:overflowPunct/>
        <w:topLinePunct w:val="0"/>
        <w:autoSpaceDE/>
        <w:autoSpaceDN/>
        <w:bidi w:val="0"/>
        <w:spacing w:line="440" w:lineRule="exact"/>
        <w:ind w:left="210" w:left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3.2提供资料</w:t>
      </w:r>
    </w:p>
    <w:p w14:paraId="74EB2CD4">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委托人应按照附录B约定，向监理人提供工程有关的资料。</w:t>
      </w:r>
      <w:r>
        <w:rPr>
          <w:rFonts w:hint="eastAsia" w:ascii="宋体" w:hAnsi="宋体" w:eastAsia="宋体" w:cs="宋体"/>
          <w:color w:val="auto"/>
          <w:sz w:val="21"/>
          <w:szCs w:val="21"/>
          <w:highlight w:val="none"/>
        </w:rPr>
        <w:t>在本合同履行过程中，委托人应及时向监理人提供最新的与工程有关的资料。</w:t>
      </w:r>
    </w:p>
    <w:p w14:paraId="440645D1">
      <w:pPr>
        <w:keepNext w:val="0"/>
        <w:keepLines w:val="0"/>
        <w:pageBreakBefore w:val="0"/>
        <w:widowControl w:val="0"/>
        <w:kinsoku/>
        <w:wordWrap/>
        <w:overflowPunct/>
        <w:topLinePunct w:val="0"/>
        <w:autoSpaceDE/>
        <w:autoSpaceDN/>
        <w:bidi w:val="0"/>
        <w:spacing w:line="440" w:lineRule="exact"/>
        <w:ind w:left="210" w:left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3.3提供工作条件</w:t>
      </w:r>
    </w:p>
    <w:p w14:paraId="04F2C776">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委托人应为监理人完成监理与相关服务提供必要的条件。</w:t>
      </w:r>
    </w:p>
    <w:p w14:paraId="013A4CC8">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3.3.1</w:t>
      </w:r>
      <w:r>
        <w:rPr>
          <w:rFonts w:hint="eastAsia" w:ascii="宋体" w:hAnsi="宋体" w:eastAsia="宋体" w:cs="宋体"/>
          <w:color w:val="auto"/>
          <w:sz w:val="21"/>
          <w:szCs w:val="21"/>
          <w:highlight w:val="none"/>
        </w:rPr>
        <w:t>委托人应按照附录B约定，派遣相应的人员，提供房屋、设备，供监理人使用。</w:t>
      </w:r>
    </w:p>
    <w:p w14:paraId="305CCC6E">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3.3.2</w:t>
      </w:r>
      <w:r>
        <w:rPr>
          <w:rFonts w:hint="eastAsia" w:ascii="宋体" w:hAnsi="宋体" w:eastAsia="宋体" w:cs="宋体"/>
          <w:color w:val="auto"/>
          <w:sz w:val="21"/>
          <w:szCs w:val="21"/>
          <w:highlight w:val="none"/>
        </w:rPr>
        <w:t>委托人应负责协调工程建设中所有外部关系，为监理人履行本合同提供必要的外部条件。</w:t>
      </w:r>
    </w:p>
    <w:p w14:paraId="5FC5EB48">
      <w:pPr>
        <w:keepNext w:val="0"/>
        <w:keepLines w:val="0"/>
        <w:pageBreakBefore w:val="0"/>
        <w:widowControl w:val="0"/>
        <w:kinsoku/>
        <w:wordWrap/>
        <w:overflowPunct/>
        <w:topLinePunct w:val="0"/>
        <w:autoSpaceDE/>
        <w:autoSpaceDN/>
        <w:bidi w:val="0"/>
        <w:spacing w:line="440" w:lineRule="exact"/>
        <w:ind w:left="210" w:left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3.4委托人代表</w:t>
      </w:r>
    </w:p>
    <w:p w14:paraId="33CFAA3F">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14:paraId="75C2FFC4">
      <w:pPr>
        <w:keepNext w:val="0"/>
        <w:keepLines w:val="0"/>
        <w:pageBreakBefore w:val="0"/>
        <w:widowControl w:val="0"/>
        <w:kinsoku/>
        <w:wordWrap/>
        <w:overflowPunct/>
        <w:topLinePunct w:val="0"/>
        <w:autoSpaceDE/>
        <w:autoSpaceDN/>
        <w:bidi w:val="0"/>
        <w:spacing w:line="440" w:lineRule="exact"/>
        <w:ind w:left="210" w:left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3.5委托人意见或要求</w:t>
      </w:r>
    </w:p>
    <w:p w14:paraId="72D0A7C5">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在本合同约定的监理与相关服务工作范围内，委托人对的任何意见或要求应通知监理人，由监理人向发出相应指令。</w:t>
      </w:r>
    </w:p>
    <w:p w14:paraId="67275BF2">
      <w:pPr>
        <w:keepNext w:val="0"/>
        <w:keepLines w:val="0"/>
        <w:pageBreakBefore w:val="0"/>
        <w:widowControl w:val="0"/>
        <w:kinsoku/>
        <w:wordWrap/>
        <w:overflowPunct/>
        <w:topLinePunct w:val="0"/>
        <w:autoSpaceDE/>
        <w:autoSpaceDN/>
        <w:bidi w:val="0"/>
        <w:spacing w:line="440" w:lineRule="exact"/>
        <w:ind w:left="210" w:left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3.6答复</w:t>
      </w:r>
    </w:p>
    <w:p w14:paraId="6C9A30CC">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委托人应在专用条件约定的时间内，对监理人以书面形式提交并要求作出决定的事宜，给予书面答复。逾期未答复的，视为委托人认可。</w:t>
      </w:r>
    </w:p>
    <w:p w14:paraId="362FE498">
      <w:pPr>
        <w:keepNext w:val="0"/>
        <w:keepLines w:val="0"/>
        <w:pageBreakBefore w:val="0"/>
        <w:widowControl w:val="0"/>
        <w:kinsoku/>
        <w:wordWrap/>
        <w:overflowPunct/>
        <w:topLinePunct w:val="0"/>
        <w:autoSpaceDE/>
        <w:autoSpaceDN/>
        <w:bidi w:val="0"/>
        <w:spacing w:line="440" w:lineRule="exact"/>
        <w:ind w:left="210" w:left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3.7支付</w:t>
      </w:r>
    </w:p>
    <w:p w14:paraId="745233F9">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委托人应按本合同约定，向监理人支付酬金。</w:t>
      </w:r>
    </w:p>
    <w:p w14:paraId="2C3B443D">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4.违约责任</w:t>
      </w:r>
    </w:p>
    <w:p w14:paraId="41DE1EAF">
      <w:pPr>
        <w:keepNext w:val="0"/>
        <w:keepLines w:val="0"/>
        <w:pageBreakBefore w:val="0"/>
        <w:widowControl w:val="0"/>
        <w:kinsoku/>
        <w:wordWrap/>
        <w:overflowPunct/>
        <w:topLinePunct w:val="0"/>
        <w:autoSpaceDE/>
        <w:autoSpaceDN/>
        <w:bidi w:val="0"/>
        <w:spacing w:line="440" w:lineRule="exact"/>
        <w:ind w:left="210" w:left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4.1监理人的违约责任</w:t>
      </w:r>
    </w:p>
    <w:p w14:paraId="6163D2B4">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监理人未履行本合同义务的，应承担相应的责任。</w:t>
      </w:r>
    </w:p>
    <w:p w14:paraId="6ED378FE">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4.1.1因监理人违反本合同约定</w:t>
      </w:r>
      <w:r>
        <w:rPr>
          <w:rFonts w:hint="eastAsia" w:ascii="宋体" w:hAnsi="宋体" w:eastAsia="宋体" w:cs="宋体"/>
          <w:color w:val="auto"/>
          <w:sz w:val="21"/>
          <w:szCs w:val="21"/>
          <w:highlight w:val="none"/>
        </w:rPr>
        <w:t>给委托人造成损失的，监理人应当赔偿委托人损失</w:t>
      </w:r>
      <w:r>
        <w:rPr>
          <w:rFonts w:hint="eastAsia" w:ascii="宋体" w:hAnsi="宋体" w:eastAsia="宋体" w:cs="宋体"/>
          <w:color w:val="auto"/>
          <w:kern w:val="0"/>
          <w:sz w:val="21"/>
          <w:szCs w:val="21"/>
          <w:highlight w:val="none"/>
        </w:rPr>
        <w:t>。赔偿金额的确定方法在专用条件中约定。监理人承担部分赔偿责任的，其承担</w:t>
      </w:r>
      <w:r>
        <w:rPr>
          <w:rFonts w:hint="eastAsia" w:ascii="宋体" w:hAnsi="宋体" w:cs="宋体"/>
          <w:color w:val="auto"/>
          <w:kern w:val="0"/>
          <w:sz w:val="21"/>
          <w:szCs w:val="21"/>
          <w:highlight w:val="none"/>
          <w:lang w:eastAsia="zh-CN"/>
        </w:rPr>
        <w:t>的</w:t>
      </w:r>
      <w:r>
        <w:rPr>
          <w:rFonts w:hint="eastAsia" w:ascii="宋体" w:hAnsi="宋体" w:eastAsia="宋体" w:cs="宋体"/>
          <w:color w:val="auto"/>
          <w:kern w:val="0"/>
          <w:sz w:val="21"/>
          <w:szCs w:val="21"/>
          <w:highlight w:val="none"/>
        </w:rPr>
        <w:t>赔偿金额由双方协商确定。</w:t>
      </w:r>
    </w:p>
    <w:p w14:paraId="651B1691">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4.1.2监理人向委托人的索赔不成立时，监理人应赔偿委托人由此发生的费用。</w:t>
      </w:r>
    </w:p>
    <w:p w14:paraId="3593644C">
      <w:pPr>
        <w:keepNext w:val="0"/>
        <w:keepLines w:val="0"/>
        <w:pageBreakBefore w:val="0"/>
        <w:widowControl w:val="0"/>
        <w:kinsoku/>
        <w:wordWrap/>
        <w:overflowPunct/>
        <w:topLinePunct w:val="0"/>
        <w:autoSpaceDE/>
        <w:autoSpaceDN/>
        <w:bidi w:val="0"/>
        <w:spacing w:line="440" w:lineRule="exact"/>
        <w:ind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4.2委托人的违约责任</w:t>
      </w:r>
    </w:p>
    <w:p w14:paraId="20AF740A">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委托人未履行本合同义务的，应承担相应的责任。</w:t>
      </w:r>
    </w:p>
    <w:p w14:paraId="1FF6DBA5">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4.2.1委托人违反本合同约定造成监理人损失的，委托人应予以赔偿。</w:t>
      </w:r>
    </w:p>
    <w:p w14:paraId="17CAE4F9">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4.2.2委托人向监理人的索赔不成立时，应赔偿监理人由此引起的费用。</w:t>
      </w:r>
    </w:p>
    <w:p w14:paraId="4C8FD2C2">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4.2.3</w:t>
      </w:r>
      <w:r>
        <w:rPr>
          <w:rFonts w:hint="eastAsia" w:ascii="宋体" w:hAnsi="宋体" w:eastAsia="宋体" w:cs="宋体"/>
          <w:color w:val="auto"/>
          <w:kern w:val="0"/>
          <w:sz w:val="21"/>
          <w:szCs w:val="21"/>
          <w:highlight w:val="none"/>
        </w:rPr>
        <w:t>委托人未能按期支付</w:t>
      </w:r>
      <w:r>
        <w:rPr>
          <w:rFonts w:hint="eastAsia" w:ascii="宋体" w:hAnsi="宋体" w:eastAsia="宋体" w:cs="宋体"/>
          <w:color w:val="auto"/>
          <w:sz w:val="21"/>
          <w:szCs w:val="21"/>
          <w:highlight w:val="none"/>
        </w:rPr>
        <w:t>酬金</w:t>
      </w:r>
      <w:r>
        <w:rPr>
          <w:rFonts w:hint="eastAsia" w:ascii="宋体" w:hAnsi="宋体" w:eastAsia="宋体" w:cs="宋体"/>
          <w:color w:val="auto"/>
          <w:kern w:val="0"/>
          <w:sz w:val="21"/>
          <w:szCs w:val="21"/>
          <w:highlight w:val="none"/>
        </w:rPr>
        <w:t>超过28天，应按专用条件约定支付逾期付款利息。</w:t>
      </w:r>
    </w:p>
    <w:p w14:paraId="737653A2">
      <w:pPr>
        <w:keepNext w:val="0"/>
        <w:keepLines w:val="0"/>
        <w:pageBreakBefore w:val="0"/>
        <w:widowControl w:val="0"/>
        <w:kinsoku/>
        <w:wordWrap/>
        <w:overflowPunct/>
        <w:topLinePunct w:val="0"/>
        <w:autoSpaceDE/>
        <w:autoSpaceDN/>
        <w:bidi w:val="0"/>
        <w:spacing w:line="440" w:lineRule="exact"/>
        <w:ind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4.3除外责任</w:t>
      </w:r>
    </w:p>
    <w:p w14:paraId="279CE46F">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因非监理人的原因，且监理人无过错，发生工程质量事故、安全事故、工期延误等造成的损失，监理人不承担赔偿责任。</w:t>
      </w:r>
    </w:p>
    <w:p w14:paraId="2368692E">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因不可抗力导致本合同全部或部分不能履行时，双方各自承担其因此而造成的损失、损害。</w:t>
      </w:r>
    </w:p>
    <w:p w14:paraId="4D5B76CE">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5.支付</w:t>
      </w:r>
    </w:p>
    <w:p w14:paraId="49C645B0">
      <w:pPr>
        <w:keepNext w:val="0"/>
        <w:keepLines w:val="0"/>
        <w:pageBreakBefore w:val="0"/>
        <w:widowControl w:val="0"/>
        <w:kinsoku/>
        <w:wordWrap/>
        <w:overflowPunct/>
        <w:topLinePunct w:val="0"/>
        <w:autoSpaceDE/>
        <w:autoSpaceDN/>
        <w:bidi w:val="0"/>
        <w:spacing w:line="440" w:lineRule="exact"/>
        <w:ind w:left="210" w:leftChars="1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bCs/>
          <w:color w:val="auto"/>
          <w:sz w:val="21"/>
          <w:szCs w:val="21"/>
          <w:highlight w:val="none"/>
        </w:rPr>
        <w:t>支付货币</w:t>
      </w:r>
    </w:p>
    <w:p w14:paraId="37103163">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除专用条件另有约定外，酬金均以人民币支付。涉及外币支付的，所采用的货币种类、比例和汇率在专用条件中约定。</w:t>
      </w:r>
    </w:p>
    <w:p w14:paraId="691189BA">
      <w:pPr>
        <w:keepNext w:val="0"/>
        <w:keepLines w:val="0"/>
        <w:pageBreakBefore w:val="0"/>
        <w:widowControl w:val="0"/>
        <w:kinsoku/>
        <w:wordWrap/>
        <w:overflowPunct/>
        <w:topLinePunct w:val="0"/>
        <w:autoSpaceDE/>
        <w:autoSpaceDN/>
        <w:bidi w:val="0"/>
        <w:spacing w:line="440" w:lineRule="exact"/>
        <w:ind w:left="210" w:leftChars="1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5.2支付申请</w:t>
      </w:r>
    </w:p>
    <w:p w14:paraId="4A55DF0F">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监理人应在本合同约定的每次应付款时间的7天前，向委托人提交支付申请书。支付申请书应当说明当期应付款总额，并列出当期应支付的款项及其金额。</w:t>
      </w:r>
    </w:p>
    <w:p w14:paraId="6935A37A">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5.3支付酬金</w:t>
      </w:r>
    </w:p>
    <w:p w14:paraId="34371D4C">
      <w:pPr>
        <w:keepNext w:val="0"/>
        <w:keepLines w:val="0"/>
        <w:pageBreakBefore w:val="0"/>
        <w:widowControl w:val="0"/>
        <w:kinsoku/>
        <w:wordWrap/>
        <w:overflowPunct/>
        <w:topLinePunct w:val="0"/>
        <w:autoSpaceDE/>
        <w:autoSpaceDN/>
        <w:bidi w:val="0"/>
        <w:spacing w:line="44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支付的酬金包括正常工作酬金、附加工作酬金、建议奖励金额及费用。</w:t>
      </w:r>
    </w:p>
    <w:p w14:paraId="2102B856">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5.4</w:t>
      </w:r>
      <w:r>
        <w:rPr>
          <w:rFonts w:hint="eastAsia" w:ascii="宋体" w:hAnsi="宋体" w:eastAsia="宋体" w:cs="宋体"/>
          <w:bCs/>
          <w:color w:val="auto"/>
          <w:sz w:val="21"/>
          <w:szCs w:val="21"/>
          <w:highlight w:val="none"/>
        </w:rPr>
        <w:t>有争议部分的付款</w:t>
      </w:r>
    </w:p>
    <w:p w14:paraId="4F7BFF87">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14:paraId="372056A6">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6.合同生效、变更、暂停、解除与终止</w:t>
      </w:r>
    </w:p>
    <w:p w14:paraId="775687A9">
      <w:pPr>
        <w:keepNext w:val="0"/>
        <w:keepLines w:val="0"/>
        <w:pageBreakBefore w:val="0"/>
        <w:widowControl w:val="0"/>
        <w:kinsoku/>
        <w:wordWrap/>
        <w:overflowPunct/>
        <w:topLinePunct w:val="0"/>
        <w:autoSpaceDE/>
        <w:autoSpaceDN/>
        <w:bidi w:val="0"/>
        <w:spacing w:line="440" w:lineRule="exact"/>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6.1生效</w:t>
      </w:r>
    </w:p>
    <w:p w14:paraId="135F2D23">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除法律另有规定或者专用条件另有约定外，委托人和监理人的法定代表人或其授权代理人在协议书上签字并盖单位公章后本合同生效。</w:t>
      </w:r>
    </w:p>
    <w:p w14:paraId="5F248223">
      <w:pPr>
        <w:keepNext w:val="0"/>
        <w:keepLines w:val="0"/>
        <w:pageBreakBefore w:val="0"/>
        <w:widowControl w:val="0"/>
        <w:kinsoku/>
        <w:wordWrap/>
        <w:overflowPunct/>
        <w:topLinePunct w:val="0"/>
        <w:autoSpaceDE/>
        <w:autoSpaceDN/>
        <w:bidi w:val="0"/>
        <w:spacing w:line="440" w:lineRule="exact"/>
        <w:ind w:left="210" w:leftChars="1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6.2</w:t>
      </w:r>
      <w:r>
        <w:rPr>
          <w:rFonts w:hint="eastAsia" w:ascii="宋体" w:hAnsi="宋体" w:eastAsia="宋体" w:cs="宋体"/>
          <w:bCs/>
          <w:color w:val="auto"/>
          <w:sz w:val="21"/>
          <w:szCs w:val="21"/>
          <w:highlight w:val="none"/>
        </w:rPr>
        <w:t>变更</w:t>
      </w:r>
    </w:p>
    <w:p w14:paraId="0BFE7AF1">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6.2.1任何一方提出变更请求时，双方经协商一致后可进行变更。</w:t>
      </w:r>
    </w:p>
    <w:p w14:paraId="21DC4BA0">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75EE4058">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62A5B0DD">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6.2.4合同签订后，遇有与工程相关的法律法规、标准颁布或修订的，双方应遵照执行。由此引起监理与相关服务的范围、时间、酬金变化的，双方应通过协商进行相应调整。</w:t>
      </w:r>
    </w:p>
    <w:p w14:paraId="71C73513">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6.2.5因非监理人原因造成工程概算投资额或建筑安装工程费增加时，正常工作酬金应作相应调整。调整方法在专用条件中约定。</w:t>
      </w:r>
    </w:p>
    <w:p w14:paraId="63213B18">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6.2.6因工程规模、监理范围的变化导致监理人的正常工作量减少时，正常工作酬金应作相应调整。调整方法在专用条件中约定。</w:t>
      </w:r>
    </w:p>
    <w:p w14:paraId="1F1AD528">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6.3暂停与</w:t>
      </w:r>
      <w:r>
        <w:rPr>
          <w:rFonts w:hint="eastAsia" w:ascii="宋体" w:hAnsi="宋体" w:eastAsia="宋体" w:cs="宋体"/>
          <w:bCs/>
          <w:color w:val="auto"/>
          <w:sz w:val="21"/>
          <w:szCs w:val="21"/>
          <w:highlight w:val="none"/>
        </w:rPr>
        <w:t>解除</w:t>
      </w:r>
    </w:p>
    <w:p w14:paraId="4570B6A3">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除双方协商一致可以解除本合同外，当一方无正当理由未履行本合同约定的义务时，另一方可以根据本合同约定暂停履行本合同直至解除本合同。</w:t>
      </w:r>
    </w:p>
    <w:p w14:paraId="28570A43">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6.3.1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78185FEF">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因解除本合同或解除监理人的部分义务导致监理人遭受的损失，除依法可以免除责任的情况外，应由委托人予以补偿，补偿金额由双方协商确定。</w:t>
      </w:r>
    </w:p>
    <w:p w14:paraId="3BCA0671">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解除本合同的协议必须采取书面形式，协议未达成之前，本合同仍然有效。</w:t>
      </w:r>
    </w:p>
    <w:p w14:paraId="76812A19">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6.3.2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046D2FC3">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eastAsia="宋体" w:cs="宋体"/>
          <w:color w:val="auto"/>
          <w:kern w:val="0"/>
          <w:sz w:val="21"/>
          <w:szCs w:val="21"/>
          <w:highlight w:val="none"/>
        </w:rPr>
        <w:t>的</w:t>
      </w:r>
      <w:r>
        <w:rPr>
          <w:rFonts w:hint="eastAsia" w:ascii="宋体" w:hAnsi="宋体" w:eastAsia="宋体" w:cs="宋体"/>
          <w:color w:val="auto"/>
          <w:sz w:val="21"/>
          <w:szCs w:val="21"/>
          <w:highlight w:val="none"/>
        </w:rPr>
        <w:t>酬金支付至本合同解除日，且应承担第4.2款约定的责任。</w:t>
      </w:r>
    </w:p>
    <w:p w14:paraId="22EFACF4">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6.3.3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eastAsia="宋体" w:cs="宋体"/>
          <w:color w:val="auto"/>
          <w:kern w:val="0"/>
          <w:sz w:val="21"/>
          <w:szCs w:val="21"/>
          <w:highlight w:val="none"/>
        </w:rPr>
        <w:t>的</w:t>
      </w:r>
      <w:r>
        <w:rPr>
          <w:rFonts w:hint="eastAsia" w:ascii="宋体" w:hAnsi="宋体" w:eastAsia="宋体" w:cs="宋体"/>
          <w:color w:val="auto"/>
          <w:sz w:val="21"/>
          <w:szCs w:val="21"/>
          <w:highlight w:val="none"/>
        </w:rPr>
        <w:t>酬金支付至</w:t>
      </w:r>
      <w:r>
        <w:rPr>
          <w:rFonts w:hint="eastAsia" w:ascii="宋体" w:hAnsi="宋体" w:eastAsia="宋体" w:cs="宋体"/>
          <w:color w:val="auto"/>
          <w:kern w:val="0"/>
          <w:sz w:val="21"/>
          <w:szCs w:val="21"/>
          <w:highlight w:val="none"/>
        </w:rPr>
        <w:t>限期改正通知到达监理人之日</w:t>
      </w:r>
      <w:r>
        <w:rPr>
          <w:rFonts w:hint="eastAsia" w:ascii="宋体" w:hAnsi="宋体" w:eastAsia="宋体" w:cs="宋体"/>
          <w:color w:val="auto"/>
          <w:sz w:val="21"/>
          <w:szCs w:val="21"/>
          <w:highlight w:val="none"/>
        </w:rPr>
        <w:t>，但监理人应承担第4.1款约定的责任。</w:t>
      </w:r>
    </w:p>
    <w:p w14:paraId="7E2D5E4F">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6.3.4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061B4C56">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6.3.5因不可抗力致使本合同部分或全部不能履行时，一方应立即通知另一方，可暂停或解除本合同。</w:t>
      </w:r>
    </w:p>
    <w:p w14:paraId="2F806E3C">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6.3.6本合同解除后，本合同约定的有关结算、清理、争议解决方式的条件仍然有效。</w:t>
      </w:r>
    </w:p>
    <w:p w14:paraId="34787C4D">
      <w:pPr>
        <w:keepNext w:val="0"/>
        <w:keepLines w:val="0"/>
        <w:pageBreakBefore w:val="0"/>
        <w:widowControl w:val="0"/>
        <w:kinsoku/>
        <w:wordWrap/>
        <w:overflowPunct/>
        <w:topLinePunct w:val="0"/>
        <w:autoSpaceDE/>
        <w:autoSpaceDN/>
        <w:bidi w:val="0"/>
        <w:spacing w:line="440" w:lineRule="exact"/>
        <w:ind w:left="210" w:leftChars="1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6.4</w:t>
      </w:r>
      <w:r>
        <w:rPr>
          <w:rFonts w:hint="eastAsia" w:ascii="宋体" w:hAnsi="宋体" w:eastAsia="宋体" w:cs="宋体"/>
          <w:bCs/>
          <w:color w:val="auto"/>
          <w:sz w:val="21"/>
          <w:szCs w:val="21"/>
          <w:highlight w:val="none"/>
        </w:rPr>
        <w:t>终止</w:t>
      </w:r>
    </w:p>
    <w:p w14:paraId="28EBF3CF">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以下条件全部满足时，本合同即告终止：</w:t>
      </w:r>
    </w:p>
    <w:p w14:paraId="5F2AACE7">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（1）监理人完成本合同约定的全部工作；</w:t>
      </w:r>
    </w:p>
    <w:p w14:paraId="112A43B3">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（2）委托人与监理人结清并支付全部酬金。</w:t>
      </w:r>
    </w:p>
    <w:p w14:paraId="6B449A81">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7.争议解决</w:t>
      </w:r>
    </w:p>
    <w:p w14:paraId="4490BDCF">
      <w:pPr>
        <w:keepNext w:val="0"/>
        <w:keepLines w:val="0"/>
        <w:pageBreakBefore w:val="0"/>
        <w:widowControl w:val="0"/>
        <w:kinsoku/>
        <w:wordWrap/>
        <w:overflowPunct/>
        <w:topLinePunct w:val="0"/>
        <w:autoSpaceDE/>
        <w:autoSpaceDN/>
        <w:bidi w:val="0"/>
        <w:spacing w:line="440" w:lineRule="exact"/>
        <w:ind w:left="210" w:leftChars="1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7.1</w:t>
      </w:r>
      <w:r>
        <w:rPr>
          <w:rFonts w:hint="eastAsia" w:ascii="宋体" w:hAnsi="宋体" w:eastAsia="宋体" w:cs="宋体"/>
          <w:bCs/>
          <w:color w:val="auto"/>
          <w:sz w:val="21"/>
          <w:szCs w:val="21"/>
          <w:highlight w:val="none"/>
        </w:rPr>
        <w:t>协商</w:t>
      </w:r>
    </w:p>
    <w:p w14:paraId="1E98C31E">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双方应本着诚信原则协商解决彼此间的争议。</w:t>
      </w:r>
    </w:p>
    <w:p w14:paraId="2AAF17E8">
      <w:pPr>
        <w:keepNext w:val="0"/>
        <w:keepLines w:val="0"/>
        <w:pageBreakBefore w:val="0"/>
        <w:widowControl w:val="0"/>
        <w:kinsoku/>
        <w:wordWrap/>
        <w:overflowPunct/>
        <w:topLinePunct w:val="0"/>
        <w:autoSpaceDE/>
        <w:autoSpaceDN/>
        <w:bidi w:val="0"/>
        <w:spacing w:line="440" w:lineRule="exact"/>
        <w:ind w:left="210" w:leftChars="1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7.2</w:t>
      </w:r>
      <w:r>
        <w:rPr>
          <w:rFonts w:hint="eastAsia" w:ascii="宋体" w:hAnsi="宋体" w:eastAsia="宋体" w:cs="宋体"/>
          <w:bCs/>
          <w:color w:val="auto"/>
          <w:sz w:val="21"/>
          <w:szCs w:val="21"/>
          <w:highlight w:val="none"/>
        </w:rPr>
        <w:t>调解</w:t>
      </w:r>
    </w:p>
    <w:p w14:paraId="24B24293">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如果双方不能在14天内或双方商定的其他时间内解决本合同争议，可以将其提交给专用条件约定的或事后达成协议的调解人进行调解。</w:t>
      </w:r>
    </w:p>
    <w:p w14:paraId="0E534EA7">
      <w:pPr>
        <w:keepNext w:val="0"/>
        <w:keepLines w:val="0"/>
        <w:pageBreakBefore w:val="0"/>
        <w:widowControl w:val="0"/>
        <w:kinsoku/>
        <w:wordWrap/>
        <w:overflowPunct/>
        <w:topLinePunct w:val="0"/>
        <w:autoSpaceDE/>
        <w:autoSpaceDN/>
        <w:bidi w:val="0"/>
        <w:spacing w:line="440" w:lineRule="exact"/>
        <w:ind w:left="210" w:leftChars="1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7.3</w:t>
      </w:r>
      <w:r>
        <w:rPr>
          <w:rFonts w:hint="eastAsia" w:ascii="宋体" w:hAnsi="宋体" w:eastAsia="宋体" w:cs="宋体"/>
          <w:bCs/>
          <w:color w:val="auto"/>
          <w:sz w:val="21"/>
          <w:szCs w:val="21"/>
          <w:highlight w:val="none"/>
        </w:rPr>
        <w:t>诉讼</w:t>
      </w:r>
    </w:p>
    <w:p w14:paraId="609D119D">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双方均有权向项目所在地（崇左市天等县）有管辖权的人民法院提起诉讼。</w:t>
      </w:r>
    </w:p>
    <w:p w14:paraId="6FF45F15">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8.其他</w:t>
      </w:r>
    </w:p>
    <w:p w14:paraId="23C9D290">
      <w:pPr>
        <w:keepNext w:val="0"/>
        <w:keepLines w:val="0"/>
        <w:pageBreakBefore w:val="0"/>
        <w:widowControl w:val="0"/>
        <w:kinsoku/>
        <w:wordWrap/>
        <w:overflowPunct/>
        <w:topLinePunct w:val="0"/>
        <w:autoSpaceDE/>
        <w:autoSpaceDN/>
        <w:bidi w:val="0"/>
        <w:spacing w:line="440" w:lineRule="exact"/>
        <w:ind w:left="210" w:leftChars="1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8.1</w:t>
      </w:r>
      <w:r>
        <w:rPr>
          <w:rFonts w:hint="eastAsia" w:ascii="宋体" w:hAnsi="宋体" w:eastAsia="宋体" w:cs="宋体"/>
          <w:bCs/>
          <w:color w:val="auto"/>
          <w:sz w:val="21"/>
          <w:szCs w:val="21"/>
          <w:highlight w:val="none"/>
        </w:rPr>
        <w:t>外出考察费用</w:t>
      </w:r>
    </w:p>
    <w:p w14:paraId="2AAFAE07">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经委托人同意，监理人员外出考察</w:t>
      </w:r>
      <w:r>
        <w:rPr>
          <w:rFonts w:hint="eastAsia" w:ascii="宋体" w:hAnsi="宋体" w:cs="宋体"/>
          <w:color w:val="auto"/>
          <w:sz w:val="21"/>
          <w:szCs w:val="21"/>
          <w:highlight w:val="none"/>
          <w:lang w:val="en-US" w:eastAsia="zh-CN"/>
        </w:rPr>
        <w:t>或检查</w:t>
      </w:r>
      <w:r>
        <w:rPr>
          <w:rFonts w:hint="eastAsia" w:ascii="宋体" w:hAnsi="宋体" w:eastAsia="宋体" w:cs="宋体"/>
          <w:color w:val="auto"/>
          <w:sz w:val="21"/>
          <w:szCs w:val="21"/>
          <w:highlight w:val="none"/>
        </w:rPr>
        <w:t>发生的费用由委托人审核后支付。</w:t>
      </w:r>
    </w:p>
    <w:p w14:paraId="044ADBA9">
      <w:pPr>
        <w:keepNext w:val="0"/>
        <w:keepLines w:val="0"/>
        <w:pageBreakBefore w:val="0"/>
        <w:widowControl w:val="0"/>
        <w:kinsoku/>
        <w:wordWrap/>
        <w:overflowPunct/>
        <w:topLinePunct w:val="0"/>
        <w:autoSpaceDE/>
        <w:autoSpaceDN/>
        <w:bidi w:val="0"/>
        <w:spacing w:line="440" w:lineRule="exact"/>
        <w:ind w:left="210" w:leftChars="1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8.2</w:t>
      </w:r>
      <w:r>
        <w:rPr>
          <w:rFonts w:hint="eastAsia" w:ascii="宋体" w:hAnsi="宋体" w:eastAsia="宋体" w:cs="宋体"/>
          <w:bCs/>
          <w:color w:val="auto"/>
          <w:sz w:val="21"/>
          <w:szCs w:val="21"/>
          <w:highlight w:val="none"/>
        </w:rPr>
        <w:t>检测费用</w:t>
      </w:r>
    </w:p>
    <w:p w14:paraId="310D72CD">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委托人要求监理人进行的材料和设备检测所发生的费用，由委托人支付，支付时间在专用条件中约定。</w:t>
      </w:r>
    </w:p>
    <w:p w14:paraId="5E6452D4">
      <w:pPr>
        <w:keepNext w:val="0"/>
        <w:keepLines w:val="0"/>
        <w:pageBreakBefore w:val="0"/>
        <w:widowControl w:val="0"/>
        <w:kinsoku/>
        <w:wordWrap/>
        <w:overflowPunct/>
        <w:topLinePunct w:val="0"/>
        <w:autoSpaceDE/>
        <w:autoSpaceDN/>
        <w:bidi w:val="0"/>
        <w:spacing w:line="440" w:lineRule="exact"/>
        <w:ind w:left="210" w:leftChars="1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8.3</w:t>
      </w:r>
      <w:r>
        <w:rPr>
          <w:rFonts w:hint="eastAsia" w:ascii="宋体" w:hAnsi="宋体" w:eastAsia="宋体" w:cs="宋体"/>
          <w:bCs/>
          <w:color w:val="auto"/>
          <w:sz w:val="21"/>
          <w:szCs w:val="21"/>
          <w:highlight w:val="none"/>
        </w:rPr>
        <w:t>咨询费用</w:t>
      </w:r>
    </w:p>
    <w:p w14:paraId="1B5AEAC8">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经委托人同意，根据工程需要由监理人组织的相关咨询论证会以及聘请相关专家等发生的费用由委托人支付，支付时间在专用条件中约定。</w:t>
      </w:r>
    </w:p>
    <w:p w14:paraId="0B6B49C1">
      <w:pPr>
        <w:keepNext w:val="0"/>
        <w:keepLines w:val="0"/>
        <w:pageBreakBefore w:val="0"/>
        <w:widowControl w:val="0"/>
        <w:kinsoku/>
        <w:wordWrap/>
        <w:overflowPunct/>
        <w:topLinePunct w:val="0"/>
        <w:autoSpaceDE/>
        <w:autoSpaceDN/>
        <w:bidi w:val="0"/>
        <w:spacing w:line="440" w:lineRule="exact"/>
        <w:ind w:left="210" w:leftChars="1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8.4</w:t>
      </w:r>
      <w:r>
        <w:rPr>
          <w:rFonts w:hint="eastAsia" w:ascii="宋体" w:hAnsi="宋体" w:eastAsia="宋体" w:cs="宋体"/>
          <w:bCs/>
          <w:color w:val="auto"/>
          <w:sz w:val="21"/>
          <w:szCs w:val="21"/>
          <w:highlight w:val="none"/>
        </w:rPr>
        <w:t>奖励</w:t>
      </w:r>
    </w:p>
    <w:p w14:paraId="030FBA2B">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监理人在服务过程中提出的建议，使委托人获得经济效益的，双方在专用条件中约定奖励金额的确定方法。奖励金额在建议被采纳后，与最近一期的正常工作酬金同期支付。</w:t>
      </w:r>
    </w:p>
    <w:p w14:paraId="49A97785">
      <w:pPr>
        <w:keepNext w:val="0"/>
        <w:keepLines w:val="0"/>
        <w:pageBreakBefore w:val="0"/>
        <w:widowControl w:val="0"/>
        <w:kinsoku/>
        <w:wordWrap/>
        <w:overflowPunct/>
        <w:topLinePunct w:val="0"/>
        <w:autoSpaceDE/>
        <w:autoSpaceDN/>
        <w:bidi w:val="0"/>
        <w:spacing w:line="440" w:lineRule="exact"/>
        <w:ind w:left="210" w:leftChars="1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8.5</w:t>
      </w:r>
      <w:r>
        <w:rPr>
          <w:rFonts w:hint="eastAsia" w:ascii="宋体" w:hAnsi="宋体" w:eastAsia="宋体" w:cs="宋体"/>
          <w:bCs/>
          <w:color w:val="auto"/>
          <w:sz w:val="21"/>
          <w:szCs w:val="21"/>
          <w:highlight w:val="none"/>
        </w:rPr>
        <w:t>守法诚信</w:t>
      </w:r>
    </w:p>
    <w:p w14:paraId="790139A6">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监理人及其工作人员不得从与实施工程有关的第三方处获得任何经济利益。</w:t>
      </w:r>
    </w:p>
    <w:p w14:paraId="3733760F">
      <w:pPr>
        <w:keepNext w:val="0"/>
        <w:keepLines w:val="0"/>
        <w:pageBreakBefore w:val="0"/>
        <w:widowControl w:val="0"/>
        <w:kinsoku/>
        <w:wordWrap/>
        <w:overflowPunct/>
        <w:topLinePunct w:val="0"/>
        <w:autoSpaceDE/>
        <w:autoSpaceDN/>
        <w:bidi w:val="0"/>
        <w:spacing w:line="440" w:lineRule="exact"/>
        <w:ind w:left="210" w:leftChars="1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8.6</w:t>
      </w:r>
      <w:r>
        <w:rPr>
          <w:rFonts w:hint="eastAsia" w:ascii="宋体" w:hAnsi="宋体" w:eastAsia="宋体" w:cs="宋体"/>
          <w:bCs/>
          <w:color w:val="auto"/>
          <w:sz w:val="21"/>
          <w:szCs w:val="21"/>
          <w:highlight w:val="none"/>
        </w:rPr>
        <w:t>保密</w:t>
      </w:r>
    </w:p>
    <w:p w14:paraId="08AC0B07">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双方不得泄露对方申明的保密资料，亦不得泄露与实施工程有关的第三方所提供的保密资料，保密事项在专用条件中约定。</w:t>
      </w:r>
    </w:p>
    <w:p w14:paraId="3FF9B248">
      <w:pPr>
        <w:keepNext w:val="0"/>
        <w:keepLines w:val="0"/>
        <w:pageBreakBefore w:val="0"/>
        <w:widowControl w:val="0"/>
        <w:kinsoku/>
        <w:wordWrap/>
        <w:overflowPunct/>
        <w:topLinePunct w:val="0"/>
        <w:autoSpaceDE/>
        <w:autoSpaceDN/>
        <w:bidi w:val="0"/>
        <w:spacing w:line="440" w:lineRule="exact"/>
        <w:ind w:left="210" w:leftChars="1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8.7</w:t>
      </w:r>
      <w:r>
        <w:rPr>
          <w:rFonts w:hint="eastAsia" w:ascii="宋体" w:hAnsi="宋体" w:eastAsia="宋体" w:cs="宋体"/>
          <w:bCs/>
          <w:color w:val="auto"/>
          <w:sz w:val="21"/>
          <w:szCs w:val="21"/>
          <w:highlight w:val="none"/>
        </w:rPr>
        <w:t>通知</w:t>
      </w:r>
    </w:p>
    <w:p w14:paraId="213F0096">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本合同涉及的通知均应当采用书面形式，并在送达对方时生效，收件人应书面签收。</w:t>
      </w:r>
    </w:p>
    <w:p w14:paraId="51572A35">
      <w:pPr>
        <w:keepNext w:val="0"/>
        <w:keepLines w:val="0"/>
        <w:pageBreakBefore w:val="0"/>
        <w:widowControl w:val="0"/>
        <w:kinsoku/>
        <w:wordWrap/>
        <w:overflowPunct/>
        <w:topLinePunct w:val="0"/>
        <w:autoSpaceDE/>
        <w:autoSpaceDN/>
        <w:bidi w:val="0"/>
        <w:spacing w:line="440" w:lineRule="exact"/>
        <w:ind w:left="210" w:leftChars="1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8.8</w:t>
      </w:r>
      <w:r>
        <w:rPr>
          <w:rFonts w:hint="eastAsia" w:ascii="宋体" w:hAnsi="宋体" w:eastAsia="宋体" w:cs="宋体"/>
          <w:bCs/>
          <w:color w:val="auto"/>
          <w:sz w:val="21"/>
          <w:szCs w:val="21"/>
          <w:highlight w:val="none"/>
        </w:rPr>
        <w:t>著作权</w:t>
      </w:r>
    </w:p>
    <w:p w14:paraId="113E052E">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监理人对其编制的文件拥有著作权。</w:t>
      </w:r>
    </w:p>
    <w:p w14:paraId="21580AD4">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158FCE88">
      <w:pPr>
        <w:pageBreakBefore w:val="0"/>
        <w:kinsoku/>
        <w:wordWrap/>
        <w:overflowPunct/>
        <w:topLinePunct w:val="0"/>
        <w:bidi w:val="0"/>
        <w:spacing w:line="440" w:lineRule="atLeast"/>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第三部分专用条件</w:t>
      </w:r>
    </w:p>
    <w:p w14:paraId="24494ADB">
      <w:pPr>
        <w:pageBreakBefore w:val="0"/>
        <w:kinsoku/>
        <w:wordWrap/>
        <w:overflowPunct/>
        <w:topLinePunct w:val="0"/>
        <w:bidi w:val="0"/>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1.定义与解释</w:t>
      </w:r>
    </w:p>
    <w:p w14:paraId="09136C62">
      <w:pPr>
        <w:pageBreakBefore w:val="0"/>
        <w:kinsoku/>
        <w:wordWrap/>
        <w:overflowPunct/>
        <w:topLinePunct w:val="0"/>
        <w:bidi w:val="0"/>
        <w:spacing w:line="4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1.2解释</w:t>
      </w:r>
    </w:p>
    <w:p w14:paraId="24B8D722">
      <w:pPr>
        <w:pageBreakBefore w:val="0"/>
        <w:kinsoku/>
        <w:wordWrap/>
        <w:overflowPunct/>
        <w:topLinePunct w:val="0"/>
        <w:bidi w:val="0"/>
        <w:spacing w:line="44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1.2.1本合同文件除使用中文外，</w:t>
      </w:r>
      <w:r>
        <w:rPr>
          <w:rFonts w:hint="eastAsia" w:ascii="宋体" w:hAnsi="宋体" w:eastAsia="宋体" w:cs="宋体"/>
          <w:color w:val="auto"/>
          <w:sz w:val="21"/>
          <w:szCs w:val="21"/>
          <w:highlight w:val="none"/>
          <w:u w:val="single"/>
          <w:lang w:val="en-US" w:eastAsia="zh-CN"/>
        </w:rPr>
        <w:t>不使用其它语言</w:t>
      </w:r>
      <w:r>
        <w:rPr>
          <w:rFonts w:hint="eastAsia" w:ascii="宋体" w:hAnsi="宋体" w:eastAsia="宋体" w:cs="宋体"/>
          <w:color w:val="auto"/>
          <w:sz w:val="21"/>
          <w:szCs w:val="21"/>
          <w:highlight w:val="none"/>
        </w:rPr>
        <w:t>。</w:t>
      </w:r>
    </w:p>
    <w:p w14:paraId="0E1C4A28">
      <w:pPr>
        <w:keepNext w:val="0"/>
        <w:keepLines w:val="0"/>
        <w:pageBreakBefore w:val="0"/>
        <w:widowControl w:val="0"/>
        <w:kinsoku/>
        <w:wordWrap/>
        <w:overflowPunct/>
        <w:topLinePunct w:val="0"/>
        <w:autoSpaceDE/>
        <w:autoSpaceDN/>
        <w:bidi w:val="0"/>
        <w:spacing w:line="440" w:lineRule="atLeast"/>
        <w:ind w:left="0" w:leftChars="0" w:firstLine="0" w:firstLineChars="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eastAsia="zh-CN"/>
        </w:rPr>
        <w:t>　　</w:t>
      </w:r>
      <w:r>
        <w:rPr>
          <w:rFonts w:hint="eastAsia" w:ascii="宋体" w:hAnsi="宋体" w:eastAsia="宋体" w:cs="宋体"/>
          <w:color w:val="auto"/>
          <w:sz w:val="21"/>
          <w:szCs w:val="21"/>
          <w:highlight w:val="none"/>
        </w:rPr>
        <w:t>1.2.2约定本合同文件的解释顺序为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（1）本合同协议书及其补充协议（如有）；</w:t>
      </w:r>
      <w:r>
        <w:rPr>
          <w:rFonts w:ascii="宋体" w:hAnsi="宋体" w:eastAsia="宋体" w:cs="宋体"/>
          <w:color w:val="auto"/>
          <w:sz w:val="21"/>
          <w:szCs w:val="21"/>
          <w:highlight w:val="none"/>
          <w:u w:val="single"/>
          <w:lang w:val="en-US" w:eastAsia="zh-CN"/>
        </w:rPr>
        <w:t>（2）中标通知书；（3）专用条件（含其全部附件）；（4）招标文件及其澄清、答疑文件；（5）投标文件及其澄清、答疑文件；（6）通用条件。</w:t>
      </w:r>
    </w:p>
    <w:p w14:paraId="46BB4E25">
      <w:pPr>
        <w:keepNext w:val="0"/>
        <w:keepLines w:val="0"/>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 w:val="21"/>
          <w:szCs w:val="21"/>
          <w:highlight w:val="none"/>
          <w:u w:val="single"/>
          <w:lang w:val="en-US" w:eastAsia="zh-CN"/>
        </w:rPr>
      </w:pPr>
      <w:r>
        <w:rPr>
          <w:rFonts w:ascii="宋体" w:hAnsi="宋体" w:eastAsia="宋体" w:cs="宋体"/>
          <w:color w:val="auto"/>
          <w:sz w:val="21"/>
          <w:szCs w:val="21"/>
          <w:highlight w:val="none"/>
          <w:u w:val="single"/>
          <w:lang w:val="en-US" w:eastAsia="zh-CN"/>
        </w:rPr>
        <w:t>当上述文件之间出现歧义或不一致时，以顺序在前的文件为准。同一类文件以时间在后者为准</w:t>
      </w:r>
      <w:r>
        <w:rPr>
          <w:rFonts w:hint="eastAsia" w:ascii="宋体" w:hAnsi="宋体" w:eastAsia="宋体" w:cs="宋体"/>
          <w:color w:val="auto"/>
          <w:sz w:val="21"/>
          <w:szCs w:val="21"/>
          <w:highlight w:val="none"/>
          <w:u w:val="single"/>
          <w:lang w:val="en-US" w:eastAsia="zh-CN"/>
        </w:rPr>
        <w:t>。</w:t>
      </w:r>
    </w:p>
    <w:p w14:paraId="4AF1CE58">
      <w:pPr>
        <w:pageBreakBefore w:val="0"/>
        <w:kinsoku/>
        <w:wordWrap/>
        <w:overflowPunct/>
        <w:topLinePunct w:val="0"/>
        <w:bidi w:val="0"/>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2.监理人义务</w:t>
      </w:r>
    </w:p>
    <w:p w14:paraId="54344624">
      <w:pPr>
        <w:pageBreakBefore w:val="0"/>
        <w:kinsoku/>
        <w:wordWrap/>
        <w:overflowPunct/>
        <w:topLinePunct w:val="0"/>
        <w:bidi w:val="0"/>
        <w:spacing w:line="440" w:lineRule="atLeast"/>
        <w:ind w:firstLine="207" w:firstLineChars="98"/>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2.1监理的范围和内容</w:t>
      </w:r>
    </w:p>
    <w:p w14:paraId="0211CCF6">
      <w:pPr>
        <w:pageBreakBefore w:val="0"/>
        <w:kinsoku/>
        <w:wordWrap/>
        <w:overflowPunct/>
        <w:topLinePunct w:val="0"/>
        <w:bidi w:val="0"/>
        <w:spacing w:line="440" w:lineRule="atLeast"/>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2.1.1监理范围包括：</w:t>
      </w:r>
      <w:r>
        <w:rPr>
          <w:rFonts w:ascii="宋体" w:hAnsi="宋体" w:eastAsia="宋体" w:cs="宋体"/>
          <w:color w:val="auto"/>
          <w:sz w:val="21"/>
          <w:szCs w:val="21"/>
          <w:highlight w:val="none"/>
          <w:u w:val="single"/>
          <w:lang w:val="en-US" w:eastAsia="zh-CN"/>
        </w:rPr>
        <w:t>本协议第一条约定的项目范围内所有子项目工程的施工阶段的全过程监理服务</w:t>
      </w:r>
      <w:r>
        <w:rPr>
          <w:rFonts w:hint="eastAsia" w:ascii="宋体" w:hAnsi="宋体" w:eastAsia="宋体" w:cs="宋体"/>
          <w:color w:val="auto"/>
          <w:sz w:val="21"/>
          <w:szCs w:val="21"/>
          <w:highlight w:val="none"/>
          <w:u w:val="single"/>
          <w:lang w:val="en-US" w:eastAsia="zh-CN"/>
        </w:rPr>
        <w:t>。</w:t>
      </w:r>
    </w:p>
    <w:p w14:paraId="1C92FB0F">
      <w:pPr>
        <w:pStyle w:val="19"/>
        <w:pageBreakBefore w:val="0"/>
        <w:numPr>
          <w:ilvl w:val="0"/>
          <w:numId w:val="0"/>
        </w:numPr>
        <w:kinsoku/>
        <w:wordWrap/>
        <w:overflowPunct/>
        <w:topLinePunct w:val="0"/>
        <w:autoSpaceDE/>
        <w:autoSpaceDN/>
        <w:bidi w:val="0"/>
        <w:spacing w:before="0" w:after="0" w:line="440" w:lineRule="atLeast"/>
        <w:ind w:firstLine="211" w:firstLineChars="1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color w:val="auto"/>
          <w:sz w:val="21"/>
          <w:szCs w:val="21"/>
          <w:highlight w:val="none"/>
        </w:rPr>
        <w:t>2.1.2监理工作内容还包括：</w:t>
      </w:r>
      <w:r>
        <w:rPr>
          <w:rFonts w:hint="eastAsia" w:ascii="宋体" w:hAnsi="宋体" w:eastAsia="宋体" w:cs="宋体"/>
          <w:b w:val="0"/>
          <w:bCs w:val="0"/>
          <w:color w:val="auto"/>
          <w:kern w:val="0"/>
          <w:sz w:val="21"/>
          <w:szCs w:val="21"/>
          <w:highlight w:val="none"/>
        </w:rPr>
        <w:t>监理人的工作要求</w:t>
      </w:r>
    </w:p>
    <w:p w14:paraId="0CF5C4AE">
      <w:pPr>
        <w:pStyle w:val="19"/>
        <w:pageBreakBefore w:val="0"/>
        <w:numPr>
          <w:ilvl w:val="0"/>
          <w:numId w:val="0"/>
        </w:numPr>
        <w:kinsoku/>
        <w:wordWrap/>
        <w:overflowPunct/>
        <w:topLinePunct w:val="0"/>
        <w:autoSpaceDE/>
        <w:autoSpaceDN/>
        <w:bidi w:val="0"/>
        <w:spacing w:before="0" w:after="0" w:line="440" w:lineRule="atLeast"/>
        <w:ind w:left="560" w:lef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2.1.2.1</w:t>
      </w:r>
      <w:r>
        <w:rPr>
          <w:rFonts w:hint="eastAsia" w:ascii="宋体" w:hAnsi="宋体" w:eastAsia="宋体" w:cs="宋体"/>
          <w:color w:val="auto"/>
          <w:sz w:val="21"/>
          <w:szCs w:val="21"/>
          <w:highlight w:val="none"/>
        </w:rPr>
        <w:t>施工准备阶段</w:t>
      </w:r>
    </w:p>
    <w:p w14:paraId="450FE868">
      <w:pPr>
        <w:pageBreakBefore w:val="0"/>
        <w:kinsoku/>
        <w:wordWrap/>
        <w:overflowPunct/>
        <w:topLinePunct w:val="0"/>
        <w:autoSpaceDE/>
        <w:autoSpaceDN/>
        <w:bidi w:val="0"/>
        <w:spacing w:line="44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审核设计及施工合同文件，进行实地踏勘，做好施工、安全技术交底审批工程原材料（砂、碎石、水泥</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钢筋等）；审查施工组织及人员配备、机械设备、施工方案及主要工艺。</w:t>
      </w:r>
    </w:p>
    <w:p w14:paraId="4F0CEB8B">
      <w:pPr>
        <w:pageBreakBefore w:val="0"/>
        <w:kinsoku/>
        <w:wordWrap/>
        <w:overflowPunct/>
        <w:topLinePunct w:val="0"/>
        <w:autoSpaceDE/>
        <w:autoSpaceDN/>
        <w:bidi w:val="0"/>
        <w:spacing w:line="440" w:lineRule="atLeas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2.1.2.2</w:t>
      </w:r>
      <w:r>
        <w:rPr>
          <w:rFonts w:hint="eastAsia" w:ascii="宋体" w:hAnsi="宋体" w:eastAsia="宋体" w:cs="宋体"/>
          <w:b/>
          <w:bCs/>
          <w:color w:val="auto"/>
          <w:sz w:val="21"/>
          <w:szCs w:val="21"/>
          <w:highlight w:val="none"/>
        </w:rPr>
        <w:t>施工阶段</w:t>
      </w:r>
    </w:p>
    <w:p w14:paraId="04CC5211">
      <w:pPr>
        <w:pageBreakBefore w:val="0"/>
        <w:kinsoku/>
        <w:wordWrap/>
        <w:overflowPunct/>
        <w:topLinePunct w:val="0"/>
        <w:autoSpaceDE/>
        <w:autoSpaceDN/>
        <w:bidi w:val="0"/>
        <w:spacing w:line="44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做到“三同时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三到位”，审批分项、分部工程开工；验收</w:t>
      </w:r>
      <w:r>
        <w:rPr>
          <w:rFonts w:hint="eastAsia" w:ascii="宋体" w:hAnsi="宋体" w:eastAsia="宋体" w:cs="宋体"/>
          <w:color w:val="auto"/>
          <w:sz w:val="21"/>
          <w:szCs w:val="21"/>
          <w:highlight w:val="none"/>
          <w:lang w:eastAsia="zh-CN"/>
        </w:rPr>
        <w:t>结</w:t>
      </w:r>
      <w:r>
        <w:rPr>
          <w:rFonts w:hint="eastAsia" w:ascii="宋体" w:hAnsi="宋体" w:eastAsia="宋体" w:cs="宋体"/>
          <w:color w:val="auto"/>
          <w:sz w:val="21"/>
          <w:szCs w:val="21"/>
          <w:highlight w:val="none"/>
        </w:rPr>
        <w:t>构、配件或设备，检查合格</w:t>
      </w:r>
      <w:r>
        <w:rPr>
          <w:rFonts w:hint="eastAsia" w:ascii="宋体" w:hAnsi="宋体" w:eastAsia="宋体" w:cs="宋体"/>
          <w:color w:val="auto"/>
          <w:sz w:val="21"/>
          <w:szCs w:val="21"/>
          <w:highlight w:val="none"/>
          <w:lang w:eastAsia="zh-CN"/>
        </w:rPr>
        <w:t>后</w:t>
      </w:r>
      <w:r>
        <w:rPr>
          <w:rFonts w:hint="eastAsia" w:ascii="宋体" w:hAnsi="宋体" w:eastAsia="宋体" w:cs="宋体"/>
          <w:color w:val="auto"/>
          <w:sz w:val="21"/>
          <w:szCs w:val="21"/>
          <w:highlight w:val="none"/>
        </w:rPr>
        <w:t>方可准予使用。</w:t>
      </w:r>
    </w:p>
    <w:p w14:paraId="77989B7A">
      <w:pPr>
        <w:pageBreakBefore w:val="0"/>
        <w:kinsoku/>
        <w:wordWrap/>
        <w:overflowPunct/>
        <w:topLinePunct w:val="0"/>
        <w:autoSpaceDE/>
        <w:autoSpaceDN/>
        <w:bidi w:val="0"/>
        <w:spacing w:line="440" w:lineRule="atLeas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　　</w:t>
      </w:r>
      <w:r>
        <w:rPr>
          <w:rFonts w:hint="eastAsia" w:ascii="宋体" w:hAnsi="宋体" w:eastAsia="宋体" w:cs="宋体"/>
          <w:b/>
          <w:bCs/>
          <w:color w:val="auto"/>
          <w:sz w:val="21"/>
          <w:szCs w:val="21"/>
          <w:highlight w:val="none"/>
        </w:rPr>
        <w:t>巡视</w:t>
      </w:r>
      <w:r>
        <w:rPr>
          <w:rFonts w:hint="eastAsia" w:ascii="宋体" w:hAnsi="宋体" w:eastAsia="宋体" w:cs="宋体"/>
          <w:color w:val="auto"/>
          <w:sz w:val="21"/>
          <w:szCs w:val="21"/>
          <w:highlight w:val="none"/>
        </w:rPr>
        <w:t>--监理人员重点巡视正在施工的分项、分部工程是否已批准开工，质量检测、安全管理人员是否按规定到岗；原材料、机械设备及采用</w:t>
      </w:r>
    </w:p>
    <w:p w14:paraId="7E4C303B">
      <w:pPr>
        <w:pageBreakBefore w:val="0"/>
        <w:kinsoku/>
        <w:wordWrap/>
        <w:overflowPunct/>
        <w:topLinePunct w:val="0"/>
        <w:autoSpaceDE/>
        <w:autoSpaceDN/>
        <w:bidi w:val="0"/>
        <w:spacing w:line="440" w:lineRule="atLeas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施工方法与工艺是否与批准的一致，是否按规定进行了施工自检和工序交接。</w:t>
      </w:r>
    </w:p>
    <w:p w14:paraId="32A0BA6A">
      <w:pPr>
        <w:pageBreakBefore w:val="0"/>
        <w:kinsoku/>
        <w:wordWrap/>
        <w:overflowPunct/>
        <w:topLinePunct w:val="0"/>
        <w:autoSpaceDE/>
        <w:autoSpaceDN/>
        <w:bidi w:val="0"/>
        <w:spacing w:line="440" w:lineRule="atLeas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　　</w:t>
      </w:r>
      <w:r>
        <w:rPr>
          <w:rFonts w:hint="eastAsia" w:ascii="宋体" w:hAnsi="宋体" w:eastAsia="宋体" w:cs="宋体"/>
          <w:b/>
          <w:bCs/>
          <w:color w:val="auto"/>
          <w:sz w:val="21"/>
          <w:szCs w:val="21"/>
          <w:highlight w:val="none"/>
        </w:rPr>
        <w:t>旁站</w:t>
      </w:r>
      <w:r>
        <w:rPr>
          <w:rFonts w:hint="eastAsia" w:ascii="宋体" w:hAnsi="宋体" w:eastAsia="宋体" w:cs="宋体"/>
          <w:color w:val="auto"/>
          <w:sz w:val="21"/>
          <w:szCs w:val="21"/>
          <w:highlight w:val="none"/>
        </w:rPr>
        <w:t>--监理人员应对试验工程、隐蔽工程和完工后无法检测其质量或返工会造成损失的工程进行旁站、并做好记录、验收。重点对旁站项目的工艺过程进行监督，并按规定内容进行检查，对发现的问题应责令立即改正；当可能危及工程质量、安全或环境时，应予制止并及时向建设单位报告。</w:t>
      </w:r>
    </w:p>
    <w:p w14:paraId="57336A90">
      <w:pPr>
        <w:pageBreakBefore w:val="0"/>
        <w:kinsoku/>
        <w:wordWrap/>
        <w:overflowPunct/>
        <w:topLinePunct w:val="0"/>
        <w:autoSpaceDE/>
        <w:autoSpaceDN/>
        <w:bidi w:val="0"/>
        <w:spacing w:line="440" w:lineRule="atLeast"/>
        <w:ind w:firstLine="417" w:firstLineChars="19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关键工序应留存相应的图像资料进行存档（抄报建设单位），无保留有相关证据造成施工单位与建设单位发生纠纷的按前述比例扣款，工程建设程序经验收合格后方能进行下一步工序施工。</w:t>
      </w:r>
    </w:p>
    <w:p w14:paraId="2D61ED5B">
      <w:pPr>
        <w:pageBreakBefore w:val="0"/>
        <w:kinsoku/>
        <w:wordWrap/>
        <w:overflowPunct/>
        <w:topLinePunct w:val="0"/>
        <w:autoSpaceDE/>
        <w:autoSpaceDN/>
        <w:bidi w:val="0"/>
        <w:spacing w:line="440" w:lineRule="atLeas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2.1.2.3竣工</w:t>
      </w:r>
    </w:p>
    <w:p w14:paraId="3A0C32A1">
      <w:pPr>
        <w:pageBreakBefore w:val="0"/>
        <w:kinsoku/>
        <w:wordWrap/>
        <w:overflowPunct/>
        <w:topLinePunct w:val="0"/>
        <w:bidi w:val="0"/>
        <w:spacing w:line="44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监理人应按有关规定及时对已完工工程进行质量评定，签认工程进度款支付凭证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及时整理项目工程监理资料并提交建设单位审核、备案</w:t>
      </w:r>
      <w:r>
        <w:rPr>
          <w:rFonts w:hint="eastAsia" w:ascii="宋体" w:hAnsi="宋体" w:eastAsia="宋体" w:cs="宋体"/>
          <w:color w:val="auto"/>
          <w:sz w:val="21"/>
          <w:szCs w:val="21"/>
          <w:highlight w:val="none"/>
        </w:rPr>
        <w:t>。</w:t>
      </w:r>
    </w:p>
    <w:p w14:paraId="0B885DEF">
      <w:pPr>
        <w:pageBreakBefore w:val="0"/>
        <w:kinsoku/>
        <w:wordWrap/>
        <w:overflowPunct/>
        <w:topLinePunct w:val="0"/>
        <w:bidi w:val="0"/>
        <w:spacing w:line="44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2.2监理与相关服务依据</w:t>
      </w:r>
    </w:p>
    <w:p w14:paraId="3043AEB1">
      <w:pPr>
        <w:pageBreakBefore w:val="0"/>
        <w:kinsoku/>
        <w:wordWrap/>
        <w:overflowPunct/>
        <w:topLinePunct w:val="0"/>
        <w:bidi w:val="0"/>
        <w:spacing w:line="44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2.2.1监理依据包括：</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319B482">
      <w:pPr>
        <w:pageBreakBefore w:val="0"/>
        <w:kinsoku/>
        <w:wordWrap/>
        <w:overflowPunct/>
        <w:topLinePunct w:val="0"/>
        <w:bidi w:val="0"/>
        <w:spacing w:line="440" w:lineRule="atLeast"/>
        <w:ind w:firstLine="420" w:firstLineChars="200"/>
        <w:rPr>
          <w:rFonts w:hint="eastAsia" w:ascii="宋体" w:hAnsi="宋体" w:eastAsia="宋体" w:cs="宋体"/>
          <w:dstrike/>
          <w:color w:val="auto"/>
          <w:sz w:val="21"/>
          <w:szCs w:val="21"/>
          <w:highlight w:val="none"/>
        </w:rPr>
      </w:pPr>
      <w:r>
        <w:rPr>
          <w:rFonts w:hint="eastAsia" w:ascii="宋体" w:hAnsi="宋体" w:eastAsia="宋体" w:cs="宋体"/>
          <w:color w:val="auto"/>
          <w:sz w:val="21"/>
          <w:szCs w:val="21"/>
          <w:highlight w:val="none"/>
        </w:rPr>
        <w:t>2.2.2相关服务依据包括：</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4E3E3E8F">
      <w:pPr>
        <w:pageBreakBefore w:val="0"/>
        <w:kinsoku/>
        <w:wordWrap/>
        <w:overflowPunct/>
        <w:topLinePunct w:val="0"/>
        <w:bidi w:val="0"/>
        <w:spacing w:line="4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r>
        <w:rPr>
          <w:rFonts w:hint="eastAsia" w:ascii="宋体" w:hAnsi="宋体" w:eastAsia="宋体" w:cs="宋体"/>
          <w:color w:val="auto"/>
          <w:kern w:val="0"/>
          <w:sz w:val="21"/>
          <w:szCs w:val="21"/>
          <w:highlight w:val="none"/>
        </w:rPr>
        <w:t>项目监理机构和人员</w:t>
      </w:r>
    </w:p>
    <w:p w14:paraId="23ECF4EA">
      <w:pPr>
        <w:pageBreakBefore w:val="0"/>
        <w:kinsoku/>
        <w:wordWrap/>
        <w:overflowPunct/>
        <w:topLinePunct w:val="0"/>
        <w:bidi w:val="0"/>
        <w:spacing w:line="440" w:lineRule="atLeast"/>
        <w:ind w:firstLine="205" w:firstLineChars="98"/>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2.3.3更换总监理工程师，必须提前</w:t>
      </w:r>
      <w:r>
        <w:rPr>
          <w:rFonts w:ascii="宋体" w:hAnsi="宋体" w:eastAsia="宋体" w:cs="宋体"/>
          <w:color w:val="auto"/>
          <w:sz w:val="21"/>
          <w:szCs w:val="21"/>
          <w:highlight w:val="none"/>
          <w:lang w:val="en-US" w:eastAsia="zh-CN"/>
        </w:rPr>
        <w:t>14个工作日向提交书面申请，并提供拟更换人员的详细资格证明材料，经书面批准后方可更换。更换后的总监理工程师资质不得低于原人员，且须满足招标文件要求。未经批准擅自更换，视为违约。</w:t>
      </w:r>
      <w:r>
        <w:rPr>
          <w:rFonts w:ascii="宋体" w:hAnsi="宋体" w:eastAsia="宋体" w:cs="宋体"/>
          <w:color w:val="auto"/>
          <w:sz w:val="21"/>
          <w:szCs w:val="21"/>
          <w:highlight w:val="none"/>
          <w:lang w:val="en-US" w:eastAsia="zh-CN"/>
        </w:rPr>
        <w:br w:type="textWrapping" w:clear="all"/>
      </w:r>
      <w:r>
        <w:rPr>
          <w:rFonts w:ascii="宋体" w:hAnsi="宋体" w:eastAsia="宋体" w:cs="宋体"/>
          <w:color w:val="auto"/>
          <w:sz w:val="21"/>
          <w:szCs w:val="21"/>
          <w:highlight w:val="none"/>
          <w:lang w:val="en-US" w:eastAsia="zh-CN"/>
        </w:rPr>
        <w:t>2.3.4更换监理人员的其他情形：有权要求更换被认为不称职、不尽责或不符合附件三要求的任何监理人员，应在收到书面通知后7个工作日内完成更换。</w:t>
      </w:r>
    </w:p>
    <w:p w14:paraId="5EA08E05">
      <w:pPr>
        <w:pageBreakBefore w:val="0"/>
        <w:kinsoku/>
        <w:wordWrap/>
        <w:overflowPunct/>
        <w:topLinePunct w:val="0"/>
        <w:bidi w:val="0"/>
        <w:spacing w:line="440" w:lineRule="atLeast"/>
        <w:ind w:firstLine="205" w:firstLineChars="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r>
        <w:rPr>
          <w:rFonts w:hint="eastAsia" w:ascii="宋体" w:hAnsi="宋体" w:eastAsia="宋体" w:cs="宋体"/>
          <w:color w:val="auto"/>
          <w:kern w:val="0"/>
          <w:sz w:val="21"/>
          <w:szCs w:val="21"/>
          <w:highlight w:val="none"/>
        </w:rPr>
        <w:t>履行职责</w:t>
      </w:r>
    </w:p>
    <w:p w14:paraId="43EFB472">
      <w:pPr>
        <w:pageBreakBefore w:val="0"/>
        <w:kinsoku/>
        <w:wordWrap/>
        <w:overflowPunct/>
        <w:topLinePunct w:val="0"/>
        <w:bidi w:val="0"/>
        <w:spacing w:line="440" w:lineRule="atLeas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2.4.3对监理人的授权范围：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F40B938">
      <w:pPr>
        <w:pageBreakBefore w:val="0"/>
        <w:kinsoku/>
        <w:wordWrap/>
        <w:overflowPunct/>
        <w:topLinePunct w:val="0"/>
        <w:bidi w:val="0"/>
        <w:spacing w:line="440" w:lineRule="atLeast"/>
        <w:ind w:firstLine="420" w:firstLineChars="200"/>
        <w:outlineLvl w:val="0"/>
        <w:rPr>
          <w:rFonts w:hint="eastAsia" w:ascii="宋体" w:hAnsi="宋体" w:eastAsia="宋体" w:cs="宋体"/>
          <w:color w:val="auto"/>
          <w:sz w:val="21"/>
          <w:szCs w:val="21"/>
          <w:highlight w:val="none"/>
        </w:rPr>
      </w:pPr>
      <w:bookmarkStart w:id="185" w:name="_Toc11005"/>
      <w:r>
        <w:rPr>
          <w:rFonts w:hint="eastAsia" w:ascii="宋体" w:hAnsi="宋体" w:eastAsia="宋体" w:cs="宋体"/>
          <w:color w:val="auto"/>
          <w:sz w:val="21"/>
          <w:szCs w:val="21"/>
          <w:highlight w:val="none"/>
        </w:rPr>
        <w:t>在涉及工程延期</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天内和（或）金额</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万元内的变更，监理人</w:t>
      </w:r>
      <w:r>
        <w:rPr>
          <w:rFonts w:hint="eastAsia" w:ascii="宋体" w:hAnsi="宋体" w:cs="宋体"/>
          <w:color w:val="auto"/>
          <w:sz w:val="21"/>
          <w:szCs w:val="21"/>
          <w:highlight w:val="none"/>
          <w:lang w:val="en-US" w:eastAsia="zh-CN"/>
        </w:rPr>
        <w:t>无</w:t>
      </w:r>
      <w:r>
        <w:rPr>
          <w:rFonts w:hint="eastAsia" w:ascii="宋体" w:hAnsi="宋体" w:eastAsia="宋体" w:cs="宋体"/>
          <w:color w:val="auto"/>
          <w:sz w:val="21"/>
          <w:szCs w:val="21"/>
          <w:highlight w:val="none"/>
        </w:rPr>
        <w:t>需请示委托人即可向发布变更通知。</w:t>
      </w:r>
      <w:bookmarkEnd w:id="185"/>
    </w:p>
    <w:p w14:paraId="17B6BDA7">
      <w:pPr>
        <w:pageBreakBefore w:val="0"/>
        <w:kinsoku/>
        <w:wordWrap/>
        <w:overflowPunct/>
        <w:topLinePunct w:val="0"/>
        <w:bidi w:val="0"/>
        <w:spacing w:line="440" w:lineRule="atLeast"/>
        <w:ind w:firstLine="315" w:firstLineChars="15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2.4.4监理人有权要求调换其人员</w:t>
      </w:r>
      <w:r>
        <w:rPr>
          <w:rFonts w:hint="eastAsia" w:ascii="宋体" w:hAnsi="宋体" w:eastAsia="宋体" w:cs="宋体"/>
          <w:color w:val="auto"/>
          <w:sz w:val="21"/>
          <w:szCs w:val="21"/>
          <w:highlight w:val="none"/>
        </w:rPr>
        <w:t>的限制条件：</w:t>
      </w:r>
      <w:r>
        <w:rPr>
          <w:rFonts w:hint="eastAsia" w:ascii="宋体" w:hAnsi="宋体" w:cs="宋体"/>
          <w:color w:val="auto"/>
          <w:sz w:val="21"/>
          <w:szCs w:val="21"/>
          <w:highlight w:val="none"/>
          <w:u w:val="single"/>
          <w:lang w:val="en-US" w:eastAsia="zh-CN"/>
        </w:rPr>
        <w:t>无</w:t>
      </w:r>
      <w:r>
        <w:rPr>
          <w:rFonts w:hint="eastAsia" w:ascii="宋体" w:hAnsi="宋体" w:eastAsia="宋体" w:cs="宋体"/>
          <w:color w:val="auto"/>
          <w:sz w:val="21"/>
          <w:szCs w:val="21"/>
          <w:highlight w:val="none"/>
        </w:rPr>
        <w:t>。</w:t>
      </w:r>
    </w:p>
    <w:p w14:paraId="11F0EE75">
      <w:pPr>
        <w:pageBreakBefore w:val="0"/>
        <w:kinsoku/>
        <w:wordWrap/>
        <w:overflowPunct/>
        <w:topLinePunct w:val="0"/>
        <w:bidi w:val="0"/>
        <w:spacing w:line="440" w:lineRule="atLeast"/>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2.5</w:t>
      </w:r>
      <w:r>
        <w:rPr>
          <w:rFonts w:hint="eastAsia" w:ascii="宋体" w:hAnsi="宋体" w:eastAsia="宋体" w:cs="宋体"/>
          <w:color w:val="auto"/>
          <w:sz w:val="21"/>
          <w:szCs w:val="21"/>
          <w:highlight w:val="none"/>
        </w:rPr>
        <w:t>提交</w:t>
      </w:r>
      <w:r>
        <w:rPr>
          <w:rFonts w:hint="eastAsia" w:ascii="宋体" w:hAnsi="宋体" w:eastAsia="宋体" w:cs="宋体"/>
          <w:color w:val="auto"/>
          <w:kern w:val="0"/>
          <w:sz w:val="21"/>
          <w:szCs w:val="21"/>
          <w:highlight w:val="none"/>
        </w:rPr>
        <w:t>报告</w:t>
      </w:r>
    </w:p>
    <w:p w14:paraId="5A8E44EC">
      <w:pPr>
        <w:pageBreakBefore w:val="0"/>
        <w:kinsoku/>
        <w:wordWrap/>
        <w:overflowPunct/>
        <w:topLinePunct w:val="0"/>
        <w:bidi w:val="0"/>
        <w:spacing w:line="440" w:lineRule="atLeast"/>
        <w:ind w:firstLine="525"/>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监理人应提交报告的种类(</w:t>
      </w:r>
      <w:r>
        <w:rPr>
          <w:rFonts w:hint="eastAsia" w:ascii="宋体" w:hAnsi="宋体" w:eastAsia="宋体" w:cs="宋体"/>
          <w:color w:val="auto"/>
          <w:kern w:val="0"/>
          <w:sz w:val="21"/>
          <w:szCs w:val="21"/>
          <w:highlight w:val="none"/>
        </w:rPr>
        <w:t>包括监理规划、监理月报及约定的专项报告)、时间和份数：</w:t>
      </w:r>
      <w:r>
        <w:rPr>
          <w:rFonts w:hint="eastAsia" w:ascii="宋体" w:hAnsi="宋体" w:eastAsia="宋体" w:cs="宋体"/>
          <w:color w:val="auto"/>
          <w:kern w:val="0"/>
          <w:sz w:val="21"/>
          <w:szCs w:val="21"/>
          <w:highlight w:val="none"/>
          <w:u w:val="single"/>
        </w:rPr>
        <w:t>监理人应提交报告的种类、时间、份数和质量要求，</w:t>
      </w:r>
      <w:r>
        <w:rPr>
          <w:rFonts w:ascii="宋体" w:hAnsi="宋体" w:eastAsia="宋体" w:cs="宋体"/>
          <w:color w:val="auto"/>
          <w:kern w:val="0"/>
          <w:sz w:val="21"/>
          <w:szCs w:val="21"/>
          <w:highlight w:val="none"/>
          <w:u w:val="single"/>
        </w:rPr>
        <w:t>严格按照</w:t>
      </w:r>
      <w:r>
        <w:rPr>
          <w:rFonts w:hint="eastAsia" w:ascii="宋体" w:hAnsi="宋体" w:eastAsia="宋体" w:cs="宋体"/>
          <w:color w:val="auto"/>
          <w:kern w:val="0"/>
          <w:sz w:val="21"/>
          <w:szCs w:val="21"/>
          <w:highlight w:val="none"/>
          <w:u w:val="single"/>
          <w:lang w:val="en-US" w:eastAsia="zh-CN"/>
        </w:rPr>
        <w:t>采购要求执行。</w:t>
      </w:r>
    </w:p>
    <w:p w14:paraId="5805AF17">
      <w:pPr>
        <w:pageBreakBefore w:val="0"/>
        <w:kinsoku/>
        <w:wordWrap/>
        <w:overflowPunct/>
        <w:topLinePunct w:val="0"/>
        <w:bidi w:val="0"/>
        <w:spacing w:line="440" w:lineRule="atLeast"/>
        <w:ind w:firstLine="52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2.7使用委托人的财产</w:t>
      </w:r>
    </w:p>
    <w:p w14:paraId="69680C8C">
      <w:pPr>
        <w:pageBreakBefore w:val="0"/>
        <w:kinsoku/>
        <w:wordWrap/>
        <w:overflowPunct/>
        <w:topLinePunct w:val="0"/>
        <w:bidi w:val="0"/>
        <w:spacing w:line="440"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附录B中由委托人提供的房屋、设备的所有权属于：</w:t>
      </w:r>
      <w:r>
        <w:rPr>
          <w:rFonts w:hint="eastAsia" w:ascii="宋体" w:hAnsi="宋体" w:cs="宋体"/>
          <w:color w:val="auto"/>
          <w:sz w:val="21"/>
          <w:szCs w:val="21"/>
          <w:highlight w:val="none"/>
          <w:u w:val="single"/>
          <w:lang w:val="en-US" w:eastAsia="zh-CN"/>
        </w:rPr>
        <w:t>委托人</w:t>
      </w:r>
      <w:r>
        <w:rPr>
          <w:rFonts w:hint="eastAsia" w:ascii="宋体" w:hAnsi="宋体" w:eastAsia="宋体" w:cs="宋体"/>
          <w:color w:val="auto"/>
          <w:sz w:val="21"/>
          <w:szCs w:val="21"/>
          <w:highlight w:val="none"/>
        </w:rPr>
        <w:t>。</w:t>
      </w:r>
    </w:p>
    <w:p w14:paraId="2936853B">
      <w:pPr>
        <w:pageBreakBefore w:val="0"/>
        <w:kinsoku/>
        <w:wordWrap/>
        <w:overflowPunct/>
        <w:topLinePunct w:val="0"/>
        <w:bidi w:val="0"/>
        <w:spacing w:line="440" w:lineRule="atLeas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监理人应在本合同终止后</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天内移交委托人提供的房屋、设备，移交的时间和方式为：</w:t>
      </w:r>
      <w:r>
        <w:t>双方另行约定</w:t>
      </w:r>
      <w:r>
        <w:rPr>
          <w:rFonts w:hint="eastAsia" w:ascii="宋体" w:hAnsi="宋体" w:eastAsia="宋体" w:cs="宋体"/>
          <w:color w:val="auto"/>
          <w:sz w:val="21"/>
          <w:szCs w:val="21"/>
          <w:highlight w:val="none"/>
        </w:rPr>
        <w:t>。</w:t>
      </w:r>
    </w:p>
    <w:p w14:paraId="75B5D72D">
      <w:pPr>
        <w:pageBreakBefore w:val="0"/>
        <w:kinsoku/>
        <w:wordWrap/>
        <w:overflowPunct/>
        <w:topLinePunct w:val="0"/>
        <w:bidi w:val="0"/>
        <w:spacing w:line="440" w:lineRule="atLeast"/>
        <w:rPr>
          <w:rFonts w:hint="eastAsia" w:ascii="宋体" w:hAnsi="宋体" w:eastAsia="宋体" w:cs="宋体"/>
          <w:b/>
          <w:color w:val="auto"/>
          <w:sz w:val="21"/>
          <w:szCs w:val="21"/>
          <w:highlight w:val="none"/>
          <w:lang w:eastAsia="zh-CN"/>
        </w:rPr>
      </w:pPr>
      <w:r>
        <w:rPr>
          <w:rFonts w:hint="eastAsia" w:ascii="宋体" w:hAnsi="宋体" w:eastAsia="宋体" w:cs="宋体"/>
          <w:b/>
          <w:color w:val="auto"/>
          <w:kern w:val="0"/>
          <w:sz w:val="21"/>
          <w:szCs w:val="21"/>
          <w:highlight w:val="none"/>
        </w:rPr>
        <w:t>3.委托人义务</w:t>
      </w:r>
    </w:p>
    <w:p w14:paraId="56D09A40">
      <w:pPr>
        <w:pageBreakBefore w:val="0"/>
        <w:kinsoku/>
        <w:wordWrap/>
        <w:overflowPunct/>
        <w:topLinePunct w:val="0"/>
        <w:bidi w:val="0"/>
        <w:spacing w:line="440" w:lineRule="atLeas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3.4委托人代表</w:t>
      </w:r>
    </w:p>
    <w:p w14:paraId="0B844BC2">
      <w:pPr>
        <w:pageBreakBefore w:val="0"/>
        <w:kinsoku/>
        <w:wordWrap/>
        <w:overflowPunct/>
        <w:topLinePunct w:val="0"/>
        <w:bidi w:val="0"/>
        <w:spacing w:line="440" w:lineRule="atLeas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委托人代表为</w:t>
      </w:r>
      <w:r>
        <w:rPr>
          <w:rFonts w:hint="eastAsia" w:ascii="宋体" w:hAnsi="宋体" w:eastAsia="宋体" w:cs="宋体"/>
          <w:color w:val="auto"/>
          <w:sz w:val="21"/>
          <w:szCs w:val="21"/>
          <w:highlight w:val="none"/>
          <w:u w:val="single"/>
        </w:rPr>
        <w:t>：</w:t>
      </w:r>
      <w:r>
        <w:rPr>
          <w:rFonts w:ascii="宋体" w:hAnsi="宋体" w:eastAsia="宋体" w:cs="宋体"/>
          <w:color w:val="auto"/>
          <w:kern w:val="0"/>
          <w:sz w:val="21"/>
          <w:szCs w:val="21"/>
          <w:highlight w:val="none"/>
          <w:u w:val="single"/>
        </w:rPr>
        <w:t>李志燕（项目联系人），其职权范围以书面授权为准。</w:t>
      </w:r>
      <w:r>
        <w:rPr>
          <w:rFonts w:hint="eastAsia" w:ascii="宋体" w:hAnsi="宋体" w:cs="宋体"/>
          <w:color w:val="auto"/>
          <w:kern w:val="0"/>
          <w:sz w:val="21"/>
          <w:szCs w:val="21"/>
          <w:highlight w:val="none"/>
          <w:u w:val="single"/>
          <w:lang w:val="en-US" w:eastAsia="zh-CN"/>
        </w:rPr>
        <w:t>委托人</w:t>
      </w:r>
      <w:r>
        <w:rPr>
          <w:rFonts w:ascii="宋体" w:hAnsi="宋体" w:eastAsia="宋体" w:cs="宋体"/>
          <w:color w:val="auto"/>
          <w:kern w:val="0"/>
          <w:sz w:val="21"/>
          <w:szCs w:val="21"/>
          <w:highlight w:val="none"/>
          <w:u w:val="single"/>
        </w:rPr>
        <w:t>更换委托人代表应提前3日书面通知</w:t>
      </w:r>
      <w:r>
        <w:rPr>
          <w:rFonts w:hint="eastAsia" w:ascii="宋体" w:hAnsi="宋体" w:eastAsia="宋体" w:cs="宋体"/>
          <w:color w:val="auto"/>
          <w:kern w:val="0"/>
          <w:sz w:val="21"/>
          <w:szCs w:val="21"/>
          <w:highlight w:val="none"/>
          <w:u w:val="single"/>
        </w:rPr>
        <w:t>。</w:t>
      </w:r>
    </w:p>
    <w:p w14:paraId="4AB91A93">
      <w:pPr>
        <w:pageBreakBefore w:val="0"/>
        <w:kinsoku/>
        <w:wordWrap/>
        <w:overflowPunct/>
        <w:topLinePunct w:val="0"/>
        <w:bidi w:val="0"/>
        <w:spacing w:line="440" w:lineRule="atLeast"/>
        <w:ind w:firstLine="205" w:firstLineChars="98"/>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3.6答复</w:t>
      </w:r>
    </w:p>
    <w:p w14:paraId="54DD6BCC">
      <w:pPr>
        <w:pageBreakBefore w:val="0"/>
        <w:kinsoku/>
        <w:wordWrap/>
        <w:overflowPunct/>
        <w:topLinePunct w:val="0"/>
        <w:bidi w:val="0"/>
        <w:spacing w:line="440" w:lineRule="atLeast"/>
        <w:ind w:firstLine="420" w:firstLineChars="200"/>
        <w:rPr>
          <w:rFonts w:hint="eastAsia" w:ascii="宋体" w:hAnsi="宋体" w:eastAsia="宋体" w:cs="宋体"/>
          <w:color w:val="auto"/>
          <w:kern w:val="0"/>
          <w:sz w:val="21"/>
          <w:szCs w:val="21"/>
          <w:highlight w:val="none"/>
          <w:u w:val="single"/>
        </w:rPr>
      </w:pPr>
      <w:r>
        <w:rPr>
          <w:rFonts w:ascii="宋体" w:hAnsi="宋体" w:eastAsia="宋体" w:cs="宋体"/>
          <w:color w:val="auto"/>
          <w:kern w:val="0"/>
          <w:sz w:val="21"/>
          <w:szCs w:val="21"/>
          <w:highlight w:val="none"/>
          <w:u w:val="single"/>
        </w:rPr>
        <w:t>委托人同意在7日内，对监理人书面提交并要求做出决定的事宜给予书面答复。涉及工程变更、费用索赔等重大事项，双方可另行商定合理答复时间</w:t>
      </w:r>
      <w:r>
        <w:rPr>
          <w:rFonts w:hint="eastAsia" w:ascii="宋体" w:hAnsi="宋体" w:eastAsia="宋体" w:cs="宋体"/>
          <w:color w:val="auto"/>
          <w:kern w:val="0"/>
          <w:sz w:val="21"/>
          <w:szCs w:val="21"/>
          <w:highlight w:val="none"/>
          <w:u w:val="single"/>
        </w:rPr>
        <w:t>。</w:t>
      </w:r>
    </w:p>
    <w:p w14:paraId="56BAF05C">
      <w:pPr>
        <w:pageBreakBefore w:val="0"/>
        <w:kinsoku/>
        <w:wordWrap/>
        <w:overflowPunct/>
        <w:topLinePunct w:val="0"/>
        <w:bidi w:val="0"/>
        <w:spacing w:line="440" w:lineRule="atLeas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4.违约责任</w:t>
      </w:r>
    </w:p>
    <w:p w14:paraId="5C7082F7">
      <w:pPr>
        <w:pageBreakBefore w:val="0"/>
        <w:kinsoku/>
        <w:wordWrap/>
        <w:overflowPunct/>
        <w:topLinePunct w:val="0"/>
        <w:bidi w:val="0"/>
        <w:spacing w:line="440" w:lineRule="atLeast"/>
        <w:ind w:left="210" w:left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4.1监理人的违约责任</w:t>
      </w:r>
    </w:p>
    <w:p w14:paraId="385ED008">
      <w:pPr>
        <w:pageBreakBefore w:val="0"/>
        <w:kinsoku/>
        <w:wordWrap/>
        <w:overflowPunct/>
        <w:topLinePunct w:val="0"/>
        <w:bidi w:val="0"/>
        <w:spacing w:line="440" w:lineRule="atLeast"/>
        <w:ind w:left="210" w:left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4.1.1监理人违反本合同约定或未尽到专业谨慎义务，给委托人造成直接经济损失的，应承担相应的赔偿责任。赔偿范围以造成的</w:t>
      </w:r>
      <w:r>
        <w:rPr>
          <w:rFonts w:ascii="宋体" w:hAnsi="宋体" w:eastAsia="宋体" w:cs="宋体"/>
          <w:color w:val="auto"/>
          <w:kern w:val="0"/>
          <w:sz w:val="21"/>
          <w:szCs w:val="21"/>
          <w:highlight w:val="none"/>
        </w:rPr>
        <w:t>直接经济损失为限。监理人存在故意或重大过失的，不适用任何责任上限的约定。</w:t>
      </w:r>
      <w:r>
        <w:rPr>
          <w:rFonts w:ascii="宋体" w:hAnsi="宋体" w:eastAsia="宋体" w:cs="宋体"/>
          <w:color w:val="auto"/>
          <w:kern w:val="0"/>
          <w:sz w:val="21"/>
          <w:szCs w:val="21"/>
          <w:highlight w:val="none"/>
        </w:rPr>
        <w:br w:type="textWrapping" w:clear="all"/>
      </w:r>
      <w:r>
        <w:rPr>
          <w:rFonts w:ascii="宋体" w:hAnsi="宋体" w:eastAsia="宋体" w:cs="宋体"/>
          <w:color w:val="auto"/>
          <w:kern w:val="0"/>
          <w:sz w:val="21"/>
          <w:szCs w:val="21"/>
          <w:highlight w:val="none"/>
        </w:rPr>
        <w:t>4.1.2监理人发生以下情形，应按本合同约定或附件三的考核办法向委托人支付违约金，有权从应付监理费中直接扣除：</w:t>
      </w:r>
      <w:r>
        <w:rPr>
          <w:rFonts w:ascii="宋体" w:hAnsi="宋体" w:eastAsia="宋体" w:cs="宋体"/>
          <w:color w:val="auto"/>
          <w:kern w:val="0"/>
          <w:sz w:val="21"/>
          <w:szCs w:val="21"/>
          <w:highlight w:val="none"/>
        </w:rPr>
        <w:br w:type="textWrapping" w:clear="all"/>
      </w:r>
      <w:r>
        <w:rPr>
          <w:rFonts w:ascii="宋体" w:hAnsi="宋体" w:eastAsia="宋体" w:cs="宋体"/>
          <w:color w:val="auto"/>
          <w:kern w:val="0"/>
          <w:sz w:val="21"/>
          <w:szCs w:val="21"/>
          <w:highlight w:val="none"/>
        </w:rPr>
        <w:t>（1）违反人员管理与考勤规定的；</w:t>
      </w:r>
      <w:r>
        <w:rPr>
          <w:rFonts w:ascii="宋体" w:hAnsi="宋体" w:eastAsia="宋体" w:cs="宋体"/>
          <w:color w:val="auto"/>
          <w:kern w:val="0"/>
          <w:sz w:val="21"/>
          <w:szCs w:val="21"/>
          <w:highlight w:val="none"/>
        </w:rPr>
        <w:br w:type="textWrapping" w:clear="all"/>
      </w:r>
      <w:r>
        <w:rPr>
          <w:rFonts w:ascii="宋体" w:hAnsi="宋体" w:eastAsia="宋体" w:cs="宋体"/>
          <w:color w:val="auto"/>
          <w:kern w:val="0"/>
          <w:sz w:val="21"/>
          <w:szCs w:val="21"/>
          <w:highlight w:val="none"/>
        </w:rPr>
        <w:t>（2）未按时、按质提交监理成果文件的；</w:t>
      </w:r>
      <w:r>
        <w:rPr>
          <w:rFonts w:ascii="宋体" w:hAnsi="宋体" w:eastAsia="宋体" w:cs="宋体"/>
          <w:color w:val="auto"/>
          <w:kern w:val="0"/>
          <w:sz w:val="21"/>
          <w:szCs w:val="21"/>
          <w:highlight w:val="none"/>
        </w:rPr>
        <w:br w:type="textWrapping" w:clear="all"/>
      </w:r>
      <w:r>
        <w:rPr>
          <w:rFonts w:ascii="宋体" w:hAnsi="宋体" w:eastAsia="宋体" w:cs="宋体"/>
          <w:color w:val="auto"/>
          <w:kern w:val="0"/>
          <w:sz w:val="21"/>
          <w:szCs w:val="21"/>
          <w:highlight w:val="none"/>
        </w:rPr>
        <w:t>（3）对工程质量、安全事故负有监理失职责任的；</w:t>
      </w:r>
      <w:r>
        <w:rPr>
          <w:rFonts w:ascii="宋体" w:hAnsi="宋体" w:eastAsia="宋体" w:cs="宋体"/>
          <w:color w:val="auto"/>
          <w:kern w:val="0"/>
          <w:sz w:val="21"/>
          <w:szCs w:val="21"/>
          <w:highlight w:val="none"/>
        </w:rPr>
        <w:br w:type="textWrapping" w:clear="all"/>
      </w:r>
      <w:r>
        <w:rPr>
          <w:rFonts w:ascii="宋体" w:hAnsi="宋体" w:eastAsia="宋体" w:cs="宋体"/>
          <w:color w:val="auto"/>
          <w:kern w:val="0"/>
          <w:sz w:val="21"/>
          <w:szCs w:val="21"/>
          <w:highlight w:val="none"/>
        </w:rPr>
        <w:t>（4）未经批准擅自将监理工作分包的。</w:t>
      </w:r>
    </w:p>
    <w:p w14:paraId="6CB5D9BF">
      <w:pPr>
        <w:pageBreakBefore w:val="0"/>
        <w:kinsoku/>
        <w:wordWrap/>
        <w:overflowPunct/>
        <w:topLinePunct w:val="0"/>
        <w:bidi w:val="0"/>
        <w:spacing w:line="440" w:lineRule="atLeast"/>
        <w:ind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4.2委托人的违约责任</w:t>
      </w:r>
    </w:p>
    <w:p w14:paraId="4FB33DA8">
      <w:pPr>
        <w:pageBreakBefore w:val="0"/>
        <w:kinsoku/>
        <w:wordWrap/>
        <w:overflowPunct/>
        <w:topLinePunct w:val="0"/>
        <w:bidi w:val="0"/>
        <w:spacing w:line="440" w:lineRule="atLeast"/>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4.2.3委托人</w:t>
      </w:r>
      <w:r>
        <w:rPr>
          <w:rFonts w:hint="eastAsia" w:ascii="宋体" w:hAnsi="宋体" w:eastAsia="宋体" w:cs="宋体"/>
          <w:color w:val="auto"/>
          <w:kern w:val="0"/>
          <w:sz w:val="21"/>
          <w:szCs w:val="21"/>
          <w:highlight w:val="none"/>
        </w:rPr>
        <w:t>逾期付款利息按下列方法确定：</w:t>
      </w:r>
      <w:r>
        <w:rPr>
          <w:rFonts w:ascii="宋体" w:hAnsi="宋体" w:eastAsia="宋体" w:cs="宋体"/>
          <w:color w:val="auto"/>
          <w:kern w:val="0"/>
          <w:sz w:val="21"/>
          <w:szCs w:val="21"/>
          <w:highlight w:val="none"/>
        </w:rPr>
        <w:t>委托人逾期付款利息按下列方法确定：逾期付款利息=当期应付款总额×全国银行间同业拆借中心公布的同期贷款市场报价利率(LPR)×逾期天数</w:t>
      </w:r>
      <w:r>
        <w:rPr>
          <w:rFonts w:hint="eastAsia" w:ascii="宋体" w:hAnsi="宋体" w:eastAsia="宋体" w:cs="宋体"/>
          <w:color w:val="auto"/>
          <w:kern w:val="0"/>
          <w:sz w:val="21"/>
          <w:szCs w:val="21"/>
          <w:highlight w:val="none"/>
          <w:lang w:eastAsia="zh-CN"/>
        </w:rPr>
        <w:t>。</w:t>
      </w:r>
    </w:p>
    <w:p w14:paraId="4B47BD81">
      <w:pPr>
        <w:pageBreakBefore w:val="0"/>
        <w:kinsoku/>
        <w:wordWrap/>
        <w:overflowPunct/>
        <w:topLinePunct w:val="0"/>
        <w:bidi w:val="0"/>
        <w:spacing w:line="440" w:lineRule="atLeas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5.支付</w:t>
      </w:r>
    </w:p>
    <w:p w14:paraId="60FF75AB">
      <w:pPr>
        <w:pageBreakBefore w:val="0"/>
        <w:kinsoku/>
        <w:wordWrap/>
        <w:overflowPunct/>
        <w:topLinePunct w:val="0"/>
        <w:bidi w:val="0"/>
        <w:spacing w:line="440" w:lineRule="atLeas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bCs/>
          <w:color w:val="auto"/>
          <w:sz w:val="21"/>
          <w:szCs w:val="21"/>
          <w:highlight w:val="none"/>
        </w:rPr>
        <w:t>支付货币</w:t>
      </w:r>
    </w:p>
    <w:p w14:paraId="169EB5E8">
      <w:pPr>
        <w:pageBreakBefore w:val="0"/>
        <w:kinsoku/>
        <w:wordWrap/>
        <w:overflowPunct/>
        <w:topLinePunct w:val="0"/>
        <w:bidi w:val="0"/>
        <w:spacing w:line="440" w:lineRule="atLeas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币种为：</w:t>
      </w:r>
      <w:r>
        <w:rPr>
          <w:rFonts w:hint="eastAsia" w:ascii="宋体" w:hAnsi="宋体" w:eastAsia="宋体" w:cs="宋体"/>
          <w:color w:val="auto"/>
          <w:sz w:val="21"/>
          <w:szCs w:val="21"/>
          <w:highlight w:val="none"/>
          <w:u w:val="single"/>
        </w:rPr>
        <w:t>人民币</w:t>
      </w:r>
      <w:r>
        <w:rPr>
          <w:rFonts w:hint="eastAsia" w:ascii="宋体" w:hAnsi="宋体" w:eastAsia="宋体" w:cs="宋体"/>
          <w:color w:val="auto"/>
          <w:sz w:val="21"/>
          <w:szCs w:val="21"/>
          <w:highlight w:val="none"/>
        </w:rPr>
        <w:t>，比例为：</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，汇率为：</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w:t>
      </w:r>
    </w:p>
    <w:p w14:paraId="1BE9E528">
      <w:pPr>
        <w:pageBreakBefore w:val="0"/>
        <w:kinsoku/>
        <w:wordWrap/>
        <w:overflowPunct/>
        <w:topLinePunct w:val="0"/>
        <w:bidi w:val="0"/>
        <w:spacing w:line="440" w:lineRule="atLeast"/>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5.2付款方式</w:t>
      </w:r>
    </w:p>
    <w:p w14:paraId="50EA4B37">
      <w:pPr>
        <w:keepNext w:val="0"/>
        <w:keepLines w:val="0"/>
        <w:pageBreakBefore w:val="0"/>
        <w:widowControl w:val="0"/>
        <w:kinsoku/>
        <w:wordWrap/>
        <w:overflowPunct/>
        <w:topLinePunct w:val="0"/>
        <w:autoSpaceDE/>
        <w:autoSpaceDN/>
        <w:bidi w:val="0"/>
        <w:spacing w:line="440" w:lineRule="atLeast"/>
        <w:ind w:firstLine="420" w:firstLineChars="200"/>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5.2.1付款方式严格按照本合同</w:t>
      </w:r>
      <w:r>
        <w:rPr>
          <w:rFonts w:ascii="宋体" w:hAnsi="宋体" w:eastAsia="宋体" w:cs="宋体"/>
          <w:color w:val="auto"/>
          <w:sz w:val="21"/>
          <w:szCs w:val="21"/>
          <w:highlight w:val="none"/>
          <w:lang w:val="en-US" w:eastAsia="zh-CN"/>
        </w:rPr>
        <w:t>协议书第三条相关约定执行。</w:t>
      </w:r>
      <w:r>
        <w:rPr>
          <w:rFonts w:ascii="宋体" w:hAnsi="宋体" w:eastAsia="宋体" w:cs="宋体"/>
          <w:color w:val="auto"/>
          <w:sz w:val="21"/>
          <w:szCs w:val="21"/>
          <w:highlight w:val="none"/>
          <w:lang w:val="en-US" w:eastAsia="zh-CN"/>
        </w:rPr>
        <w:br w:type="textWrapping" w:clear="all"/>
      </w:r>
      <w:r>
        <w:rPr>
          <w:rFonts w:ascii="宋体" w:hAnsi="宋体" w:eastAsia="宋体" w:cs="宋体"/>
          <w:color w:val="auto"/>
          <w:sz w:val="21"/>
          <w:szCs w:val="21"/>
          <w:highlight w:val="none"/>
          <w:lang w:val="en-US" w:eastAsia="zh-CN"/>
        </w:rPr>
        <w:t>5.2.2支付与考核挂钩：每一期监理费的支付，应以当期履行合同义务（特别是人员到岗、成果文件提交）经考核合格为前提。若考核不合格，有权暂停支付，待整改达标后再行支付。</w:t>
      </w:r>
      <w:r>
        <w:rPr>
          <w:rFonts w:ascii="宋体" w:hAnsi="宋体" w:eastAsia="宋体" w:cs="宋体"/>
          <w:color w:val="auto"/>
          <w:sz w:val="21"/>
          <w:szCs w:val="21"/>
          <w:highlight w:val="none"/>
          <w:lang w:val="en-US" w:eastAsia="zh-CN"/>
        </w:rPr>
        <w:br w:type="textWrapping" w:clear="all"/>
      </w:r>
      <w:r>
        <w:rPr>
          <w:rFonts w:ascii="宋体" w:hAnsi="宋体" w:eastAsia="宋体" w:cs="宋体"/>
          <w:color w:val="auto"/>
          <w:sz w:val="21"/>
          <w:szCs w:val="21"/>
          <w:highlight w:val="none"/>
          <w:lang w:val="en-US" w:eastAsia="zh-CN"/>
        </w:rPr>
        <w:t>5.2.3最终支付以结算审计为准，但总额不超过合同约定的最高限价。</w:t>
      </w:r>
    </w:p>
    <w:p w14:paraId="2B009F1F">
      <w:pPr>
        <w:keepNext w:val="0"/>
        <w:keepLines w:val="0"/>
        <w:pageBreakBefore w:val="0"/>
        <w:widowControl w:val="0"/>
        <w:kinsoku/>
        <w:wordWrap/>
        <w:overflowPunct/>
        <w:topLinePunct w:val="0"/>
        <w:autoSpaceDE/>
        <w:autoSpaceDN/>
        <w:bidi w:val="0"/>
        <w:spacing w:line="440" w:lineRule="atLeas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5.3支付酬金</w:t>
      </w:r>
    </w:p>
    <w:p w14:paraId="533467F7">
      <w:pPr>
        <w:pageBreakBefore w:val="0"/>
        <w:kinsoku/>
        <w:wordWrap/>
        <w:overflowPunct/>
        <w:topLinePunct w:val="0"/>
        <w:bidi w:val="0"/>
        <w:spacing w:line="44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正支付的酬金包括正常工作酬金、附加工作酬金、建议奖励金额及费用。</w:t>
      </w:r>
      <w:r>
        <w:rPr>
          <w:rFonts w:hint="eastAsia" w:ascii="宋体" w:hAnsi="宋体" w:eastAsia="宋体" w:cs="宋体"/>
          <w:color w:val="auto"/>
          <w:sz w:val="21"/>
          <w:szCs w:val="21"/>
          <w:highlight w:val="none"/>
        </w:rPr>
        <w:t>。</w:t>
      </w:r>
    </w:p>
    <w:p w14:paraId="437B7088">
      <w:pPr>
        <w:pageBreakBefore w:val="0"/>
        <w:kinsoku/>
        <w:wordWrap/>
        <w:overflowPunct/>
        <w:topLinePunct w:val="0"/>
        <w:bidi w:val="0"/>
        <w:spacing w:line="440" w:lineRule="atLeast"/>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6</w:t>
      </w:r>
      <w:r>
        <w:rPr>
          <w:rFonts w:hint="eastAsia" w:ascii="宋体" w:hAnsi="宋体" w:eastAsia="宋体" w:cs="宋体"/>
          <w:b/>
          <w:bCs/>
          <w:color w:val="auto"/>
          <w:sz w:val="21"/>
          <w:szCs w:val="21"/>
          <w:highlight w:val="none"/>
        </w:rPr>
        <w:t>.合同生效、变更、暂停、解除与终止</w:t>
      </w:r>
    </w:p>
    <w:p w14:paraId="0C07E40A">
      <w:pPr>
        <w:pageBreakBefore w:val="0"/>
        <w:kinsoku/>
        <w:wordWrap/>
        <w:overflowPunct/>
        <w:topLinePunct w:val="0"/>
        <w:bidi w:val="0"/>
        <w:spacing w:line="440" w:lineRule="atLeas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6.1生效</w:t>
      </w:r>
    </w:p>
    <w:p w14:paraId="47C989A8">
      <w:pPr>
        <w:pageBreakBefore w:val="0"/>
        <w:kinsoku/>
        <w:wordWrap/>
        <w:overflowPunct/>
        <w:topLinePunct w:val="0"/>
        <w:bidi w:val="0"/>
        <w:spacing w:line="440" w:lineRule="atLeas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本合同生效条件：</w:t>
      </w:r>
      <w:r>
        <w:rPr>
          <w:rFonts w:hint="eastAsia" w:ascii="宋体" w:hAnsi="宋体" w:eastAsia="宋体" w:cs="宋体"/>
          <w:color w:val="auto"/>
          <w:sz w:val="21"/>
          <w:szCs w:val="21"/>
          <w:highlight w:val="none"/>
          <w:u w:val="single"/>
        </w:rPr>
        <w:t>委托人和监理人的法定代表人或授权代理人在协议书上签字并盖单位公章后本合同生效</w:t>
      </w:r>
      <w:r>
        <w:rPr>
          <w:rFonts w:hint="eastAsia" w:ascii="宋体" w:hAnsi="宋体" w:eastAsia="宋体" w:cs="宋体"/>
          <w:color w:val="auto"/>
          <w:sz w:val="21"/>
          <w:szCs w:val="21"/>
          <w:highlight w:val="none"/>
        </w:rPr>
        <w:t>。</w:t>
      </w:r>
    </w:p>
    <w:p w14:paraId="21D7B4FA">
      <w:pPr>
        <w:pageBreakBefore w:val="0"/>
        <w:kinsoku/>
        <w:wordWrap/>
        <w:overflowPunct/>
        <w:topLinePunct w:val="0"/>
        <w:bidi w:val="0"/>
        <w:spacing w:line="440" w:lineRule="atLeast"/>
        <w:ind w:firstLine="205" w:firstLineChars="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6.2变更</w:t>
      </w:r>
    </w:p>
    <w:p w14:paraId="3EAC3F9C">
      <w:pPr>
        <w:pageBreakBefore w:val="0"/>
        <w:kinsoku/>
        <w:wordWrap/>
        <w:overflowPunct/>
        <w:topLinePunct w:val="0"/>
        <w:bidi w:val="0"/>
        <w:spacing w:line="44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6.2.2除不可抗力外，因非监理人原因导致本合同期限延长时，附加工作酬金按下列方法确定：</w:t>
      </w:r>
    </w:p>
    <w:p w14:paraId="3DA8BC5D">
      <w:pPr>
        <w:pageBreakBefore w:val="0"/>
        <w:kinsoku/>
        <w:wordWrap/>
        <w:overflowPunct/>
        <w:topLinePunct w:val="0"/>
        <w:bidi w:val="0"/>
        <w:spacing w:line="440" w:lineRule="atLeas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附加工作</w:t>
      </w:r>
      <w:r>
        <w:rPr>
          <w:rFonts w:hint="eastAsia" w:ascii="宋体" w:hAnsi="宋体" w:eastAsia="宋体" w:cs="宋体"/>
          <w:color w:val="auto"/>
          <w:sz w:val="21"/>
          <w:szCs w:val="21"/>
          <w:highlight w:val="none"/>
        </w:rPr>
        <w:t>酬金</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本合同期限延长</w:t>
      </w:r>
      <w:r>
        <w:rPr>
          <w:rFonts w:hint="eastAsia" w:ascii="宋体" w:hAnsi="宋体" w:eastAsia="宋体" w:cs="宋体"/>
          <w:color w:val="auto"/>
          <w:kern w:val="0"/>
          <w:sz w:val="21"/>
          <w:szCs w:val="21"/>
          <w:highlight w:val="none"/>
        </w:rPr>
        <w:t>时间（天）×正常工作酬金÷</w:t>
      </w:r>
      <w:r>
        <w:rPr>
          <w:rFonts w:hint="eastAsia" w:ascii="宋体" w:hAnsi="宋体" w:eastAsia="宋体" w:cs="宋体"/>
          <w:color w:val="auto"/>
          <w:sz w:val="21"/>
          <w:szCs w:val="21"/>
          <w:highlight w:val="none"/>
        </w:rPr>
        <w:t>协议书约定的监理与相关服务期限</w:t>
      </w:r>
      <w:r>
        <w:rPr>
          <w:rFonts w:hint="eastAsia" w:ascii="宋体" w:hAnsi="宋体" w:eastAsia="宋体" w:cs="宋体"/>
          <w:color w:val="auto"/>
          <w:kern w:val="0"/>
          <w:sz w:val="21"/>
          <w:szCs w:val="21"/>
          <w:highlight w:val="none"/>
        </w:rPr>
        <w:t>（天）</w:t>
      </w:r>
    </w:p>
    <w:p w14:paraId="4501ED4D">
      <w:pPr>
        <w:pageBreakBefore w:val="0"/>
        <w:kinsoku/>
        <w:wordWrap/>
        <w:overflowPunct/>
        <w:topLinePunct w:val="0"/>
        <w:bidi w:val="0"/>
        <w:spacing w:line="44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6.2.3附加工作酬金按下列方法确定：</w:t>
      </w:r>
    </w:p>
    <w:p w14:paraId="2C78A9A5">
      <w:pPr>
        <w:pageBreakBefore w:val="0"/>
        <w:kinsoku/>
        <w:wordWrap/>
        <w:overflowPunct/>
        <w:topLinePunct w:val="0"/>
        <w:bidi w:val="0"/>
        <w:spacing w:line="440" w:lineRule="atLeas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附加工作</w:t>
      </w:r>
      <w:r>
        <w:rPr>
          <w:rFonts w:hint="eastAsia" w:ascii="宋体" w:hAnsi="宋体" w:eastAsia="宋体" w:cs="宋体"/>
          <w:color w:val="auto"/>
          <w:sz w:val="21"/>
          <w:szCs w:val="21"/>
          <w:highlight w:val="none"/>
        </w:rPr>
        <w:t>酬金</w:t>
      </w:r>
      <w:r>
        <w:rPr>
          <w:rFonts w:hint="eastAsia" w:ascii="宋体" w:hAnsi="宋体" w:eastAsia="宋体" w:cs="宋体"/>
          <w:color w:val="auto"/>
          <w:kern w:val="0"/>
          <w:sz w:val="21"/>
          <w:szCs w:val="21"/>
          <w:highlight w:val="none"/>
        </w:rPr>
        <w:t>=善后工作及恢复服务的准备工作时间（天）×正常工作酬金÷</w:t>
      </w:r>
      <w:r>
        <w:rPr>
          <w:rFonts w:hint="eastAsia" w:ascii="宋体" w:hAnsi="宋体" w:eastAsia="宋体" w:cs="宋体"/>
          <w:color w:val="auto"/>
          <w:sz w:val="21"/>
          <w:szCs w:val="21"/>
          <w:highlight w:val="none"/>
        </w:rPr>
        <w:t>协议书约定的监理与相关服务期限</w:t>
      </w:r>
      <w:r>
        <w:rPr>
          <w:rFonts w:hint="eastAsia" w:ascii="宋体" w:hAnsi="宋体" w:eastAsia="宋体" w:cs="宋体"/>
          <w:color w:val="auto"/>
          <w:kern w:val="0"/>
          <w:sz w:val="21"/>
          <w:szCs w:val="21"/>
          <w:highlight w:val="none"/>
        </w:rPr>
        <w:t>（天）</w:t>
      </w:r>
    </w:p>
    <w:p w14:paraId="4B55D9C6">
      <w:pPr>
        <w:pageBreakBefore w:val="0"/>
        <w:kinsoku/>
        <w:wordWrap/>
        <w:overflowPunct/>
        <w:topLinePunct w:val="0"/>
        <w:bidi w:val="0"/>
        <w:spacing w:line="440" w:lineRule="atLeas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6.2.5正常工作酬金增加额按下列方法确定：</w:t>
      </w:r>
    </w:p>
    <w:p w14:paraId="7DFB7FA1">
      <w:pPr>
        <w:pageBreakBefore w:val="0"/>
        <w:kinsoku/>
        <w:wordWrap/>
        <w:overflowPunct/>
        <w:topLinePunct w:val="0"/>
        <w:bidi w:val="0"/>
        <w:spacing w:line="440" w:lineRule="atLeas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正常工作酬金增加额</w:t>
      </w:r>
      <w:r>
        <w:rPr>
          <w:rFonts w:hint="eastAsia" w:ascii="宋体" w:hAnsi="宋体" w:eastAsia="宋体" w:cs="宋体"/>
          <w:color w:val="auto"/>
          <w:kern w:val="0"/>
          <w:sz w:val="21"/>
          <w:szCs w:val="21"/>
          <w:highlight w:val="none"/>
        </w:rPr>
        <w:t>=工程投资额</w:t>
      </w:r>
      <w:r>
        <w:rPr>
          <w:rFonts w:hint="eastAsia" w:ascii="宋体" w:hAnsi="宋体" w:eastAsia="宋体" w:cs="宋体"/>
          <w:color w:val="auto"/>
          <w:sz w:val="21"/>
          <w:szCs w:val="21"/>
          <w:highlight w:val="none"/>
        </w:rPr>
        <w:t>或建筑安装工程费</w:t>
      </w:r>
      <w:r>
        <w:rPr>
          <w:rFonts w:hint="eastAsia" w:ascii="宋体" w:hAnsi="宋体" w:eastAsia="宋体" w:cs="宋体"/>
          <w:color w:val="auto"/>
          <w:kern w:val="0"/>
          <w:sz w:val="21"/>
          <w:szCs w:val="21"/>
          <w:highlight w:val="none"/>
        </w:rPr>
        <w:t>增加额×正常工作酬金÷工程概算投资额（或建筑安装工程费）</w:t>
      </w:r>
    </w:p>
    <w:p w14:paraId="3F79026D">
      <w:pPr>
        <w:pageBreakBefore w:val="0"/>
        <w:kinsoku/>
        <w:wordWrap/>
        <w:overflowPunct/>
        <w:topLinePunct w:val="0"/>
        <w:bidi w:val="0"/>
        <w:spacing w:line="44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6.2.6因工程规模、监理范围的变化导致监理人的正常工作量减少时，按减少工作量的比例从协议书约定的正常工作酬金中扣减相同比例的酬金。</w:t>
      </w:r>
    </w:p>
    <w:p w14:paraId="33BD9802">
      <w:pPr>
        <w:pageBreakBefore w:val="0"/>
        <w:kinsoku/>
        <w:wordWrap/>
        <w:overflowPunct/>
        <w:topLinePunct w:val="0"/>
        <w:bidi w:val="0"/>
        <w:spacing w:line="440" w:lineRule="atLeas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7.争议解决</w:t>
      </w:r>
    </w:p>
    <w:p w14:paraId="2DE7B5BE">
      <w:pPr>
        <w:pageBreakBefore w:val="0"/>
        <w:kinsoku/>
        <w:wordWrap/>
        <w:overflowPunct/>
        <w:topLinePunct w:val="0"/>
        <w:bidi w:val="0"/>
        <w:spacing w:line="440" w:lineRule="atLeast"/>
        <w:ind w:firstLine="205" w:firstLineChars="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r>
        <w:rPr>
          <w:rFonts w:hint="eastAsia" w:ascii="宋体" w:hAnsi="宋体" w:eastAsia="宋体" w:cs="宋体"/>
          <w:bCs/>
          <w:color w:val="auto"/>
          <w:sz w:val="21"/>
          <w:szCs w:val="21"/>
          <w:highlight w:val="none"/>
        </w:rPr>
        <w:t>调解</w:t>
      </w:r>
    </w:p>
    <w:p w14:paraId="1ED183B6">
      <w:pPr>
        <w:pageBreakBefore w:val="0"/>
        <w:kinsoku/>
        <w:wordWrap/>
        <w:overflowPunct/>
        <w:topLinePunct w:val="0"/>
        <w:bidi w:val="0"/>
        <w:spacing w:line="440" w:lineRule="atLeast"/>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本合同争议进行调解时，可提交进行调解。</w:t>
      </w:r>
    </w:p>
    <w:p w14:paraId="6FFC0628">
      <w:pPr>
        <w:pageBreakBefore w:val="0"/>
        <w:kinsoku/>
        <w:wordWrap/>
        <w:overflowPunct/>
        <w:topLinePunct w:val="0"/>
        <w:bidi w:val="0"/>
        <w:spacing w:line="440" w:lineRule="atLeast"/>
        <w:ind w:firstLine="205" w:firstLineChars="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w:t>
      </w:r>
      <w:r>
        <w:rPr>
          <w:rFonts w:hint="eastAsia" w:ascii="宋体" w:hAnsi="宋体" w:eastAsia="宋体" w:cs="宋体"/>
          <w:bCs/>
          <w:color w:val="auto"/>
          <w:sz w:val="21"/>
          <w:szCs w:val="21"/>
          <w:highlight w:val="none"/>
        </w:rPr>
        <w:t>仲裁或诉讼</w:t>
      </w:r>
    </w:p>
    <w:p w14:paraId="4E4B26D3">
      <w:pPr>
        <w:pageBreakBefore w:val="0"/>
        <w:kinsoku/>
        <w:wordWrap/>
        <w:overflowPunct/>
        <w:topLinePunct w:val="0"/>
        <w:bidi w:val="0"/>
        <w:spacing w:line="440" w:lineRule="atLeast"/>
        <w:ind w:firstLine="411" w:firstLineChars="196"/>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合同争议的最终解决方式为：向</w:t>
      </w:r>
      <w:r>
        <w:rPr>
          <w:rFonts w:ascii="宋体" w:hAnsi="宋体" w:eastAsia="宋体" w:cs="宋体"/>
          <w:color w:val="auto"/>
          <w:sz w:val="21"/>
          <w:szCs w:val="21"/>
          <w:highlight w:val="none"/>
        </w:rPr>
        <w:t>项目所在地（即崇左市天等县）有管辖权的人民法院提起诉讼</w:t>
      </w:r>
      <w:r>
        <w:rPr>
          <w:rFonts w:hint="eastAsia" w:ascii="宋体" w:hAnsi="宋体" w:eastAsia="宋体" w:cs="宋体"/>
          <w:color w:val="auto"/>
          <w:sz w:val="21"/>
          <w:szCs w:val="21"/>
          <w:highlight w:val="none"/>
          <w:lang w:eastAsia="zh-CN"/>
        </w:rPr>
        <w:t>。</w:t>
      </w:r>
    </w:p>
    <w:p w14:paraId="6CF8F101">
      <w:pPr>
        <w:pageBreakBefore w:val="0"/>
        <w:kinsoku/>
        <w:wordWrap/>
        <w:overflowPunct/>
        <w:topLinePunct w:val="0"/>
        <w:bidi w:val="0"/>
        <w:spacing w:line="440" w:lineRule="atLeas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8.其他</w:t>
      </w:r>
    </w:p>
    <w:p w14:paraId="2DDA65C2">
      <w:pPr>
        <w:pageBreakBefore w:val="0"/>
        <w:kinsoku/>
        <w:wordWrap/>
        <w:overflowPunct/>
        <w:topLinePunct w:val="0"/>
        <w:bidi w:val="0"/>
        <w:spacing w:line="440" w:lineRule="atLeas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8.2检测费用</w:t>
      </w:r>
    </w:p>
    <w:p w14:paraId="4CFA240F">
      <w:pPr>
        <w:pageBreakBefore w:val="0"/>
        <w:kinsoku/>
        <w:wordWrap/>
        <w:overflowPunct/>
        <w:topLinePunct w:val="0"/>
        <w:bidi w:val="0"/>
        <w:spacing w:line="440" w:lineRule="atLeas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委托人应在检测工作完成后</w:t>
      </w:r>
      <w:r>
        <w:rPr>
          <w:rFonts w:hint="eastAsia" w:ascii="宋体" w:hAnsi="宋体" w:eastAsia="宋体" w:cs="宋体"/>
          <w:color w:val="auto"/>
          <w:sz w:val="21"/>
          <w:szCs w:val="21"/>
          <w:highlight w:val="none"/>
          <w:u w:val="single"/>
        </w:rPr>
        <w:t>0</w:t>
      </w:r>
      <w:r>
        <w:rPr>
          <w:rFonts w:hint="eastAsia" w:ascii="宋体" w:hAnsi="宋体" w:eastAsia="宋体" w:cs="宋体"/>
          <w:bCs/>
          <w:color w:val="auto"/>
          <w:sz w:val="21"/>
          <w:szCs w:val="21"/>
          <w:highlight w:val="none"/>
        </w:rPr>
        <w:t>天内支付检测费用。</w:t>
      </w:r>
    </w:p>
    <w:p w14:paraId="6C312709">
      <w:pPr>
        <w:pageBreakBefore w:val="0"/>
        <w:kinsoku/>
        <w:wordWrap/>
        <w:overflowPunct/>
        <w:topLinePunct w:val="0"/>
        <w:bidi w:val="0"/>
        <w:spacing w:line="440" w:lineRule="atLeas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8.3咨询费用</w:t>
      </w:r>
    </w:p>
    <w:p w14:paraId="74BF5B5C">
      <w:pPr>
        <w:pageBreakBefore w:val="0"/>
        <w:kinsoku/>
        <w:wordWrap/>
        <w:overflowPunct/>
        <w:topLinePunct w:val="0"/>
        <w:bidi w:val="0"/>
        <w:spacing w:line="440" w:lineRule="atLeas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委托人应在咨询工作完成后</w:t>
      </w:r>
      <w:r>
        <w:rPr>
          <w:rFonts w:hint="eastAsia" w:ascii="宋体" w:hAnsi="宋体" w:eastAsia="宋体" w:cs="宋体"/>
          <w:color w:val="auto"/>
          <w:sz w:val="21"/>
          <w:szCs w:val="21"/>
          <w:highlight w:val="none"/>
          <w:u w:val="single"/>
        </w:rPr>
        <w:t>0</w:t>
      </w:r>
      <w:r>
        <w:rPr>
          <w:rFonts w:hint="eastAsia" w:ascii="宋体" w:hAnsi="宋体" w:eastAsia="宋体" w:cs="宋体"/>
          <w:bCs/>
          <w:color w:val="auto"/>
          <w:sz w:val="21"/>
          <w:szCs w:val="21"/>
          <w:highlight w:val="none"/>
        </w:rPr>
        <w:t>天内支付咨询费用。</w:t>
      </w:r>
    </w:p>
    <w:p w14:paraId="5E6D2BF5">
      <w:pPr>
        <w:pageBreakBefore w:val="0"/>
        <w:kinsoku/>
        <w:wordWrap/>
        <w:overflowPunct/>
        <w:topLinePunct w:val="0"/>
        <w:bidi w:val="0"/>
        <w:spacing w:line="440" w:lineRule="atLeast"/>
        <w:ind w:firstLine="205" w:firstLineChars="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8.4奖励</w:t>
      </w:r>
    </w:p>
    <w:p w14:paraId="4D817D11">
      <w:pPr>
        <w:pageBreakBefore w:val="0"/>
        <w:kinsoku/>
        <w:wordWrap/>
        <w:overflowPunct/>
        <w:topLinePunct w:val="0"/>
        <w:bidi w:val="0"/>
        <w:spacing w:line="44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建议的奖励金额按下列方法确定为：</w:t>
      </w:r>
    </w:p>
    <w:p w14:paraId="44557245">
      <w:pPr>
        <w:pageBreakBefore w:val="0"/>
        <w:kinsoku/>
        <w:wordWrap/>
        <w:overflowPunct/>
        <w:topLinePunct w:val="0"/>
        <w:bidi w:val="0"/>
        <w:spacing w:line="44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奖励金额＝工程投资节省额×奖励金额的比率；</w:t>
      </w:r>
    </w:p>
    <w:p w14:paraId="3E0E500F">
      <w:pPr>
        <w:pageBreakBefore w:val="0"/>
        <w:kinsoku/>
        <w:wordWrap/>
        <w:overflowPunct/>
        <w:topLinePunct w:val="0"/>
        <w:bidi w:val="0"/>
        <w:spacing w:line="44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奖励金额的比率为</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w:t>
      </w:r>
    </w:p>
    <w:p w14:paraId="655D4BE5">
      <w:pPr>
        <w:pageBreakBefore w:val="0"/>
        <w:kinsoku/>
        <w:wordWrap/>
        <w:overflowPunct/>
        <w:topLinePunct w:val="0"/>
        <w:bidi w:val="0"/>
        <w:spacing w:line="440" w:lineRule="atLeast"/>
        <w:ind w:firstLine="205" w:firstLineChars="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8.6保密</w:t>
      </w:r>
    </w:p>
    <w:p w14:paraId="300A2414">
      <w:pPr>
        <w:pageBreakBefore w:val="0"/>
        <w:kinsoku/>
        <w:wordWrap/>
        <w:overflowPunct/>
        <w:topLinePunct w:val="0"/>
        <w:bidi w:val="0"/>
        <w:spacing w:line="44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双方对在订立和履行合同过程中获得的对方以及本项目的</w:t>
      </w:r>
      <w:r>
        <w:rPr>
          <w:rFonts w:ascii="宋体" w:hAnsi="宋体" w:eastAsia="宋体" w:cs="宋体"/>
          <w:color w:val="auto"/>
          <w:sz w:val="21"/>
          <w:szCs w:val="21"/>
          <w:highlight w:val="none"/>
        </w:rPr>
        <w:t>任何商业、技术、财务、运营信息（包括但不限于设计文件、合同价款、施工方案、监理报告等）均负有保密义务，未经对方书面同意，不得向任何第三方泄露，亦不得用于本合同目的以外的任何用途。此保密义务不因合同终止而解除，持续有效期限为合同终止后5年</w:t>
      </w:r>
      <w:r>
        <w:rPr>
          <w:rFonts w:hint="eastAsia" w:ascii="宋体" w:hAnsi="宋体" w:eastAsia="宋体" w:cs="宋体"/>
          <w:color w:val="auto"/>
          <w:sz w:val="21"/>
          <w:szCs w:val="21"/>
          <w:highlight w:val="none"/>
        </w:rPr>
        <w:t>。</w:t>
      </w:r>
    </w:p>
    <w:p w14:paraId="5CE36513">
      <w:pPr>
        <w:pageBreakBefore w:val="0"/>
        <w:kinsoku/>
        <w:wordWrap/>
        <w:overflowPunct/>
        <w:topLinePunct w:val="0"/>
        <w:bidi w:val="0"/>
        <w:spacing w:line="440" w:lineRule="atLeast"/>
        <w:ind w:firstLine="205" w:firstLineChars="98"/>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8.8</w:t>
      </w:r>
      <w:r>
        <w:rPr>
          <w:rFonts w:hint="eastAsia" w:ascii="宋体" w:hAnsi="宋体" w:eastAsia="宋体" w:cs="宋体"/>
          <w:bCs/>
          <w:color w:val="auto"/>
          <w:sz w:val="21"/>
          <w:szCs w:val="21"/>
          <w:highlight w:val="none"/>
        </w:rPr>
        <w:t>著作权</w:t>
      </w:r>
    </w:p>
    <w:p w14:paraId="670C0014">
      <w:pPr>
        <w:pageBreakBefore w:val="0"/>
        <w:kinsoku/>
        <w:wordWrap/>
        <w:overflowPunct/>
        <w:topLinePunct w:val="0"/>
        <w:bidi w:val="0"/>
        <w:spacing w:line="44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监理人在本合同履行期间及本合同终止后两年内出版涉及本工程的有关监理与相关服务的资料的限制条件：</w:t>
      </w:r>
      <w:r>
        <w:rPr>
          <w:rFonts w:hint="eastAsia" w:ascii="宋体" w:hAnsi="宋体" w:eastAsia="宋体" w:cs="宋体"/>
          <w:color w:val="auto"/>
          <w:sz w:val="21"/>
          <w:szCs w:val="21"/>
          <w:highlight w:val="none"/>
          <w:u w:val="single"/>
        </w:rPr>
        <w:t>须征得委托人同意</w:t>
      </w:r>
      <w:r>
        <w:rPr>
          <w:rFonts w:hint="eastAsia" w:ascii="宋体" w:hAnsi="宋体" w:eastAsia="宋体" w:cs="宋体"/>
          <w:color w:val="auto"/>
          <w:sz w:val="21"/>
          <w:szCs w:val="21"/>
          <w:highlight w:val="none"/>
        </w:rPr>
        <w:t>。</w:t>
      </w:r>
    </w:p>
    <w:p w14:paraId="6EE36416">
      <w:pPr>
        <w:pageBreakBefore w:val="0"/>
        <w:numPr>
          <w:ilvl w:val="0"/>
          <w:numId w:val="0"/>
        </w:numPr>
        <w:kinsoku/>
        <w:wordWrap/>
        <w:overflowPunct/>
        <w:topLinePunct w:val="0"/>
        <w:bidi w:val="0"/>
        <w:spacing w:line="44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补充条款</w:t>
      </w:r>
      <w:r>
        <w:rPr>
          <w:rFonts w:hint="eastAsia" w:ascii="宋体" w:hAnsi="宋体" w:eastAsia="宋体" w:cs="宋体"/>
          <w:color w:val="auto"/>
          <w:sz w:val="21"/>
          <w:szCs w:val="21"/>
          <w:highlight w:val="none"/>
          <w:u w:val="single"/>
          <w:lang w:eastAsia="zh-CN"/>
        </w:rPr>
        <w:t>如果本项目分期建设的，委托人提前</w:t>
      </w:r>
      <w:r>
        <w:rPr>
          <w:rFonts w:hint="eastAsia" w:ascii="宋体" w:hAnsi="宋体" w:eastAsia="宋体" w:cs="宋体"/>
          <w:color w:val="auto"/>
          <w:sz w:val="21"/>
          <w:szCs w:val="21"/>
          <w:highlight w:val="none"/>
          <w:u w:val="single"/>
          <w:lang w:val="en-US" w:eastAsia="zh-CN"/>
        </w:rPr>
        <w:t>1个月书面通知监理人退场，分期相隔期间不计酬金，但委托人配合监理人解锁相关人员证书</w:t>
      </w:r>
      <w:r>
        <w:rPr>
          <w:rFonts w:hint="eastAsia" w:ascii="宋体" w:hAnsi="宋体" w:eastAsia="宋体" w:cs="宋体"/>
          <w:color w:val="auto"/>
          <w:sz w:val="21"/>
          <w:szCs w:val="21"/>
          <w:highlight w:val="none"/>
        </w:rPr>
        <w:t>。</w:t>
      </w:r>
    </w:p>
    <w:p w14:paraId="0B5386D4">
      <w:pPr>
        <w:pageBreakBefore w:val="0"/>
        <w:numPr>
          <w:ilvl w:val="0"/>
          <w:numId w:val="0"/>
        </w:numPr>
        <w:kinsoku/>
        <w:wordWrap/>
        <w:overflowPunct/>
        <w:topLinePunct w:val="0"/>
        <w:bidi w:val="0"/>
        <w:spacing w:line="440" w:lineRule="atLeas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附录A相关服务的范围和内容</w:t>
      </w:r>
    </w:p>
    <w:p w14:paraId="5AF3F1A9">
      <w:pPr>
        <w:pageBreakBefore w:val="0"/>
        <w:kinsoku/>
        <w:wordWrap/>
        <w:overflowPunct/>
        <w:topLinePunct w:val="0"/>
        <w:bidi w:val="0"/>
        <w:spacing w:line="440" w:lineRule="atLeas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A-1勘察阶段：</w:t>
      </w:r>
      <w:r>
        <w:rPr>
          <w:rFonts w:hint="eastAsia" w:ascii="宋体" w:hAnsi="宋体" w:eastAsia="宋体" w:cs="宋体"/>
          <w:color w:val="auto"/>
          <w:sz w:val="21"/>
          <w:szCs w:val="21"/>
          <w:highlight w:val="none"/>
          <w:u w:val="single"/>
        </w:rPr>
        <w:t>无</w:t>
      </w:r>
      <w:r>
        <w:rPr>
          <w:rFonts w:hint="eastAsia" w:ascii="宋体" w:hAnsi="宋体" w:eastAsia="宋体" w:cs="宋体"/>
          <w:color w:val="auto"/>
          <w:kern w:val="0"/>
          <w:sz w:val="21"/>
          <w:szCs w:val="21"/>
          <w:highlight w:val="none"/>
        </w:rPr>
        <w:t>。</w:t>
      </w:r>
    </w:p>
    <w:p w14:paraId="2CE371DD">
      <w:pPr>
        <w:pageBreakBefore w:val="0"/>
        <w:kinsoku/>
        <w:wordWrap/>
        <w:overflowPunct/>
        <w:topLinePunct w:val="0"/>
        <w:bidi w:val="0"/>
        <w:spacing w:line="440" w:lineRule="atLeas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A-2设计阶段：</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7CD169E2">
      <w:pPr>
        <w:pageBreakBefore w:val="0"/>
        <w:kinsoku/>
        <w:wordWrap/>
        <w:overflowPunct/>
        <w:topLinePunct w:val="0"/>
        <w:bidi w:val="0"/>
        <w:spacing w:line="440" w:lineRule="atLeas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A-3保修阶段：</w:t>
      </w:r>
      <w:r>
        <w:rPr>
          <w:rFonts w:hint="eastAsia" w:ascii="宋体" w:hAnsi="宋体" w:eastAsia="宋体" w:cs="宋体"/>
          <w:color w:val="auto"/>
          <w:sz w:val="21"/>
          <w:szCs w:val="21"/>
          <w:highlight w:val="none"/>
          <w:u w:val="single"/>
        </w:rPr>
        <w:t>配合</w:t>
      </w:r>
      <w:r>
        <w:rPr>
          <w:rFonts w:hint="eastAsia" w:ascii="宋体" w:hAnsi="宋体" w:eastAsia="宋体" w:cs="宋体"/>
          <w:color w:val="auto"/>
          <w:sz w:val="21"/>
          <w:szCs w:val="21"/>
          <w:highlight w:val="none"/>
        </w:rPr>
        <w:t>。</w:t>
      </w:r>
    </w:p>
    <w:p w14:paraId="67C01E71">
      <w:pPr>
        <w:ind w:firstLine="840" w:firstLineChars="400"/>
        <w:rPr>
          <w:rFonts w:hint="eastAsia" w:eastAsia="宋体"/>
          <w:color w:val="auto"/>
          <w:lang w:eastAsia="zh-CN"/>
        </w:rPr>
      </w:pPr>
      <w:r>
        <w:rPr>
          <w:rFonts w:hint="eastAsia" w:ascii="宋体" w:hAnsi="宋体" w:eastAsia="宋体" w:cs="宋体"/>
          <w:color w:val="auto"/>
          <w:kern w:val="0"/>
          <w:sz w:val="21"/>
          <w:szCs w:val="21"/>
          <w:highlight w:val="none"/>
        </w:rPr>
        <w:t>A-4</w:t>
      </w:r>
      <w:r>
        <w:rPr>
          <w:rFonts w:hint="eastAsia" w:ascii="宋体" w:hAnsi="宋体" w:eastAsia="宋体" w:cs="宋体"/>
          <w:color w:val="auto"/>
          <w:sz w:val="21"/>
          <w:szCs w:val="21"/>
          <w:highlight w:val="none"/>
        </w:rPr>
        <w:t>其他（专业技术咨询、外部协调工作等）：</w:t>
      </w:r>
      <w:r>
        <w:rPr>
          <w:rFonts w:hint="eastAsia" w:ascii="宋体" w:hAnsi="宋体" w:eastAsia="宋体" w:cs="宋体"/>
          <w:color w:val="auto"/>
          <w:sz w:val="21"/>
          <w:szCs w:val="21"/>
          <w:highlight w:val="none"/>
          <w:u w:val="single"/>
          <w:lang w:val="en-US" w:eastAsia="zh-CN"/>
        </w:rPr>
        <w:t>配合</w:t>
      </w:r>
      <w:r>
        <w:rPr>
          <w:rFonts w:hint="eastAsia" w:ascii="宋体" w:hAnsi="宋体" w:eastAsia="宋体" w:cs="宋体"/>
          <w:color w:val="auto"/>
          <w:sz w:val="21"/>
          <w:szCs w:val="21"/>
          <w:highlight w:val="none"/>
        </w:rPr>
        <w:t>。</w:t>
      </w:r>
    </w:p>
    <w:p w14:paraId="7BA6F55C">
      <w:pPr>
        <w:keepNext w:val="0"/>
        <w:keepLines w:val="0"/>
        <w:pageBreakBefore w:val="0"/>
        <w:widowControl w:val="0"/>
        <w:numPr>
          <w:ilvl w:val="0"/>
          <w:numId w:val="25"/>
        </w:numPr>
        <w:kinsoku/>
        <w:wordWrap/>
        <w:overflowPunct/>
        <w:topLinePunct w:val="0"/>
        <w:autoSpaceDE/>
        <w:autoSpaceDN/>
        <w:bidi w:val="0"/>
        <w:spacing w:line="440" w:lineRule="atLeast"/>
        <w:ind w:left="0" w:leftChars="0"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9.补充条款</w:t>
      </w:r>
      <w:r>
        <w:rPr>
          <w:rFonts w:ascii="宋体" w:hAnsi="宋体" w:eastAsia="宋体" w:cs="宋体"/>
          <w:bCs/>
          <w:color w:val="auto"/>
          <w:sz w:val="21"/>
          <w:szCs w:val="21"/>
          <w:highlight w:val="none"/>
        </w:rPr>
        <w:br w:type="textWrapping" w:clear="all"/>
      </w:r>
      <w:r>
        <w:rPr>
          <w:rFonts w:ascii="宋体" w:hAnsi="宋体" w:eastAsia="宋体" w:cs="宋体"/>
          <w:bCs/>
          <w:color w:val="auto"/>
          <w:sz w:val="21"/>
          <w:szCs w:val="21"/>
          <w:highlight w:val="none"/>
        </w:rPr>
        <w:t>9.1项目分期实施：若因规划原因导致具体子项目延迟启动或分期间隔时间超过60个日历</w:t>
      </w:r>
      <w:r>
        <w:rPr>
          <w:rFonts w:hint="eastAsia" w:ascii="宋体" w:hAnsi="宋体" w:cs="宋体"/>
          <w:bCs/>
          <w:color w:val="auto"/>
          <w:sz w:val="21"/>
          <w:szCs w:val="21"/>
          <w:highlight w:val="none"/>
          <w:lang w:val="en-US" w:eastAsia="zh-CN"/>
        </w:rPr>
        <w:t>天</w:t>
      </w:r>
      <w:r>
        <w:rPr>
          <w:rFonts w:ascii="宋体" w:hAnsi="宋体" w:eastAsia="宋体" w:cs="宋体"/>
          <w:bCs/>
          <w:color w:val="auto"/>
          <w:sz w:val="21"/>
          <w:szCs w:val="21"/>
          <w:highlight w:val="none"/>
        </w:rPr>
        <w:t>，可相应调整现场人员安排，但应保证在收到书面进场通知后7个日历日内按附件三要求组建监理机构到位。对于超过90日的非因原因的等待期，双方应友好协商，可给予适当的补偿或延长服务期。</w:t>
      </w:r>
      <w:r>
        <w:rPr>
          <w:rFonts w:ascii="宋体" w:hAnsi="宋体" w:eastAsia="宋体" w:cs="宋体"/>
          <w:bCs/>
          <w:color w:val="auto"/>
          <w:sz w:val="21"/>
          <w:szCs w:val="21"/>
          <w:highlight w:val="none"/>
        </w:rPr>
        <w:br w:type="textWrapping" w:clear="all"/>
      </w:r>
      <w:r>
        <w:rPr>
          <w:rFonts w:ascii="宋体" w:hAnsi="宋体" w:eastAsia="宋体" w:cs="宋体"/>
          <w:bCs/>
          <w:color w:val="auto"/>
          <w:sz w:val="21"/>
          <w:szCs w:val="21"/>
          <w:highlight w:val="none"/>
        </w:rPr>
        <w:t>9.2总监解锁：因原因导致项目长期无法开工或中断，应配合办理总监理工程师在相关监管系统的解锁手续。</w:t>
      </w:r>
      <w:r>
        <w:rPr>
          <w:rFonts w:ascii="宋体" w:hAnsi="宋体" w:eastAsia="宋体" w:cs="宋体"/>
          <w:bCs/>
          <w:color w:val="auto"/>
          <w:sz w:val="21"/>
          <w:szCs w:val="21"/>
          <w:highlight w:val="none"/>
        </w:rPr>
        <w:br w:type="textWrapping" w:clear="all"/>
      </w:r>
      <w:r>
        <w:rPr>
          <w:rFonts w:ascii="宋体" w:hAnsi="宋体" w:eastAsia="宋体" w:cs="宋体"/>
          <w:bCs/>
          <w:color w:val="auto"/>
          <w:sz w:val="21"/>
          <w:szCs w:val="21"/>
          <w:highlight w:val="none"/>
        </w:rPr>
        <w:t>9.3不可抗力：定义包括但不限于重大疫情、自然灾害、</w:t>
      </w:r>
      <w:r>
        <w:rPr>
          <w:color w:val="auto"/>
        </w:rPr>
        <w:t>政府行为（如征收、征用等）</w:t>
      </w:r>
      <w:r>
        <w:rPr>
          <w:rFonts w:ascii="宋体" w:hAnsi="宋体" w:eastAsia="宋体" w:cs="宋体"/>
          <w:bCs/>
          <w:color w:val="auto"/>
          <w:sz w:val="21"/>
          <w:szCs w:val="21"/>
          <w:highlight w:val="none"/>
        </w:rPr>
        <w:t>等双方无法预见、无法避免且无法克服的事件。</w:t>
      </w:r>
    </w:p>
    <w:p w14:paraId="1B8FC7DE">
      <w:pPr>
        <w:pageBreakBefore w:val="0"/>
        <w:kinsoku/>
        <w:wordWrap/>
        <w:overflowPunct/>
        <w:topLinePunct w:val="0"/>
        <w:autoSpaceDE/>
        <w:autoSpaceDN/>
        <w:bidi w:val="0"/>
        <w:spacing w:line="360" w:lineRule="auto"/>
        <w:jc w:val="left"/>
        <w:rPr>
          <w:rFonts w:hint="eastAsia" w:ascii="宋体" w:hAnsi="宋体" w:eastAsia="宋体" w:cs="宋体"/>
          <w:b w:val="0"/>
          <w:bCs/>
          <w:color w:val="auto"/>
          <w:sz w:val="21"/>
          <w:szCs w:val="21"/>
          <w:highlight w:val="none"/>
          <w:lang w:val="en-US" w:eastAsia="zh-CN"/>
        </w:rPr>
      </w:pPr>
    </w:p>
    <w:p w14:paraId="651BA08C">
      <w:pPr>
        <w:pageBreakBefore w:val="0"/>
        <w:kinsoku/>
        <w:wordWrap/>
        <w:overflowPunct/>
        <w:topLinePunct w:val="0"/>
        <w:autoSpaceDE/>
        <w:autoSpaceDN/>
        <w:bidi w:val="0"/>
        <w:spacing w:line="360" w:lineRule="auto"/>
        <w:jc w:val="left"/>
        <w:rPr>
          <w:rFonts w:hint="eastAsia" w:ascii="宋体" w:hAnsi="宋体" w:eastAsia="宋体" w:cs="宋体"/>
          <w:b w:val="0"/>
          <w:bCs/>
          <w:color w:val="auto"/>
          <w:sz w:val="21"/>
          <w:szCs w:val="21"/>
          <w:highlight w:val="none"/>
          <w:lang w:val="en-US" w:eastAsia="zh-CN"/>
        </w:rPr>
      </w:pPr>
    </w:p>
    <w:p w14:paraId="2F779859">
      <w:pPr>
        <w:pageBreakBefore w:val="0"/>
        <w:kinsoku/>
        <w:wordWrap/>
        <w:overflowPunct/>
        <w:topLinePunct w:val="0"/>
        <w:autoSpaceDE/>
        <w:autoSpaceDN/>
        <w:bidi w:val="0"/>
        <w:spacing w:line="360" w:lineRule="auto"/>
        <w:jc w:val="left"/>
        <w:rPr>
          <w:rFonts w:hint="eastAsia" w:ascii="宋体" w:hAnsi="宋体" w:eastAsia="宋体" w:cs="宋体"/>
          <w:b w:val="0"/>
          <w:bCs/>
          <w:color w:val="auto"/>
          <w:sz w:val="21"/>
          <w:szCs w:val="21"/>
          <w:highlight w:val="none"/>
          <w:lang w:val="en-US" w:eastAsia="zh-CN"/>
        </w:rPr>
      </w:pPr>
    </w:p>
    <w:p w14:paraId="16B7F7D2">
      <w:pPr>
        <w:pageBreakBefore w:val="0"/>
        <w:kinsoku/>
        <w:wordWrap/>
        <w:overflowPunct/>
        <w:topLinePunct w:val="0"/>
        <w:autoSpaceDE/>
        <w:autoSpaceDN/>
        <w:bidi w:val="0"/>
        <w:spacing w:line="360" w:lineRule="auto"/>
        <w:jc w:val="left"/>
        <w:rPr>
          <w:rFonts w:hint="eastAsia" w:ascii="宋体" w:hAnsi="宋体" w:eastAsia="宋体" w:cs="宋体"/>
          <w:b w:val="0"/>
          <w:bCs/>
          <w:color w:val="auto"/>
          <w:sz w:val="21"/>
          <w:szCs w:val="21"/>
          <w:highlight w:val="none"/>
          <w:lang w:val="en-US" w:eastAsia="zh-CN"/>
        </w:rPr>
      </w:pPr>
    </w:p>
    <w:p w14:paraId="3806D5D9">
      <w:pPr>
        <w:pageBreakBefore w:val="0"/>
        <w:kinsoku/>
        <w:wordWrap/>
        <w:overflowPunct/>
        <w:topLinePunct w:val="0"/>
        <w:autoSpaceDE/>
        <w:autoSpaceDN/>
        <w:bidi w:val="0"/>
        <w:spacing w:line="360" w:lineRule="auto"/>
        <w:jc w:val="left"/>
        <w:rPr>
          <w:rFonts w:hint="eastAsia" w:ascii="宋体" w:hAnsi="宋体" w:eastAsia="宋体" w:cs="宋体"/>
          <w:b w:val="0"/>
          <w:bCs/>
          <w:color w:val="auto"/>
          <w:sz w:val="21"/>
          <w:szCs w:val="21"/>
          <w:highlight w:val="none"/>
          <w:lang w:val="en-US" w:eastAsia="zh-CN"/>
        </w:rPr>
      </w:pPr>
    </w:p>
    <w:p w14:paraId="21F1C3FA">
      <w:pPr>
        <w:pageBreakBefore w:val="0"/>
        <w:kinsoku/>
        <w:wordWrap/>
        <w:overflowPunct/>
        <w:topLinePunct w:val="0"/>
        <w:autoSpaceDE/>
        <w:autoSpaceDN/>
        <w:bidi w:val="0"/>
        <w:spacing w:line="360" w:lineRule="auto"/>
        <w:jc w:val="left"/>
        <w:rPr>
          <w:rFonts w:hint="eastAsia" w:ascii="宋体" w:hAnsi="宋体" w:eastAsia="宋体" w:cs="宋体"/>
          <w:b w:val="0"/>
          <w:bCs/>
          <w:color w:val="auto"/>
          <w:sz w:val="21"/>
          <w:szCs w:val="21"/>
          <w:highlight w:val="none"/>
          <w:lang w:val="en-US" w:eastAsia="zh-CN"/>
        </w:rPr>
      </w:pPr>
    </w:p>
    <w:p w14:paraId="7C0B0448">
      <w:pPr>
        <w:pageBreakBefore w:val="0"/>
        <w:kinsoku/>
        <w:wordWrap/>
        <w:overflowPunct/>
        <w:topLinePunct w:val="0"/>
        <w:autoSpaceDE/>
        <w:autoSpaceDN/>
        <w:bidi w:val="0"/>
        <w:spacing w:line="360" w:lineRule="auto"/>
        <w:jc w:val="left"/>
        <w:rPr>
          <w:rFonts w:hint="eastAsia" w:ascii="宋体" w:hAnsi="宋体" w:eastAsia="宋体" w:cs="宋体"/>
          <w:b w:val="0"/>
          <w:bCs/>
          <w:color w:val="auto"/>
          <w:sz w:val="21"/>
          <w:szCs w:val="21"/>
          <w:highlight w:val="none"/>
          <w:lang w:val="en-US" w:eastAsia="zh-CN"/>
        </w:rPr>
      </w:pPr>
    </w:p>
    <w:p w14:paraId="0F69A42D">
      <w:pPr>
        <w:pageBreakBefore w:val="0"/>
        <w:kinsoku/>
        <w:wordWrap/>
        <w:overflowPunct/>
        <w:topLinePunct w:val="0"/>
        <w:autoSpaceDE/>
        <w:autoSpaceDN/>
        <w:bidi w:val="0"/>
        <w:spacing w:line="360" w:lineRule="auto"/>
        <w:jc w:val="left"/>
        <w:rPr>
          <w:rFonts w:hint="eastAsia" w:ascii="宋体" w:hAnsi="宋体" w:eastAsia="宋体" w:cs="宋体"/>
          <w:b w:val="0"/>
          <w:bCs/>
          <w:color w:val="auto"/>
          <w:sz w:val="21"/>
          <w:szCs w:val="21"/>
          <w:highlight w:val="none"/>
          <w:lang w:val="en-US" w:eastAsia="zh-CN"/>
        </w:rPr>
      </w:pPr>
    </w:p>
    <w:p w14:paraId="50E5616A">
      <w:pPr>
        <w:pageBreakBefore w:val="0"/>
        <w:kinsoku/>
        <w:wordWrap/>
        <w:overflowPunct/>
        <w:topLinePunct w:val="0"/>
        <w:autoSpaceDE/>
        <w:autoSpaceDN/>
        <w:bidi w:val="0"/>
        <w:spacing w:line="360" w:lineRule="auto"/>
        <w:jc w:val="left"/>
        <w:rPr>
          <w:rFonts w:hint="eastAsia" w:ascii="宋体" w:hAnsi="宋体" w:eastAsia="宋体" w:cs="宋体"/>
          <w:b w:val="0"/>
          <w:bCs/>
          <w:color w:val="auto"/>
          <w:sz w:val="21"/>
          <w:szCs w:val="21"/>
          <w:highlight w:val="none"/>
          <w:lang w:val="en-US" w:eastAsia="zh-CN"/>
        </w:rPr>
      </w:pPr>
    </w:p>
    <w:p w14:paraId="582E6F10">
      <w:pPr>
        <w:pStyle w:val="2"/>
        <w:rPr>
          <w:rFonts w:hint="eastAsia"/>
          <w:color w:val="auto"/>
          <w:lang w:val="en-US" w:eastAsia="zh-CN"/>
        </w:rPr>
      </w:pPr>
    </w:p>
    <w:p w14:paraId="4384F896">
      <w:pPr>
        <w:rPr>
          <w:rFonts w:hint="eastAsia" w:ascii="宋体" w:hAnsi="宋体" w:eastAsia="宋体" w:cs="宋体"/>
          <w:b w:val="0"/>
          <w:bCs/>
          <w:color w:val="auto"/>
          <w:sz w:val="21"/>
          <w:szCs w:val="21"/>
          <w:highlight w:val="none"/>
          <w:lang w:val="en-US" w:eastAsia="zh-CN"/>
        </w:rPr>
      </w:pPr>
    </w:p>
    <w:p w14:paraId="14956ED4">
      <w:pPr>
        <w:pStyle w:val="2"/>
        <w:rPr>
          <w:rFonts w:hint="eastAsia"/>
          <w:color w:val="auto"/>
          <w:lang w:val="en-US" w:eastAsia="zh-CN"/>
        </w:rPr>
      </w:pPr>
    </w:p>
    <w:p w14:paraId="20A40431">
      <w:pPr>
        <w:pageBreakBefore w:val="0"/>
        <w:kinsoku/>
        <w:wordWrap/>
        <w:overflowPunct/>
        <w:topLinePunct w:val="0"/>
        <w:autoSpaceDE/>
        <w:autoSpaceDN/>
        <w:bidi w:val="0"/>
        <w:spacing w:line="360" w:lineRule="auto"/>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附件1　</w:t>
      </w:r>
    </w:p>
    <w:p w14:paraId="2E1228C7">
      <w:pPr>
        <w:pStyle w:val="17"/>
        <w:bidi w:val="0"/>
        <w:jc w:val="center"/>
        <w:rPr>
          <w:rFonts w:hint="eastAsia"/>
          <w:color w:val="auto"/>
          <w:lang w:val="en-US" w:eastAsia="zh-CN"/>
        </w:rPr>
      </w:pPr>
      <w:r>
        <w:rPr>
          <w:rFonts w:hint="eastAsia"/>
          <w:color w:val="auto"/>
          <w:lang w:eastAsia="zh-CN"/>
        </w:rPr>
        <w:t>廉　</w:t>
      </w:r>
      <w:r>
        <w:rPr>
          <w:rFonts w:hint="eastAsia"/>
          <w:color w:val="auto"/>
          <w:lang w:val="en-US" w:eastAsia="zh-CN"/>
        </w:rPr>
        <w:t>政　协　议</w:t>
      </w:r>
    </w:p>
    <w:p w14:paraId="3E4E6BAB">
      <w:pPr>
        <w:keepNext w:val="0"/>
        <w:keepLines w:val="0"/>
        <w:pageBreakBefore w:val="0"/>
        <w:widowControl/>
        <w:kinsoku/>
        <w:wordWrap/>
        <w:overflowPunct/>
        <w:topLinePunct w:val="0"/>
        <w:autoSpaceDE/>
        <w:autoSpaceDN/>
        <w:bidi w:val="0"/>
        <w:spacing w:line="440" w:lineRule="atLeast"/>
        <w:ind w:left="0" w:leftChars="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建设单位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eastAsia="zh-CN"/>
        </w:rPr>
        <w:t>　</w:t>
      </w:r>
      <w:r>
        <w:rPr>
          <w:rFonts w:hint="eastAsia" w:ascii="宋体" w:hAnsi="宋体" w:eastAsia="宋体" w:cs="宋体"/>
          <w:b w:val="0"/>
          <w:bCs/>
          <w:color w:val="auto"/>
          <w:sz w:val="21"/>
          <w:szCs w:val="21"/>
          <w:highlight w:val="none"/>
          <w:u w:val="single"/>
          <w:lang w:eastAsia="zh-CN"/>
        </w:rPr>
        <w:t>　　　</w:t>
      </w:r>
      <w:r>
        <w:rPr>
          <w:rFonts w:hint="eastAsia" w:ascii="宋体" w:hAnsi="宋体" w:eastAsia="宋体" w:cs="宋体"/>
          <w:color w:val="auto"/>
          <w:sz w:val="21"/>
          <w:szCs w:val="21"/>
          <w:highlight w:val="none"/>
        </w:rPr>
        <w:t>（以下简称）</w:t>
      </w:r>
    </w:p>
    <w:p w14:paraId="666E63D7">
      <w:pPr>
        <w:keepNext w:val="0"/>
        <w:keepLines w:val="0"/>
        <w:pageBreakBefore w:val="0"/>
        <w:widowControl/>
        <w:kinsoku/>
        <w:wordWrap/>
        <w:overflowPunct/>
        <w:topLinePunct w:val="0"/>
        <w:autoSpaceDE/>
        <w:autoSpaceDN/>
        <w:bidi w:val="0"/>
        <w:spacing w:line="440" w:lineRule="atLeas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监理单位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eastAsia="zh-CN"/>
        </w:rPr>
        <w:t>　</w:t>
      </w:r>
      <w:r>
        <w:rPr>
          <w:rFonts w:hint="eastAsia" w:ascii="宋体" w:hAnsi="宋体" w:eastAsia="宋体" w:cs="宋体"/>
          <w:color w:val="auto"/>
          <w:sz w:val="21"/>
          <w:szCs w:val="21"/>
          <w:highlight w:val="none"/>
        </w:rPr>
        <w:t>（以下简称）</w:t>
      </w:r>
    </w:p>
    <w:p w14:paraId="08DD9B28">
      <w:pPr>
        <w:keepNext w:val="0"/>
        <w:keepLines w:val="0"/>
        <w:pageBreakBefore w:val="0"/>
        <w:widowControl/>
        <w:kinsoku/>
        <w:wordWrap/>
        <w:overflowPunct/>
        <w:topLinePunct w:val="0"/>
        <w:autoSpaceDE/>
        <w:autoSpaceDN/>
        <w:bidi w:val="0"/>
        <w:spacing w:line="440" w:lineRule="atLeast"/>
        <w:ind w:firstLine="420" w:firstLineChars="200"/>
        <w:jc w:val="left"/>
        <w:rPr>
          <w:rFonts w:hint="eastAsia" w:ascii="宋体" w:hAnsi="宋体" w:eastAsia="宋体" w:cs="宋体"/>
          <w:b w:val="0"/>
          <w:bCs w:val="0"/>
          <w:color w:val="auto"/>
          <w:w w:val="100"/>
          <w:sz w:val="21"/>
          <w:szCs w:val="21"/>
          <w:highlight w:val="none"/>
          <w:lang w:eastAsia="zh-CN"/>
        </w:rPr>
      </w:pPr>
      <w:r>
        <w:rPr>
          <w:rFonts w:hint="eastAsia" w:ascii="宋体" w:hAnsi="宋体" w:eastAsia="宋体" w:cs="宋体"/>
          <w:b w:val="0"/>
          <w:bCs w:val="0"/>
          <w:color w:val="auto"/>
          <w:w w:val="100"/>
          <w:sz w:val="21"/>
          <w:szCs w:val="21"/>
          <w:highlight w:val="none"/>
          <w:lang w:eastAsia="zh-CN"/>
        </w:rPr>
        <w:t>　</w:t>
      </w:r>
    </w:p>
    <w:p w14:paraId="6F3405C3">
      <w:pPr>
        <w:keepNext w:val="0"/>
        <w:keepLines w:val="0"/>
        <w:pageBreakBefore w:val="0"/>
        <w:widowControl/>
        <w:kinsoku/>
        <w:wordWrap/>
        <w:overflowPunct/>
        <w:topLinePunct w:val="0"/>
        <w:autoSpaceDE/>
        <w:autoSpaceDN/>
        <w:bidi w:val="0"/>
        <w:spacing w:line="440" w:lineRule="atLeas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为加强工程建设中的廉政建设，规范工程建设</w:t>
      </w:r>
      <w:r>
        <w:rPr>
          <w:rFonts w:hint="eastAsia" w:ascii="宋体" w:hAnsi="宋体" w:eastAsia="宋体" w:cs="宋体"/>
          <w:color w:val="auto"/>
          <w:sz w:val="21"/>
          <w:szCs w:val="21"/>
          <w:highlight w:val="none"/>
          <w:lang w:eastAsia="zh-CN"/>
        </w:rPr>
        <w:t>甲乙</w:t>
      </w:r>
      <w:r>
        <w:rPr>
          <w:rFonts w:hint="eastAsia" w:ascii="宋体" w:hAnsi="宋体" w:eastAsia="宋体" w:cs="宋体"/>
          <w:color w:val="auto"/>
          <w:sz w:val="21"/>
          <w:szCs w:val="21"/>
          <w:highlight w:val="none"/>
        </w:rPr>
        <w:t>的各项活动，防止发生各种谋取不正当利益的违法违纪行为，保护国家、集体和</w:t>
      </w:r>
      <w:r>
        <w:rPr>
          <w:rFonts w:hint="eastAsia" w:ascii="宋体" w:hAnsi="宋体" w:cs="宋体"/>
          <w:color w:val="auto"/>
          <w:sz w:val="21"/>
          <w:szCs w:val="21"/>
          <w:highlight w:val="none"/>
          <w:lang w:val="en-US" w:eastAsia="zh-CN"/>
        </w:rPr>
        <w:t>相关方</w:t>
      </w:r>
      <w:r>
        <w:rPr>
          <w:rFonts w:hint="eastAsia" w:ascii="宋体" w:hAnsi="宋体" w:eastAsia="宋体" w:cs="宋体"/>
          <w:color w:val="auto"/>
          <w:sz w:val="21"/>
          <w:szCs w:val="21"/>
          <w:highlight w:val="none"/>
        </w:rPr>
        <w:t>的合法权益，根据国家有关工程建设的法律法规和廉政建设责任制规定，特订立</w:t>
      </w:r>
      <w:r>
        <w:rPr>
          <w:rFonts w:hint="eastAsia" w:ascii="宋体" w:hAnsi="宋体" w:eastAsia="宋体" w:cs="宋体"/>
          <w:color w:val="auto"/>
          <w:sz w:val="21"/>
          <w:szCs w:val="21"/>
          <w:highlight w:val="none"/>
          <w:lang w:eastAsia="zh-CN"/>
        </w:rPr>
        <w:t>本</w:t>
      </w:r>
      <w:r>
        <w:rPr>
          <w:rFonts w:hint="eastAsia" w:ascii="宋体" w:hAnsi="宋体" w:eastAsia="宋体" w:cs="宋体"/>
          <w:color w:val="auto"/>
          <w:sz w:val="21"/>
          <w:szCs w:val="21"/>
          <w:highlight w:val="none"/>
        </w:rPr>
        <w:t>廉政</w:t>
      </w:r>
      <w:r>
        <w:rPr>
          <w:rFonts w:hint="eastAsia" w:ascii="宋体" w:hAnsi="宋体" w:eastAsia="宋体" w:cs="宋体"/>
          <w:color w:val="auto"/>
          <w:sz w:val="21"/>
          <w:szCs w:val="21"/>
          <w:highlight w:val="none"/>
          <w:lang w:val="en-US" w:eastAsia="zh-CN"/>
        </w:rPr>
        <w:t>协议</w:t>
      </w:r>
      <w:r>
        <w:rPr>
          <w:rFonts w:hint="eastAsia" w:ascii="宋体" w:hAnsi="宋体" w:eastAsia="宋体" w:cs="宋体"/>
          <w:color w:val="auto"/>
          <w:sz w:val="21"/>
          <w:szCs w:val="21"/>
          <w:highlight w:val="none"/>
        </w:rPr>
        <w:t>。</w:t>
      </w:r>
    </w:p>
    <w:p w14:paraId="167E03D3">
      <w:pPr>
        <w:keepNext w:val="0"/>
        <w:keepLines w:val="0"/>
        <w:pageBreakBefore w:val="0"/>
        <w:widowControl/>
        <w:kinsoku/>
        <w:wordWrap/>
        <w:overflowPunct/>
        <w:topLinePunct w:val="0"/>
        <w:autoSpaceDE w:val="0"/>
        <w:autoSpaceDN w:val="0"/>
        <w:bidi w:val="0"/>
        <w:spacing w:line="440" w:lineRule="atLeast"/>
        <w:ind w:right="-23"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的责任</w:t>
      </w:r>
    </w:p>
    <w:p w14:paraId="082F0680">
      <w:pPr>
        <w:keepNext w:val="0"/>
        <w:keepLines w:val="0"/>
        <w:pageBreakBefore w:val="0"/>
        <w:widowControl/>
        <w:kinsoku/>
        <w:wordWrap/>
        <w:overflowPunct/>
        <w:topLinePunct w:val="0"/>
        <w:autoSpaceDE w:val="0"/>
        <w:autoSpaceDN w:val="0"/>
        <w:bidi w:val="0"/>
        <w:spacing w:line="440" w:lineRule="atLeast"/>
        <w:ind w:left="0" w:leftChars="0" w:right="-23"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　　</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应严格遵守国家关于市场准入、项目招标投标、工程建设、工程监理和市场活动的有关法律、法规，相关政策</w:t>
      </w:r>
      <w:r>
        <w:t>、规章</w:t>
      </w:r>
      <w:r>
        <w:rPr>
          <w:rFonts w:hint="eastAsia" w:ascii="宋体" w:hAnsi="宋体" w:eastAsia="宋体" w:cs="宋体"/>
          <w:color w:val="auto"/>
          <w:sz w:val="21"/>
          <w:szCs w:val="21"/>
          <w:highlight w:val="none"/>
        </w:rPr>
        <w:t>，以及廉政建设的各项规定。</w:t>
      </w:r>
    </w:p>
    <w:p w14:paraId="7CCE7E09">
      <w:pPr>
        <w:keepNext w:val="0"/>
        <w:keepLines w:val="0"/>
        <w:pageBreakBefore w:val="0"/>
        <w:widowControl/>
        <w:kinsoku/>
        <w:wordWrap/>
        <w:overflowPunct/>
        <w:topLinePunct w:val="0"/>
        <w:autoSpaceDE w:val="0"/>
        <w:autoSpaceDN w:val="0"/>
        <w:bidi w:val="0"/>
        <w:spacing w:line="440" w:lineRule="atLeast"/>
        <w:ind w:left="0" w:leftChars="0" w:right="-23"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　　</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严格执行建设工程项目监理合同文件，自觉按合同办事。</w:t>
      </w:r>
    </w:p>
    <w:p w14:paraId="18801254">
      <w:pPr>
        <w:keepNext w:val="0"/>
        <w:keepLines w:val="0"/>
        <w:pageBreakBefore w:val="0"/>
        <w:widowControl/>
        <w:kinsoku/>
        <w:wordWrap/>
        <w:overflowPunct/>
        <w:topLinePunct w:val="0"/>
        <w:autoSpaceDE w:val="0"/>
        <w:autoSpaceDN w:val="0"/>
        <w:bidi w:val="0"/>
        <w:spacing w:line="440" w:lineRule="atLeast"/>
        <w:ind w:left="0" w:leftChars="0" w:right="-23"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业务活动必须坚持公开、公平、公正、诚信、透明的原则（除法律法规另有规定者外），不得为获取不正当的利益，损害国家、集体和对方利益，不得违反工程建设管理、建设监理的规章制度。</w:t>
      </w:r>
    </w:p>
    <w:p w14:paraId="41733CAF">
      <w:pPr>
        <w:keepNext w:val="0"/>
        <w:keepLines w:val="0"/>
        <w:pageBreakBefore w:val="0"/>
        <w:widowControl/>
        <w:kinsoku/>
        <w:wordWrap/>
        <w:overflowPunct/>
        <w:topLinePunct w:val="0"/>
        <w:autoSpaceDE w:val="0"/>
        <w:autoSpaceDN w:val="0"/>
        <w:bidi w:val="0"/>
        <w:spacing w:line="440" w:lineRule="atLeast"/>
        <w:ind w:left="0" w:leftChars="0" w:right="-23"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　　</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发现对方在业务活动中有违规、违纪、违法行为的，应及时提醒对方，情节严重的，应向其上级主管部门或纪检监察、司法等有关机关举报。</w:t>
      </w:r>
    </w:p>
    <w:p w14:paraId="459FF5B7">
      <w:pPr>
        <w:keepNext w:val="0"/>
        <w:keepLines w:val="0"/>
        <w:pageBreakBefore w:val="0"/>
        <w:widowControl/>
        <w:kinsoku/>
        <w:wordWrap/>
        <w:overflowPunct/>
        <w:topLinePunct w:val="0"/>
        <w:autoSpaceDE w:val="0"/>
        <w:autoSpaceDN w:val="0"/>
        <w:bidi w:val="0"/>
        <w:spacing w:line="440" w:lineRule="atLeast"/>
        <w:ind w:left="0" w:leftChars="0" w:right="-23"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　　二、</w:t>
      </w:r>
      <w:r>
        <w:rPr>
          <w:rFonts w:hint="eastAsia" w:ascii="宋体" w:hAnsi="宋体" w:eastAsia="宋体" w:cs="宋体"/>
          <w:color w:val="auto"/>
          <w:sz w:val="21"/>
          <w:szCs w:val="21"/>
          <w:highlight w:val="none"/>
        </w:rPr>
        <w:t>的责任</w:t>
      </w:r>
    </w:p>
    <w:p w14:paraId="40C46A84">
      <w:pPr>
        <w:keepNext w:val="0"/>
        <w:keepLines w:val="0"/>
        <w:pageBreakBefore w:val="0"/>
        <w:widowControl/>
        <w:kinsoku/>
        <w:wordWrap/>
        <w:overflowPunct/>
        <w:topLinePunct w:val="0"/>
        <w:autoSpaceDE w:val="0"/>
        <w:autoSpaceDN w:val="0"/>
        <w:bidi w:val="0"/>
        <w:spacing w:line="440" w:lineRule="atLeast"/>
        <w:ind w:right="-2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　　</w:t>
      </w:r>
      <w:r>
        <w:rPr>
          <w:rFonts w:hint="eastAsia" w:ascii="宋体" w:hAnsi="宋体" w:eastAsia="宋体" w:cs="宋体"/>
          <w:color w:val="auto"/>
          <w:sz w:val="21"/>
          <w:szCs w:val="21"/>
          <w:highlight w:val="none"/>
        </w:rPr>
        <w:t>的领导和从事建设工程项目的工作人员在工程建设的事前、事中、事后应遵守以下规定：</w:t>
      </w:r>
    </w:p>
    <w:p w14:paraId="39044C92">
      <w:pPr>
        <w:keepNext w:val="0"/>
        <w:keepLines w:val="0"/>
        <w:pageBreakBefore w:val="0"/>
        <w:widowControl/>
        <w:kinsoku/>
        <w:wordWrap/>
        <w:overflowPunct/>
        <w:topLinePunct w:val="0"/>
        <w:autoSpaceDE w:val="0"/>
        <w:autoSpaceDN w:val="0"/>
        <w:bidi w:val="0"/>
        <w:spacing w:line="440" w:lineRule="atLeast"/>
        <w:ind w:right="-2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1.</w:t>
      </w:r>
      <w:r>
        <w:rPr>
          <w:rFonts w:hint="eastAsia" w:ascii="宋体" w:hAnsi="宋体" w:eastAsia="宋体" w:cs="宋体"/>
          <w:color w:val="auto"/>
          <w:sz w:val="21"/>
          <w:szCs w:val="21"/>
          <w:highlight w:val="none"/>
        </w:rPr>
        <w:t>不准向乙方和相关单位索要或接受回扣、礼金、有价证券、贵重物品和好处费、感谢费等。</w:t>
      </w:r>
    </w:p>
    <w:p w14:paraId="771E1EA9">
      <w:pPr>
        <w:keepNext w:val="0"/>
        <w:keepLines w:val="0"/>
        <w:pageBreakBefore w:val="0"/>
        <w:widowControl/>
        <w:kinsoku/>
        <w:wordWrap/>
        <w:overflowPunct/>
        <w:topLinePunct w:val="0"/>
        <w:autoSpaceDE w:val="0"/>
        <w:autoSpaceDN w:val="0"/>
        <w:bidi w:val="0"/>
        <w:spacing w:line="440" w:lineRule="atLeast"/>
        <w:ind w:right="-2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2.</w:t>
      </w:r>
      <w:r>
        <w:rPr>
          <w:rFonts w:hint="eastAsia" w:ascii="宋体" w:hAnsi="宋体" w:eastAsia="宋体" w:cs="宋体"/>
          <w:color w:val="auto"/>
          <w:sz w:val="21"/>
          <w:szCs w:val="21"/>
          <w:highlight w:val="none"/>
        </w:rPr>
        <w:t>不准在和相关单位报销任何应由或个人支付的费用。</w:t>
      </w:r>
    </w:p>
    <w:p w14:paraId="40CE25ED">
      <w:pPr>
        <w:keepNext w:val="0"/>
        <w:keepLines w:val="0"/>
        <w:pageBreakBefore w:val="0"/>
        <w:widowControl/>
        <w:kinsoku/>
        <w:wordWrap/>
        <w:overflowPunct/>
        <w:topLinePunct w:val="0"/>
        <w:autoSpaceDE w:val="0"/>
        <w:autoSpaceDN w:val="0"/>
        <w:bidi w:val="0"/>
        <w:spacing w:line="440" w:lineRule="atLeast"/>
        <w:ind w:right="-2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3.</w:t>
      </w:r>
      <w:r>
        <w:rPr>
          <w:rFonts w:hint="eastAsia" w:ascii="宋体" w:hAnsi="宋体" w:eastAsia="宋体" w:cs="宋体"/>
          <w:color w:val="auto"/>
          <w:sz w:val="21"/>
          <w:szCs w:val="21"/>
          <w:highlight w:val="none"/>
        </w:rPr>
        <w:t>不准要求、暗示或接受和相关单位为个人装修住房、婚丧嫁娶、配偶子女的工作安排以及出国（境）、旅游等提供。</w:t>
      </w:r>
    </w:p>
    <w:p w14:paraId="546138A5">
      <w:pPr>
        <w:keepNext w:val="0"/>
        <w:keepLines w:val="0"/>
        <w:pageBreakBefore w:val="0"/>
        <w:widowControl/>
        <w:kinsoku/>
        <w:wordWrap/>
        <w:overflowPunct/>
        <w:topLinePunct w:val="0"/>
        <w:autoSpaceDE w:val="0"/>
        <w:autoSpaceDN w:val="0"/>
        <w:bidi w:val="0"/>
        <w:spacing w:line="440" w:lineRule="atLeast"/>
        <w:ind w:right="-23" w:firstLine="417" w:firstLineChars="199"/>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不准参加有可能影响公正执行公务的和相关单位的宴请、健身、娱乐等活动。</w:t>
      </w:r>
    </w:p>
    <w:p w14:paraId="1D7EF53A">
      <w:pPr>
        <w:keepNext w:val="0"/>
        <w:keepLines w:val="0"/>
        <w:pageBreakBefore w:val="0"/>
        <w:widowControl/>
        <w:kinsoku/>
        <w:wordWrap/>
        <w:overflowPunct/>
        <w:topLinePunct w:val="0"/>
        <w:autoSpaceDE w:val="0"/>
        <w:autoSpaceDN w:val="0"/>
        <w:bidi w:val="0"/>
        <w:spacing w:line="440" w:lineRule="atLeast"/>
        <w:ind w:right="-2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5.</w:t>
      </w:r>
      <w:r>
        <w:rPr>
          <w:rFonts w:hint="eastAsia" w:ascii="宋体" w:hAnsi="宋体" w:eastAsia="宋体" w:cs="宋体"/>
          <w:color w:val="auto"/>
          <w:sz w:val="21"/>
          <w:szCs w:val="21"/>
          <w:highlight w:val="none"/>
        </w:rPr>
        <w:t>不准向和相关单位介绍或为配偶、子女、亲属参与同工程项目合同有关的监理分包项目等活动。不准向和相关单位介绍或为配偶、子女、亲属参与同项目工程合同有关的设备、材料、工程分包、劳务等经济活动。不得以任何理由向和相关单位推荐分包单位和要求购买与项目工程合同规定以外的材料、设备等。</w:t>
      </w:r>
    </w:p>
    <w:p w14:paraId="598409C0">
      <w:pPr>
        <w:keepNext w:val="0"/>
        <w:keepLines w:val="0"/>
        <w:pageBreakBefore w:val="0"/>
        <w:widowControl/>
        <w:kinsoku/>
        <w:wordWrap/>
        <w:overflowPunct/>
        <w:topLinePunct w:val="0"/>
        <w:autoSpaceDE w:val="0"/>
        <w:autoSpaceDN w:val="0"/>
        <w:bidi w:val="0"/>
        <w:spacing w:line="440" w:lineRule="atLeast"/>
        <w:ind w:left="141" w:leftChars="67" w:right="-23"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的责任</w:t>
      </w:r>
    </w:p>
    <w:p w14:paraId="0B4E8CB0">
      <w:pPr>
        <w:keepNext w:val="0"/>
        <w:keepLines w:val="0"/>
        <w:pageBreakBefore w:val="0"/>
        <w:widowControl/>
        <w:kinsoku/>
        <w:wordWrap/>
        <w:overflowPunct/>
        <w:topLinePunct w:val="0"/>
        <w:autoSpaceDE w:val="0"/>
        <w:autoSpaceDN w:val="0"/>
        <w:bidi w:val="0"/>
        <w:spacing w:line="440" w:lineRule="atLeast"/>
        <w:ind w:left="140" w:right="-23"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应与和相关单位保持正常的业务交往，按照有关法律法规和程序开展业务工作。严格执行工程建设的方针、政策，尤其是有关勘察设计、建筑施工安装的强制性标准和规范，以及监理法规，认真履行监理职责，并</w:t>
      </w:r>
      <w:r>
        <w:t>遵守</w:t>
      </w:r>
      <w:r>
        <w:rPr>
          <w:rFonts w:hint="eastAsia" w:ascii="宋体" w:hAnsi="宋体" w:eastAsia="宋体" w:cs="宋体"/>
          <w:color w:val="auto"/>
          <w:sz w:val="21"/>
          <w:szCs w:val="21"/>
          <w:highlight w:val="none"/>
        </w:rPr>
        <w:t>以下规定：</w:t>
      </w:r>
    </w:p>
    <w:p w14:paraId="796DA8C3">
      <w:pPr>
        <w:keepNext w:val="0"/>
        <w:keepLines w:val="0"/>
        <w:pageBreakBefore w:val="0"/>
        <w:widowControl/>
        <w:kinsoku/>
        <w:wordWrap/>
        <w:overflowPunct/>
        <w:topLinePunct w:val="0"/>
        <w:autoSpaceDE w:val="0"/>
        <w:autoSpaceDN w:val="0"/>
        <w:bidi w:val="0"/>
        <w:spacing w:line="440" w:lineRule="atLeast"/>
        <w:ind w:left="0" w:leftChars="0" w:right="-23"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　　</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不准以任何理由向和相关单位及其工作人员索要、接受或赠送礼金、有价证券、贵重物品及、好处费、感谢费等。</w:t>
      </w:r>
    </w:p>
    <w:p w14:paraId="6ABE55A0">
      <w:pPr>
        <w:keepNext w:val="0"/>
        <w:keepLines w:val="0"/>
        <w:pageBreakBefore w:val="0"/>
        <w:widowControl/>
        <w:kinsoku/>
        <w:wordWrap/>
        <w:overflowPunct/>
        <w:topLinePunct w:val="0"/>
        <w:autoSpaceDE w:val="0"/>
        <w:autoSpaceDN w:val="0"/>
        <w:bidi w:val="0"/>
        <w:spacing w:line="440" w:lineRule="atLeast"/>
        <w:ind w:left="0" w:leftChars="0" w:right="-23"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　　</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不准以任何理由为和相关单位报销应由对方或个人支付的费用。</w:t>
      </w:r>
    </w:p>
    <w:p w14:paraId="08C7A6F6">
      <w:pPr>
        <w:keepNext w:val="0"/>
        <w:keepLines w:val="0"/>
        <w:pageBreakBefore w:val="0"/>
        <w:widowControl/>
        <w:kinsoku/>
        <w:wordWrap/>
        <w:overflowPunct/>
        <w:topLinePunct w:val="0"/>
        <w:autoSpaceDE w:val="0"/>
        <w:autoSpaceDN w:val="0"/>
        <w:bidi w:val="0"/>
        <w:spacing w:line="440" w:lineRule="atLeast"/>
        <w:ind w:left="0" w:leftChars="0" w:right="-23"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不准接受或暗示为、相关单位或个人装修住房、婚丧嫁娶、配偶子女的工作安排以及出国（境）、旅游等提供。</w:t>
      </w:r>
    </w:p>
    <w:p w14:paraId="580FA4EE">
      <w:pPr>
        <w:keepNext w:val="0"/>
        <w:keepLines w:val="0"/>
        <w:pageBreakBefore w:val="0"/>
        <w:widowControl/>
        <w:kinsoku/>
        <w:wordWrap/>
        <w:overflowPunct/>
        <w:topLinePunct w:val="0"/>
        <w:autoSpaceDE w:val="0"/>
        <w:autoSpaceDN w:val="0"/>
        <w:bidi w:val="0"/>
        <w:spacing w:line="440" w:lineRule="atLeast"/>
        <w:ind w:left="0" w:leftChars="0" w:right="-23"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　　</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不准违反合同约定而使用、相关单位提供的通信、交通工具和办公用品。</w:t>
      </w:r>
    </w:p>
    <w:p w14:paraId="6809B9DA">
      <w:pPr>
        <w:keepNext w:val="0"/>
        <w:keepLines w:val="0"/>
        <w:pageBreakBefore w:val="0"/>
        <w:widowControl/>
        <w:kinsoku/>
        <w:wordWrap/>
        <w:overflowPunct/>
        <w:topLinePunct w:val="0"/>
        <w:autoSpaceDE w:val="0"/>
        <w:autoSpaceDN w:val="0"/>
        <w:bidi w:val="0"/>
        <w:spacing w:line="440" w:lineRule="atLeast"/>
        <w:ind w:right="-23"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不准以任何理由为、相关单位或个人组织有可能影响公正执行公务的宴请、健身、娱乐等活动。</w:t>
      </w:r>
    </w:p>
    <w:p w14:paraId="4BFE8E6B">
      <w:pPr>
        <w:keepNext w:val="0"/>
        <w:keepLines w:val="0"/>
        <w:pageBreakBefore w:val="0"/>
        <w:widowControl/>
        <w:kinsoku/>
        <w:wordWrap/>
        <w:overflowPunct/>
        <w:topLinePunct w:val="0"/>
        <w:autoSpaceDE w:val="0"/>
        <w:autoSpaceDN w:val="0"/>
        <w:bidi w:val="0"/>
        <w:spacing w:line="440" w:lineRule="atLeast"/>
        <w:ind w:left="0" w:leftChars="0" w:right="-23" w:firstLine="56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违约责任</w:t>
      </w:r>
    </w:p>
    <w:p w14:paraId="24F989C7">
      <w:pPr>
        <w:keepNext w:val="0"/>
        <w:keepLines w:val="0"/>
        <w:pageBreakBefore w:val="0"/>
        <w:widowControl/>
        <w:numPr>
          <w:ilvl w:val="0"/>
          <w:numId w:val="0"/>
        </w:numPr>
        <w:kinsoku/>
        <w:wordWrap/>
        <w:overflowPunct/>
        <w:topLinePunct w:val="0"/>
        <w:autoSpaceDE w:val="0"/>
        <w:autoSpaceDN w:val="0"/>
        <w:bidi w:val="0"/>
        <w:spacing w:line="440" w:lineRule="atLeast"/>
        <w:ind w:right="-23" w:rightChars="0" w:firstLine="56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工作人员有违反本合同第一、二条责任或行为的，按照惯例权限，依据有关法律法规和规定给予党纪、政纪处分或组织处理；涉嫌犯罪的，移交司法机关追究刑事责任；给单位造成经济损失的，应予以赔偿。</w:t>
      </w:r>
    </w:p>
    <w:p w14:paraId="0AFFB3F1">
      <w:pPr>
        <w:keepNext w:val="0"/>
        <w:keepLines w:val="0"/>
        <w:pageBreakBefore w:val="0"/>
        <w:widowControl/>
        <w:numPr>
          <w:ilvl w:val="0"/>
          <w:numId w:val="0"/>
        </w:numPr>
        <w:kinsoku/>
        <w:wordWrap/>
        <w:overflowPunct/>
        <w:topLinePunct w:val="0"/>
        <w:autoSpaceDE w:val="0"/>
        <w:autoSpaceDN w:val="0"/>
        <w:bidi w:val="0"/>
        <w:spacing w:line="440" w:lineRule="atLeast"/>
        <w:ind w:right="-23" w:rightChars="0" w:firstLine="56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工作人员有违反本合同第一、三条责任行为的，按照惯例权限，依据有关法律法规和规定给予党纪、政纪处分或组织处理；涉嫌犯罪的，移交司法机关追究刑事责任；给单位造成经济损失的，应予以赔偿。</w:t>
      </w:r>
    </w:p>
    <w:p w14:paraId="3C5BD3D2">
      <w:pPr>
        <w:keepNext w:val="0"/>
        <w:keepLines w:val="0"/>
        <w:pageBreakBefore w:val="0"/>
        <w:widowControl/>
        <w:kinsoku/>
        <w:wordWrap/>
        <w:overflowPunct/>
        <w:topLinePunct w:val="0"/>
        <w:autoSpaceDE w:val="0"/>
        <w:autoSpaceDN w:val="0"/>
        <w:bidi w:val="0"/>
        <w:spacing w:line="440" w:lineRule="atLeast"/>
        <w:ind w:left="0" w:leftChars="0" w:right="-23" w:firstLine="56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协议</w:t>
      </w:r>
      <w:r>
        <w:rPr>
          <w:rFonts w:hint="eastAsia" w:ascii="宋体" w:hAnsi="宋体" w:eastAsia="宋体" w:cs="宋体"/>
          <w:color w:val="auto"/>
          <w:sz w:val="21"/>
          <w:szCs w:val="21"/>
          <w:highlight w:val="none"/>
        </w:rPr>
        <w:t>作为工程监理的合同附件</w:t>
      </w:r>
      <w:r>
        <w:rPr>
          <w:rFonts w:hint="eastAsia" w:ascii="宋体" w:hAnsi="宋体" w:eastAsia="宋体" w:cs="宋体"/>
          <w:color w:val="auto"/>
          <w:sz w:val="21"/>
          <w:szCs w:val="21"/>
          <w:highlight w:val="none"/>
          <w:lang w:eastAsia="zh-CN"/>
        </w:rPr>
        <w:t>。</w:t>
      </w:r>
    </w:p>
    <w:p w14:paraId="4C4C21A9">
      <w:pPr>
        <w:spacing w:line="360" w:lineRule="auto"/>
        <w:ind w:right="-279" w:rightChars="-133"/>
        <w:jc w:val="left"/>
        <w:rPr>
          <w:rStyle w:val="86"/>
          <w:rFonts w:hint="eastAsia" w:ascii="宋体" w:hAnsi="宋体" w:eastAsia="宋体" w:cs="宋体"/>
          <w:b w:val="0"/>
          <w:bCs w:val="0"/>
          <w:color w:val="auto"/>
          <w:sz w:val="21"/>
          <w:szCs w:val="21"/>
          <w:highlight w:val="none"/>
          <w:lang w:val="en-US" w:eastAsia="zh-CN"/>
        </w:rPr>
      </w:pPr>
    </w:p>
    <w:p w14:paraId="7375AF9E">
      <w:pPr>
        <w:spacing w:line="360" w:lineRule="auto"/>
        <w:ind w:right="-279" w:rightChars="-133"/>
        <w:jc w:val="left"/>
        <w:rPr>
          <w:rStyle w:val="86"/>
          <w:rFonts w:hint="eastAsia" w:ascii="宋体" w:hAnsi="宋体" w:eastAsia="宋体" w:cs="宋体"/>
          <w:b w:val="0"/>
          <w:bCs w:val="0"/>
          <w:color w:val="auto"/>
          <w:sz w:val="21"/>
          <w:szCs w:val="21"/>
          <w:highlight w:val="none"/>
          <w:lang w:val="en-US" w:eastAsia="zh-CN"/>
        </w:rPr>
      </w:pPr>
    </w:p>
    <w:p w14:paraId="6810EF22">
      <w:pPr>
        <w:spacing w:line="360" w:lineRule="auto"/>
        <w:ind w:right="-279" w:rightChars="-133"/>
        <w:jc w:val="left"/>
        <w:rPr>
          <w:rStyle w:val="86"/>
          <w:rFonts w:hint="eastAsia" w:ascii="宋体" w:hAnsi="宋体" w:eastAsia="宋体" w:cs="宋体"/>
          <w:b w:val="0"/>
          <w:bCs w:val="0"/>
          <w:color w:val="auto"/>
          <w:sz w:val="21"/>
          <w:szCs w:val="21"/>
          <w:highlight w:val="none"/>
          <w:lang w:val="en-US" w:eastAsia="zh-CN"/>
        </w:rPr>
      </w:pPr>
    </w:p>
    <w:p w14:paraId="30593533">
      <w:pPr>
        <w:spacing w:line="360" w:lineRule="auto"/>
        <w:ind w:right="-279" w:rightChars="-133"/>
        <w:jc w:val="left"/>
        <w:rPr>
          <w:rStyle w:val="86"/>
          <w:rFonts w:hint="eastAsia" w:ascii="宋体" w:hAnsi="宋体" w:eastAsia="宋体" w:cs="宋体"/>
          <w:b w:val="0"/>
          <w:bCs w:val="0"/>
          <w:color w:val="auto"/>
          <w:sz w:val="21"/>
          <w:szCs w:val="21"/>
          <w:highlight w:val="none"/>
          <w:lang w:val="en-US" w:eastAsia="zh-CN"/>
        </w:rPr>
      </w:pPr>
    </w:p>
    <w:p w14:paraId="0BEB2DF8">
      <w:pPr>
        <w:pStyle w:val="2"/>
        <w:rPr>
          <w:rFonts w:hint="eastAsia"/>
          <w:lang w:val="en-US" w:eastAsia="zh-CN"/>
        </w:rPr>
      </w:pPr>
    </w:p>
    <w:p w14:paraId="1A426F85">
      <w:pPr>
        <w:rPr>
          <w:rStyle w:val="86"/>
          <w:rFonts w:hint="eastAsia" w:ascii="宋体" w:hAnsi="宋体" w:eastAsia="宋体" w:cs="宋体"/>
          <w:b w:val="0"/>
          <w:bCs w:val="0"/>
          <w:color w:val="auto"/>
          <w:sz w:val="21"/>
          <w:szCs w:val="21"/>
          <w:highlight w:val="none"/>
          <w:lang w:val="en-US" w:eastAsia="zh-CN"/>
        </w:rPr>
      </w:pPr>
    </w:p>
    <w:p w14:paraId="14391512">
      <w:pPr>
        <w:pStyle w:val="2"/>
        <w:rPr>
          <w:rFonts w:hint="eastAsia"/>
          <w:lang w:val="en-US" w:eastAsia="zh-CN"/>
        </w:rPr>
      </w:pPr>
    </w:p>
    <w:p w14:paraId="5029F036">
      <w:pPr>
        <w:rPr>
          <w:rStyle w:val="86"/>
          <w:rFonts w:hint="eastAsia" w:ascii="宋体" w:hAnsi="宋体" w:eastAsia="宋体" w:cs="宋体"/>
          <w:b w:val="0"/>
          <w:bCs w:val="0"/>
          <w:color w:val="auto"/>
          <w:sz w:val="21"/>
          <w:szCs w:val="21"/>
          <w:highlight w:val="none"/>
          <w:lang w:val="en-US" w:eastAsia="zh-CN"/>
        </w:rPr>
      </w:pPr>
    </w:p>
    <w:p w14:paraId="3E3CD130">
      <w:pPr>
        <w:pStyle w:val="2"/>
        <w:rPr>
          <w:rFonts w:hint="eastAsia"/>
          <w:lang w:val="en-US" w:eastAsia="zh-CN"/>
        </w:rPr>
      </w:pPr>
    </w:p>
    <w:p w14:paraId="653D59DF">
      <w:pPr>
        <w:rPr>
          <w:rStyle w:val="86"/>
          <w:rFonts w:hint="eastAsia" w:ascii="宋体" w:hAnsi="宋体" w:eastAsia="宋体" w:cs="宋体"/>
          <w:b w:val="0"/>
          <w:bCs w:val="0"/>
          <w:color w:val="auto"/>
          <w:sz w:val="21"/>
          <w:szCs w:val="21"/>
          <w:highlight w:val="none"/>
          <w:lang w:val="en-US" w:eastAsia="zh-CN"/>
        </w:rPr>
      </w:pPr>
    </w:p>
    <w:p w14:paraId="340DC990">
      <w:pPr>
        <w:pStyle w:val="2"/>
        <w:rPr>
          <w:rFonts w:hint="eastAsia"/>
          <w:lang w:val="en-US" w:eastAsia="zh-CN"/>
        </w:rPr>
      </w:pPr>
    </w:p>
    <w:p w14:paraId="2E56A913">
      <w:pPr>
        <w:rPr>
          <w:rFonts w:hint="eastAsia"/>
          <w:lang w:val="en-US" w:eastAsia="zh-CN"/>
        </w:rPr>
      </w:pPr>
    </w:p>
    <w:p w14:paraId="077A1F4B">
      <w:pPr>
        <w:spacing w:line="360" w:lineRule="auto"/>
        <w:ind w:right="-279" w:rightChars="-133"/>
        <w:jc w:val="left"/>
        <w:rPr>
          <w:rStyle w:val="86"/>
          <w:rFonts w:hint="eastAsia" w:ascii="宋体" w:hAnsi="宋体" w:eastAsia="宋体" w:cs="宋体"/>
          <w:b w:val="0"/>
          <w:bCs w:val="0"/>
          <w:color w:val="auto"/>
          <w:sz w:val="21"/>
          <w:szCs w:val="21"/>
          <w:highlight w:val="none"/>
          <w:lang w:val="en-US" w:eastAsia="zh-CN"/>
        </w:rPr>
      </w:pPr>
    </w:p>
    <w:p w14:paraId="75600746">
      <w:pPr>
        <w:spacing w:line="360" w:lineRule="auto"/>
        <w:ind w:right="-279" w:rightChars="-133"/>
        <w:jc w:val="left"/>
        <w:rPr>
          <w:rStyle w:val="86"/>
          <w:rFonts w:hint="eastAsia" w:ascii="宋体" w:hAnsi="宋体" w:eastAsia="宋体" w:cs="宋体"/>
          <w:b w:val="0"/>
          <w:bCs w:val="0"/>
          <w:color w:val="auto"/>
          <w:sz w:val="21"/>
          <w:szCs w:val="21"/>
          <w:highlight w:val="none"/>
          <w:lang w:val="en-US" w:eastAsia="zh-CN"/>
        </w:rPr>
      </w:pPr>
      <w:r>
        <w:rPr>
          <w:rStyle w:val="86"/>
          <w:rFonts w:hint="eastAsia" w:ascii="宋体" w:hAnsi="宋体" w:eastAsia="宋体" w:cs="宋体"/>
          <w:b w:val="0"/>
          <w:bCs w:val="0"/>
          <w:color w:val="auto"/>
          <w:sz w:val="21"/>
          <w:szCs w:val="21"/>
          <w:highlight w:val="none"/>
          <w:lang w:val="en-US" w:eastAsia="zh-CN"/>
        </w:rPr>
        <w:t>附件2</w:t>
      </w:r>
    </w:p>
    <w:p w14:paraId="03E654C1">
      <w:pPr>
        <w:pStyle w:val="17"/>
        <w:bidi w:val="0"/>
        <w:jc w:val="center"/>
        <w:rPr>
          <w:rFonts w:hint="eastAsia"/>
          <w:color w:val="auto"/>
          <w:lang w:val="en-US" w:eastAsia="zh-CN"/>
        </w:rPr>
      </w:pPr>
      <w:r>
        <w:rPr>
          <w:rFonts w:hint="eastAsia"/>
          <w:color w:val="auto"/>
        </w:rPr>
        <w:t>安全监理责任</w:t>
      </w:r>
      <w:r>
        <w:rPr>
          <w:rFonts w:hint="eastAsia"/>
          <w:color w:val="auto"/>
          <w:lang w:val="en-US" w:eastAsia="zh-CN"/>
        </w:rPr>
        <w:t>协议</w:t>
      </w:r>
    </w:p>
    <w:p w14:paraId="20D4BC38">
      <w:pPr>
        <w:keepNext w:val="0"/>
        <w:keepLines w:val="0"/>
        <w:pageBreakBefore w:val="0"/>
        <w:widowControl/>
        <w:kinsoku/>
        <w:wordWrap/>
        <w:overflowPunct/>
        <w:topLinePunct w:val="0"/>
        <w:autoSpaceDE/>
        <w:autoSpaceDN/>
        <w:bidi w:val="0"/>
        <w:spacing w:line="440" w:lineRule="atLeast"/>
        <w:ind w:left="0" w:leftChars="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建设单位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eastAsia="zh-CN"/>
        </w:rPr>
        <w:t>　</w:t>
      </w:r>
      <w:r>
        <w:rPr>
          <w:rFonts w:hint="eastAsia" w:ascii="宋体" w:hAnsi="宋体" w:eastAsia="宋体" w:cs="宋体"/>
          <w:b w:val="0"/>
          <w:bCs/>
          <w:color w:val="auto"/>
          <w:sz w:val="21"/>
          <w:szCs w:val="21"/>
          <w:highlight w:val="none"/>
          <w:u w:val="single"/>
          <w:lang w:eastAsia="zh-CN"/>
        </w:rPr>
        <w:t>　　　</w:t>
      </w:r>
      <w:r>
        <w:rPr>
          <w:rFonts w:hint="eastAsia" w:ascii="宋体" w:hAnsi="宋体" w:eastAsia="宋体" w:cs="宋体"/>
          <w:color w:val="auto"/>
          <w:sz w:val="21"/>
          <w:szCs w:val="21"/>
          <w:highlight w:val="none"/>
        </w:rPr>
        <w:t>（以下简称）</w:t>
      </w:r>
    </w:p>
    <w:p w14:paraId="0833172E">
      <w:pPr>
        <w:keepNext w:val="0"/>
        <w:keepLines w:val="0"/>
        <w:pageBreakBefore w:val="0"/>
        <w:widowControl/>
        <w:kinsoku/>
        <w:wordWrap/>
        <w:overflowPunct/>
        <w:topLinePunct w:val="0"/>
        <w:autoSpaceDE/>
        <w:autoSpaceDN/>
        <w:bidi w:val="0"/>
        <w:spacing w:line="440" w:lineRule="atLeast"/>
        <w:ind w:left="0" w:leftChars="0" w:right="-460" w:rightChars="-219"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监理单位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eastAsia="zh-CN"/>
        </w:rPr>
        <w:t>　</w:t>
      </w:r>
      <w:r>
        <w:rPr>
          <w:rFonts w:hint="eastAsia" w:ascii="宋体" w:hAnsi="宋体" w:eastAsia="宋体" w:cs="宋体"/>
          <w:color w:val="auto"/>
          <w:sz w:val="21"/>
          <w:szCs w:val="21"/>
          <w:highlight w:val="none"/>
        </w:rPr>
        <w:t>（以下简称）</w:t>
      </w:r>
    </w:p>
    <w:p w14:paraId="14A335EE">
      <w:pPr>
        <w:keepNext w:val="0"/>
        <w:keepLines w:val="0"/>
        <w:pageBreakBefore w:val="0"/>
        <w:widowControl/>
        <w:kinsoku/>
        <w:wordWrap/>
        <w:overflowPunct/>
        <w:topLinePunct w:val="0"/>
        <w:autoSpaceDE/>
        <w:autoSpaceDN/>
        <w:bidi w:val="0"/>
        <w:spacing w:line="440" w:lineRule="atLeast"/>
        <w:ind w:left="0" w:leftChars="0" w:right="-460" w:rightChars="-219"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w:t>
      </w:r>
      <w:r>
        <w:rPr>
          <w:rFonts w:hint="eastAsia" w:ascii="宋体" w:hAnsi="宋体" w:eastAsia="宋体" w:cs="宋体"/>
          <w:color w:val="auto"/>
          <w:sz w:val="21"/>
          <w:szCs w:val="21"/>
          <w:highlight w:val="none"/>
        </w:rPr>
        <w:t>根据国务院《建设工程安全生产管理条例》</w:t>
      </w:r>
      <w:r>
        <w:rPr>
          <w:rFonts w:hint="eastAsia" w:ascii="宋体" w:hAnsi="宋体" w:eastAsia="宋体" w:cs="宋体"/>
          <w:color w:val="auto"/>
          <w:sz w:val="21"/>
          <w:szCs w:val="21"/>
          <w:highlight w:val="none"/>
          <w:lang w:eastAsia="zh-CN"/>
        </w:rPr>
        <w:t>等有关规定</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eastAsia="zh-CN"/>
        </w:rPr>
        <w:t>使</w:t>
      </w:r>
      <w:r>
        <w:rPr>
          <w:rFonts w:hint="eastAsia" w:ascii="宋体" w:hAnsi="宋体" w:eastAsia="宋体" w:cs="宋体"/>
          <w:color w:val="auto"/>
          <w:sz w:val="21"/>
          <w:szCs w:val="21"/>
          <w:highlight w:val="none"/>
        </w:rPr>
        <w:t>监理服务合同的实施过程中切实</w:t>
      </w:r>
      <w:r>
        <w:rPr>
          <w:rFonts w:hint="eastAsia" w:ascii="宋体" w:hAnsi="宋体" w:eastAsia="宋体" w:cs="宋体"/>
          <w:color w:val="auto"/>
          <w:sz w:val="21"/>
          <w:szCs w:val="21"/>
          <w:highlight w:val="none"/>
          <w:lang w:eastAsia="zh-CN"/>
        </w:rPr>
        <w:t>做好安</w:t>
      </w:r>
      <w:r>
        <w:rPr>
          <w:rFonts w:hint="eastAsia" w:ascii="宋体" w:hAnsi="宋体" w:eastAsia="宋体" w:cs="宋体"/>
          <w:color w:val="auto"/>
          <w:sz w:val="21"/>
          <w:szCs w:val="21"/>
          <w:highlight w:val="none"/>
        </w:rPr>
        <w:t>全生产管理工作，</w:t>
      </w:r>
      <w:r>
        <w:rPr>
          <w:rFonts w:hint="eastAsia" w:ascii="宋体" w:hAnsi="宋体" w:eastAsia="宋体" w:cs="宋体"/>
          <w:color w:val="auto"/>
          <w:sz w:val="21"/>
          <w:szCs w:val="21"/>
          <w:highlight w:val="none"/>
          <w:lang w:eastAsia="zh-CN"/>
        </w:rPr>
        <w:t>经协商一致，</w:t>
      </w:r>
      <w:r>
        <w:rPr>
          <w:rFonts w:hint="eastAsia" w:ascii="宋体" w:hAnsi="宋体" w:eastAsia="宋体" w:cs="宋体"/>
          <w:color w:val="auto"/>
          <w:sz w:val="21"/>
          <w:szCs w:val="21"/>
          <w:highlight w:val="none"/>
        </w:rPr>
        <w:t>签订</w:t>
      </w:r>
      <w:r>
        <w:rPr>
          <w:rFonts w:hint="eastAsia" w:ascii="宋体" w:hAnsi="宋体" w:eastAsia="宋体" w:cs="宋体"/>
          <w:color w:val="auto"/>
          <w:sz w:val="21"/>
          <w:szCs w:val="21"/>
          <w:highlight w:val="none"/>
          <w:lang w:eastAsia="zh-CN"/>
        </w:rPr>
        <w:t>本</w:t>
      </w:r>
      <w:r>
        <w:rPr>
          <w:rFonts w:hint="eastAsia" w:ascii="宋体" w:hAnsi="宋体" w:eastAsia="宋体" w:cs="宋体"/>
          <w:color w:val="auto"/>
          <w:sz w:val="21"/>
          <w:szCs w:val="21"/>
          <w:highlight w:val="none"/>
        </w:rPr>
        <w:t>安全监理责任</w:t>
      </w:r>
      <w:r>
        <w:rPr>
          <w:rFonts w:hint="eastAsia" w:ascii="宋体" w:hAnsi="宋体" w:eastAsia="宋体" w:cs="宋体"/>
          <w:color w:val="auto"/>
          <w:sz w:val="21"/>
          <w:szCs w:val="21"/>
          <w:highlight w:val="none"/>
          <w:lang w:val="en-US" w:eastAsia="zh-CN"/>
        </w:rPr>
        <w:t>协议</w:t>
      </w:r>
      <w:r>
        <w:rPr>
          <w:rFonts w:hint="eastAsia" w:ascii="宋体" w:hAnsi="宋体" w:eastAsia="宋体" w:cs="宋体"/>
          <w:color w:val="auto"/>
          <w:sz w:val="21"/>
          <w:szCs w:val="21"/>
          <w:highlight w:val="none"/>
        </w:rPr>
        <w:t>:</w:t>
      </w:r>
    </w:p>
    <w:p w14:paraId="35C43F03">
      <w:pPr>
        <w:keepNext w:val="0"/>
        <w:keepLines w:val="0"/>
        <w:pageBreakBefore w:val="0"/>
        <w:widowControl/>
        <w:kinsoku/>
        <w:wordWrap/>
        <w:overflowPunct/>
        <w:topLinePunct w:val="0"/>
        <w:autoSpaceDE/>
        <w:autoSpaceDN/>
        <w:bidi w:val="0"/>
        <w:spacing w:line="440" w:lineRule="atLeast"/>
        <w:ind w:left="0" w:leftChars="0" w:right="-460" w:rightChars="-219"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w:t>
      </w:r>
      <w:r>
        <w:rPr>
          <w:rFonts w:hint="eastAsia" w:ascii="宋体" w:hAnsi="宋体" w:eastAsia="宋体" w:cs="宋体"/>
          <w:color w:val="auto"/>
          <w:sz w:val="21"/>
          <w:szCs w:val="21"/>
          <w:highlight w:val="none"/>
        </w:rPr>
        <w:t>一、职责</w:t>
      </w:r>
    </w:p>
    <w:p w14:paraId="25936029">
      <w:pPr>
        <w:keepNext w:val="0"/>
        <w:keepLines w:val="0"/>
        <w:pageBreakBefore w:val="0"/>
        <w:widowControl/>
        <w:kinsoku/>
        <w:wordWrap/>
        <w:overflowPunct/>
        <w:topLinePunct w:val="0"/>
        <w:autoSpaceDE/>
        <w:autoSpaceDN/>
        <w:bidi w:val="0"/>
        <w:spacing w:line="440" w:lineRule="atLeast"/>
        <w:ind w:left="0" w:leftChars="0" w:right="-460" w:rightChars="-219"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w:t>
      </w:r>
      <w:r>
        <w:rPr>
          <w:rFonts w:hint="eastAsia" w:ascii="宋体" w:hAnsi="宋体" w:eastAsia="宋体" w:cs="宋体"/>
          <w:color w:val="auto"/>
          <w:sz w:val="21"/>
          <w:szCs w:val="21"/>
          <w:highlight w:val="none"/>
        </w:rPr>
        <w:t>1.严格遵守国家有关安全生产的法律</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 "http://www.fdcew.com/fgwk/Index.html" \t "_blank"</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法规</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，支持按条例要求对规定的</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 "http://www.fdcew.com/Soft/jzsg/Index.html" \t "_blank"</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施工</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安全实施监理。</w:t>
      </w:r>
    </w:p>
    <w:p w14:paraId="1055DF61">
      <w:pPr>
        <w:keepNext w:val="0"/>
        <w:keepLines w:val="0"/>
        <w:pageBreakBefore w:val="0"/>
        <w:widowControl/>
        <w:kinsoku/>
        <w:wordWrap/>
        <w:overflowPunct/>
        <w:topLinePunct w:val="0"/>
        <w:autoSpaceDE/>
        <w:autoSpaceDN/>
        <w:bidi w:val="0"/>
        <w:spacing w:line="440" w:lineRule="atLeast"/>
        <w:ind w:left="0" w:leftChars="0" w:right="-460" w:rightChars="-219"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w:t>
      </w:r>
      <w:r>
        <w:rPr>
          <w:rFonts w:hint="eastAsia" w:ascii="宋体" w:hAnsi="宋体" w:eastAsia="宋体" w:cs="宋体"/>
          <w:color w:val="auto"/>
          <w:sz w:val="21"/>
          <w:szCs w:val="21"/>
          <w:highlight w:val="none"/>
        </w:rPr>
        <w:t>2.按照"安全第一、预防为主"和坚持"管生产必须管安全"的原则进行安全生产管理，做到生产与安全工作同时</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 "http://www.fdcew.com/gw/List_203.html" \t "_blank"</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计划</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、布置、检查、</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 "http://www.fdcew.com/gw/List_201.html" \t "_blank"</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总结</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和评比。</w:t>
      </w:r>
    </w:p>
    <w:p w14:paraId="11EC276E">
      <w:pPr>
        <w:keepNext w:val="0"/>
        <w:keepLines w:val="0"/>
        <w:pageBreakBefore w:val="0"/>
        <w:widowControl/>
        <w:kinsoku/>
        <w:wordWrap/>
        <w:overflowPunct/>
        <w:topLinePunct w:val="0"/>
        <w:autoSpaceDE/>
        <w:autoSpaceDN/>
        <w:bidi w:val="0"/>
        <w:spacing w:line="440" w:lineRule="atLeast"/>
        <w:ind w:left="0" w:leftChars="0" w:right="-460" w:rightChars="-219"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w:t>
      </w:r>
      <w:r>
        <w:rPr>
          <w:rFonts w:hint="eastAsia" w:ascii="宋体" w:hAnsi="宋体" w:eastAsia="宋体" w:cs="宋体"/>
          <w:color w:val="auto"/>
          <w:sz w:val="21"/>
          <w:szCs w:val="21"/>
          <w:highlight w:val="none"/>
        </w:rPr>
        <w:t>3.的安全设施必须坚持与主体工程"三同时"的原则，即:同时设计、审批，同时施工，同时验收，投入使用。</w:t>
      </w:r>
    </w:p>
    <w:p w14:paraId="27A3E454">
      <w:pPr>
        <w:keepNext w:val="0"/>
        <w:keepLines w:val="0"/>
        <w:pageBreakBefore w:val="0"/>
        <w:widowControl/>
        <w:kinsoku/>
        <w:wordWrap/>
        <w:overflowPunct/>
        <w:topLinePunct w:val="0"/>
        <w:autoSpaceDE/>
        <w:autoSpaceDN/>
        <w:bidi w:val="0"/>
        <w:spacing w:line="440" w:lineRule="atLeast"/>
        <w:ind w:left="0" w:leftChars="0" w:right="-460" w:rightChars="-219"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w:t>
      </w:r>
      <w:r>
        <w:rPr>
          <w:rFonts w:hint="eastAsia" w:ascii="宋体" w:hAnsi="宋体" w:eastAsia="宋体" w:cs="宋体"/>
          <w:color w:val="auto"/>
          <w:sz w:val="21"/>
          <w:szCs w:val="21"/>
          <w:highlight w:val="none"/>
        </w:rPr>
        <w:t>4.定期召开安全生产调度会，及时传达中央及地方有关安全生产的精神。</w:t>
      </w:r>
    </w:p>
    <w:p w14:paraId="7BF231D8">
      <w:pPr>
        <w:keepNext w:val="0"/>
        <w:keepLines w:val="0"/>
        <w:pageBreakBefore w:val="0"/>
        <w:widowControl/>
        <w:kinsoku/>
        <w:wordWrap/>
        <w:overflowPunct/>
        <w:topLinePunct w:val="0"/>
        <w:autoSpaceDE/>
        <w:autoSpaceDN/>
        <w:bidi w:val="0"/>
        <w:spacing w:line="440" w:lineRule="atLeast"/>
        <w:ind w:left="0" w:leftChars="0" w:right="-460" w:rightChars="-219"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w:t>
      </w:r>
      <w:r>
        <w:rPr>
          <w:rFonts w:hint="eastAsia" w:ascii="宋体" w:hAnsi="宋体" w:eastAsia="宋体" w:cs="宋体"/>
          <w:color w:val="auto"/>
          <w:sz w:val="21"/>
          <w:szCs w:val="21"/>
          <w:highlight w:val="none"/>
        </w:rPr>
        <w:t>5.组织对施工现场的安全生产检查，监督施工单位及时处理发现的各项安全隐患。</w:t>
      </w:r>
    </w:p>
    <w:p w14:paraId="2BA2A32F">
      <w:pPr>
        <w:keepNext w:val="0"/>
        <w:keepLines w:val="0"/>
        <w:pageBreakBefore w:val="0"/>
        <w:widowControl/>
        <w:kinsoku/>
        <w:wordWrap/>
        <w:overflowPunct/>
        <w:topLinePunct w:val="0"/>
        <w:autoSpaceDE/>
        <w:autoSpaceDN/>
        <w:bidi w:val="0"/>
        <w:spacing w:line="440" w:lineRule="atLeast"/>
        <w:ind w:left="0" w:leftChars="0" w:right="-460" w:rightChars="-219"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w:t>
      </w:r>
      <w:r>
        <w:rPr>
          <w:rFonts w:hint="eastAsia" w:ascii="宋体" w:hAnsi="宋体" w:eastAsia="宋体" w:cs="宋体"/>
          <w:color w:val="auto"/>
          <w:sz w:val="21"/>
          <w:szCs w:val="21"/>
          <w:highlight w:val="none"/>
        </w:rPr>
        <w:t>二、职责</w:t>
      </w:r>
    </w:p>
    <w:p w14:paraId="0323CD3D">
      <w:pPr>
        <w:keepNext w:val="0"/>
        <w:keepLines w:val="0"/>
        <w:pageBreakBefore w:val="0"/>
        <w:widowControl/>
        <w:kinsoku/>
        <w:wordWrap/>
        <w:overflowPunct/>
        <w:topLinePunct w:val="0"/>
        <w:autoSpaceDE/>
        <w:autoSpaceDN/>
        <w:bidi w:val="0"/>
        <w:spacing w:line="440" w:lineRule="atLeast"/>
        <w:ind w:left="0" w:leftChars="0" w:right="-460" w:rightChars="-219"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督促施工单位严格遵守国家有关安全生产的</w:t>
      </w:r>
      <w:r>
        <w:t>法律法规及其他有关规定</w:t>
      </w:r>
      <w:r>
        <w:rPr>
          <w:rFonts w:hint="eastAsia" w:ascii="宋体" w:hAnsi="宋体" w:eastAsia="宋体" w:cs="宋体"/>
          <w:color w:val="auto"/>
          <w:sz w:val="21"/>
          <w:szCs w:val="21"/>
          <w:highlight w:val="none"/>
        </w:rPr>
        <w:t>，认真执行工程承包合同中的有关安全要求。</w:t>
      </w:r>
    </w:p>
    <w:p w14:paraId="513C60DD">
      <w:pPr>
        <w:keepNext w:val="0"/>
        <w:keepLines w:val="0"/>
        <w:pageBreakBefore w:val="0"/>
        <w:widowControl/>
        <w:kinsoku/>
        <w:wordWrap/>
        <w:overflowPunct/>
        <w:topLinePunct w:val="0"/>
        <w:autoSpaceDE/>
        <w:autoSpaceDN/>
        <w:bidi w:val="0"/>
        <w:spacing w:line="440" w:lineRule="atLeast"/>
        <w:ind w:left="0" w:leftChars="0" w:right="-460" w:rightChars="-219"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坚持“安全第一、预防为主”和“管生产必须管安全”的原则，督促施工单位加强安全生产宣传教育，增强全员安全生产意识，建立健全各项安全生产的管理机构和安全生产管理</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 "http://www.fdcew.com/hypx/List_177.html" \t "_blank"</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制度</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，配备</w:t>
      </w:r>
      <w:r>
        <w:t>专职或兼职安全检查人员</w:t>
      </w:r>
      <w:r>
        <w:rPr>
          <w:rFonts w:hint="eastAsia" w:ascii="宋体" w:hAnsi="宋体" w:eastAsia="宋体" w:cs="宋体"/>
          <w:color w:val="auto"/>
          <w:sz w:val="21"/>
          <w:szCs w:val="21"/>
          <w:highlight w:val="none"/>
        </w:rPr>
        <w:t>，有组织有领导地开展安全生产活动。</w:t>
      </w:r>
    </w:p>
    <w:p w14:paraId="47F53232">
      <w:pPr>
        <w:keepNext w:val="0"/>
        <w:keepLines w:val="0"/>
        <w:pageBreakBefore w:val="0"/>
        <w:widowControl/>
        <w:kinsoku/>
        <w:wordWrap/>
        <w:overflowPunct/>
        <w:topLinePunct w:val="0"/>
        <w:autoSpaceDE/>
        <w:autoSpaceDN/>
        <w:bidi w:val="0"/>
        <w:spacing w:line="440" w:lineRule="atLeast"/>
        <w:ind w:left="0" w:leftChars="0" w:right="0" w:righ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建立健全安全监理制度，加强安全知识教育</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 "http://www.fdcew.com/hypx/List_181.html" \t "_blank"</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培训</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，明确各岗位监理人员的安全监理职责，增强安全意识。</w:t>
      </w:r>
    </w:p>
    <w:p w14:paraId="08F3B77D">
      <w:pPr>
        <w:keepNext w:val="0"/>
        <w:keepLines w:val="0"/>
        <w:pageBreakBefore w:val="0"/>
        <w:widowControl/>
        <w:kinsoku/>
        <w:wordWrap/>
        <w:overflowPunct/>
        <w:topLinePunct w:val="0"/>
        <w:autoSpaceDE/>
        <w:autoSpaceDN/>
        <w:bidi w:val="0"/>
        <w:spacing w:line="440" w:lineRule="atLeast"/>
        <w:ind w:left="0" w:leftChars="0" w:right="-460" w:rightChars="-219"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在审查施工组织设计的同时，同步审查施工组织设计中的安全技术措施，审查专项施工方案是否符合工程建设强制性标准。</w:t>
      </w:r>
    </w:p>
    <w:p w14:paraId="500B2978">
      <w:pPr>
        <w:keepNext w:val="0"/>
        <w:keepLines w:val="0"/>
        <w:pageBreakBefore w:val="0"/>
        <w:widowControl/>
        <w:kinsoku/>
        <w:wordWrap/>
        <w:overflowPunct/>
        <w:topLinePunct w:val="0"/>
        <w:autoSpaceDE/>
        <w:autoSpaceDN/>
        <w:bidi w:val="0"/>
        <w:spacing w:line="440" w:lineRule="atLeast"/>
        <w:ind w:left="0" w:leftChars="0" w:right="-460" w:rightChars="-219"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在实施监理过程中，发现存在安全事故隐患的，应立即要求施工单位整改；情况严重的，应立即要求施工单位停止施工，并及时</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 "http://www.fdcew.com/gw/List_202.html" \t "_blank"</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报告</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建设单位。施工单位拒不整改或不停止施工的，应及时向有关主管部门报告。</w:t>
      </w:r>
    </w:p>
    <w:p w14:paraId="7EA7DE0B">
      <w:pPr>
        <w:keepNext w:val="0"/>
        <w:keepLines w:val="0"/>
        <w:pageBreakBefore w:val="0"/>
        <w:widowControl/>
        <w:kinsoku/>
        <w:wordWrap/>
        <w:overflowPunct/>
        <w:topLinePunct w:val="0"/>
        <w:autoSpaceDE/>
        <w:autoSpaceDN/>
        <w:bidi w:val="0"/>
        <w:spacing w:line="440" w:lineRule="atLeast"/>
        <w:ind w:left="0" w:leftChars="0" w:right="-460" w:rightChars="-219"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及其监理工程师应当按照法律、法规和工程建设强制性标准实施监理，并对建设工程安全生产承担监理责任。</w:t>
      </w:r>
    </w:p>
    <w:p w14:paraId="136D2B4F">
      <w:pPr>
        <w:keepNext w:val="0"/>
        <w:keepLines w:val="0"/>
        <w:pageBreakBefore w:val="0"/>
        <w:widowControl/>
        <w:kinsoku/>
        <w:wordWrap/>
        <w:overflowPunct/>
        <w:topLinePunct w:val="0"/>
        <w:autoSpaceDE/>
        <w:autoSpaceDN/>
        <w:bidi w:val="0"/>
        <w:spacing w:line="440" w:lineRule="atLeast"/>
        <w:ind w:left="0" w:leftChars="0" w:right="-460" w:rightChars="-219"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应督促施工单位按照本工程特点，组织制定本工程实施中的生产安全事故应急救援预案；如果发生安全事故，应按照《国务院关于特大安全事故</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 "http://www.fdcew.com/hypx/List_191.html" \t "_blank"</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行政</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责任追究的规定》以及</w:t>
      </w:r>
      <w:r>
        <w:t>其他有关规定</w:t>
      </w:r>
      <w:r>
        <w:rPr>
          <w:rFonts w:hint="eastAsia" w:ascii="宋体" w:hAnsi="宋体" w:eastAsia="宋体" w:cs="宋体"/>
          <w:color w:val="auto"/>
          <w:sz w:val="21"/>
          <w:szCs w:val="21"/>
          <w:highlight w:val="none"/>
        </w:rPr>
        <w:t>，及时上报有关部门，并坚持“</w:t>
      </w:r>
      <w:r>
        <w:t>四不放过</w:t>
      </w:r>
      <w:r>
        <w:rPr>
          <w:rFonts w:hint="eastAsia" w:ascii="宋体" w:hAnsi="宋体" w:eastAsia="宋体" w:cs="宋体"/>
          <w:color w:val="auto"/>
          <w:sz w:val="21"/>
          <w:szCs w:val="21"/>
          <w:highlight w:val="none"/>
        </w:rPr>
        <w:t>”的原则，严肃处理相关责任人。</w:t>
      </w:r>
    </w:p>
    <w:p w14:paraId="61B68B0F">
      <w:pPr>
        <w:keepNext w:val="0"/>
        <w:keepLines w:val="0"/>
        <w:pageBreakBefore w:val="0"/>
        <w:widowControl/>
        <w:kinsoku/>
        <w:wordWrap/>
        <w:overflowPunct/>
        <w:topLinePunct w:val="0"/>
        <w:autoSpaceDE/>
        <w:autoSpaceDN/>
        <w:bidi w:val="0"/>
        <w:spacing w:line="440" w:lineRule="atLeast"/>
        <w:ind w:left="0" w:leftChars="0" w:right="-460" w:rightChars="-219"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违约责任</w:t>
      </w:r>
    </w:p>
    <w:p w14:paraId="4C6C7F30">
      <w:pPr>
        <w:keepNext w:val="0"/>
        <w:keepLines w:val="0"/>
        <w:pageBreakBefore w:val="0"/>
        <w:widowControl/>
        <w:kinsoku/>
        <w:wordWrap/>
        <w:overflowPunct/>
        <w:topLinePunct w:val="0"/>
        <w:autoSpaceDE/>
        <w:autoSpaceDN/>
        <w:bidi w:val="0"/>
        <w:spacing w:line="440" w:lineRule="atLeast"/>
        <w:ind w:left="0" w:leftChars="0" w:right="-460" w:rightChars="-219" w:firstLine="56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工程</w:t>
      </w:r>
      <w:r>
        <w:rPr>
          <w:rFonts w:hint="eastAsia" w:ascii="宋体" w:hAnsi="宋体" w:eastAsia="宋体" w:cs="宋体"/>
          <w:color w:val="auto"/>
          <w:sz w:val="21"/>
          <w:szCs w:val="21"/>
          <w:highlight w:val="none"/>
        </w:rPr>
        <w:t>如因或违约造成安全事故，将依法追究责任。</w:t>
      </w:r>
    </w:p>
    <w:p w14:paraId="2F1C2134">
      <w:pPr>
        <w:pStyle w:val="15"/>
        <w:keepNext w:val="0"/>
        <w:keepLines w:val="0"/>
        <w:tabs>
          <w:tab w:val="left" w:pos="0"/>
          <w:tab w:val="left" w:pos="3165"/>
          <w:tab w:val="center" w:pos="4153"/>
        </w:tabs>
        <w:autoSpaceDE w:val="0"/>
        <w:autoSpaceDN w:val="0"/>
        <w:spacing w:before="0" w:after="0" w:line="360" w:lineRule="auto"/>
        <w:ind w:firstLine="420" w:firstLineChars="200"/>
        <w:jc w:val="both"/>
        <w:rPr>
          <w:rFonts w:hint="eastAsia" w:ascii="宋体" w:hAnsi="宋体" w:eastAsia="宋体" w:cs="宋体"/>
          <w:color w:val="auto"/>
          <w:highlight w:val="none"/>
          <w:lang w:eastAsia="zh-CN"/>
        </w:rPr>
      </w:pPr>
      <w:bookmarkStart w:id="186" w:name="_Toc13873"/>
      <w:r>
        <w:rPr>
          <w:rFonts w:hint="eastAsia" w:ascii="宋体" w:hAnsi="宋体" w:eastAsia="宋体" w:cs="宋体"/>
          <w:b w:val="0"/>
          <w:bCs w:val="0"/>
          <w:color w:val="auto"/>
          <w:sz w:val="21"/>
          <w:szCs w:val="21"/>
          <w:highlight w:val="none"/>
          <w:u w:val="none"/>
          <w:lang w:val="en-US" w:eastAsia="zh-CN"/>
        </w:rPr>
        <w:t>四</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rPr>
        <w:t>本</w:t>
      </w:r>
      <w:r>
        <w:rPr>
          <w:rFonts w:hint="eastAsia" w:ascii="宋体" w:hAnsi="宋体" w:eastAsia="宋体" w:cs="宋体"/>
          <w:b w:val="0"/>
          <w:bCs w:val="0"/>
          <w:color w:val="auto"/>
          <w:sz w:val="21"/>
          <w:szCs w:val="21"/>
          <w:highlight w:val="none"/>
          <w:u w:val="none"/>
          <w:lang w:val="en-US" w:eastAsia="zh-CN"/>
        </w:rPr>
        <w:t>协议</w:t>
      </w:r>
      <w:r>
        <w:rPr>
          <w:rFonts w:hint="eastAsia" w:ascii="宋体" w:hAnsi="宋体" w:eastAsia="宋体" w:cs="宋体"/>
          <w:b w:val="0"/>
          <w:bCs w:val="0"/>
          <w:color w:val="auto"/>
          <w:sz w:val="21"/>
          <w:szCs w:val="21"/>
          <w:highlight w:val="none"/>
          <w:u w:val="none"/>
        </w:rPr>
        <w:t>作为工程监理的合同附件</w:t>
      </w:r>
      <w:r>
        <w:rPr>
          <w:rFonts w:hint="eastAsia" w:ascii="宋体" w:hAnsi="宋体" w:eastAsia="宋体" w:cs="宋体"/>
          <w:b w:val="0"/>
          <w:bCs w:val="0"/>
          <w:color w:val="auto"/>
          <w:sz w:val="21"/>
          <w:szCs w:val="21"/>
          <w:highlight w:val="none"/>
          <w:u w:val="none"/>
          <w:lang w:eastAsia="zh-CN"/>
        </w:rPr>
        <w:t>。</w:t>
      </w:r>
      <w:bookmarkEnd w:id="186"/>
    </w:p>
    <w:p w14:paraId="649E90B7">
      <w:pPr>
        <w:spacing w:line="360" w:lineRule="auto"/>
        <w:jc w:val="both"/>
        <w:rPr>
          <w:rFonts w:hint="eastAsia" w:ascii="宋体" w:hAnsi="宋体" w:cs="宋体"/>
          <w:color w:val="auto"/>
          <w:highlight w:val="none"/>
        </w:rPr>
        <w:sectPr>
          <w:headerReference r:id="rId10" w:type="default"/>
          <w:footerReference r:id="rId11" w:type="default"/>
          <w:pgSz w:w="11906" w:h="16838"/>
          <w:pgMar w:top="1134" w:right="1619" w:bottom="1560" w:left="1467" w:header="851" w:footer="992" w:gutter="0"/>
          <w:cols w:space="720" w:num="1"/>
          <w:titlePg/>
          <w:docGrid w:linePitch="312" w:charSpace="0"/>
        </w:sectPr>
      </w:pPr>
    </w:p>
    <w:p w14:paraId="78B4171D">
      <w:pPr>
        <w:rPr>
          <w:rFonts w:hint="eastAsia"/>
          <w:color w:val="auto"/>
        </w:rPr>
      </w:pPr>
    </w:p>
    <w:p w14:paraId="5990D29D">
      <w:pPr>
        <w:pStyle w:val="15"/>
        <w:bidi w:val="0"/>
        <w:jc w:val="center"/>
        <w:rPr>
          <w:rFonts w:hint="eastAsia"/>
          <w:color w:val="auto"/>
          <w:lang w:eastAsia="zh-CN"/>
        </w:rPr>
      </w:pPr>
      <w:bookmarkStart w:id="187" w:name="_Toc23703"/>
      <w:r>
        <w:rPr>
          <w:rFonts w:hint="eastAsia"/>
          <w:color w:val="auto"/>
        </w:rPr>
        <w:t>第六章投标文件格式</w:t>
      </w:r>
      <w:bookmarkEnd w:id="187"/>
    </w:p>
    <w:p w14:paraId="7D852299">
      <w:pPr>
        <w:spacing w:before="120" w:after="50" w:line="360" w:lineRule="auto"/>
        <w:jc w:val="center"/>
        <w:rPr>
          <w:rFonts w:hint="eastAsia" w:ascii="宋体" w:hAnsi="宋体" w:cs="宋体"/>
          <w:bCs/>
          <w:color w:val="auto"/>
          <w:sz w:val="24"/>
          <w:szCs w:val="20"/>
          <w:highlight w:val="none"/>
        </w:rPr>
      </w:pPr>
      <w:r>
        <w:rPr>
          <w:rFonts w:hint="eastAsia" w:ascii="宋体" w:hAnsi="宋体" w:eastAsia="宋体"/>
          <w:color w:val="auto"/>
          <w:highlight w:val="none"/>
        </w:rPr>
        <w:t>一、投标文件外层包装封面格式</w:t>
      </w:r>
    </w:p>
    <w:p w14:paraId="108B0D36">
      <w:pPr>
        <w:spacing w:before="120" w:after="50"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投标文件</w:t>
      </w:r>
    </w:p>
    <w:p w14:paraId="1B05177B">
      <w:pPr>
        <w:spacing w:before="120" w:after="50"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5F25CDCF">
      <w:pPr>
        <w:spacing w:before="120" w:after="50"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56D2BA13">
      <w:pPr>
        <w:spacing w:before="120" w:after="50" w:line="360" w:lineRule="auto"/>
        <w:jc w:val="center"/>
        <w:rPr>
          <w:rFonts w:hint="eastAsia" w:ascii="宋体" w:hAnsi="宋体" w:cs="宋体"/>
          <w:bCs/>
          <w:color w:val="auto"/>
          <w:sz w:val="24"/>
          <w:szCs w:val="20"/>
          <w:highlight w:val="none"/>
        </w:rPr>
      </w:pPr>
      <w:r>
        <w:rPr>
          <w:rFonts w:hint="eastAsia" w:ascii="宋体" w:hAnsi="宋体" w:cs="宋体"/>
          <w:bCs/>
          <w:color w:val="auto"/>
          <w:sz w:val="24"/>
          <w:szCs w:val="20"/>
          <w:highlight w:val="none"/>
        </w:rPr>
        <w:t>投标人名称：</w:t>
      </w:r>
    </w:p>
    <w:p w14:paraId="6A5E30B2">
      <w:pPr>
        <w:spacing w:before="120" w:after="50" w:line="360" w:lineRule="auto"/>
        <w:jc w:val="center"/>
        <w:rPr>
          <w:rFonts w:hint="eastAsia" w:ascii="宋体" w:hAnsi="宋体" w:cs="宋体"/>
          <w:bCs/>
          <w:color w:val="auto"/>
          <w:sz w:val="24"/>
          <w:szCs w:val="20"/>
          <w:highlight w:val="none"/>
        </w:rPr>
      </w:pPr>
      <w:r>
        <w:rPr>
          <w:rFonts w:hint="eastAsia" w:ascii="宋体" w:hAnsi="宋体" w:cs="宋体"/>
          <w:bCs/>
          <w:color w:val="auto"/>
          <w:sz w:val="24"/>
          <w:szCs w:val="20"/>
          <w:highlight w:val="none"/>
        </w:rPr>
        <w:t>投标人地址：投标截止时</w:t>
      </w:r>
      <w:r>
        <w:rPr>
          <w:rFonts w:hint="eastAsia" w:ascii="宋体" w:hAnsi="宋体" w:cs="宋体"/>
          <w:bCs/>
          <w:color w:val="auto"/>
          <w:sz w:val="24"/>
          <w:szCs w:val="20"/>
          <w:highlight w:val="none"/>
          <w:lang w:eastAsia="zh-CN"/>
        </w:rPr>
        <w:t>间之</w:t>
      </w:r>
      <w:r>
        <w:rPr>
          <w:rFonts w:hint="eastAsia" w:ascii="宋体" w:hAnsi="宋体" w:cs="宋体"/>
          <w:bCs/>
          <w:color w:val="auto"/>
          <w:sz w:val="24"/>
          <w:szCs w:val="20"/>
          <w:highlight w:val="none"/>
        </w:rPr>
        <w:t>前不得启封</w:t>
      </w:r>
    </w:p>
    <w:p w14:paraId="6C1BC5F2">
      <w:pPr>
        <w:spacing w:before="120" w:after="50" w:line="360" w:lineRule="auto"/>
        <w:jc w:val="center"/>
        <w:rPr>
          <w:rFonts w:ascii="宋体" w:hAnsi="宋体" w:cs="宋体"/>
          <w:bCs/>
          <w:color w:val="auto"/>
          <w:sz w:val="24"/>
          <w:highlight w:val="none"/>
        </w:rPr>
        <w:sectPr>
          <w:pgSz w:w="11906" w:h="16838"/>
          <w:pgMar w:top="1134" w:right="1199" w:bottom="1560" w:left="1467" w:header="851" w:footer="992" w:gutter="0"/>
          <w:cols w:space="720" w:num="1"/>
          <w:titlePg/>
          <w:docGrid w:linePitch="312" w:charSpace="0"/>
        </w:sectPr>
      </w:pPr>
      <w:r>
        <w:rPr>
          <w:rFonts w:hint="eastAsia" w:ascii="宋体" w:hAnsi="宋体" w:cs="宋体"/>
          <w:bCs/>
          <w:color w:val="auto"/>
          <w:sz w:val="24"/>
          <w:highlight w:val="none"/>
        </w:rPr>
        <w:t>年月日</w:t>
      </w:r>
    </w:p>
    <w:p w14:paraId="0AA4C6FF">
      <w:pPr>
        <w:pStyle w:val="16"/>
        <w:spacing w:before="0" w:after="0" w:line="360" w:lineRule="auto"/>
        <w:jc w:val="center"/>
        <w:rPr>
          <w:rFonts w:hint="eastAsia" w:ascii="宋体" w:hAnsi="宋体" w:eastAsia="宋体"/>
          <w:color w:val="auto"/>
          <w:highlight w:val="none"/>
        </w:rPr>
      </w:pPr>
      <w:bookmarkStart w:id="188" w:name="_Toc25874"/>
      <w:r>
        <w:rPr>
          <w:rFonts w:hint="eastAsia" w:ascii="宋体" w:hAnsi="宋体" w:eastAsia="宋体"/>
          <w:color w:val="auto"/>
          <w:highlight w:val="none"/>
        </w:rPr>
        <w:t>二、报价文件格式</w:t>
      </w:r>
      <w:bookmarkEnd w:id="188"/>
    </w:p>
    <w:p w14:paraId="795A1FD5">
      <w:pPr>
        <w:spacing w:before="120" w:after="50" w:line="360" w:lineRule="auto"/>
        <w:ind w:left="142"/>
        <w:jc w:val="left"/>
        <w:rPr>
          <w:rFonts w:hint="eastAsia" w:ascii="宋体" w:hAnsi="宋体" w:cs="宋体"/>
          <w:color w:val="auto"/>
          <w:sz w:val="24"/>
          <w:szCs w:val="20"/>
          <w:highlight w:val="none"/>
        </w:rPr>
      </w:pPr>
      <w:r>
        <w:rPr>
          <w:rFonts w:hint="eastAsia" w:ascii="宋体" w:hAnsi="宋体" w:cs="宋体"/>
          <w:b/>
          <w:color w:val="auto"/>
          <w:sz w:val="24"/>
          <w:highlight w:val="none"/>
        </w:rPr>
        <w:t>1.报价文件封面格式：</w:t>
      </w:r>
    </w:p>
    <w:p w14:paraId="1AB65DE9">
      <w:pPr>
        <w:spacing w:before="120" w:after="50" w:line="360" w:lineRule="auto"/>
        <w:jc w:val="center"/>
        <w:rPr>
          <w:rFonts w:hint="eastAsia" w:ascii="宋体" w:hAnsi="宋体" w:eastAsia="宋体" w:cs="宋体"/>
          <w:bCs/>
          <w:color w:val="auto"/>
          <w:sz w:val="24"/>
          <w:szCs w:val="20"/>
          <w:highlight w:val="none"/>
          <w:lang w:eastAsia="zh-CN"/>
        </w:rPr>
      </w:pPr>
      <w:r>
        <w:rPr>
          <w:rFonts w:hint="eastAsia" w:ascii="宋体" w:hAnsi="宋体" w:cs="宋体"/>
          <w:bCs/>
          <w:color w:val="auto"/>
          <w:highlight w:val="none"/>
        </w:rPr>
        <w:t>正本/或者副本</w:t>
      </w:r>
      <w:r>
        <w:rPr>
          <w:rFonts w:hint="eastAsia" w:ascii="宋体" w:hAnsi="宋体" w:cs="宋体"/>
          <w:b/>
          <w:bCs/>
          <w:color w:val="auto"/>
          <w:sz w:val="32"/>
          <w:szCs w:val="32"/>
          <w:highlight w:val="none"/>
        </w:rPr>
        <w:t>报价文件</w:t>
      </w:r>
    </w:p>
    <w:p w14:paraId="3D193429">
      <w:pPr>
        <w:spacing w:before="120" w:after="50"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6C5DFDB9">
      <w:pPr>
        <w:spacing w:before="120" w:after="50"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75BB048F">
      <w:pPr>
        <w:spacing w:before="120" w:after="50"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0379DFDC">
      <w:pPr>
        <w:spacing w:before="120" w:after="50" w:line="360" w:lineRule="auto"/>
        <w:jc w:val="center"/>
        <w:rPr>
          <w:rFonts w:ascii="宋体" w:hAnsi="宋体" w:cs="宋体"/>
          <w:color w:val="auto"/>
          <w:sz w:val="24"/>
          <w:highlight w:val="none"/>
        </w:rPr>
        <w:sectPr>
          <w:pgSz w:w="11906" w:h="16838"/>
          <w:pgMar w:top="1134" w:right="1247" w:bottom="1560" w:left="1247" w:header="851" w:footer="992" w:gutter="0"/>
          <w:cols w:space="720" w:num="1"/>
          <w:titlePg/>
          <w:docGrid w:linePitch="312" w:charSpace="0"/>
        </w:sectPr>
      </w:pPr>
      <w:r>
        <w:rPr>
          <w:rFonts w:hint="eastAsia" w:ascii="宋体" w:hAnsi="宋体" w:cs="宋体"/>
          <w:bCs/>
          <w:color w:val="auto"/>
          <w:sz w:val="24"/>
          <w:highlight w:val="none"/>
        </w:rPr>
        <w:t>投标人地址：</w:t>
      </w:r>
      <w:r>
        <w:rPr>
          <w:rFonts w:hint="eastAsia" w:ascii="宋体" w:hAnsi="宋体" w:cs="宋体"/>
          <w:color w:val="auto"/>
          <w:sz w:val="24"/>
          <w:highlight w:val="none"/>
        </w:rPr>
        <w:t>年月日</w:t>
      </w:r>
    </w:p>
    <w:p w14:paraId="6317F026">
      <w:pPr>
        <w:spacing w:before="120" w:after="50" w:line="360" w:lineRule="auto"/>
        <w:ind w:left="142"/>
        <w:jc w:val="left"/>
        <w:rPr>
          <w:rFonts w:hint="eastAsia" w:ascii="宋体" w:hAnsi="宋体" w:cs="宋体"/>
          <w:b/>
          <w:color w:val="auto"/>
          <w:sz w:val="24"/>
          <w:highlight w:val="none"/>
        </w:rPr>
      </w:pPr>
      <w:r>
        <w:rPr>
          <w:rFonts w:hint="eastAsia" w:ascii="宋体" w:hAnsi="宋体" w:cs="宋体"/>
          <w:b/>
          <w:color w:val="auto"/>
          <w:sz w:val="24"/>
          <w:highlight w:val="none"/>
        </w:rPr>
        <w:t>2.报价文件目录</w:t>
      </w:r>
    </w:p>
    <w:p w14:paraId="79DD1AD2">
      <w:pPr>
        <w:spacing w:before="50" w:after="120"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根据招标文件规定及投标人提供的材料自行编写目录。</w:t>
      </w:r>
    </w:p>
    <w:p w14:paraId="6647BA2E">
      <w:pPr>
        <w:spacing w:before="50" w:after="120" w:line="360" w:lineRule="auto"/>
        <w:ind w:firstLine="420" w:firstLineChars="200"/>
        <w:rPr>
          <w:rFonts w:ascii="宋体" w:hAnsi="宋体" w:cs="宋体"/>
          <w:color w:val="auto"/>
          <w:szCs w:val="21"/>
          <w:highlight w:val="none"/>
        </w:rPr>
        <w:sectPr>
          <w:pgSz w:w="11906" w:h="16838"/>
          <w:pgMar w:top="1134" w:right="1247" w:bottom="1560" w:left="1247" w:header="851" w:footer="992" w:gutter="0"/>
          <w:cols w:space="720" w:num="1"/>
          <w:titlePg/>
          <w:docGrid w:linePitch="312" w:charSpace="0"/>
        </w:sectPr>
      </w:pPr>
    </w:p>
    <w:p w14:paraId="5D6FD57B">
      <w:pPr>
        <w:spacing w:before="120" w:after="50" w:line="360" w:lineRule="auto"/>
        <w:ind w:left="142"/>
        <w:jc w:val="left"/>
        <w:rPr>
          <w:rFonts w:hint="eastAsia" w:ascii="宋体" w:hAnsi="宋体" w:cs="宋体"/>
          <w:b/>
          <w:color w:val="auto"/>
          <w:sz w:val="24"/>
          <w:highlight w:val="none"/>
        </w:rPr>
      </w:pPr>
      <w:r>
        <w:rPr>
          <w:rFonts w:hint="eastAsia" w:ascii="宋体" w:hAnsi="宋体" w:cs="宋体"/>
          <w:b/>
          <w:color w:val="auto"/>
          <w:sz w:val="24"/>
          <w:highlight w:val="none"/>
        </w:rPr>
        <w:t>3.投标函格式：</w:t>
      </w:r>
    </w:p>
    <w:p w14:paraId="1E86DAFE">
      <w:pPr>
        <w:spacing w:before="120" w:after="50" w:line="360" w:lineRule="auto"/>
        <w:jc w:val="center"/>
        <w:rPr>
          <w:rFonts w:hint="eastAsia" w:ascii="宋体" w:hAnsi="宋体" w:cs="宋体"/>
          <w:b/>
          <w:color w:val="auto"/>
          <w:sz w:val="24"/>
          <w:szCs w:val="20"/>
          <w:highlight w:val="none"/>
        </w:rPr>
      </w:pPr>
      <w:r>
        <w:rPr>
          <w:rFonts w:hint="eastAsia" w:ascii="宋体" w:hAnsi="宋体" w:cs="宋体"/>
          <w:b/>
          <w:color w:val="auto"/>
          <w:sz w:val="32"/>
          <w:szCs w:val="32"/>
          <w:highlight w:val="none"/>
        </w:rPr>
        <w:t>投标函</w:t>
      </w:r>
    </w:p>
    <w:p w14:paraId="2882B2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65C6D1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根据贵方</w:t>
      </w:r>
      <w:r>
        <w:rPr>
          <w:rFonts w:hint="eastAsia" w:ascii="宋体" w:hAnsi="宋体" w:cs="宋体"/>
          <w:color w:val="auto"/>
          <w:szCs w:val="21"/>
          <w:highlight w:val="none"/>
          <w:u w:val="single"/>
        </w:rPr>
        <w:t>项目名称</w:t>
      </w:r>
      <w:r>
        <w:rPr>
          <w:rFonts w:hint="eastAsia" w:ascii="宋体" w:hAnsi="宋体" w:cs="宋体"/>
          <w:color w:val="auto"/>
          <w:szCs w:val="21"/>
          <w:highlight w:val="none"/>
          <w:u w:val="single"/>
          <w:lang w:val="en-US" w:eastAsia="zh-CN"/>
        </w:rPr>
        <w:t>和标段</w:t>
      </w:r>
      <w:r>
        <w:rPr>
          <w:rFonts w:hint="eastAsia" w:ascii="宋体" w:hAnsi="宋体" w:cs="宋体"/>
          <w:color w:val="auto"/>
          <w:szCs w:val="21"/>
          <w:highlight w:val="none"/>
          <w:u w:val="single"/>
        </w:rPr>
        <w:t>（项目编号：）</w:t>
      </w:r>
      <w:r>
        <w:rPr>
          <w:rFonts w:hint="eastAsia" w:ascii="宋体" w:hAnsi="宋体" w:cs="宋体"/>
          <w:color w:val="auto"/>
          <w:szCs w:val="21"/>
          <w:highlight w:val="none"/>
        </w:rPr>
        <w:t>的招标公告，签字代表</w:t>
      </w:r>
      <w:r>
        <w:rPr>
          <w:rFonts w:hint="eastAsia" w:ascii="宋体" w:hAnsi="宋体" w:cs="宋体"/>
          <w:color w:val="auto"/>
          <w:szCs w:val="21"/>
          <w:highlight w:val="none"/>
          <w:u w:val="single"/>
        </w:rPr>
        <w:t>（姓名）</w:t>
      </w:r>
      <w:r>
        <w:rPr>
          <w:rFonts w:hint="eastAsia" w:ascii="宋体" w:hAnsi="宋体" w:cs="宋体"/>
          <w:color w:val="auto"/>
          <w:szCs w:val="21"/>
          <w:highlight w:val="none"/>
        </w:rPr>
        <w:t>经正式授权并代表投标人</w:t>
      </w:r>
      <w:r>
        <w:rPr>
          <w:rFonts w:hint="eastAsia" w:ascii="宋体" w:hAnsi="宋体" w:cs="宋体"/>
          <w:color w:val="auto"/>
          <w:szCs w:val="21"/>
          <w:highlight w:val="none"/>
          <w:u w:val="single"/>
        </w:rPr>
        <w:t>（投标人名称）</w:t>
      </w:r>
      <w:r>
        <w:rPr>
          <w:rFonts w:hint="eastAsia" w:ascii="宋体" w:hAnsi="宋体" w:cs="宋体"/>
          <w:color w:val="auto"/>
          <w:szCs w:val="21"/>
          <w:highlight w:val="none"/>
        </w:rPr>
        <w:t>提交投标文件。</w:t>
      </w:r>
    </w:p>
    <w:p w14:paraId="46B701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据此函，我方宣布同意如下：</w:t>
      </w:r>
    </w:p>
    <w:p w14:paraId="7F769B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4D9214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2.我方在投标之前已经完全理解并接受招标文件的各项规定和要求，对招标文件的合理性、合法性不再有异议。</w:t>
      </w:r>
    </w:p>
    <w:p w14:paraId="247CF1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本次</w:t>
      </w:r>
      <w:r>
        <w:rPr>
          <w:rFonts w:hint="eastAsia" w:ascii="宋体" w:hAnsi="宋体" w:cs="宋体"/>
          <w:color w:val="auto"/>
          <w:szCs w:val="21"/>
          <w:highlight w:val="none"/>
        </w:rPr>
        <w:t>投标有效期自投标截止之日起。</w:t>
      </w:r>
    </w:p>
    <w:p w14:paraId="741F98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4.如中标，本投标文件至本项目合同履行完毕止均保持有效，我方将按“招标文件”及政府采购法律、法规的规定履行合同责任和义务。</w:t>
      </w:r>
    </w:p>
    <w:p w14:paraId="1532A3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5.我方同意按照贵方要求提供与投标有关的一切数据或者资料。</w:t>
      </w:r>
    </w:p>
    <w:p w14:paraId="29F9D1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6.我方向贵方提交的所有投标文件、资料都是准确的和真实的。</w:t>
      </w:r>
    </w:p>
    <w:p w14:paraId="1B796E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7.以上事项如有虚假或者隐瞒，我方愿意承担一切后果，并不再寻求任何旨在减轻或者免除法律责任的辩解。</w:t>
      </w:r>
    </w:p>
    <w:p w14:paraId="764D06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6E5340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242599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涉及商业秘密的内容有：；</w:t>
      </w:r>
    </w:p>
    <w:p w14:paraId="1CEDBC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9.与</w:t>
      </w:r>
      <w:r>
        <w:rPr>
          <w:rFonts w:hint="eastAsia" w:ascii="宋体" w:hAnsi="宋体" w:cs="宋体"/>
          <w:color w:val="auto"/>
          <w:szCs w:val="21"/>
          <w:highlight w:val="none"/>
          <w:lang w:eastAsia="zh-CN"/>
        </w:rPr>
        <w:t>本次</w:t>
      </w:r>
      <w:r>
        <w:rPr>
          <w:rFonts w:hint="eastAsia" w:ascii="宋体" w:hAnsi="宋体" w:cs="宋体"/>
          <w:color w:val="auto"/>
          <w:szCs w:val="21"/>
          <w:highlight w:val="none"/>
        </w:rPr>
        <w:t>投标有关的一切正式往来信函请寄：</w:t>
      </w:r>
    </w:p>
    <w:p w14:paraId="41D85DD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地址：邮编：电话：传真：</w:t>
      </w:r>
    </w:p>
    <w:p w14:paraId="0547219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投标人名称:开户银行：</w:t>
      </w:r>
      <w:r>
        <w:rPr>
          <w:rFonts w:hint="eastAsia" w:ascii="宋体" w:hAnsi="宋体" w:cs="宋体"/>
          <w:color w:val="auto"/>
          <w:szCs w:val="21"/>
          <w:highlight w:val="none"/>
          <w:u w:val="single"/>
          <w:lang w:eastAsia="zh-CN"/>
        </w:rPr>
        <w:t>银行账号</w:t>
      </w:r>
      <w:r>
        <w:rPr>
          <w:rFonts w:hint="eastAsia" w:ascii="宋体" w:hAnsi="宋体" w:cs="宋体"/>
          <w:color w:val="auto"/>
          <w:szCs w:val="21"/>
          <w:highlight w:val="none"/>
        </w:rPr>
        <w:t>：</w:t>
      </w:r>
    </w:p>
    <w:p w14:paraId="625D4D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法定代表人或者委托代理人签字:___________</w:t>
      </w:r>
    </w:p>
    <w:p w14:paraId="7131BFE4">
      <w:pPr>
        <w:pStyle w:val="50"/>
        <w:spacing w:before="295" w:after="295" w:line="360" w:lineRule="auto"/>
        <w:ind w:firstLine="5250" w:firstLineChars="2500"/>
        <w:rPr>
          <w:rFonts w:hint="eastAsia" w:hAnsi="宋体" w:cs="宋体"/>
          <w:color w:val="auto"/>
          <w:sz w:val="21"/>
          <w:highlight w:val="none"/>
          <w:u w:val="single"/>
        </w:rPr>
      </w:pPr>
      <w:r>
        <w:rPr>
          <w:rFonts w:hint="eastAsia" w:hAnsi="宋体" w:cs="宋体"/>
          <w:color w:val="auto"/>
          <w:sz w:val="21"/>
          <w:szCs w:val="18"/>
          <w:highlight w:val="none"/>
        </w:rPr>
        <w:t>投标人（盖公章）：</w:t>
      </w:r>
    </w:p>
    <w:p w14:paraId="66F3A8EE">
      <w:pPr>
        <w:pStyle w:val="50"/>
        <w:spacing w:before="295" w:after="295" w:line="360" w:lineRule="auto"/>
        <w:ind w:firstLine="5250" w:firstLineChars="2500"/>
        <w:rPr>
          <w:rFonts w:hAnsi="宋体" w:cs="宋体"/>
          <w:color w:val="auto"/>
          <w:sz w:val="21"/>
          <w:highlight w:val="none"/>
        </w:rPr>
        <w:sectPr>
          <w:pgSz w:w="11906" w:h="16838"/>
          <w:pgMar w:top="1134" w:right="1247" w:bottom="1560" w:left="1247" w:header="851" w:footer="992" w:gutter="0"/>
          <w:cols w:space="720" w:num="1"/>
          <w:titlePg/>
          <w:docGrid w:linePitch="312" w:charSpace="0"/>
        </w:sectPr>
      </w:pPr>
      <w:r>
        <w:rPr>
          <w:rFonts w:hint="eastAsia" w:hAnsi="宋体" w:cs="宋体"/>
          <w:color w:val="auto"/>
          <w:sz w:val="21"/>
          <w:highlight w:val="none"/>
        </w:rPr>
        <w:t>年月日</w:t>
      </w:r>
    </w:p>
    <w:p w14:paraId="0585CEE9">
      <w:pPr>
        <w:spacing w:before="120" w:after="50" w:line="360" w:lineRule="auto"/>
        <w:jc w:val="left"/>
        <w:rPr>
          <w:rFonts w:hint="eastAsia" w:ascii="宋体" w:hAnsi="宋体" w:cs="宋体"/>
          <w:b/>
          <w:color w:val="auto"/>
          <w:sz w:val="24"/>
          <w:szCs w:val="20"/>
          <w:highlight w:val="none"/>
        </w:rPr>
      </w:pPr>
      <w:r>
        <w:rPr>
          <w:rFonts w:hint="eastAsia" w:ascii="宋体" w:hAnsi="宋体" w:cs="宋体"/>
          <w:b/>
          <w:color w:val="auto"/>
          <w:sz w:val="24"/>
          <w:highlight w:val="none"/>
        </w:rPr>
        <w:t>4.开标一览表（服务类）</w:t>
      </w:r>
    </w:p>
    <w:p w14:paraId="6B0B1423">
      <w:pPr>
        <w:spacing w:before="50" w:after="50" w:line="360" w:lineRule="auto"/>
        <w:jc w:val="center"/>
        <w:rPr>
          <w:rFonts w:hint="eastAsia" w:ascii="宋体" w:hAnsi="宋体" w:cs="宋体"/>
          <w:b/>
          <w:color w:val="auto"/>
          <w:sz w:val="30"/>
          <w:highlight w:val="none"/>
        </w:rPr>
      </w:pPr>
      <w:r>
        <w:rPr>
          <w:rFonts w:hint="eastAsia" w:ascii="宋体" w:hAnsi="宋体" w:cs="宋体"/>
          <w:b/>
          <w:color w:val="auto"/>
          <w:sz w:val="30"/>
          <w:highlight w:val="none"/>
        </w:rPr>
        <w:t>开标一览表</w:t>
      </w:r>
    </w:p>
    <w:p w14:paraId="508BE358">
      <w:pPr>
        <w:spacing w:before="50" w:after="50" w:line="360" w:lineRule="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项目名称：项目编号：分标：</w:t>
      </w:r>
    </w:p>
    <w:p w14:paraId="623274DB">
      <w:pPr>
        <w:spacing w:before="50" w:after="50"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投标人名称：单位：元</w:t>
      </w:r>
    </w:p>
    <w:tbl>
      <w:tblPr>
        <w:tblStyle w:val="11"/>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3940"/>
        <w:gridCol w:w="1802"/>
        <w:gridCol w:w="1755"/>
        <w:gridCol w:w="1634"/>
      </w:tblGrid>
      <w:tr w14:paraId="6F71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14:paraId="35BDB25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940" w:type="dxa"/>
            <w:tcBorders>
              <w:top w:val="single" w:color="auto" w:sz="4" w:space="0"/>
              <w:left w:val="single" w:color="auto" w:sz="4" w:space="0"/>
              <w:bottom w:val="single" w:color="auto" w:sz="4" w:space="0"/>
              <w:right w:val="single" w:color="auto" w:sz="4" w:space="0"/>
            </w:tcBorders>
            <w:vAlign w:val="center"/>
          </w:tcPr>
          <w:p w14:paraId="578B5D4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服务名称</w:t>
            </w:r>
          </w:p>
        </w:tc>
        <w:tc>
          <w:tcPr>
            <w:tcW w:w="1802" w:type="dxa"/>
            <w:tcBorders>
              <w:top w:val="single" w:color="auto" w:sz="4" w:space="0"/>
              <w:left w:val="single" w:color="auto" w:sz="4" w:space="0"/>
              <w:bottom w:val="single" w:color="auto" w:sz="4" w:space="0"/>
              <w:right w:val="single" w:color="auto" w:sz="4" w:space="0"/>
            </w:tcBorders>
            <w:vAlign w:val="center"/>
          </w:tcPr>
          <w:p w14:paraId="3687ECDB">
            <w:pPr>
              <w:spacing w:line="360" w:lineRule="auto"/>
              <w:jc w:val="center"/>
              <w:rPr>
                <w:rFonts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数量/户</w:t>
            </w:r>
          </w:p>
        </w:tc>
        <w:tc>
          <w:tcPr>
            <w:tcW w:w="1755" w:type="dxa"/>
            <w:tcBorders>
              <w:top w:val="single" w:color="auto" w:sz="4" w:space="0"/>
              <w:left w:val="single" w:color="auto" w:sz="4" w:space="0"/>
              <w:bottom w:val="single" w:color="auto" w:sz="4" w:space="0"/>
              <w:right w:val="single" w:color="auto" w:sz="4" w:space="0"/>
            </w:tcBorders>
            <w:vAlign w:val="center"/>
          </w:tcPr>
          <w:p w14:paraId="392DD2FA">
            <w:pPr>
              <w:spacing w:line="360" w:lineRule="auto"/>
              <w:jc w:val="center"/>
              <w:rPr>
                <w:rFonts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单价/元</w:t>
            </w:r>
          </w:p>
        </w:tc>
        <w:tc>
          <w:tcPr>
            <w:tcW w:w="1634" w:type="dxa"/>
            <w:tcBorders>
              <w:top w:val="single" w:color="auto" w:sz="4" w:space="0"/>
              <w:left w:val="single" w:color="auto" w:sz="4" w:space="0"/>
              <w:bottom w:val="single" w:color="auto" w:sz="4" w:space="0"/>
              <w:right w:val="single" w:color="auto" w:sz="4" w:space="0"/>
            </w:tcBorders>
            <w:vAlign w:val="center"/>
          </w:tcPr>
          <w:p w14:paraId="6BE2C2A0">
            <w:pPr>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小计</w:t>
            </w:r>
          </w:p>
        </w:tc>
      </w:tr>
      <w:tr w14:paraId="584F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14:paraId="7914F3A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940" w:type="dxa"/>
            <w:tcBorders>
              <w:top w:val="single" w:color="auto" w:sz="4" w:space="0"/>
              <w:left w:val="single" w:color="auto" w:sz="4" w:space="0"/>
              <w:bottom w:val="single" w:color="auto" w:sz="4" w:space="0"/>
              <w:right w:val="single" w:color="auto" w:sz="4" w:space="0"/>
            </w:tcBorders>
            <w:vAlign w:val="center"/>
          </w:tcPr>
          <w:p w14:paraId="020F0441">
            <w:pPr>
              <w:spacing w:line="360" w:lineRule="auto"/>
              <w:rPr>
                <w:rFonts w:hint="eastAsia" w:ascii="宋体" w:hAnsi="宋体" w:eastAsia="宋体" w:cs="宋体"/>
                <w:color w:val="auto"/>
                <w:szCs w:val="21"/>
                <w:highlight w:val="none"/>
                <w:lang w:eastAsia="zh-CN"/>
              </w:rPr>
            </w:pPr>
          </w:p>
        </w:tc>
        <w:tc>
          <w:tcPr>
            <w:tcW w:w="1802" w:type="dxa"/>
            <w:tcBorders>
              <w:top w:val="single" w:color="auto" w:sz="4" w:space="0"/>
              <w:left w:val="single" w:color="auto" w:sz="4" w:space="0"/>
              <w:bottom w:val="single" w:color="auto" w:sz="4" w:space="0"/>
              <w:right w:val="single" w:color="auto" w:sz="4" w:space="0"/>
            </w:tcBorders>
            <w:vAlign w:val="center"/>
          </w:tcPr>
          <w:p w14:paraId="0B7F2134">
            <w:pPr>
              <w:spacing w:line="360" w:lineRule="auto"/>
              <w:rPr>
                <w:rFonts w:hint="eastAsia" w:ascii="宋体" w:hAnsi="宋体" w:cs="宋体"/>
                <w:color w:val="auto"/>
                <w:szCs w:val="21"/>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14:paraId="02040633">
            <w:pPr>
              <w:spacing w:line="360" w:lineRule="auto"/>
              <w:jc w:val="center"/>
              <w:rPr>
                <w:rFonts w:ascii="宋体" w:hAnsi="宋体" w:eastAsia="宋体" w:cs="宋体"/>
                <w:color w:val="auto"/>
                <w:szCs w:val="21"/>
                <w:highlight w:val="none"/>
                <w:lang w:val="en-US" w:eastAsia="zh-CN"/>
              </w:rPr>
            </w:pPr>
          </w:p>
        </w:tc>
        <w:tc>
          <w:tcPr>
            <w:tcW w:w="1634" w:type="dxa"/>
            <w:tcBorders>
              <w:top w:val="single" w:color="auto" w:sz="4" w:space="0"/>
              <w:left w:val="single" w:color="auto" w:sz="4" w:space="0"/>
              <w:bottom w:val="single" w:color="auto" w:sz="4" w:space="0"/>
              <w:right w:val="single" w:color="auto" w:sz="4" w:space="0"/>
            </w:tcBorders>
            <w:vAlign w:val="center"/>
          </w:tcPr>
          <w:p w14:paraId="6E6EC193">
            <w:pPr>
              <w:spacing w:line="360" w:lineRule="auto"/>
              <w:rPr>
                <w:rFonts w:hint="eastAsia" w:ascii="宋体" w:hAnsi="宋体" w:cs="宋体"/>
                <w:color w:val="auto"/>
                <w:szCs w:val="21"/>
                <w:highlight w:val="none"/>
              </w:rPr>
            </w:pPr>
          </w:p>
        </w:tc>
      </w:tr>
      <w:tr w14:paraId="2A00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14:paraId="78C6CC84">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3940" w:type="dxa"/>
            <w:tcBorders>
              <w:top w:val="single" w:color="auto" w:sz="4" w:space="0"/>
              <w:left w:val="single" w:color="auto" w:sz="4" w:space="0"/>
              <w:bottom w:val="single" w:color="auto" w:sz="4" w:space="0"/>
              <w:right w:val="single" w:color="auto" w:sz="4" w:space="0"/>
            </w:tcBorders>
            <w:vAlign w:val="center"/>
          </w:tcPr>
          <w:p w14:paraId="03B5D2B1">
            <w:pPr>
              <w:spacing w:line="360" w:lineRule="auto"/>
              <w:rPr>
                <w:rFonts w:hint="eastAsia" w:ascii="宋体" w:hAnsi="宋体" w:cs="宋体"/>
                <w:color w:val="auto"/>
                <w:szCs w:val="21"/>
                <w:highlight w:val="none"/>
                <w:lang w:val="en-US" w:eastAsia="zh-CN"/>
              </w:rPr>
            </w:pPr>
          </w:p>
        </w:tc>
        <w:tc>
          <w:tcPr>
            <w:tcW w:w="1802" w:type="dxa"/>
            <w:tcBorders>
              <w:top w:val="single" w:color="auto" w:sz="4" w:space="0"/>
              <w:left w:val="single" w:color="auto" w:sz="4" w:space="0"/>
              <w:bottom w:val="single" w:color="auto" w:sz="4" w:space="0"/>
              <w:right w:val="single" w:color="auto" w:sz="4" w:space="0"/>
            </w:tcBorders>
            <w:vAlign w:val="center"/>
          </w:tcPr>
          <w:p w14:paraId="6933339A">
            <w:pPr>
              <w:spacing w:line="360" w:lineRule="auto"/>
              <w:rPr>
                <w:rFonts w:hint="eastAsia" w:ascii="宋体" w:hAnsi="宋体" w:cs="宋体"/>
                <w:color w:val="auto"/>
                <w:szCs w:val="21"/>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14:paraId="35EE0459">
            <w:pPr>
              <w:spacing w:line="360" w:lineRule="auto"/>
              <w:rPr>
                <w:rFonts w:hint="eastAsia" w:ascii="宋体" w:hAnsi="宋体" w:cs="宋体"/>
                <w:color w:val="auto"/>
                <w:szCs w:val="21"/>
                <w:highlight w:val="none"/>
              </w:rPr>
            </w:pPr>
          </w:p>
        </w:tc>
        <w:tc>
          <w:tcPr>
            <w:tcW w:w="1634" w:type="dxa"/>
            <w:tcBorders>
              <w:top w:val="single" w:color="auto" w:sz="4" w:space="0"/>
              <w:left w:val="single" w:color="auto" w:sz="4" w:space="0"/>
              <w:bottom w:val="single" w:color="auto" w:sz="4" w:space="0"/>
              <w:right w:val="single" w:color="auto" w:sz="4" w:space="0"/>
            </w:tcBorders>
            <w:vAlign w:val="center"/>
          </w:tcPr>
          <w:p w14:paraId="6121A7A9">
            <w:pPr>
              <w:spacing w:line="360" w:lineRule="auto"/>
              <w:rPr>
                <w:rFonts w:hint="eastAsia" w:ascii="宋体" w:hAnsi="宋体" w:cs="宋体"/>
                <w:color w:val="auto"/>
                <w:szCs w:val="21"/>
                <w:highlight w:val="none"/>
              </w:rPr>
            </w:pPr>
          </w:p>
        </w:tc>
      </w:tr>
      <w:tr w14:paraId="1C16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14:paraId="75CD4277">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3940" w:type="dxa"/>
            <w:tcBorders>
              <w:top w:val="single" w:color="auto" w:sz="4" w:space="0"/>
              <w:left w:val="single" w:color="auto" w:sz="4" w:space="0"/>
              <w:bottom w:val="single" w:color="auto" w:sz="4" w:space="0"/>
              <w:right w:val="single" w:color="auto" w:sz="4" w:space="0"/>
            </w:tcBorders>
            <w:vAlign w:val="center"/>
          </w:tcPr>
          <w:p w14:paraId="7B6172C4">
            <w:pPr>
              <w:spacing w:line="360" w:lineRule="auto"/>
              <w:rPr>
                <w:rFonts w:hint="eastAsia" w:ascii="宋体" w:hAnsi="宋体" w:cs="宋体"/>
                <w:color w:val="auto"/>
                <w:szCs w:val="21"/>
                <w:highlight w:val="none"/>
                <w:lang w:val="en-US" w:eastAsia="zh-CN"/>
              </w:rPr>
            </w:pPr>
          </w:p>
        </w:tc>
        <w:tc>
          <w:tcPr>
            <w:tcW w:w="1802" w:type="dxa"/>
            <w:tcBorders>
              <w:top w:val="single" w:color="auto" w:sz="4" w:space="0"/>
              <w:left w:val="single" w:color="auto" w:sz="4" w:space="0"/>
              <w:bottom w:val="single" w:color="auto" w:sz="4" w:space="0"/>
              <w:right w:val="single" w:color="auto" w:sz="4" w:space="0"/>
            </w:tcBorders>
            <w:vAlign w:val="center"/>
          </w:tcPr>
          <w:p w14:paraId="2B374DE8">
            <w:pPr>
              <w:spacing w:line="360" w:lineRule="auto"/>
              <w:rPr>
                <w:rFonts w:hint="eastAsia" w:ascii="宋体" w:hAnsi="宋体" w:cs="宋体"/>
                <w:color w:val="auto"/>
                <w:szCs w:val="21"/>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14:paraId="0187341D">
            <w:pPr>
              <w:spacing w:line="360" w:lineRule="auto"/>
              <w:rPr>
                <w:rFonts w:hint="eastAsia" w:ascii="宋体" w:hAnsi="宋体" w:cs="宋体"/>
                <w:color w:val="auto"/>
                <w:szCs w:val="21"/>
                <w:highlight w:val="none"/>
              </w:rPr>
            </w:pPr>
          </w:p>
        </w:tc>
        <w:tc>
          <w:tcPr>
            <w:tcW w:w="1634" w:type="dxa"/>
            <w:tcBorders>
              <w:top w:val="single" w:color="auto" w:sz="4" w:space="0"/>
              <w:left w:val="single" w:color="auto" w:sz="4" w:space="0"/>
              <w:bottom w:val="single" w:color="auto" w:sz="4" w:space="0"/>
              <w:right w:val="single" w:color="auto" w:sz="4" w:space="0"/>
            </w:tcBorders>
            <w:vAlign w:val="center"/>
          </w:tcPr>
          <w:p w14:paraId="42C501E0">
            <w:pPr>
              <w:spacing w:line="360" w:lineRule="auto"/>
              <w:rPr>
                <w:rFonts w:hint="eastAsia" w:ascii="宋体" w:hAnsi="宋体" w:cs="宋体"/>
                <w:color w:val="auto"/>
                <w:szCs w:val="21"/>
                <w:highlight w:val="none"/>
              </w:rPr>
            </w:pPr>
          </w:p>
        </w:tc>
      </w:tr>
      <w:tr w14:paraId="0DB2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14:paraId="13D88873">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3940" w:type="dxa"/>
            <w:tcBorders>
              <w:top w:val="single" w:color="auto" w:sz="4" w:space="0"/>
              <w:left w:val="single" w:color="auto" w:sz="4" w:space="0"/>
              <w:bottom w:val="single" w:color="auto" w:sz="4" w:space="0"/>
              <w:right w:val="single" w:color="auto" w:sz="4" w:space="0"/>
            </w:tcBorders>
            <w:vAlign w:val="center"/>
          </w:tcPr>
          <w:p w14:paraId="40DA533A">
            <w:pPr>
              <w:spacing w:line="360" w:lineRule="auto"/>
              <w:rPr>
                <w:rFonts w:hint="eastAsia" w:ascii="宋体" w:hAnsi="宋体" w:cs="宋体"/>
                <w:color w:val="auto"/>
                <w:szCs w:val="21"/>
                <w:highlight w:val="none"/>
                <w:lang w:val="en-US" w:eastAsia="zh-CN"/>
              </w:rPr>
            </w:pPr>
          </w:p>
        </w:tc>
        <w:tc>
          <w:tcPr>
            <w:tcW w:w="1802" w:type="dxa"/>
            <w:tcBorders>
              <w:top w:val="single" w:color="auto" w:sz="4" w:space="0"/>
              <w:left w:val="single" w:color="auto" w:sz="4" w:space="0"/>
              <w:bottom w:val="single" w:color="auto" w:sz="4" w:space="0"/>
              <w:right w:val="single" w:color="auto" w:sz="4" w:space="0"/>
            </w:tcBorders>
            <w:vAlign w:val="center"/>
          </w:tcPr>
          <w:p w14:paraId="238FC3CA">
            <w:pPr>
              <w:spacing w:line="360" w:lineRule="auto"/>
              <w:rPr>
                <w:rFonts w:hint="eastAsia" w:ascii="宋体" w:hAnsi="宋体" w:cs="宋体"/>
                <w:color w:val="auto"/>
                <w:szCs w:val="21"/>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14:paraId="78515E2D">
            <w:pPr>
              <w:spacing w:line="360" w:lineRule="auto"/>
              <w:rPr>
                <w:rFonts w:hint="eastAsia" w:ascii="宋体" w:hAnsi="宋体" w:cs="宋体"/>
                <w:color w:val="auto"/>
                <w:szCs w:val="21"/>
                <w:highlight w:val="none"/>
              </w:rPr>
            </w:pPr>
          </w:p>
        </w:tc>
        <w:tc>
          <w:tcPr>
            <w:tcW w:w="1634" w:type="dxa"/>
            <w:tcBorders>
              <w:top w:val="single" w:color="auto" w:sz="4" w:space="0"/>
              <w:left w:val="single" w:color="auto" w:sz="4" w:space="0"/>
              <w:bottom w:val="single" w:color="auto" w:sz="4" w:space="0"/>
              <w:right w:val="single" w:color="auto" w:sz="4" w:space="0"/>
            </w:tcBorders>
            <w:vAlign w:val="center"/>
          </w:tcPr>
          <w:p w14:paraId="493C7432">
            <w:pPr>
              <w:spacing w:line="360" w:lineRule="auto"/>
              <w:rPr>
                <w:rFonts w:hint="eastAsia" w:ascii="宋体" w:hAnsi="宋体" w:cs="宋体"/>
                <w:color w:val="auto"/>
                <w:szCs w:val="21"/>
                <w:highlight w:val="none"/>
              </w:rPr>
            </w:pPr>
          </w:p>
        </w:tc>
      </w:tr>
      <w:tr w14:paraId="1FA16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904" w:type="dxa"/>
            <w:tcBorders>
              <w:top w:val="single" w:color="auto" w:sz="4" w:space="0"/>
              <w:left w:val="single" w:color="auto" w:sz="4" w:space="0"/>
              <w:bottom w:val="single" w:color="auto" w:sz="4" w:space="0"/>
              <w:right w:val="single" w:color="auto" w:sz="4" w:space="0"/>
            </w:tcBorders>
            <w:vAlign w:val="top"/>
          </w:tcPr>
          <w:p w14:paraId="481E2BD0">
            <w:pPr>
              <w:spacing w:before="50" w:after="50"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9131" w:type="dxa"/>
            <w:gridSpan w:val="4"/>
            <w:tcBorders>
              <w:top w:val="single" w:color="auto" w:sz="4" w:space="0"/>
              <w:left w:val="single" w:color="auto" w:sz="4" w:space="0"/>
              <w:bottom w:val="single" w:color="auto" w:sz="4" w:space="0"/>
              <w:right w:val="single" w:color="auto" w:sz="4" w:space="0"/>
            </w:tcBorders>
            <w:vAlign w:val="center"/>
          </w:tcPr>
          <w:p w14:paraId="07C452AF">
            <w:pPr>
              <w:spacing w:before="50" w:after="50" w:line="360" w:lineRule="auto"/>
              <w:rPr>
                <w:rFonts w:hint="eastAsia" w:ascii="宋体" w:hAnsi="宋体" w:cs="宋体"/>
                <w:color w:val="auto"/>
                <w:szCs w:val="21"/>
                <w:highlight w:val="none"/>
              </w:rPr>
            </w:pPr>
            <w:r>
              <w:rPr>
                <w:rFonts w:hint="eastAsia" w:ascii="宋体" w:hAnsi="宋体" w:cs="宋体"/>
                <w:color w:val="auto"/>
                <w:szCs w:val="21"/>
                <w:highlight w:val="none"/>
              </w:rPr>
              <w:t>合计金额大写：人民币</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tc>
      </w:tr>
      <w:tr w14:paraId="2430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904" w:type="dxa"/>
            <w:tcBorders>
              <w:top w:val="single" w:color="auto" w:sz="4" w:space="0"/>
              <w:left w:val="single" w:color="auto" w:sz="4" w:space="0"/>
              <w:bottom w:val="single" w:color="auto" w:sz="4" w:space="0"/>
              <w:right w:val="single" w:color="auto" w:sz="4" w:space="0"/>
            </w:tcBorders>
            <w:vAlign w:val="top"/>
          </w:tcPr>
          <w:p w14:paraId="3ED476A5">
            <w:pPr>
              <w:spacing w:before="50" w:after="50"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9131" w:type="dxa"/>
            <w:gridSpan w:val="4"/>
            <w:tcBorders>
              <w:top w:val="single" w:color="auto" w:sz="4" w:space="0"/>
              <w:left w:val="single" w:color="auto" w:sz="4" w:space="0"/>
              <w:bottom w:val="single" w:color="auto" w:sz="4" w:space="0"/>
              <w:right w:val="single" w:color="auto" w:sz="4" w:space="0"/>
            </w:tcBorders>
            <w:vAlign w:val="center"/>
          </w:tcPr>
          <w:p w14:paraId="379A8852">
            <w:pPr>
              <w:spacing w:before="50" w:after="50"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合同履行期限</w:t>
            </w:r>
            <w:r>
              <w:rPr>
                <w:rFonts w:hint="eastAsia" w:ascii="宋体" w:hAnsi="宋体" w:cs="宋体"/>
                <w:color w:val="auto"/>
                <w:szCs w:val="21"/>
                <w:highlight w:val="none"/>
              </w:rPr>
              <w:t>：</w:t>
            </w:r>
          </w:p>
        </w:tc>
      </w:tr>
    </w:tbl>
    <w:p w14:paraId="57ADD342">
      <w:pPr>
        <w:spacing w:before="50" w:after="50"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注:</w:t>
      </w:r>
    </w:p>
    <w:p w14:paraId="668BFC54">
      <w:pPr>
        <w:spacing w:before="50" w:after="5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1.投标人的开标一览表必须加盖投标人公章并由法定代表人或者委托代理人签字，否则其投标作无效标处理。</w:t>
      </w:r>
    </w:p>
    <w:p w14:paraId="62C7B804">
      <w:pPr>
        <w:spacing w:before="50" w:after="5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2.报价一经涂改，应在涂改处加盖投标人公章或者由法定代表人或者授权委托人签字或者盖章，否则其投标作无效标处理。</w:t>
      </w:r>
    </w:p>
    <w:p w14:paraId="65C1ED19">
      <w:pPr>
        <w:spacing w:before="50" w:after="5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3.如为联合体投标，“投标人名称”处必须列明联合体各方名称，并标注联合体牵头人名称，否则其投标作无效标处理。</w:t>
      </w:r>
    </w:p>
    <w:p w14:paraId="68299CC1">
      <w:pPr>
        <w:spacing w:before="50" w:after="5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4.如为联合体投标，盖章处须加盖联合体各方公章，否则其投标作无效标处理。</w:t>
      </w:r>
    </w:p>
    <w:p w14:paraId="0D3CE0E3">
      <w:pPr>
        <w:spacing w:before="50" w:after="50"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5.如有多分标，按分标分别提供开标一览表，否则投标无效。法定代表人或者委托代理人（签字）：投标人（盖公章）：</w:t>
      </w:r>
    </w:p>
    <w:p w14:paraId="3D24ED84">
      <w:pPr>
        <w:pStyle w:val="50"/>
        <w:spacing w:before="295" w:after="295" w:line="360" w:lineRule="auto"/>
        <w:ind w:firstLine="5000" w:firstLineChars="2500"/>
        <w:rPr>
          <w:rFonts w:hAnsi="宋体" w:cs="宋体"/>
          <w:color w:val="auto"/>
          <w:highlight w:val="none"/>
        </w:rPr>
        <w:sectPr>
          <w:pgSz w:w="11906" w:h="16838"/>
          <w:pgMar w:top="1134" w:right="1247" w:bottom="1560" w:left="1247" w:header="851" w:footer="992" w:gutter="0"/>
          <w:cols w:space="720" w:num="1"/>
          <w:titlePg/>
          <w:docGrid w:linePitch="312" w:charSpace="0"/>
        </w:sectPr>
      </w:pPr>
      <w:r>
        <w:rPr>
          <w:rFonts w:hint="eastAsia" w:hAnsi="宋体" w:cs="宋体"/>
          <w:color w:val="auto"/>
          <w:highlight w:val="none"/>
        </w:rPr>
        <w:t>日期：年月日</w:t>
      </w:r>
    </w:p>
    <w:p w14:paraId="6E4CA20C">
      <w:pPr>
        <w:pStyle w:val="16"/>
        <w:spacing w:before="0" w:after="0" w:line="360" w:lineRule="auto"/>
        <w:jc w:val="center"/>
        <w:rPr>
          <w:rFonts w:hint="eastAsia" w:ascii="宋体" w:hAnsi="宋体" w:eastAsia="宋体"/>
          <w:color w:val="auto"/>
          <w:highlight w:val="none"/>
        </w:rPr>
      </w:pPr>
      <w:bookmarkStart w:id="189" w:name="_Toc7562"/>
      <w:r>
        <w:rPr>
          <w:rFonts w:hint="eastAsia" w:ascii="宋体" w:hAnsi="宋体" w:eastAsia="宋体"/>
          <w:color w:val="auto"/>
          <w:highlight w:val="none"/>
        </w:rPr>
        <w:t>三、资格证明文件格式</w:t>
      </w:r>
      <w:bookmarkEnd w:id="189"/>
    </w:p>
    <w:p w14:paraId="1C79C542">
      <w:pPr>
        <w:spacing w:before="120" w:after="50" w:line="360" w:lineRule="auto"/>
        <w:jc w:val="left"/>
        <w:rPr>
          <w:rFonts w:hint="eastAsia" w:ascii="宋体" w:hAnsi="宋体" w:eastAsia="宋体" w:cs="宋体"/>
          <w:b/>
          <w:color w:val="auto"/>
          <w:sz w:val="24"/>
          <w:highlight w:val="none"/>
          <w:lang w:eastAsia="zh-CN"/>
        </w:rPr>
      </w:pPr>
      <w:r>
        <w:rPr>
          <w:rFonts w:hint="eastAsia" w:ascii="宋体" w:hAnsi="宋体" w:cs="宋体"/>
          <w:b/>
          <w:color w:val="auto"/>
          <w:sz w:val="24"/>
          <w:highlight w:val="none"/>
        </w:rPr>
        <w:t>1资格证明文件封面格式：</w:t>
      </w:r>
    </w:p>
    <w:p w14:paraId="0D1E0E79">
      <w:pPr>
        <w:spacing w:before="120" w:after="50" w:line="360" w:lineRule="auto"/>
        <w:jc w:val="center"/>
        <w:rPr>
          <w:rFonts w:hint="eastAsia" w:ascii="宋体" w:hAnsi="宋体" w:cs="宋体"/>
          <w:b/>
          <w:color w:val="auto"/>
          <w:sz w:val="32"/>
          <w:szCs w:val="32"/>
          <w:highlight w:val="none"/>
        </w:rPr>
      </w:pPr>
      <w:r>
        <w:rPr>
          <w:rFonts w:hint="eastAsia" w:ascii="宋体" w:hAnsi="宋体" w:cs="宋体"/>
          <w:bCs/>
          <w:color w:val="auto"/>
          <w:highlight w:val="none"/>
        </w:rPr>
        <w:t>正本/副本</w:t>
      </w:r>
      <w:r>
        <w:rPr>
          <w:rFonts w:hint="eastAsia" w:ascii="宋体" w:hAnsi="宋体" w:cs="宋体"/>
          <w:b/>
          <w:color w:val="auto"/>
          <w:sz w:val="32"/>
          <w:szCs w:val="32"/>
          <w:highlight w:val="none"/>
        </w:rPr>
        <w:t>资格证明文件</w:t>
      </w:r>
    </w:p>
    <w:p w14:paraId="5D5A5229">
      <w:pPr>
        <w:spacing w:before="120" w:after="50" w:line="360" w:lineRule="auto"/>
        <w:jc w:val="center"/>
        <w:rPr>
          <w:rFonts w:hint="eastAsia" w:ascii="宋体" w:hAnsi="宋体" w:cs="宋体"/>
          <w:bCs/>
          <w:color w:val="auto"/>
          <w:sz w:val="24"/>
          <w:szCs w:val="20"/>
          <w:highlight w:val="none"/>
        </w:rPr>
      </w:pPr>
      <w:r>
        <w:rPr>
          <w:rFonts w:hint="eastAsia" w:ascii="宋体" w:hAnsi="宋体" w:cs="宋体"/>
          <w:bCs/>
          <w:color w:val="auto"/>
          <w:sz w:val="24"/>
          <w:szCs w:val="20"/>
          <w:highlight w:val="none"/>
        </w:rPr>
        <w:t>项目名称：</w:t>
      </w:r>
    </w:p>
    <w:p w14:paraId="3577155B">
      <w:pPr>
        <w:spacing w:before="120" w:after="50" w:line="360" w:lineRule="auto"/>
        <w:jc w:val="center"/>
        <w:rPr>
          <w:rFonts w:hint="eastAsia" w:ascii="宋体" w:hAnsi="宋体" w:cs="宋体"/>
          <w:bCs/>
          <w:color w:val="auto"/>
          <w:sz w:val="24"/>
          <w:szCs w:val="20"/>
          <w:highlight w:val="none"/>
        </w:rPr>
      </w:pPr>
      <w:r>
        <w:rPr>
          <w:rFonts w:hint="eastAsia" w:ascii="宋体" w:hAnsi="宋体" w:cs="宋体"/>
          <w:bCs/>
          <w:color w:val="auto"/>
          <w:sz w:val="24"/>
          <w:szCs w:val="20"/>
          <w:highlight w:val="none"/>
        </w:rPr>
        <w:t>项目编号：</w:t>
      </w:r>
    </w:p>
    <w:p w14:paraId="44C9C462">
      <w:pPr>
        <w:spacing w:before="120" w:after="50" w:line="360" w:lineRule="auto"/>
        <w:jc w:val="center"/>
        <w:rPr>
          <w:rFonts w:hint="eastAsia" w:ascii="宋体" w:hAnsi="宋体" w:eastAsia="宋体" w:cs="宋体"/>
          <w:bCs/>
          <w:color w:val="auto"/>
          <w:sz w:val="24"/>
          <w:szCs w:val="20"/>
          <w:highlight w:val="none"/>
          <w:lang w:eastAsia="zh-CN"/>
        </w:rPr>
      </w:pPr>
      <w:r>
        <w:rPr>
          <w:rFonts w:hint="eastAsia" w:ascii="宋体" w:hAnsi="宋体" w:cs="宋体"/>
          <w:bCs/>
          <w:color w:val="auto"/>
          <w:sz w:val="24"/>
          <w:szCs w:val="20"/>
          <w:highlight w:val="none"/>
        </w:rPr>
        <w:t>投标人名称：</w:t>
      </w:r>
    </w:p>
    <w:p w14:paraId="4E5EE4D3">
      <w:pPr>
        <w:spacing w:before="120" w:after="50" w:line="360" w:lineRule="auto"/>
        <w:jc w:val="center"/>
        <w:rPr>
          <w:rFonts w:ascii="宋体" w:hAnsi="宋体" w:cs="宋体"/>
          <w:color w:val="auto"/>
          <w:sz w:val="24"/>
          <w:highlight w:val="none"/>
        </w:rPr>
        <w:sectPr>
          <w:pgSz w:w="11906" w:h="16838"/>
          <w:pgMar w:top="1134" w:right="1247" w:bottom="1560" w:left="1247" w:header="851" w:footer="992" w:gutter="0"/>
          <w:cols w:space="720" w:num="1"/>
          <w:titlePg/>
          <w:docGrid w:linePitch="312" w:charSpace="0"/>
        </w:sectPr>
      </w:pPr>
      <w:r>
        <w:rPr>
          <w:rFonts w:hint="eastAsia" w:ascii="宋体" w:hAnsi="宋体" w:cs="宋体"/>
          <w:color w:val="auto"/>
          <w:sz w:val="24"/>
          <w:highlight w:val="none"/>
        </w:rPr>
        <w:t>年月日</w:t>
      </w:r>
    </w:p>
    <w:p w14:paraId="27ECA2B3">
      <w:pPr>
        <w:spacing w:before="120" w:after="50" w:line="360" w:lineRule="auto"/>
        <w:jc w:val="left"/>
        <w:rPr>
          <w:rFonts w:hint="eastAsia" w:ascii="宋体" w:hAnsi="宋体" w:cs="宋体"/>
          <w:color w:val="auto"/>
          <w:sz w:val="24"/>
          <w:szCs w:val="20"/>
          <w:highlight w:val="none"/>
        </w:rPr>
      </w:pPr>
      <w:r>
        <w:rPr>
          <w:rFonts w:hint="eastAsia" w:ascii="宋体" w:hAnsi="宋体" w:cs="宋体"/>
          <w:b/>
          <w:bCs/>
          <w:color w:val="auto"/>
          <w:sz w:val="24"/>
          <w:highlight w:val="none"/>
        </w:rPr>
        <w:t>2资格证明文件目录</w:t>
      </w:r>
    </w:p>
    <w:p w14:paraId="72F33057">
      <w:pPr>
        <w:pStyle w:val="97"/>
        <w:spacing w:line="360" w:lineRule="auto"/>
        <w:rPr>
          <w:rFonts w:hint="eastAsia" w:eastAsia="宋体"/>
          <w:color w:val="auto"/>
          <w:highlight w:val="none"/>
          <w:lang w:eastAsia="zh-CN"/>
        </w:rPr>
        <w:sectPr>
          <w:pgSz w:w="11906" w:h="16838"/>
          <w:pgMar w:top="1134" w:right="1247" w:bottom="1560" w:left="1247" w:header="851" w:footer="992" w:gutter="0"/>
          <w:cols w:space="720" w:num="1"/>
          <w:titlePg/>
          <w:docGrid w:linePitch="312" w:charSpace="0"/>
        </w:sectPr>
      </w:pPr>
      <w:r>
        <w:rPr>
          <w:rFonts w:hint="eastAsia" w:ascii="宋体" w:hAnsi="宋体" w:cs="宋体"/>
          <w:color w:val="auto"/>
          <w:szCs w:val="21"/>
          <w:highlight w:val="none"/>
        </w:rPr>
        <w:t>根据招标文件规定及投标人提供的材料自行编写目录。</w:t>
      </w:r>
    </w:p>
    <w:p w14:paraId="0627C720">
      <w:pPr>
        <w:keepNext w:val="0"/>
        <w:keepLines w:val="0"/>
        <w:pageBreakBefore w:val="0"/>
        <w:widowControl/>
        <w:suppressLineNumbers w:val="0"/>
        <w:kinsoku/>
        <w:wordWrap/>
        <w:overflowPunct/>
        <w:topLinePunct w:val="0"/>
        <w:autoSpaceDE/>
        <w:autoSpaceDN/>
        <w:bidi w:val="0"/>
        <w:spacing w:line="440" w:lineRule="exact"/>
        <w:jc w:val="both"/>
        <w:rPr>
          <w:rFonts w:hint="eastAsia" w:ascii="宋体" w:hAnsi="宋体" w:eastAsia="宋体" w:cs="宋体"/>
          <w:color w:val="auto"/>
          <w:sz w:val="22"/>
          <w:szCs w:val="22"/>
          <w:highlight w:val="none"/>
          <w:u w:val="single"/>
          <w:lang w:val="en-US" w:eastAsia="zh-CN"/>
        </w:rPr>
      </w:pPr>
      <w:r>
        <w:rPr>
          <w:rFonts w:hint="eastAsia" w:ascii="宋体" w:hAnsi="宋体" w:cs="Times New Roman"/>
          <w:b/>
          <w:color w:val="auto"/>
          <w:spacing w:val="0"/>
          <w:kern w:val="2"/>
          <w:sz w:val="24"/>
          <w:szCs w:val="24"/>
          <w:highlight w:val="none"/>
          <w:lang w:val="en-US" w:eastAsia="zh-CN" w:bidi="ar-SA"/>
        </w:rPr>
        <w:t>3.</w:t>
      </w:r>
      <w:r>
        <w:rPr>
          <w:rFonts w:hint="eastAsia" w:ascii="宋体" w:hAnsi="宋体" w:eastAsia="宋体" w:cs="Times New Roman"/>
          <w:b/>
          <w:color w:val="auto"/>
          <w:spacing w:val="0"/>
          <w:kern w:val="2"/>
          <w:sz w:val="24"/>
          <w:szCs w:val="24"/>
          <w:highlight w:val="none"/>
          <w:lang w:val="en-US" w:eastAsia="zh-CN" w:bidi="ar-SA"/>
        </w:rPr>
        <w:t>崇左市政府采购供应商信用承诺函；</w:t>
      </w:r>
      <w:r>
        <w:rPr>
          <w:rFonts w:hint="eastAsia" w:ascii="宋体" w:hAnsi="宋体" w:eastAsia="宋体" w:cs="宋体"/>
          <w:color w:val="auto"/>
          <w:kern w:val="0"/>
          <w:sz w:val="22"/>
          <w:szCs w:val="22"/>
          <w:highlight w:val="none"/>
          <w:lang w:val="en-US" w:eastAsia="zh-CN" w:bidi="ar"/>
        </w:rPr>
        <w:t>致</w:t>
      </w:r>
      <w:r>
        <w:rPr>
          <w:rFonts w:hint="eastAsia" w:ascii="宋体" w:hAnsi="宋体" w:eastAsia="宋体" w:cs="宋体"/>
          <w:color w:val="auto"/>
          <w:kern w:val="0"/>
          <w:sz w:val="22"/>
          <w:szCs w:val="22"/>
          <w:highlight w:val="none"/>
          <w:u w:val="single"/>
          <w:lang w:val="en-US" w:eastAsia="zh-CN" w:bidi="ar"/>
        </w:rPr>
        <w:t>（采购代理机构名称）</w:t>
      </w:r>
      <w:r>
        <w:rPr>
          <w:rFonts w:hint="eastAsia" w:ascii="宋体" w:hAnsi="宋体" w:eastAsia="宋体" w:cs="宋体"/>
          <w:color w:val="auto"/>
          <w:kern w:val="0"/>
          <w:sz w:val="22"/>
          <w:szCs w:val="22"/>
          <w:highlight w:val="none"/>
          <w:u w:val="none"/>
          <w:lang w:val="en-US" w:eastAsia="zh-CN" w:bidi="ar"/>
        </w:rPr>
        <w:t>:</w:t>
      </w:r>
    </w:p>
    <w:p w14:paraId="6615665D">
      <w:pPr>
        <w:keepNext w:val="0"/>
        <w:keepLines w:val="0"/>
        <w:pageBreakBefore w:val="0"/>
        <w:widowControl/>
        <w:suppressLineNumbers w:val="0"/>
        <w:kinsoku/>
        <w:wordWrap/>
        <w:overflowPunct/>
        <w:topLinePunct w:val="0"/>
        <w:autoSpaceDE/>
        <w:autoSpaceDN/>
        <w:bidi w:val="0"/>
        <w:spacing w:line="440" w:lineRule="exact"/>
        <w:ind w:firstLine="440" w:firstLineChars="200"/>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lang w:val="en-US" w:eastAsia="zh-CN" w:bidi="ar"/>
        </w:rPr>
        <w:t>我方自愿参加</w:t>
      </w:r>
      <w:r>
        <w:rPr>
          <w:rFonts w:hint="eastAsia" w:ascii="宋体" w:hAnsi="宋体" w:cs="宋体"/>
          <w:color w:val="auto"/>
          <w:szCs w:val="21"/>
          <w:highlight w:val="none"/>
          <w:u w:val="single"/>
        </w:rPr>
        <w:t>项目名称</w:t>
      </w:r>
      <w:r>
        <w:rPr>
          <w:rFonts w:hint="eastAsia" w:ascii="宋体" w:hAnsi="宋体" w:cs="宋体"/>
          <w:color w:val="auto"/>
          <w:szCs w:val="21"/>
          <w:highlight w:val="none"/>
          <w:u w:val="single"/>
          <w:lang w:val="en-US" w:eastAsia="zh-CN"/>
        </w:rPr>
        <w:t>和标段</w:t>
      </w:r>
      <w:r>
        <w:rPr>
          <w:rFonts w:hint="eastAsia" w:ascii="宋体" w:hAnsi="宋体" w:cs="宋体"/>
          <w:color w:val="auto"/>
          <w:szCs w:val="21"/>
          <w:highlight w:val="none"/>
          <w:u w:val="single"/>
        </w:rPr>
        <w:t>（项目编号：）</w:t>
      </w:r>
      <w:r>
        <w:rPr>
          <w:rFonts w:hint="eastAsia" w:ascii="宋体" w:hAnsi="宋体" w:eastAsia="宋体" w:cs="宋体"/>
          <w:color w:val="auto"/>
          <w:kern w:val="0"/>
          <w:sz w:val="22"/>
          <w:szCs w:val="22"/>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2"/>
          <w:szCs w:val="22"/>
          <w:highlight w:val="none"/>
          <w:lang w:val="en-US" w:eastAsia="zh-CN" w:bidi="ar"/>
        </w:rPr>
        <w:t>：</w:t>
      </w:r>
    </w:p>
    <w:p w14:paraId="32C4AC7C">
      <w:pPr>
        <w:keepNext w:val="0"/>
        <w:keepLines w:val="0"/>
        <w:pageBreakBefore w:val="0"/>
        <w:widowControl/>
        <w:suppressLineNumbers w:val="0"/>
        <w:kinsoku/>
        <w:wordWrap/>
        <w:overflowPunct/>
        <w:topLinePunct w:val="0"/>
        <w:autoSpaceDE/>
        <w:autoSpaceDN/>
        <w:bidi w:val="0"/>
        <w:spacing w:line="440" w:lineRule="exact"/>
        <w:ind w:firstLine="440" w:firstLineChars="200"/>
        <w:jc w:val="both"/>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1.我方</w:t>
      </w:r>
      <w:r>
        <w:rPr>
          <w:rFonts w:hint="eastAsia" w:ascii="宋体" w:hAnsi="宋体" w:eastAsia="宋体" w:cs="宋体"/>
          <w:color w:val="auto"/>
          <w:spacing w:val="6"/>
          <w:sz w:val="22"/>
          <w:szCs w:val="22"/>
          <w:highlight w:val="none"/>
          <w:lang w:val="en-US" w:eastAsia="zh-CN"/>
        </w:rPr>
        <w:t>具有独立承担民事责任的能力或我方属于银行、保险、石油石化、电力、电信等有行业特殊情况的法人的分支机构在参加本次政府采购活动前已取得总公司的授权。</w:t>
      </w:r>
    </w:p>
    <w:p w14:paraId="15601244">
      <w:pPr>
        <w:keepNext w:val="0"/>
        <w:keepLines w:val="0"/>
        <w:pageBreakBefore w:val="0"/>
        <w:widowControl/>
        <w:suppressLineNumbers w:val="0"/>
        <w:kinsoku/>
        <w:wordWrap/>
        <w:overflowPunct/>
        <w:topLinePunct w:val="0"/>
        <w:autoSpaceDE/>
        <w:autoSpaceDN/>
        <w:bidi w:val="0"/>
        <w:spacing w:line="440" w:lineRule="exact"/>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2.我方具有符合采购文件资格要求的财务状况报告。</w:t>
      </w:r>
    </w:p>
    <w:p w14:paraId="2AE2F650">
      <w:pPr>
        <w:keepNext w:val="0"/>
        <w:keepLines w:val="0"/>
        <w:pageBreakBefore w:val="0"/>
        <w:widowControl/>
        <w:suppressLineNumbers w:val="0"/>
        <w:kinsoku/>
        <w:wordWrap/>
        <w:overflowPunct/>
        <w:topLinePunct w:val="0"/>
        <w:autoSpaceDE/>
        <w:autoSpaceDN/>
        <w:bidi w:val="0"/>
        <w:spacing w:line="440" w:lineRule="exact"/>
        <w:ind w:firstLine="416" w:firstLineChars="200"/>
        <w:jc w:val="both"/>
        <w:rPr>
          <w:rFonts w:hint="eastAsia" w:ascii="宋体" w:hAnsi="宋体" w:eastAsia="宋体" w:cs="宋体"/>
          <w:color w:val="auto"/>
          <w:spacing w:val="-17"/>
          <w:sz w:val="22"/>
          <w:szCs w:val="22"/>
          <w:highlight w:val="none"/>
        </w:rPr>
      </w:pPr>
      <w:r>
        <w:rPr>
          <w:rFonts w:hint="eastAsia" w:ascii="宋体" w:hAnsi="宋体" w:eastAsia="宋体" w:cs="宋体"/>
          <w:color w:val="auto"/>
          <w:spacing w:val="-6"/>
          <w:kern w:val="0"/>
          <w:sz w:val="22"/>
          <w:szCs w:val="22"/>
          <w:highlight w:val="none"/>
          <w:lang w:val="en-US" w:eastAsia="zh-CN" w:bidi="ar"/>
        </w:rPr>
        <w:t>3.我方具有符合采购文件资格要求的依法缴纳税收和社会保障资金的良好记录。</w:t>
      </w:r>
    </w:p>
    <w:p w14:paraId="2D5A8776">
      <w:pPr>
        <w:keepNext w:val="0"/>
        <w:keepLines w:val="0"/>
        <w:pageBreakBefore w:val="0"/>
        <w:widowControl/>
        <w:suppressLineNumbers w:val="0"/>
        <w:kinsoku/>
        <w:wordWrap/>
        <w:overflowPunct/>
        <w:topLinePunct w:val="0"/>
        <w:autoSpaceDE/>
        <w:autoSpaceDN/>
        <w:bidi w:val="0"/>
        <w:spacing w:line="440" w:lineRule="exact"/>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4.我方具有符合采购文件资格要求和履行合同所必需的设备和专业技术能力。</w:t>
      </w:r>
    </w:p>
    <w:p w14:paraId="288AA23A">
      <w:pPr>
        <w:keepNext w:val="0"/>
        <w:keepLines w:val="0"/>
        <w:pageBreakBefore w:val="0"/>
        <w:widowControl/>
        <w:suppressLineNumbers w:val="0"/>
        <w:kinsoku/>
        <w:wordWrap/>
        <w:overflowPunct/>
        <w:topLinePunct w:val="0"/>
        <w:autoSpaceDE/>
        <w:autoSpaceDN/>
        <w:bidi w:val="0"/>
        <w:spacing w:line="440" w:lineRule="exact"/>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5.我方参加政府采购活动前3年内在经营活动中没有重大违法记录。</w:t>
      </w:r>
    </w:p>
    <w:p w14:paraId="08A9B8FB">
      <w:pPr>
        <w:keepNext w:val="0"/>
        <w:keepLines w:val="0"/>
        <w:pageBreakBefore w:val="0"/>
        <w:widowControl/>
        <w:suppressLineNumbers w:val="0"/>
        <w:kinsoku/>
        <w:wordWrap/>
        <w:overflowPunct/>
        <w:topLinePunct w:val="0"/>
        <w:autoSpaceDE/>
        <w:autoSpaceDN/>
        <w:bidi w:val="0"/>
        <w:spacing w:line="440" w:lineRule="exact"/>
        <w:ind w:firstLine="440" w:firstLineChars="200"/>
        <w:jc w:val="both"/>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我方对以上承诺内容的真实性负责。如有虚假，将依法承担相应责任。</w:t>
      </w:r>
    </w:p>
    <w:p w14:paraId="2E89A36C">
      <w:pPr>
        <w:keepNext w:val="0"/>
        <w:keepLines w:val="0"/>
        <w:pageBreakBefore w:val="0"/>
        <w:widowControl/>
        <w:suppressLineNumbers w:val="0"/>
        <w:kinsoku/>
        <w:wordWrap/>
        <w:overflowPunct/>
        <w:topLinePunct w:val="0"/>
        <w:autoSpaceDE/>
        <w:autoSpaceDN/>
        <w:bidi w:val="0"/>
        <w:spacing w:line="440" w:lineRule="exact"/>
        <w:ind w:firstLine="3300" w:firstLineChars="1500"/>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供应商名称（盖章）：</w:t>
      </w:r>
    </w:p>
    <w:p w14:paraId="1EF86985">
      <w:pPr>
        <w:spacing w:before="120" w:after="50" w:line="360" w:lineRule="auto"/>
        <w:jc w:val="left"/>
        <w:rPr>
          <w:rFonts w:hint="eastAsia" w:ascii="宋体" w:hAnsi="宋体" w:eastAsia="宋体" w:cs="宋体"/>
          <w:b/>
          <w:color w:val="auto"/>
          <w:sz w:val="24"/>
          <w:highlight w:val="none"/>
          <w:lang w:eastAsia="zh-CN"/>
        </w:rPr>
      </w:pPr>
      <w:r>
        <w:rPr>
          <w:rFonts w:hint="eastAsia" w:ascii="宋体" w:hAnsi="宋体" w:eastAsia="宋体" w:cs="宋体"/>
          <w:color w:val="auto"/>
          <w:kern w:val="0"/>
          <w:sz w:val="22"/>
          <w:szCs w:val="22"/>
          <w:highlight w:val="none"/>
          <w:lang w:val="en-US" w:eastAsia="zh-CN" w:bidi="ar"/>
        </w:rPr>
        <w:t>日期：注：1.</w:t>
      </w:r>
      <w:r>
        <w:rPr>
          <w:rFonts w:hint="eastAsia" w:ascii="宋体" w:hAnsi="宋体" w:eastAsia="宋体" w:cs="宋体"/>
          <w:i w:val="0"/>
          <w:iCs w:val="0"/>
          <w:caps w:val="0"/>
          <w:color w:val="auto"/>
          <w:spacing w:val="0"/>
          <w:sz w:val="22"/>
          <w:szCs w:val="22"/>
          <w:highlight w:val="none"/>
          <w:lang w:val="en-US" w:eastAsia="zh-CN"/>
        </w:rPr>
        <w:t>参与政府采购活动的供应商可按第1点的内容：“</w:t>
      </w:r>
      <w:r>
        <w:rPr>
          <w:rFonts w:hint="eastAsia" w:ascii="宋体" w:hAnsi="宋体" w:eastAsia="宋体" w:cs="宋体"/>
          <w:color w:val="auto"/>
          <w:kern w:val="0"/>
          <w:sz w:val="22"/>
          <w:szCs w:val="22"/>
          <w:highlight w:val="none"/>
          <w:lang w:val="en-US" w:eastAsia="zh-CN" w:bidi="ar"/>
        </w:rPr>
        <w:t>我方</w:t>
      </w:r>
      <w:r>
        <w:rPr>
          <w:rFonts w:hint="eastAsia" w:ascii="宋体" w:hAnsi="宋体" w:eastAsia="宋体" w:cs="宋体"/>
          <w:color w:val="auto"/>
          <w:spacing w:val="6"/>
          <w:sz w:val="22"/>
          <w:szCs w:val="22"/>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2"/>
          <w:szCs w:val="22"/>
          <w:highlight w:val="none"/>
          <w:lang w:val="en-US" w:eastAsia="zh-CN" w:bidi="ar"/>
        </w:rPr>
        <w:t>我方</w:t>
      </w:r>
      <w:r>
        <w:rPr>
          <w:rFonts w:hint="eastAsia" w:ascii="宋体" w:hAnsi="宋体" w:eastAsia="宋体" w:cs="宋体"/>
          <w:color w:val="auto"/>
          <w:spacing w:val="6"/>
          <w:sz w:val="22"/>
          <w:szCs w:val="22"/>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2"/>
          <w:szCs w:val="22"/>
          <w:highlight w:val="none"/>
          <w:u w:val="none"/>
          <w:lang w:val="en-US" w:eastAsia="zh-CN"/>
        </w:rPr>
        <w:t>只要第1点承诺的内容包含：具有独立承担民事责任的能力、在参加本次政府采购活动前已取得总公司的授权等内容的即为有效的承诺。</w:t>
      </w:r>
      <w:r>
        <w:rPr>
          <w:rFonts w:hint="eastAsia" w:ascii="宋体" w:hAnsi="宋体" w:eastAsia="宋体" w:cs="宋体"/>
          <w:color w:val="auto"/>
          <w:spacing w:val="6"/>
          <w:sz w:val="22"/>
          <w:szCs w:val="22"/>
          <w:highlight w:val="none"/>
          <w:lang w:val="en-US" w:eastAsia="zh-CN"/>
        </w:rPr>
        <w:t>2.第1点所指的行业特殊情况使用了“等”字表示列举未尽，即行业特殊情况包含但不限于银行、保险、石油石化、电力、电信。</w:t>
      </w:r>
    </w:p>
    <w:p w14:paraId="69F2C744">
      <w:pPr>
        <w:spacing w:before="120" w:after="50" w:line="360" w:lineRule="auto"/>
        <w:jc w:val="left"/>
        <w:rPr>
          <w:rFonts w:hint="eastAsia" w:ascii="宋体" w:hAnsi="宋体" w:cs="宋体"/>
          <w:b/>
          <w:color w:val="auto"/>
          <w:sz w:val="24"/>
          <w:highlight w:val="none"/>
          <w:lang w:val="en-US" w:eastAsia="zh-CN"/>
        </w:rPr>
      </w:pPr>
    </w:p>
    <w:p w14:paraId="54C2D32D">
      <w:pPr>
        <w:spacing w:before="120" w:after="50" w:line="360" w:lineRule="auto"/>
        <w:jc w:val="left"/>
        <w:rPr>
          <w:rFonts w:hint="eastAsia" w:ascii="宋体" w:hAnsi="宋体" w:cs="宋体"/>
          <w:b/>
          <w:color w:val="auto"/>
          <w:sz w:val="24"/>
          <w:highlight w:val="none"/>
          <w:lang w:val="en-US" w:eastAsia="zh-CN"/>
        </w:rPr>
      </w:pPr>
    </w:p>
    <w:p w14:paraId="305E4F95">
      <w:pPr>
        <w:spacing w:before="120" w:after="50" w:line="360" w:lineRule="auto"/>
        <w:jc w:val="left"/>
        <w:rPr>
          <w:rFonts w:hint="eastAsia" w:ascii="宋体" w:hAnsi="宋体" w:cs="宋体"/>
          <w:b/>
          <w:color w:val="auto"/>
          <w:sz w:val="24"/>
          <w:highlight w:val="none"/>
          <w:lang w:val="en-US" w:eastAsia="zh-CN"/>
        </w:rPr>
      </w:pPr>
    </w:p>
    <w:p w14:paraId="14D7814E">
      <w:pPr>
        <w:spacing w:before="120" w:after="50" w:line="360" w:lineRule="auto"/>
        <w:jc w:val="left"/>
        <w:rPr>
          <w:rFonts w:hint="eastAsia" w:ascii="宋体" w:hAnsi="宋体" w:cs="宋体"/>
          <w:b/>
          <w:color w:val="auto"/>
          <w:sz w:val="24"/>
          <w:highlight w:val="none"/>
          <w:lang w:val="en-US" w:eastAsia="zh-CN"/>
        </w:rPr>
      </w:pPr>
    </w:p>
    <w:p w14:paraId="13ECB72C">
      <w:pPr>
        <w:spacing w:before="120" w:after="50" w:line="360" w:lineRule="auto"/>
        <w:jc w:val="left"/>
        <w:rPr>
          <w:rFonts w:hint="eastAsia" w:ascii="宋体" w:hAnsi="宋体" w:cs="宋体"/>
          <w:b/>
          <w:color w:val="auto"/>
          <w:sz w:val="24"/>
          <w:highlight w:val="none"/>
          <w:lang w:val="en-US" w:eastAsia="zh-CN"/>
        </w:rPr>
      </w:pPr>
    </w:p>
    <w:p w14:paraId="7DADE5FE">
      <w:pPr>
        <w:spacing w:before="120" w:after="50" w:line="360" w:lineRule="auto"/>
        <w:jc w:val="left"/>
        <w:rPr>
          <w:rFonts w:hint="eastAsia" w:ascii="宋体" w:hAnsi="宋体" w:cs="宋体"/>
          <w:b/>
          <w:color w:val="auto"/>
          <w:sz w:val="24"/>
          <w:highlight w:val="none"/>
          <w:lang w:val="en-US" w:eastAsia="zh-CN"/>
        </w:rPr>
      </w:pPr>
    </w:p>
    <w:p w14:paraId="48290397">
      <w:pPr>
        <w:spacing w:before="120" w:after="50" w:line="360" w:lineRule="auto"/>
        <w:jc w:val="left"/>
        <w:rPr>
          <w:rFonts w:hint="eastAsia" w:ascii="宋体" w:hAnsi="宋体" w:cs="宋体"/>
          <w:b/>
          <w:color w:val="auto"/>
          <w:sz w:val="24"/>
          <w:highlight w:val="none"/>
          <w:lang w:val="en-US" w:eastAsia="zh-CN"/>
        </w:rPr>
      </w:pPr>
    </w:p>
    <w:p w14:paraId="766D1E9A">
      <w:pPr>
        <w:spacing w:before="120" w:after="50" w:line="360" w:lineRule="auto"/>
        <w:jc w:val="left"/>
        <w:rPr>
          <w:rFonts w:hint="eastAsia" w:ascii="宋体" w:hAnsi="宋体" w:cs="宋体"/>
          <w:b/>
          <w:color w:val="auto"/>
          <w:sz w:val="24"/>
          <w:highlight w:val="none"/>
          <w:lang w:val="en-US" w:eastAsia="zh-CN"/>
        </w:rPr>
      </w:pPr>
    </w:p>
    <w:p w14:paraId="3EEBAABE">
      <w:pPr>
        <w:spacing w:before="120" w:after="50" w:line="360" w:lineRule="auto"/>
        <w:jc w:val="left"/>
        <w:rPr>
          <w:rFonts w:hint="eastAsia" w:ascii="宋体" w:hAnsi="宋体" w:cs="宋体"/>
          <w:b/>
          <w:color w:val="auto"/>
          <w:sz w:val="24"/>
          <w:highlight w:val="none"/>
        </w:rPr>
      </w:pP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投标人直接控股、管理关系信息表</w:t>
      </w:r>
    </w:p>
    <w:p w14:paraId="0EF78845">
      <w:pPr>
        <w:spacing w:before="50" w:after="120" w:line="360" w:lineRule="auto"/>
        <w:jc w:val="center"/>
        <w:rPr>
          <w:rFonts w:hint="eastAsia" w:ascii="宋体" w:hAnsi="宋体" w:cs="宋体"/>
          <w:b/>
          <w:color w:val="auto"/>
          <w:sz w:val="22"/>
          <w:szCs w:val="22"/>
          <w:highlight w:val="none"/>
        </w:rPr>
      </w:pPr>
      <w:r>
        <w:rPr>
          <w:rFonts w:hint="eastAsia" w:ascii="宋体" w:hAnsi="宋体" w:cs="宋体"/>
          <w:b/>
          <w:color w:val="auto"/>
          <w:sz w:val="28"/>
          <w:szCs w:val="28"/>
          <w:highlight w:val="none"/>
        </w:rPr>
        <w:t>投标人直接控股股东信息表</w:t>
      </w:r>
    </w:p>
    <w:tbl>
      <w:tblPr>
        <w:tblStyle w:val="11"/>
        <w:tblW w:w="0" w:type="auto"/>
        <w:tblInd w:w="-120" w:type="dxa"/>
        <w:shd w:val="clear" w:color="auto" w:fill="FBFBFB"/>
        <w:tblLayout w:type="fixed"/>
        <w:tblCellMar>
          <w:top w:w="120" w:type="dxa"/>
          <w:left w:w="120" w:type="dxa"/>
          <w:bottom w:w="120" w:type="dxa"/>
          <w:right w:w="120" w:type="dxa"/>
        </w:tblCellMar>
      </w:tblPr>
      <w:tblGrid>
        <w:gridCol w:w="828"/>
        <w:gridCol w:w="2269"/>
        <w:gridCol w:w="1239"/>
        <w:gridCol w:w="3722"/>
        <w:gridCol w:w="1418"/>
      </w:tblGrid>
      <w:tr w14:paraId="077CFE69">
        <w:tblPrEx>
          <w:shd w:val="clear" w:color="auto" w:fill="FBFBFB"/>
          <w:tblCellMar>
            <w:top w:w="120" w:type="dxa"/>
            <w:left w:w="120" w:type="dxa"/>
            <w:bottom w:w="120" w:type="dxa"/>
            <w:right w:w="12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C833038">
            <w:pPr>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7D93544">
            <w:pPr>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2B539C1">
            <w:pPr>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3D259AF">
            <w:pPr>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3BA9FB4">
            <w:pPr>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01A7B455">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26D28E">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95D70A">
            <w:pPr>
              <w:spacing w:line="360" w:lineRule="auto"/>
              <w:jc w:val="center"/>
              <w:rPr>
                <w:rFonts w:hint="eastAsia"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AE6FB6">
            <w:pPr>
              <w:spacing w:line="360" w:lineRule="auto"/>
              <w:jc w:val="center"/>
              <w:rPr>
                <w:rFonts w:hint="eastAsia"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26283D">
            <w:pPr>
              <w:spacing w:line="360" w:lineRule="auto"/>
              <w:jc w:val="center"/>
              <w:rPr>
                <w:rFonts w:hint="eastAsia"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64B60C">
            <w:pPr>
              <w:spacing w:line="360" w:lineRule="auto"/>
              <w:jc w:val="center"/>
              <w:rPr>
                <w:rFonts w:hint="eastAsia" w:ascii="宋体" w:hAnsi="宋体" w:cs="宋体"/>
                <w:color w:val="auto"/>
                <w:kern w:val="0"/>
                <w:szCs w:val="21"/>
                <w:highlight w:val="none"/>
              </w:rPr>
            </w:pPr>
          </w:p>
        </w:tc>
      </w:tr>
      <w:tr w14:paraId="751F1A6E">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7D5AD1">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F07CFB">
            <w:pPr>
              <w:spacing w:line="360" w:lineRule="auto"/>
              <w:jc w:val="center"/>
              <w:rPr>
                <w:rFonts w:hint="eastAsia"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73E502">
            <w:pPr>
              <w:spacing w:line="360" w:lineRule="auto"/>
              <w:jc w:val="center"/>
              <w:rPr>
                <w:rFonts w:hint="eastAsia"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3AF06B">
            <w:pPr>
              <w:spacing w:line="360" w:lineRule="auto"/>
              <w:jc w:val="center"/>
              <w:rPr>
                <w:rFonts w:hint="eastAsia"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9554B5">
            <w:pPr>
              <w:spacing w:line="360" w:lineRule="auto"/>
              <w:jc w:val="center"/>
              <w:rPr>
                <w:rFonts w:hint="eastAsia" w:ascii="宋体" w:hAnsi="宋体" w:cs="宋体"/>
                <w:color w:val="auto"/>
                <w:kern w:val="0"/>
                <w:szCs w:val="21"/>
                <w:highlight w:val="none"/>
              </w:rPr>
            </w:pPr>
          </w:p>
        </w:tc>
      </w:tr>
      <w:tr w14:paraId="69899A84">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0E8130">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3B664E">
            <w:pPr>
              <w:spacing w:line="360" w:lineRule="auto"/>
              <w:jc w:val="center"/>
              <w:rPr>
                <w:rFonts w:hint="eastAsia"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DCAC93">
            <w:pPr>
              <w:spacing w:line="360" w:lineRule="auto"/>
              <w:jc w:val="center"/>
              <w:rPr>
                <w:rFonts w:hint="eastAsia"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7BB6F5">
            <w:pPr>
              <w:spacing w:line="360" w:lineRule="auto"/>
              <w:jc w:val="center"/>
              <w:rPr>
                <w:rFonts w:hint="eastAsia"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C9DFCA">
            <w:pPr>
              <w:spacing w:line="360" w:lineRule="auto"/>
              <w:jc w:val="center"/>
              <w:rPr>
                <w:rFonts w:hint="eastAsia" w:ascii="宋体" w:hAnsi="宋体" w:cs="宋体"/>
                <w:color w:val="auto"/>
                <w:kern w:val="0"/>
                <w:szCs w:val="21"/>
                <w:highlight w:val="none"/>
              </w:rPr>
            </w:pPr>
          </w:p>
        </w:tc>
      </w:tr>
      <w:tr w14:paraId="11689185">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EF1DEE">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FB8CBB">
            <w:pPr>
              <w:spacing w:line="360" w:lineRule="auto"/>
              <w:jc w:val="center"/>
              <w:rPr>
                <w:rFonts w:hint="eastAsia"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C9496B">
            <w:pPr>
              <w:spacing w:line="360" w:lineRule="auto"/>
              <w:jc w:val="center"/>
              <w:rPr>
                <w:rFonts w:hint="eastAsia"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EE97A7">
            <w:pPr>
              <w:spacing w:line="360" w:lineRule="auto"/>
              <w:jc w:val="center"/>
              <w:rPr>
                <w:rFonts w:hint="eastAsia"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E81E7A">
            <w:pPr>
              <w:spacing w:line="360" w:lineRule="auto"/>
              <w:jc w:val="center"/>
              <w:rPr>
                <w:rFonts w:hint="eastAsia" w:ascii="宋体" w:hAnsi="宋体" w:cs="宋体"/>
                <w:color w:val="auto"/>
                <w:kern w:val="0"/>
                <w:szCs w:val="21"/>
                <w:highlight w:val="none"/>
              </w:rPr>
            </w:pPr>
          </w:p>
        </w:tc>
      </w:tr>
    </w:tbl>
    <w:p w14:paraId="0E3187BD">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68374A2F">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w:t>
      </w:r>
      <w:r>
        <w:rPr>
          <w:rFonts w:hint="eastAsia" w:ascii="宋体" w:hAnsi="宋体" w:cs="宋体"/>
          <w:color w:val="auto"/>
          <w:szCs w:val="21"/>
          <w:highlight w:val="none"/>
          <w:lang w:eastAsia="zh-CN"/>
        </w:rPr>
        <w:t>股东会</w:t>
      </w:r>
      <w:r>
        <w:rPr>
          <w:rFonts w:hint="eastAsia" w:ascii="宋体" w:hAnsi="宋体" w:cs="宋体"/>
          <w:color w:val="auto"/>
          <w:szCs w:val="21"/>
          <w:highlight w:val="none"/>
        </w:rPr>
        <w:t>的决议产生重大影响的股东。</w:t>
      </w:r>
    </w:p>
    <w:p w14:paraId="07132BF4">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31BD9861">
      <w:pPr>
        <w:spacing w:before="120" w:line="360" w:lineRule="auto"/>
        <w:ind w:right="482"/>
        <w:rPr>
          <w:rFonts w:hint="eastAsia" w:ascii="宋体" w:hAnsi="宋体" w:cs="宋体"/>
          <w:color w:val="auto"/>
          <w:szCs w:val="21"/>
          <w:highlight w:val="none"/>
        </w:rPr>
      </w:pPr>
      <w:r>
        <w:rPr>
          <w:rFonts w:hint="eastAsia" w:ascii="宋体" w:hAnsi="宋体" w:cs="宋体"/>
          <w:color w:val="auto"/>
          <w:szCs w:val="21"/>
          <w:highlight w:val="none"/>
        </w:rPr>
        <w:t>3.供应商不存在直接控股股东的，则填“无”。</w:t>
      </w:r>
    </w:p>
    <w:p w14:paraId="2C064171">
      <w:pPr>
        <w:spacing w:before="120" w:line="360" w:lineRule="auto"/>
        <w:ind w:right="482" w:firstLine="3360" w:firstLineChars="1600"/>
        <w:rPr>
          <w:rFonts w:hint="eastAsia" w:ascii="宋体" w:hAnsi="宋体" w:cs="宋体"/>
          <w:color w:val="auto"/>
          <w:szCs w:val="21"/>
          <w:highlight w:val="none"/>
        </w:rPr>
      </w:pPr>
    </w:p>
    <w:p w14:paraId="3983C5EB">
      <w:pPr>
        <w:spacing w:before="120" w:line="360" w:lineRule="auto"/>
        <w:ind w:right="482" w:firstLine="3360" w:firstLineChars="16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法定代表人或者委托代理人签字</w:t>
      </w:r>
      <w:r>
        <w:rPr>
          <w:rFonts w:hint="eastAsia" w:ascii="宋体" w:hAnsi="宋体" w:cs="宋体"/>
          <w:color w:val="auto"/>
          <w:szCs w:val="21"/>
          <w:highlight w:val="none"/>
          <w:lang w:val="en-US" w:eastAsia="zh-CN"/>
        </w:rPr>
        <w:t>或盖章</w:t>
      </w:r>
      <w:r>
        <w:rPr>
          <w:rFonts w:hint="eastAsia" w:ascii="宋体" w:hAnsi="宋体" w:cs="宋体"/>
          <w:color w:val="auto"/>
          <w:szCs w:val="21"/>
          <w:highlight w:val="none"/>
        </w:rPr>
        <w:t>：</w:t>
      </w:r>
    </w:p>
    <w:p w14:paraId="768ECC98">
      <w:pPr>
        <w:spacing w:before="120" w:line="360" w:lineRule="auto"/>
        <w:ind w:right="482" w:firstLine="3360" w:firstLineChars="16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投标人（盖公章）：</w:t>
      </w:r>
    </w:p>
    <w:p w14:paraId="5FA6EC9E">
      <w:pPr>
        <w:spacing w:before="120" w:line="360" w:lineRule="auto"/>
        <w:ind w:right="482" w:firstLine="3360" w:firstLineChars="1600"/>
        <w:rPr>
          <w:rFonts w:ascii="宋体" w:hAnsi="宋体" w:cs="宋体"/>
          <w:color w:val="auto"/>
          <w:szCs w:val="21"/>
          <w:highlight w:val="none"/>
        </w:rPr>
        <w:sectPr>
          <w:pgSz w:w="11906" w:h="16838"/>
          <w:pgMar w:top="1134" w:right="1247" w:bottom="1560" w:left="1247" w:header="851" w:footer="992" w:gutter="0"/>
          <w:cols w:space="720" w:num="1"/>
          <w:titlePg/>
          <w:docGrid w:linePitch="312" w:charSpace="0"/>
        </w:sectPr>
      </w:pPr>
      <w:r>
        <w:rPr>
          <w:rFonts w:hint="eastAsia" w:ascii="宋体" w:hAnsi="宋体" w:cs="宋体"/>
          <w:color w:val="auto"/>
          <w:szCs w:val="21"/>
          <w:highlight w:val="none"/>
        </w:rPr>
        <w:t>年月日</w:t>
      </w:r>
    </w:p>
    <w:p w14:paraId="28336B14">
      <w:pPr>
        <w:spacing w:line="360" w:lineRule="auto"/>
        <w:jc w:val="center"/>
        <w:rPr>
          <w:rFonts w:hint="eastAsia" w:ascii="宋体" w:hAnsi="宋体" w:cs="宋体"/>
          <w:color w:val="auto"/>
          <w:sz w:val="24"/>
          <w:highlight w:val="none"/>
        </w:rPr>
      </w:pPr>
      <w:r>
        <w:rPr>
          <w:rFonts w:hint="eastAsia" w:ascii="宋体" w:hAnsi="宋体" w:cs="宋体"/>
          <w:b/>
          <w:color w:val="auto"/>
          <w:sz w:val="24"/>
          <w:highlight w:val="none"/>
        </w:rPr>
        <w:t>投标人直接管理关系信息表</w:t>
      </w:r>
    </w:p>
    <w:tbl>
      <w:tblPr>
        <w:tblStyle w:val="11"/>
        <w:tblW w:w="0" w:type="auto"/>
        <w:tblInd w:w="-120" w:type="dxa"/>
        <w:shd w:val="clear" w:color="auto" w:fill="FBFBFB"/>
        <w:tblLayout w:type="fixed"/>
        <w:tblCellMar>
          <w:top w:w="120" w:type="dxa"/>
          <w:left w:w="120" w:type="dxa"/>
          <w:bottom w:w="120" w:type="dxa"/>
          <w:right w:w="120" w:type="dxa"/>
        </w:tblCellMar>
      </w:tblPr>
      <w:tblGrid>
        <w:gridCol w:w="1005"/>
        <w:gridCol w:w="2659"/>
        <w:gridCol w:w="3924"/>
        <w:gridCol w:w="2064"/>
      </w:tblGrid>
      <w:tr w14:paraId="7F8B4661">
        <w:tblPrEx>
          <w:tblCellMar>
            <w:top w:w="120" w:type="dxa"/>
            <w:left w:w="120" w:type="dxa"/>
            <w:bottom w:w="120" w:type="dxa"/>
            <w:right w:w="12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10E3A91">
            <w:pPr>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CF056B9">
            <w:pPr>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96215B2">
            <w:pPr>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0ACC8D4">
            <w:pPr>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5618ED59">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2631DC">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DA7E54">
            <w:pPr>
              <w:spacing w:line="360" w:lineRule="auto"/>
              <w:jc w:val="center"/>
              <w:rPr>
                <w:rFonts w:hint="eastAsia"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23AD22">
            <w:pPr>
              <w:spacing w:line="360" w:lineRule="auto"/>
              <w:jc w:val="center"/>
              <w:rPr>
                <w:rFonts w:hint="eastAsia" w:ascii="宋体" w:hAnsi="宋体" w:cs="宋体"/>
                <w:color w:val="auto"/>
                <w:kern w:val="0"/>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C22AAA">
            <w:pPr>
              <w:spacing w:line="360" w:lineRule="auto"/>
              <w:jc w:val="center"/>
              <w:rPr>
                <w:rFonts w:hint="eastAsia" w:ascii="宋体" w:hAnsi="宋体" w:cs="宋体"/>
                <w:color w:val="auto"/>
                <w:kern w:val="0"/>
                <w:szCs w:val="21"/>
                <w:highlight w:val="none"/>
              </w:rPr>
            </w:pPr>
          </w:p>
        </w:tc>
      </w:tr>
      <w:tr w14:paraId="6F75A612">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80577E">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8680F1">
            <w:pPr>
              <w:spacing w:line="360" w:lineRule="auto"/>
              <w:jc w:val="center"/>
              <w:rPr>
                <w:rFonts w:hint="eastAsia"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EB85A8">
            <w:pPr>
              <w:spacing w:line="360" w:lineRule="auto"/>
              <w:jc w:val="center"/>
              <w:rPr>
                <w:rFonts w:hint="eastAsia" w:ascii="宋体" w:hAnsi="宋体" w:cs="宋体"/>
                <w:color w:val="auto"/>
                <w:kern w:val="0"/>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ECAE15">
            <w:pPr>
              <w:spacing w:line="360" w:lineRule="auto"/>
              <w:jc w:val="center"/>
              <w:rPr>
                <w:rFonts w:hint="eastAsia" w:ascii="宋体" w:hAnsi="宋体" w:cs="宋体"/>
                <w:color w:val="auto"/>
                <w:kern w:val="0"/>
                <w:szCs w:val="21"/>
                <w:highlight w:val="none"/>
              </w:rPr>
            </w:pPr>
          </w:p>
        </w:tc>
      </w:tr>
      <w:tr w14:paraId="0FA30A29">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6D45C2">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060DB9">
            <w:pPr>
              <w:spacing w:line="360" w:lineRule="auto"/>
              <w:jc w:val="center"/>
              <w:rPr>
                <w:rFonts w:hint="eastAsia"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D8745F">
            <w:pPr>
              <w:spacing w:line="360" w:lineRule="auto"/>
              <w:jc w:val="center"/>
              <w:rPr>
                <w:rFonts w:hint="eastAsia" w:ascii="宋体" w:hAnsi="宋体" w:cs="宋体"/>
                <w:color w:val="auto"/>
                <w:kern w:val="0"/>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DA54FA">
            <w:pPr>
              <w:spacing w:line="360" w:lineRule="auto"/>
              <w:jc w:val="center"/>
              <w:rPr>
                <w:rFonts w:hint="eastAsia" w:ascii="宋体" w:hAnsi="宋体" w:cs="宋体"/>
                <w:color w:val="auto"/>
                <w:kern w:val="0"/>
                <w:szCs w:val="21"/>
                <w:highlight w:val="none"/>
              </w:rPr>
            </w:pPr>
          </w:p>
        </w:tc>
      </w:tr>
      <w:tr w14:paraId="61D01E23">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154636">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BD0340">
            <w:pPr>
              <w:spacing w:line="360" w:lineRule="auto"/>
              <w:jc w:val="center"/>
              <w:rPr>
                <w:rFonts w:hint="eastAsia"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9439AD">
            <w:pPr>
              <w:spacing w:line="360" w:lineRule="auto"/>
              <w:jc w:val="center"/>
              <w:rPr>
                <w:rFonts w:hint="eastAsia" w:ascii="宋体" w:hAnsi="宋体" w:cs="宋体"/>
                <w:color w:val="auto"/>
                <w:kern w:val="0"/>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C3F9C3">
            <w:pPr>
              <w:spacing w:line="360" w:lineRule="auto"/>
              <w:jc w:val="center"/>
              <w:rPr>
                <w:rFonts w:hint="eastAsia" w:ascii="宋体" w:hAnsi="宋体" w:cs="宋体"/>
                <w:color w:val="auto"/>
                <w:kern w:val="0"/>
                <w:szCs w:val="21"/>
                <w:highlight w:val="none"/>
              </w:rPr>
            </w:pPr>
          </w:p>
        </w:tc>
      </w:tr>
    </w:tbl>
    <w:p w14:paraId="673BEDBE">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5692A68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3565A71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6"/>
          <w:szCs w:val="21"/>
          <w:highlight w:val="none"/>
        </w:rPr>
        <w:t>本表所指的管理关系仅限于直接管理关系，不包括间接的管理关系。</w:t>
      </w:r>
    </w:p>
    <w:p w14:paraId="2E501E61">
      <w:pPr>
        <w:spacing w:before="120" w:line="360" w:lineRule="auto"/>
        <w:ind w:right="482"/>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3.供应商不存在直接管理关系的，则填“无”。</w:t>
      </w:r>
    </w:p>
    <w:p w14:paraId="6C2B645E">
      <w:pPr>
        <w:spacing w:before="120" w:line="360" w:lineRule="auto"/>
        <w:ind w:right="482" w:firstLine="3360" w:firstLineChars="16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法定代表人或者委托代理人签字</w:t>
      </w:r>
      <w:r>
        <w:rPr>
          <w:rFonts w:hint="eastAsia" w:ascii="宋体" w:hAnsi="宋体" w:cs="宋体"/>
          <w:color w:val="auto"/>
          <w:szCs w:val="21"/>
          <w:highlight w:val="none"/>
          <w:lang w:val="en-US" w:eastAsia="zh-CN"/>
        </w:rPr>
        <w:t>或盖章</w:t>
      </w:r>
      <w:r>
        <w:rPr>
          <w:rFonts w:hint="eastAsia" w:ascii="宋体" w:hAnsi="宋体" w:cs="宋体"/>
          <w:color w:val="auto"/>
          <w:szCs w:val="21"/>
          <w:highlight w:val="none"/>
        </w:rPr>
        <w:t>：</w:t>
      </w:r>
    </w:p>
    <w:p w14:paraId="33521654">
      <w:pPr>
        <w:spacing w:before="120" w:line="360" w:lineRule="auto"/>
        <w:ind w:right="482" w:firstLine="3360" w:firstLineChars="16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投标人（盖公章）：</w:t>
      </w:r>
    </w:p>
    <w:p w14:paraId="7867E4B0">
      <w:pPr>
        <w:spacing w:before="120" w:line="360" w:lineRule="auto"/>
        <w:ind w:right="482" w:firstLine="3360" w:firstLineChars="1600"/>
        <w:rPr>
          <w:rFonts w:ascii="宋体" w:hAnsi="宋体" w:cs="宋体"/>
          <w:color w:val="auto"/>
          <w:szCs w:val="21"/>
          <w:highlight w:val="none"/>
        </w:rPr>
        <w:sectPr>
          <w:pgSz w:w="11906" w:h="16838"/>
          <w:pgMar w:top="1134" w:right="1247" w:bottom="1560" w:left="1247" w:header="851" w:footer="992" w:gutter="0"/>
          <w:cols w:space="720" w:num="1"/>
          <w:titlePg/>
          <w:docGrid w:linePitch="312" w:charSpace="0"/>
        </w:sectPr>
      </w:pPr>
      <w:r>
        <w:rPr>
          <w:rFonts w:hint="eastAsia" w:ascii="宋体" w:hAnsi="宋体" w:cs="宋体"/>
          <w:color w:val="auto"/>
          <w:szCs w:val="21"/>
          <w:highlight w:val="none"/>
        </w:rPr>
        <w:t>年月日</w:t>
      </w:r>
    </w:p>
    <w:p w14:paraId="4FB4C3B2">
      <w:pPr>
        <w:spacing w:before="120" w:after="50" w:line="360" w:lineRule="auto"/>
        <w:jc w:val="left"/>
        <w:rPr>
          <w:rFonts w:hint="eastAsia" w:ascii="宋体" w:hAnsi="宋体" w:cs="宋体"/>
          <w:b/>
          <w:color w:val="auto"/>
          <w:sz w:val="24"/>
          <w:highlight w:val="none"/>
        </w:rPr>
      </w:pP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投标声明</w:t>
      </w:r>
    </w:p>
    <w:p w14:paraId="0A2E9691">
      <w:pPr>
        <w:spacing w:before="50" w:after="120"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投标声明</w:t>
      </w:r>
    </w:p>
    <w:p w14:paraId="4A679CDA">
      <w:pPr>
        <w:spacing w:before="50" w:after="12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（采购人名称）：</w:t>
      </w:r>
    </w:p>
    <w:p w14:paraId="764C3BEF">
      <w:pPr>
        <w:spacing w:before="50" w:after="120" w:line="360" w:lineRule="auto"/>
        <w:ind w:firstLine="405"/>
        <w:jc w:val="left"/>
        <w:rPr>
          <w:rFonts w:hint="eastAsia" w:ascii="宋体" w:hAnsi="宋体" w:cs="宋体"/>
          <w:color w:val="auto"/>
          <w:szCs w:val="21"/>
          <w:highlight w:val="none"/>
        </w:rPr>
      </w:pPr>
      <w:r>
        <w:rPr>
          <w:rFonts w:hint="eastAsia" w:ascii="宋体" w:hAnsi="宋体" w:cs="宋体"/>
          <w:color w:val="auto"/>
          <w:szCs w:val="21"/>
          <w:highlight w:val="none"/>
        </w:rPr>
        <w:t>我方参加贵单位组织项目</w:t>
      </w:r>
      <w:r>
        <w:rPr>
          <w:rFonts w:hint="eastAsia" w:ascii="宋体" w:hAnsi="宋体" w:cs="宋体"/>
          <w:color w:val="auto"/>
          <w:szCs w:val="21"/>
          <w:highlight w:val="none"/>
          <w:u w:val="single"/>
        </w:rPr>
        <w:t>项目名称</w:t>
      </w:r>
      <w:r>
        <w:rPr>
          <w:rFonts w:hint="eastAsia" w:ascii="宋体" w:hAnsi="宋体" w:cs="宋体"/>
          <w:color w:val="auto"/>
          <w:szCs w:val="21"/>
          <w:highlight w:val="none"/>
          <w:u w:val="single"/>
          <w:lang w:val="en-US" w:eastAsia="zh-CN"/>
        </w:rPr>
        <w:t>和标段</w:t>
      </w:r>
      <w:r>
        <w:rPr>
          <w:rFonts w:hint="eastAsia" w:ascii="宋体" w:hAnsi="宋体" w:cs="宋体"/>
          <w:color w:val="auto"/>
          <w:szCs w:val="21"/>
          <w:highlight w:val="none"/>
          <w:u w:val="single"/>
        </w:rPr>
        <w:t>（项目编号：）</w:t>
      </w:r>
      <w:r>
        <w:rPr>
          <w:rFonts w:hint="eastAsia" w:ascii="宋体" w:hAnsi="宋体" w:cs="宋体"/>
          <w:color w:val="auto"/>
          <w:szCs w:val="21"/>
          <w:highlight w:val="none"/>
        </w:rPr>
        <w:t>的政府采购活动。我方在此郑重声明：</w:t>
      </w:r>
    </w:p>
    <w:p w14:paraId="6516E576">
      <w:pPr>
        <w:spacing w:before="50" w:after="12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、政府采购严重违法失信行为记录名单，完全符合《中华人民共和国政府采购法》第二十二条规定的供应商资格条件，我方对此声明负全部法律责任。</w:t>
      </w:r>
    </w:p>
    <w:p w14:paraId="7BDBFB10">
      <w:pPr>
        <w:spacing w:before="50" w:after="12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E8C994A">
      <w:pPr>
        <w:spacing w:before="50" w:after="12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3.我方承诺符合《中华人民共和国政府采购法》第二十二条规定：</w:t>
      </w:r>
    </w:p>
    <w:p w14:paraId="4C2D2C3B">
      <w:pPr>
        <w:spacing w:before="50" w:after="12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（一）具有独立承担民事责任的能力；</w:t>
      </w:r>
    </w:p>
    <w:p w14:paraId="109D695B">
      <w:pPr>
        <w:spacing w:before="50" w:after="12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（二）具有良好的商业信誉和健全的财务会计制度；</w:t>
      </w:r>
    </w:p>
    <w:p w14:paraId="69BC73D7">
      <w:pPr>
        <w:spacing w:before="50" w:after="12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（三）具有履行合同所必需的设备和专业技术能力；</w:t>
      </w:r>
    </w:p>
    <w:p w14:paraId="2FCF191F">
      <w:pPr>
        <w:spacing w:before="50" w:after="12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（四）有依法缴纳税收和社会保障资金的良好记录；</w:t>
      </w:r>
    </w:p>
    <w:p w14:paraId="35FA70FE">
      <w:pPr>
        <w:spacing w:before="50" w:after="12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（五）参加政府采购活动前三年内，在经营活动中没有重大违法记录；</w:t>
      </w:r>
    </w:p>
    <w:p w14:paraId="6A63BBD7">
      <w:pPr>
        <w:spacing w:before="50" w:after="12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（六）法律、行政法规规定的其他条件。</w:t>
      </w:r>
    </w:p>
    <w:p w14:paraId="2CA37AC2">
      <w:pPr>
        <w:spacing w:before="50" w:after="12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4.以上事项如有虚假或者隐瞒，我方愿意承担一切后果，并不再寻求任何旨在减轻或者免除法律责任的辩解。</w:t>
      </w:r>
    </w:p>
    <w:p w14:paraId="4AE4644B">
      <w:pPr>
        <w:spacing w:before="120" w:line="360" w:lineRule="auto"/>
        <w:ind w:right="482"/>
        <w:rPr>
          <w:rFonts w:hint="eastAsia" w:ascii="宋体" w:hAnsi="宋体" w:cs="宋体"/>
          <w:color w:val="auto"/>
          <w:szCs w:val="21"/>
          <w:highlight w:val="none"/>
        </w:rPr>
      </w:pPr>
      <w:r>
        <w:rPr>
          <w:rFonts w:hint="eastAsia" w:ascii="宋体" w:hAnsi="宋体" w:cs="宋体"/>
          <w:color w:val="auto"/>
          <w:szCs w:val="21"/>
          <w:highlight w:val="none"/>
        </w:rPr>
        <w:t>特此承诺。</w:t>
      </w:r>
    </w:p>
    <w:p w14:paraId="2D1F30BC">
      <w:pPr>
        <w:spacing w:before="120" w:line="360" w:lineRule="auto"/>
        <w:ind w:right="482" w:firstLine="3360" w:firstLineChars="1600"/>
        <w:rPr>
          <w:rFonts w:hint="eastAsia" w:ascii="宋体" w:hAnsi="宋体" w:cs="宋体"/>
          <w:color w:val="auto"/>
          <w:szCs w:val="21"/>
          <w:highlight w:val="none"/>
        </w:rPr>
      </w:pPr>
    </w:p>
    <w:p w14:paraId="13B4B36A">
      <w:pPr>
        <w:spacing w:before="120" w:line="360" w:lineRule="auto"/>
        <w:ind w:right="482" w:firstLine="3360" w:firstLineChars="1600"/>
        <w:rPr>
          <w:rFonts w:hint="eastAsia" w:ascii="宋体" w:hAnsi="宋体" w:cs="宋体"/>
          <w:color w:val="auto"/>
          <w:szCs w:val="21"/>
          <w:highlight w:val="none"/>
          <w:lang w:eastAsia="zh-CN"/>
        </w:rPr>
      </w:pPr>
      <w:r>
        <w:rPr>
          <w:rFonts w:hint="eastAsia" w:ascii="宋体" w:hAnsi="宋体" w:cs="宋体"/>
          <w:color w:val="auto"/>
          <w:szCs w:val="21"/>
          <w:highlight w:val="none"/>
        </w:rPr>
        <w:t>法定代表人签字</w:t>
      </w:r>
      <w:r>
        <w:rPr>
          <w:rFonts w:hint="eastAsia" w:ascii="宋体" w:hAnsi="宋体" w:cs="宋体"/>
          <w:color w:val="auto"/>
          <w:szCs w:val="21"/>
          <w:highlight w:val="none"/>
          <w:lang w:val="en-US" w:eastAsia="zh-CN"/>
        </w:rPr>
        <w:t>或盖章</w:t>
      </w:r>
      <w:r>
        <w:rPr>
          <w:rFonts w:hint="eastAsia" w:ascii="宋体" w:hAnsi="宋体" w:cs="宋体"/>
          <w:color w:val="auto"/>
          <w:szCs w:val="21"/>
          <w:highlight w:val="none"/>
        </w:rPr>
        <w:t>：</w:t>
      </w:r>
    </w:p>
    <w:p w14:paraId="4AD29DF7">
      <w:pPr>
        <w:spacing w:before="120" w:line="360" w:lineRule="auto"/>
        <w:ind w:right="482" w:firstLine="3360" w:firstLineChars="1600"/>
        <w:rPr>
          <w:rFonts w:hint="eastAsia" w:ascii="宋体" w:hAnsi="宋体" w:cs="宋体"/>
          <w:color w:val="auto"/>
          <w:szCs w:val="21"/>
          <w:highlight w:val="none"/>
          <w:lang w:eastAsia="zh-CN"/>
        </w:rPr>
      </w:pPr>
      <w:r>
        <w:rPr>
          <w:rFonts w:hint="eastAsia" w:ascii="宋体" w:hAnsi="宋体" w:cs="宋体"/>
          <w:color w:val="auto"/>
          <w:szCs w:val="21"/>
          <w:highlight w:val="none"/>
        </w:rPr>
        <w:t>投标人（盖公章）：</w:t>
      </w:r>
    </w:p>
    <w:p w14:paraId="1BE205EE">
      <w:pPr>
        <w:spacing w:before="120" w:line="360" w:lineRule="auto"/>
        <w:ind w:right="482" w:firstLine="3360" w:firstLineChars="1600"/>
        <w:rPr>
          <w:rFonts w:hint="eastAsia" w:ascii="宋体" w:hAnsi="宋体" w:cs="宋体"/>
          <w:color w:val="auto"/>
          <w:szCs w:val="21"/>
          <w:highlight w:val="none"/>
        </w:rPr>
      </w:pPr>
      <w:bookmarkStart w:id="190" w:name="_Toc28563"/>
      <w:r>
        <w:rPr>
          <w:rFonts w:hint="eastAsia" w:ascii="宋体" w:hAnsi="宋体" w:cs="宋体"/>
          <w:color w:val="auto"/>
          <w:szCs w:val="21"/>
          <w:highlight w:val="none"/>
        </w:rPr>
        <w:t>年月日</w:t>
      </w:r>
    </w:p>
    <w:p w14:paraId="6ECEC9D2">
      <w:pPr>
        <w:spacing w:before="120" w:line="360" w:lineRule="auto"/>
        <w:ind w:right="482" w:firstLine="3360" w:firstLineChars="1600"/>
        <w:rPr>
          <w:rFonts w:hint="eastAsia" w:ascii="宋体" w:hAnsi="宋体" w:cs="宋体"/>
          <w:color w:val="auto"/>
          <w:szCs w:val="21"/>
          <w:highlight w:val="none"/>
        </w:rPr>
      </w:pPr>
    </w:p>
    <w:p w14:paraId="58637EF5">
      <w:pPr>
        <w:pStyle w:val="2"/>
        <w:rPr>
          <w:rFonts w:hint="eastAsia"/>
        </w:rPr>
      </w:pPr>
    </w:p>
    <w:p w14:paraId="40583DA1">
      <w:pPr>
        <w:rPr>
          <w:rFonts w:hint="eastAsia"/>
        </w:rPr>
      </w:pPr>
    </w:p>
    <w:p w14:paraId="65299D68">
      <w:pPr>
        <w:pStyle w:val="16"/>
        <w:spacing w:before="0" w:after="0" w:line="360" w:lineRule="auto"/>
        <w:jc w:val="center"/>
        <w:rPr>
          <w:rFonts w:hint="eastAsia" w:ascii="宋体" w:hAnsi="宋体" w:eastAsia="宋体"/>
          <w:color w:val="auto"/>
          <w:highlight w:val="none"/>
        </w:rPr>
      </w:pPr>
      <w:r>
        <w:rPr>
          <w:rFonts w:hint="eastAsia" w:ascii="宋体" w:hAnsi="宋体" w:eastAsia="宋体"/>
          <w:color w:val="auto"/>
          <w:highlight w:val="none"/>
        </w:rPr>
        <w:t>四、商务文件格式</w:t>
      </w:r>
      <w:bookmarkEnd w:id="190"/>
    </w:p>
    <w:p w14:paraId="01168D96">
      <w:pPr>
        <w:spacing w:before="120" w:after="50" w:line="360" w:lineRule="auto"/>
        <w:jc w:val="left"/>
        <w:rPr>
          <w:rFonts w:hint="eastAsia" w:ascii="宋体" w:hAnsi="宋体" w:eastAsia="宋体" w:cs="宋体"/>
          <w:b/>
          <w:color w:val="auto"/>
          <w:sz w:val="24"/>
          <w:highlight w:val="none"/>
          <w:lang w:eastAsia="zh-CN"/>
        </w:rPr>
      </w:pPr>
      <w:r>
        <w:rPr>
          <w:rFonts w:hint="eastAsia" w:ascii="宋体" w:hAnsi="宋体" w:cs="宋体"/>
          <w:b/>
          <w:color w:val="auto"/>
          <w:sz w:val="24"/>
          <w:highlight w:val="none"/>
        </w:rPr>
        <w:t>1.商务文件封面格式：</w:t>
      </w:r>
    </w:p>
    <w:p w14:paraId="3CAD3B2D">
      <w:pPr>
        <w:spacing w:before="120" w:after="50" w:line="360" w:lineRule="auto"/>
        <w:jc w:val="center"/>
        <w:rPr>
          <w:rFonts w:hint="eastAsia" w:ascii="宋体" w:hAnsi="宋体" w:cs="宋体"/>
          <w:color w:val="auto"/>
          <w:sz w:val="24"/>
          <w:highlight w:val="none"/>
        </w:rPr>
      </w:pPr>
      <w:r>
        <w:rPr>
          <w:rFonts w:hint="eastAsia" w:ascii="宋体" w:hAnsi="宋体" w:cs="宋体"/>
          <w:bCs/>
          <w:color w:val="auto"/>
          <w:highlight w:val="none"/>
        </w:rPr>
        <w:t>正本/副本</w:t>
      </w:r>
      <w:r>
        <w:rPr>
          <w:rFonts w:hint="eastAsia" w:ascii="宋体" w:hAnsi="宋体" w:cs="宋体"/>
          <w:b/>
          <w:color w:val="auto"/>
          <w:sz w:val="32"/>
          <w:szCs w:val="32"/>
          <w:highlight w:val="none"/>
        </w:rPr>
        <w:t>商务文件</w:t>
      </w:r>
      <w:r>
        <w:rPr>
          <w:rFonts w:hint="eastAsia" w:ascii="宋体" w:hAnsi="宋体" w:cs="宋体"/>
          <w:bCs/>
          <w:color w:val="auto"/>
          <w:sz w:val="24"/>
          <w:highlight w:val="none"/>
        </w:rPr>
        <w:t>项目名称：项目编号：</w:t>
      </w:r>
      <w:r>
        <w:rPr>
          <w:rFonts w:hint="eastAsia" w:ascii="宋体" w:hAnsi="宋体" w:cs="宋体"/>
          <w:bCs/>
          <w:color w:val="auto"/>
          <w:sz w:val="24"/>
          <w:szCs w:val="24"/>
          <w:highlight w:val="none"/>
        </w:rPr>
        <w:t>投标人名称：投标人地址：</w:t>
      </w:r>
      <w:r>
        <w:rPr>
          <w:rFonts w:hint="eastAsia" w:ascii="宋体" w:hAnsi="宋体" w:cs="宋体"/>
          <w:color w:val="auto"/>
          <w:sz w:val="24"/>
          <w:highlight w:val="none"/>
        </w:rPr>
        <w:t>年月日</w:t>
      </w:r>
    </w:p>
    <w:p w14:paraId="56324A5D">
      <w:pPr>
        <w:spacing w:before="120" w:after="50" w:line="360" w:lineRule="auto"/>
        <w:rPr>
          <w:rFonts w:ascii="宋体" w:hAnsi="宋体" w:cs="宋体"/>
          <w:color w:val="auto"/>
          <w:sz w:val="24"/>
          <w:szCs w:val="20"/>
          <w:highlight w:val="none"/>
        </w:rPr>
        <w:sectPr>
          <w:pgSz w:w="11906" w:h="16838"/>
          <w:pgMar w:top="1134" w:right="1247" w:bottom="1560" w:left="1247" w:header="851" w:footer="992" w:gutter="0"/>
          <w:cols w:space="720" w:num="1"/>
          <w:titlePg/>
          <w:docGrid w:linePitch="312" w:charSpace="0"/>
        </w:sectPr>
      </w:pPr>
    </w:p>
    <w:p w14:paraId="1195A3C0">
      <w:pPr>
        <w:spacing w:before="120" w:after="50"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2.商务文件目录</w:t>
      </w:r>
    </w:p>
    <w:p w14:paraId="5E31582F">
      <w:pPr>
        <w:spacing w:before="50" w:after="120" w:line="360" w:lineRule="auto"/>
        <w:ind w:firstLine="420" w:firstLineChars="200"/>
        <w:rPr>
          <w:rFonts w:hint="eastAsia" w:ascii="宋体" w:hAnsi="宋体" w:cs="宋体"/>
          <w:b/>
          <w:bCs/>
          <w:color w:val="auto"/>
          <w:sz w:val="24"/>
          <w:highlight w:val="none"/>
        </w:rPr>
      </w:pPr>
      <w:r>
        <w:rPr>
          <w:rFonts w:hint="eastAsia" w:ascii="宋体" w:hAnsi="宋体" w:cs="宋体"/>
          <w:color w:val="auto"/>
          <w:szCs w:val="21"/>
          <w:highlight w:val="none"/>
        </w:rPr>
        <w:t>根据招标文件规定及投标人提供的材料自行编写目录。</w:t>
      </w:r>
    </w:p>
    <w:p w14:paraId="76FDAAE4">
      <w:pPr>
        <w:spacing w:before="50" w:after="120" w:line="360" w:lineRule="auto"/>
        <w:ind w:firstLine="420" w:firstLineChars="200"/>
        <w:rPr>
          <w:rFonts w:ascii="宋体" w:hAnsi="宋体" w:cs="宋体"/>
          <w:color w:val="auto"/>
          <w:highlight w:val="none"/>
        </w:rPr>
        <w:sectPr>
          <w:pgSz w:w="11906" w:h="16838"/>
          <w:pgMar w:top="1134" w:right="1247" w:bottom="1560" w:left="1247" w:header="851" w:footer="992" w:gutter="0"/>
          <w:cols w:space="720" w:num="1"/>
          <w:titlePg/>
          <w:docGrid w:linePitch="312" w:charSpace="0"/>
        </w:sectPr>
      </w:pPr>
    </w:p>
    <w:p w14:paraId="673BA863">
      <w:pPr>
        <w:spacing w:before="120" w:after="5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3.投标人参加本项目无围标串标行为的承诺</w:t>
      </w:r>
    </w:p>
    <w:p w14:paraId="257CE283">
      <w:pPr>
        <w:spacing w:before="120" w:after="50" w:line="360" w:lineRule="auto"/>
        <w:ind w:left="420"/>
        <w:jc w:val="center"/>
        <w:rPr>
          <w:rFonts w:hint="eastAsia" w:ascii="宋体" w:hAnsi="宋体" w:cs="宋体"/>
          <w:b/>
          <w:color w:val="auto"/>
          <w:sz w:val="24"/>
          <w:highlight w:val="none"/>
        </w:rPr>
      </w:pPr>
      <w:r>
        <w:rPr>
          <w:rFonts w:hint="eastAsia" w:ascii="宋体" w:hAnsi="宋体" w:cs="宋体"/>
          <w:b/>
          <w:color w:val="auto"/>
          <w:sz w:val="24"/>
          <w:highlight w:val="none"/>
        </w:rPr>
        <w:t>投标人参加本项目无围标串标行为的承诺函</w:t>
      </w:r>
    </w:p>
    <w:p w14:paraId="79384908">
      <w:pPr>
        <w:spacing w:before="120" w:after="50"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24BBB47C">
      <w:pPr>
        <w:spacing w:before="120" w:after="5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1.不同投标人的投标文件由同一单位或者个人编制；或者不同投标人报名的IP地址一致的；</w:t>
      </w:r>
    </w:p>
    <w:p w14:paraId="3E16F256">
      <w:pPr>
        <w:spacing w:before="120" w:after="5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5B77139D">
      <w:pPr>
        <w:spacing w:before="120" w:after="5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27927EAB">
      <w:pPr>
        <w:spacing w:before="120" w:after="5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2D079D06">
      <w:pPr>
        <w:spacing w:before="120" w:after="5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79484E8A">
      <w:pPr>
        <w:spacing w:before="120" w:after="5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14:paraId="2E7B325B">
      <w:pPr>
        <w:spacing w:before="120" w:after="50" w:line="360" w:lineRule="auto"/>
        <w:jc w:val="left"/>
        <w:rPr>
          <w:rFonts w:hint="eastAsia"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0C18CD5A">
      <w:pPr>
        <w:spacing w:before="120" w:after="5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1.投标人直接或者间接从采购人或者采购代理机构处获得其他投标人的相关信息并修改其投标文件或者投标文件；</w:t>
      </w:r>
    </w:p>
    <w:p w14:paraId="269872B6">
      <w:pPr>
        <w:spacing w:before="120" w:after="5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2.投标人按照采购人或者采购代理机构的授意撤换、修改投标文件或者投标文件；</w:t>
      </w:r>
    </w:p>
    <w:p w14:paraId="3CE82A6C">
      <w:pPr>
        <w:spacing w:before="120" w:after="5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3.投标人之间协商报价、技术方案等投标文件或者投标文件的实质性内容；</w:t>
      </w:r>
    </w:p>
    <w:p w14:paraId="27AC7506">
      <w:pPr>
        <w:spacing w:before="120" w:after="5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6A96FD07">
      <w:pPr>
        <w:spacing w:before="120" w:after="5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7ABF97B1">
      <w:pPr>
        <w:spacing w:before="120" w:after="5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41D48ED6">
      <w:pPr>
        <w:spacing w:before="120" w:after="5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6D71BEB4">
      <w:pPr>
        <w:spacing w:before="120" w:after="50"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以上情形一经核查属实，我方愿意承担一切后果，并不再寻求任何旨在减轻或者免除法律责任的辩解。</w:t>
      </w:r>
    </w:p>
    <w:p w14:paraId="617B37E2">
      <w:pPr>
        <w:spacing w:before="120" w:line="360" w:lineRule="auto"/>
        <w:ind w:right="482" w:firstLine="5250" w:firstLineChars="2500"/>
        <w:rPr>
          <w:rFonts w:hint="eastAsia" w:hAnsi="宋体" w:cs="宋体"/>
          <w:color w:val="auto"/>
          <w:highlight w:val="none"/>
        </w:rPr>
      </w:pPr>
      <w:r>
        <w:rPr>
          <w:rFonts w:hint="eastAsia" w:hAnsi="宋体" w:cs="宋体"/>
          <w:color w:val="auto"/>
          <w:highlight w:val="none"/>
        </w:rPr>
        <w:t>投标人名称（公章）</w:t>
      </w:r>
    </w:p>
    <w:p w14:paraId="13F2FD3F">
      <w:pPr>
        <w:spacing w:before="120" w:line="360" w:lineRule="auto"/>
        <w:ind w:right="482" w:firstLine="5250" w:firstLineChars="2500"/>
        <w:rPr>
          <w:rFonts w:hAnsi="宋体" w:cs="宋体"/>
          <w:color w:val="auto"/>
          <w:szCs w:val="18"/>
          <w:highlight w:val="none"/>
        </w:rPr>
        <w:sectPr>
          <w:pgSz w:w="11906" w:h="16838"/>
          <w:pgMar w:top="1134" w:right="1247" w:bottom="1560" w:left="1247" w:header="851" w:footer="992" w:gutter="0"/>
          <w:cols w:space="720" w:num="1"/>
          <w:titlePg/>
          <w:docGrid w:linePitch="312" w:charSpace="0"/>
        </w:sectPr>
      </w:pPr>
      <w:r>
        <w:rPr>
          <w:rFonts w:hint="eastAsia" w:hAnsi="宋体" w:cs="宋体"/>
          <w:color w:val="auto"/>
          <w:szCs w:val="18"/>
          <w:highlight w:val="none"/>
        </w:rPr>
        <w:t>年月日</w:t>
      </w:r>
    </w:p>
    <w:p w14:paraId="12D9CE3D">
      <w:pPr>
        <w:spacing w:before="120" w:after="50" w:line="360" w:lineRule="auto"/>
        <w:ind w:firstLine="472" w:firstLineChars="196"/>
        <w:jc w:val="left"/>
        <w:rPr>
          <w:rFonts w:hint="eastAsia" w:ascii="宋体" w:hAnsi="宋体" w:cs="宋体"/>
          <w:b/>
          <w:color w:val="auto"/>
          <w:sz w:val="24"/>
          <w:szCs w:val="20"/>
          <w:highlight w:val="none"/>
        </w:rPr>
      </w:pPr>
      <w:r>
        <w:rPr>
          <w:rFonts w:hint="eastAsia" w:ascii="宋体" w:hAnsi="宋体" w:cs="宋体"/>
          <w:b/>
          <w:color w:val="auto"/>
          <w:sz w:val="24"/>
          <w:highlight w:val="none"/>
        </w:rPr>
        <w:t>3.法定代表人身份证明</w:t>
      </w:r>
    </w:p>
    <w:p w14:paraId="76C19745">
      <w:pPr>
        <w:spacing w:before="240" w:after="120" w:line="360" w:lineRule="auto"/>
        <w:ind w:left="540"/>
        <w:jc w:val="center"/>
        <w:rPr>
          <w:rFonts w:hint="eastAsia" w:ascii="宋体" w:hAnsi="宋体" w:cs="宋体"/>
          <w:color w:val="auto"/>
          <w:sz w:val="24"/>
          <w:highlight w:val="none"/>
        </w:rPr>
      </w:pPr>
      <w:r>
        <w:rPr>
          <w:rFonts w:hint="eastAsia" w:ascii="宋体" w:hAnsi="宋体" w:cs="宋体"/>
          <w:b/>
          <w:color w:val="auto"/>
          <w:sz w:val="24"/>
          <w:highlight w:val="none"/>
        </w:rPr>
        <w:t>法定代表人身份证明</w:t>
      </w:r>
    </w:p>
    <w:p w14:paraId="7C6F1393">
      <w:pPr>
        <w:spacing w:line="360" w:lineRule="auto"/>
        <w:ind w:left="54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投标人：</w:t>
      </w:r>
    </w:p>
    <w:p w14:paraId="5DAA198E">
      <w:pPr>
        <w:spacing w:line="360" w:lineRule="auto"/>
        <w:ind w:left="54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p>
    <w:p w14:paraId="05F3C789">
      <w:pPr>
        <w:spacing w:line="360" w:lineRule="auto"/>
        <w:ind w:left="54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姓名：性别：</w:t>
      </w:r>
    </w:p>
    <w:p w14:paraId="1E358A7B">
      <w:pPr>
        <w:spacing w:line="360" w:lineRule="auto"/>
        <w:ind w:left="54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年龄：职务：</w:t>
      </w:r>
    </w:p>
    <w:p w14:paraId="36FB25C4">
      <w:pPr>
        <w:spacing w:line="360" w:lineRule="auto"/>
        <w:ind w:left="54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身份证号码：</w:t>
      </w:r>
    </w:p>
    <w:p w14:paraId="3CAA931D">
      <w:pPr>
        <w:spacing w:line="360" w:lineRule="auto"/>
        <w:ind w:left="540"/>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（投标人名称）</w:t>
      </w:r>
      <w:r>
        <w:rPr>
          <w:rFonts w:hint="eastAsia" w:ascii="宋体" w:hAnsi="宋体" w:cs="宋体"/>
          <w:color w:val="auto"/>
          <w:szCs w:val="21"/>
          <w:highlight w:val="none"/>
        </w:rPr>
        <w:t>的法定代表人。</w:t>
      </w:r>
    </w:p>
    <w:p w14:paraId="21DC85E1">
      <w:pPr>
        <w:spacing w:line="360" w:lineRule="auto"/>
        <w:ind w:left="54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特此证明。</w:t>
      </w:r>
    </w:p>
    <w:p w14:paraId="0225EA9D">
      <w:pPr>
        <w:spacing w:line="360" w:lineRule="auto"/>
        <w:ind w:left="540"/>
        <w:rPr>
          <w:rFonts w:ascii="宋体" w:hAnsi="宋体" w:cs="宋体"/>
          <w:color w:val="auto"/>
          <w:szCs w:val="21"/>
          <w:highlight w:val="none"/>
        </w:rPr>
        <w:sectPr>
          <w:pgSz w:w="11906" w:h="16838"/>
          <w:pgMar w:top="1134" w:right="1247" w:bottom="1560" w:left="1247" w:header="851" w:footer="992" w:gutter="0"/>
          <w:cols w:space="720" w:num="1"/>
          <w:titlePg/>
          <w:docGrid w:linePitch="312" w:charSpace="0"/>
        </w:sectPr>
      </w:pPr>
      <w:r>
        <w:rPr>
          <w:rFonts w:hint="eastAsia" w:ascii="宋体" w:hAnsi="宋体" w:cs="宋体"/>
          <w:color w:val="auto"/>
          <w:szCs w:val="21"/>
          <w:highlight w:val="none"/>
        </w:rPr>
        <w:t>附件：法定代表人有效身份证正反面复印件</w:t>
      </w:r>
      <w:r>
        <w:rPr>
          <w:rFonts w:hint="eastAsia" w:hAnsi="宋体" w:cs="宋体"/>
          <w:color w:val="auto"/>
          <w:highlight w:val="none"/>
        </w:rPr>
        <w:t>投标人</w:t>
      </w:r>
      <w:r>
        <w:rPr>
          <w:rFonts w:hint="eastAsia" w:ascii="宋体" w:hAnsi="宋体" w:cs="宋体"/>
          <w:color w:val="auto"/>
          <w:szCs w:val="21"/>
          <w:highlight w:val="none"/>
        </w:rPr>
        <w:t>名称（公章）年月日注：自然人投标的无需提供</w:t>
      </w:r>
    </w:p>
    <w:p w14:paraId="12BAFF97">
      <w:pPr>
        <w:spacing w:before="120" w:after="50" w:line="360" w:lineRule="auto"/>
        <w:jc w:val="left"/>
        <w:rPr>
          <w:rFonts w:hint="eastAsia" w:ascii="宋体" w:hAnsi="宋体" w:cs="宋体"/>
          <w:b/>
          <w:color w:val="auto"/>
          <w:sz w:val="24"/>
          <w:szCs w:val="20"/>
          <w:highlight w:val="none"/>
        </w:rPr>
      </w:pPr>
      <w:r>
        <w:rPr>
          <w:rFonts w:hint="eastAsia" w:ascii="宋体" w:hAnsi="宋体" w:cs="宋体"/>
          <w:b/>
          <w:color w:val="auto"/>
          <w:sz w:val="24"/>
          <w:highlight w:val="none"/>
        </w:rPr>
        <w:t>4.法定代表人授权委托书格式</w:t>
      </w:r>
    </w:p>
    <w:p w14:paraId="4AD93DBD">
      <w:pPr>
        <w:spacing w:before="120" w:after="50"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法定代表人授权委托书（非联合体投标格式）</w:t>
      </w:r>
    </w:p>
    <w:p w14:paraId="36F01116">
      <w:pPr>
        <w:spacing w:before="120" w:after="50" w:line="360" w:lineRule="auto"/>
        <w:rPr>
          <w:rFonts w:hint="eastAsia" w:ascii="宋体" w:hAnsi="宋体" w:cs="宋体"/>
          <w:b/>
          <w:bCs/>
          <w:color w:val="auto"/>
          <w:szCs w:val="21"/>
          <w:highlight w:val="none"/>
        </w:rPr>
      </w:pPr>
      <w:r>
        <w:rPr>
          <w:rFonts w:hint="eastAsia" w:ascii="宋体" w:hAnsi="宋体" w:cs="宋体"/>
          <w:b/>
          <w:color w:val="auto"/>
          <w:sz w:val="24"/>
          <w:highlight w:val="none"/>
        </w:rPr>
        <w:t>（如有委托时）</w:t>
      </w: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0F055BE6">
      <w:pPr>
        <w:spacing w:before="120" w:after="50"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我（姓名）系（投标人名称）的法定代表人，现授权委托</w:t>
      </w:r>
      <w:r>
        <w:rPr>
          <w:rFonts w:hint="eastAsia" w:ascii="宋体" w:hAnsi="宋体" w:cs="宋体"/>
          <w:color w:val="auto"/>
          <w:szCs w:val="21"/>
          <w:highlight w:val="none"/>
          <w:u w:val="single"/>
        </w:rPr>
        <w:t>（姓名）</w:t>
      </w:r>
      <w:r>
        <w:rPr>
          <w:rFonts w:hint="eastAsia" w:ascii="宋体" w:hAnsi="宋体" w:cs="宋体"/>
          <w:color w:val="auto"/>
          <w:szCs w:val="21"/>
          <w:highlight w:val="none"/>
        </w:rPr>
        <w:t>以我方的名义参加项目的投标活动，并代表我方全权办理针对上述项目的所有采购程序和环节的具体事务和签署相关文件。</w:t>
      </w:r>
    </w:p>
    <w:p w14:paraId="5E747DB1">
      <w:pPr>
        <w:spacing w:before="120" w:after="50" w:line="360" w:lineRule="auto"/>
        <w:rPr>
          <w:rFonts w:hint="eastAsia" w:ascii="宋体" w:hAnsi="宋体" w:cs="宋体"/>
          <w:color w:val="auto"/>
          <w:szCs w:val="21"/>
          <w:highlight w:val="none"/>
        </w:rPr>
      </w:pPr>
      <w:r>
        <w:rPr>
          <w:rFonts w:hint="eastAsia" w:ascii="宋体" w:hAnsi="宋体" w:cs="宋体"/>
          <w:color w:val="auto"/>
          <w:szCs w:val="21"/>
          <w:highlight w:val="none"/>
        </w:rPr>
        <w:t>我方对委托代理人的签字事项负全部责任。</w:t>
      </w:r>
    </w:p>
    <w:p w14:paraId="0B23C3CE">
      <w:pPr>
        <w:spacing w:before="120" w:after="50"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u w:val="single"/>
        </w:rPr>
        <w:t>本授权书自签署之日起生效，在撤销授权的书面通知以前，本授权书一直有效。委托代理人在授权书有效期内签署的所有文件不因授权的撤销而失效。</w:t>
      </w:r>
    </w:p>
    <w:p w14:paraId="0EB27CE5">
      <w:pPr>
        <w:spacing w:before="120" w:after="50"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1060934E">
      <w:pPr>
        <w:spacing w:before="120" w:after="50" w:line="360" w:lineRule="auto"/>
        <w:ind w:firstLine="48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附：法定代表人身份证明及委托代理人有效身份证正反面复印件委托代理人签字</w:t>
      </w:r>
      <w:r>
        <w:rPr>
          <w:rFonts w:hint="eastAsia" w:ascii="宋体" w:hAnsi="宋体" w:cs="宋体"/>
          <w:color w:val="auto"/>
          <w:szCs w:val="21"/>
          <w:highlight w:val="none"/>
          <w:lang w:val="en-US" w:eastAsia="zh-CN"/>
        </w:rPr>
        <w:t>或盖章</w:t>
      </w:r>
      <w:r>
        <w:rPr>
          <w:rFonts w:hint="eastAsia" w:ascii="宋体" w:hAnsi="宋体" w:cs="宋体"/>
          <w:color w:val="auto"/>
          <w:szCs w:val="21"/>
          <w:highlight w:val="none"/>
        </w:rPr>
        <w:t>：法定代表人签字</w:t>
      </w:r>
      <w:r>
        <w:rPr>
          <w:rFonts w:hint="eastAsia" w:ascii="宋体" w:hAnsi="宋体" w:cs="宋体"/>
          <w:color w:val="auto"/>
          <w:szCs w:val="21"/>
          <w:highlight w:val="none"/>
          <w:lang w:val="en-US" w:eastAsia="zh-CN"/>
        </w:rPr>
        <w:t>或盖章</w:t>
      </w:r>
      <w:r>
        <w:rPr>
          <w:rFonts w:hint="eastAsia" w:ascii="宋体" w:hAnsi="宋体" w:cs="宋体"/>
          <w:color w:val="auto"/>
          <w:szCs w:val="21"/>
          <w:highlight w:val="none"/>
        </w:rPr>
        <w:t>：</w:t>
      </w:r>
    </w:p>
    <w:p w14:paraId="6A9F043F">
      <w:pPr>
        <w:spacing w:before="120" w:after="50" w:line="360" w:lineRule="auto"/>
        <w:ind w:firstLine="48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所在部门职务：职务：</w:t>
      </w:r>
    </w:p>
    <w:p w14:paraId="3A044C83">
      <w:pPr>
        <w:spacing w:before="120" w:after="50" w:line="360" w:lineRule="auto"/>
        <w:ind w:firstLine="48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委托代理人身份证号码：</w:t>
      </w:r>
    </w:p>
    <w:p w14:paraId="71F4117D">
      <w:pPr>
        <w:spacing w:before="120" w:after="50" w:line="360" w:lineRule="auto"/>
        <w:ind w:firstLine="5250" w:firstLineChars="2500"/>
        <w:rPr>
          <w:rFonts w:hint="eastAsia" w:ascii="宋体" w:hAnsi="宋体" w:cs="宋体"/>
          <w:color w:val="auto"/>
          <w:szCs w:val="21"/>
          <w:highlight w:val="none"/>
        </w:rPr>
      </w:pPr>
      <w:r>
        <w:rPr>
          <w:rFonts w:hint="eastAsia" w:ascii="宋体" w:hAnsi="宋体" w:cs="宋体"/>
          <w:color w:val="auto"/>
          <w:szCs w:val="21"/>
          <w:highlight w:val="none"/>
        </w:rPr>
        <w:t>投标人（盖公章）：</w:t>
      </w:r>
    </w:p>
    <w:p w14:paraId="3DF2AA17">
      <w:pPr>
        <w:spacing w:before="120" w:after="50"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年月日注：</w:t>
      </w:r>
    </w:p>
    <w:p w14:paraId="4C2FA34E">
      <w:pPr>
        <w:spacing w:before="120" w:after="50"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1.法定代表人和委托代理人必须在授权委托书上亲笔签名，不得使用印章、签名章或者其他电子制版签名代替，</w:t>
      </w:r>
      <w:r>
        <w:rPr>
          <w:rFonts w:hint="eastAsia" w:ascii="宋体" w:hAnsi="宋体" w:cs="宋体"/>
          <w:b/>
          <w:bCs/>
          <w:color w:val="auto"/>
          <w:szCs w:val="21"/>
          <w:highlight w:val="none"/>
        </w:rPr>
        <w:t>否则作无效投标处理</w:t>
      </w:r>
      <w:r>
        <w:rPr>
          <w:rFonts w:hint="eastAsia" w:ascii="宋体" w:hAnsi="宋体" w:cs="宋体"/>
          <w:color w:val="auto"/>
          <w:szCs w:val="21"/>
          <w:highlight w:val="none"/>
        </w:rPr>
        <w:t>；</w:t>
      </w:r>
    </w:p>
    <w:p w14:paraId="2FFE9A22">
      <w:pPr>
        <w:spacing w:before="120" w:after="50" w:line="360" w:lineRule="auto"/>
        <w:ind w:firstLine="480"/>
        <w:rPr>
          <w:rFonts w:ascii="宋体" w:hAnsi="宋体" w:cs="宋体"/>
          <w:color w:val="auto"/>
          <w:szCs w:val="21"/>
          <w:highlight w:val="none"/>
        </w:rPr>
        <w:sectPr>
          <w:pgSz w:w="11906" w:h="16838"/>
          <w:pgMar w:top="1134" w:right="1247" w:bottom="1560" w:left="1247" w:header="851" w:footer="992" w:gutter="0"/>
          <w:cols w:space="720" w:num="1"/>
          <w:titlePg/>
          <w:docGrid w:linePitch="312" w:charSpace="0"/>
        </w:sectPr>
      </w:pPr>
      <w:r>
        <w:rPr>
          <w:rFonts w:hint="eastAsia" w:ascii="宋体" w:hAnsi="宋体" w:cs="宋体"/>
          <w:color w:val="auto"/>
          <w:szCs w:val="21"/>
          <w:highlight w:val="none"/>
        </w:rPr>
        <w:t>2.供应商为其他组织或者自然人时，本招标文件规定的法定代表人指负责人或者自然人。本招标文件所称负责人是指参加投标的其他组织营业执照上的负责人，本招标文件所称自然人指参与投标的自然人本人。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711FA184">
      <w:pPr>
        <w:spacing w:before="50" w:line="360" w:lineRule="auto"/>
        <w:jc w:val="left"/>
        <w:rPr>
          <w:rFonts w:hint="eastAsia" w:ascii="宋体" w:hAnsi="宋体" w:eastAsia="宋体" w:cs="宋体"/>
          <w:color w:val="auto"/>
          <w:sz w:val="24"/>
          <w:highlight w:val="none"/>
          <w:lang w:eastAsia="zh-CN"/>
        </w:rPr>
      </w:pPr>
      <w:r>
        <w:rPr>
          <w:rFonts w:hint="eastAsia" w:ascii="宋体" w:hAnsi="宋体" w:cs="宋体"/>
          <w:b/>
          <w:color w:val="auto"/>
          <w:sz w:val="24"/>
          <w:highlight w:val="none"/>
        </w:rPr>
        <w:t>5.商务条款偏离表格式</w:t>
      </w:r>
      <w:r>
        <w:rPr>
          <w:rFonts w:hint="eastAsia" w:ascii="宋体" w:hAnsi="宋体" w:cs="宋体"/>
          <w:b/>
          <w:color w:val="auto"/>
          <w:sz w:val="24"/>
          <w:highlight w:val="none"/>
          <w:lang w:eastAsia="zh-CN"/>
        </w:rPr>
        <w:t>（</w:t>
      </w:r>
      <w:r>
        <w:rPr>
          <w:rFonts w:hint="eastAsia" w:ascii="宋体" w:hAnsi="宋体" w:cs="宋体"/>
          <w:b/>
          <w:color w:val="auto"/>
          <w:sz w:val="24"/>
          <w:highlight w:val="none"/>
        </w:rPr>
        <w:t>注：按项目需求表具体项目修改</w:t>
      </w:r>
      <w:r>
        <w:rPr>
          <w:rFonts w:hint="eastAsia" w:ascii="宋体" w:hAnsi="宋体" w:cs="宋体"/>
          <w:b/>
          <w:color w:val="auto"/>
          <w:sz w:val="24"/>
          <w:highlight w:val="none"/>
          <w:lang w:eastAsia="zh-CN"/>
        </w:rPr>
        <w:t>）</w:t>
      </w:r>
    </w:p>
    <w:tbl>
      <w:tblPr>
        <w:tblStyle w:val="11"/>
        <w:tblW w:w="0" w:type="auto"/>
        <w:tblInd w:w="-2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0C7D8D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vAlign w:val="top"/>
          </w:tcPr>
          <w:p w14:paraId="643C1BC8">
            <w:pPr>
              <w:spacing w:before="12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3336" w:type="dxa"/>
            <w:tcBorders>
              <w:top w:val="single" w:color="auto" w:sz="4" w:space="0"/>
              <w:left w:val="single" w:color="auto" w:sz="4" w:space="0"/>
              <w:bottom w:val="single" w:color="auto" w:sz="4" w:space="0"/>
              <w:right w:val="single" w:color="auto" w:sz="4" w:space="0"/>
            </w:tcBorders>
            <w:vAlign w:val="top"/>
          </w:tcPr>
          <w:p w14:paraId="05B33040">
            <w:pPr>
              <w:spacing w:before="12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招标文件商务条款要求</w:t>
            </w:r>
          </w:p>
        </w:tc>
        <w:tc>
          <w:tcPr>
            <w:tcW w:w="1760" w:type="dxa"/>
            <w:tcBorders>
              <w:top w:val="single" w:color="auto" w:sz="4" w:space="0"/>
              <w:left w:val="single" w:color="auto" w:sz="4" w:space="0"/>
              <w:bottom w:val="single" w:color="auto" w:sz="4" w:space="0"/>
              <w:right w:val="single" w:color="auto" w:sz="4" w:space="0"/>
            </w:tcBorders>
            <w:vAlign w:val="top"/>
          </w:tcPr>
          <w:p w14:paraId="341A9AD5">
            <w:pPr>
              <w:spacing w:before="12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投标人的承诺</w:t>
            </w:r>
          </w:p>
        </w:tc>
        <w:tc>
          <w:tcPr>
            <w:tcW w:w="2035" w:type="dxa"/>
            <w:tcBorders>
              <w:top w:val="single" w:color="auto" w:sz="4" w:space="0"/>
              <w:left w:val="single" w:color="auto" w:sz="4" w:space="0"/>
              <w:bottom w:val="single" w:color="auto" w:sz="4" w:space="0"/>
              <w:right w:val="single" w:color="auto" w:sz="4" w:space="0"/>
            </w:tcBorders>
            <w:vAlign w:val="top"/>
          </w:tcPr>
          <w:p w14:paraId="490B3164">
            <w:pPr>
              <w:spacing w:before="12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6B92D7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22D45F87">
            <w:pPr>
              <w:spacing w:line="360" w:lineRule="auto"/>
              <w:jc w:val="center"/>
              <w:rPr>
                <w:rFonts w:hint="eastAsia" w:ascii="宋体" w:hAnsi="宋体" w:cs="宋体"/>
                <w:color w:val="auto"/>
                <w:szCs w:val="21"/>
                <w:highlight w:val="none"/>
              </w:rPr>
            </w:pPr>
          </w:p>
        </w:tc>
        <w:tc>
          <w:tcPr>
            <w:tcW w:w="3336" w:type="dxa"/>
            <w:tcBorders>
              <w:top w:val="single" w:color="auto" w:sz="4" w:space="0"/>
              <w:left w:val="single" w:color="auto" w:sz="4" w:space="0"/>
              <w:bottom w:val="single" w:color="auto" w:sz="4" w:space="0"/>
              <w:right w:val="single" w:color="auto" w:sz="4" w:space="0"/>
            </w:tcBorders>
            <w:vAlign w:val="top"/>
          </w:tcPr>
          <w:p w14:paraId="56504EB3">
            <w:pPr>
              <w:spacing w:before="120" w:line="360" w:lineRule="auto"/>
              <w:jc w:val="center"/>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vAlign w:val="top"/>
          </w:tcPr>
          <w:p w14:paraId="22B1D294">
            <w:pPr>
              <w:spacing w:before="120" w:line="360" w:lineRule="auto"/>
              <w:jc w:val="center"/>
              <w:rPr>
                <w:rFonts w:hint="eastAsia" w:ascii="宋体" w:hAnsi="宋体" w:cs="宋体"/>
                <w:color w:val="auto"/>
                <w:szCs w:val="21"/>
                <w:highlight w:val="none"/>
              </w:rPr>
            </w:pPr>
          </w:p>
        </w:tc>
        <w:tc>
          <w:tcPr>
            <w:tcW w:w="2035" w:type="dxa"/>
            <w:tcBorders>
              <w:top w:val="single" w:color="auto" w:sz="4" w:space="0"/>
              <w:left w:val="single" w:color="auto" w:sz="4" w:space="0"/>
              <w:bottom w:val="single" w:color="auto" w:sz="4" w:space="0"/>
              <w:right w:val="single" w:color="auto" w:sz="4" w:space="0"/>
            </w:tcBorders>
            <w:vAlign w:val="top"/>
          </w:tcPr>
          <w:p w14:paraId="7D609CBB">
            <w:pPr>
              <w:spacing w:before="120" w:line="360" w:lineRule="auto"/>
              <w:jc w:val="center"/>
              <w:rPr>
                <w:rFonts w:hint="eastAsia" w:ascii="宋体" w:hAnsi="宋体" w:cs="宋体"/>
                <w:color w:val="auto"/>
                <w:szCs w:val="21"/>
                <w:highlight w:val="none"/>
              </w:rPr>
            </w:pPr>
          </w:p>
        </w:tc>
      </w:tr>
      <w:tr w14:paraId="1E45B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3EFE09B1">
            <w:pPr>
              <w:spacing w:line="360" w:lineRule="auto"/>
              <w:jc w:val="center"/>
              <w:rPr>
                <w:rFonts w:hint="eastAsia" w:ascii="宋体" w:hAnsi="宋体" w:cs="宋体"/>
                <w:color w:val="auto"/>
                <w:szCs w:val="21"/>
                <w:highlight w:val="none"/>
              </w:rPr>
            </w:pPr>
          </w:p>
        </w:tc>
        <w:tc>
          <w:tcPr>
            <w:tcW w:w="3336" w:type="dxa"/>
            <w:tcBorders>
              <w:top w:val="single" w:color="auto" w:sz="4" w:space="0"/>
              <w:left w:val="single" w:color="auto" w:sz="4" w:space="0"/>
              <w:bottom w:val="single" w:color="auto" w:sz="4" w:space="0"/>
              <w:right w:val="single" w:color="auto" w:sz="4" w:space="0"/>
            </w:tcBorders>
            <w:vAlign w:val="top"/>
          </w:tcPr>
          <w:p w14:paraId="2F55876F">
            <w:pPr>
              <w:spacing w:before="120" w:line="360" w:lineRule="auto"/>
              <w:rPr>
                <w:rFonts w:hint="eastAsia" w:ascii="宋体" w:hAnsi="宋体" w:cs="宋体"/>
                <w:color w:val="auto"/>
                <w:szCs w:val="21"/>
                <w:highlight w:val="none"/>
                <w:u w:val="single"/>
              </w:rPr>
            </w:pPr>
          </w:p>
        </w:tc>
        <w:tc>
          <w:tcPr>
            <w:tcW w:w="1760" w:type="dxa"/>
            <w:tcBorders>
              <w:top w:val="single" w:color="auto" w:sz="4" w:space="0"/>
              <w:left w:val="single" w:color="auto" w:sz="4" w:space="0"/>
              <w:bottom w:val="single" w:color="auto" w:sz="4" w:space="0"/>
              <w:right w:val="single" w:color="auto" w:sz="4" w:space="0"/>
            </w:tcBorders>
            <w:vAlign w:val="top"/>
          </w:tcPr>
          <w:p w14:paraId="1CA79EB4">
            <w:pPr>
              <w:spacing w:before="120" w:line="360" w:lineRule="auto"/>
              <w:ind w:left="43"/>
              <w:jc w:val="center"/>
              <w:rPr>
                <w:rFonts w:hint="eastAsia" w:ascii="宋体" w:hAnsi="宋体" w:cs="宋体"/>
                <w:color w:val="auto"/>
                <w:szCs w:val="21"/>
                <w:highlight w:val="none"/>
              </w:rPr>
            </w:pPr>
          </w:p>
        </w:tc>
        <w:tc>
          <w:tcPr>
            <w:tcW w:w="2035" w:type="dxa"/>
            <w:tcBorders>
              <w:top w:val="single" w:color="auto" w:sz="4" w:space="0"/>
              <w:left w:val="single" w:color="auto" w:sz="4" w:space="0"/>
              <w:bottom w:val="single" w:color="auto" w:sz="4" w:space="0"/>
              <w:right w:val="single" w:color="auto" w:sz="4" w:space="0"/>
            </w:tcBorders>
            <w:vAlign w:val="top"/>
          </w:tcPr>
          <w:p w14:paraId="5AA42372">
            <w:pPr>
              <w:spacing w:before="120" w:line="360" w:lineRule="auto"/>
              <w:ind w:left="43"/>
              <w:jc w:val="center"/>
              <w:rPr>
                <w:rFonts w:hint="eastAsia" w:ascii="宋体" w:hAnsi="宋体" w:cs="宋体"/>
                <w:color w:val="auto"/>
                <w:szCs w:val="21"/>
                <w:highlight w:val="none"/>
              </w:rPr>
            </w:pPr>
          </w:p>
        </w:tc>
      </w:tr>
      <w:tr w14:paraId="2147C9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vAlign w:val="center"/>
          </w:tcPr>
          <w:p w14:paraId="1D84F8D7">
            <w:pPr>
              <w:spacing w:line="360" w:lineRule="auto"/>
              <w:jc w:val="center"/>
              <w:rPr>
                <w:rFonts w:hint="eastAsia" w:ascii="宋体" w:hAnsi="宋体" w:cs="宋体"/>
                <w:color w:val="auto"/>
                <w:szCs w:val="21"/>
                <w:highlight w:val="none"/>
              </w:rPr>
            </w:pPr>
          </w:p>
        </w:tc>
        <w:tc>
          <w:tcPr>
            <w:tcW w:w="3336" w:type="dxa"/>
            <w:tcBorders>
              <w:top w:val="single" w:color="auto" w:sz="4" w:space="0"/>
              <w:left w:val="single" w:color="auto" w:sz="4" w:space="0"/>
              <w:bottom w:val="single" w:color="auto" w:sz="4" w:space="0"/>
              <w:right w:val="single" w:color="auto" w:sz="4" w:space="0"/>
            </w:tcBorders>
            <w:vAlign w:val="top"/>
          </w:tcPr>
          <w:p w14:paraId="4E989A74">
            <w:pPr>
              <w:spacing w:before="120" w:line="360" w:lineRule="auto"/>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vAlign w:val="top"/>
          </w:tcPr>
          <w:p w14:paraId="2BF79C5A">
            <w:pPr>
              <w:spacing w:before="120" w:line="360" w:lineRule="auto"/>
              <w:jc w:val="center"/>
              <w:rPr>
                <w:rFonts w:hint="eastAsia" w:ascii="宋体" w:hAnsi="宋体" w:cs="宋体"/>
                <w:color w:val="auto"/>
                <w:szCs w:val="21"/>
                <w:highlight w:val="none"/>
              </w:rPr>
            </w:pPr>
          </w:p>
        </w:tc>
        <w:tc>
          <w:tcPr>
            <w:tcW w:w="2035" w:type="dxa"/>
            <w:tcBorders>
              <w:top w:val="single" w:color="auto" w:sz="4" w:space="0"/>
              <w:left w:val="single" w:color="auto" w:sz="4" w:space="0"/>
              <w:bottom w:val="single" w:color="auto" w:sz="4" w:space="0"/>
              <w:right w:val="single" w:color="auto" w:sz="4" w:space="0"/>
            </w:tcBorders>
            <w:vAlign w:val="top"/>
          </w:tcPr>
          <w:p w14:paraId="05074D4F">
            <w:pPr>
              <w:spacing w:before="120" w:line="360" w:lineRule="auto"/>
              <w:jc w:val="center"/>
              <w:rPr>
                <w:rFonts w:hint="eastAsia" w:ascii="宋体" w:hAnsi="宋体" w:cs="宋体"/>
                <w:color w:val="auto"/>
                <w:szCs w:val="21"/>
                <w:highlight w:val="none"/>
              </w:rPr>
            </w:pPr>
          </w:p>
        </w:tc>
      </w:tr>
      <w:tr w14:paraId="4EF2F9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vAlign w:val="top"/>
          </w:tcPr>
          <w:p w14:paraId="53FBD8B5">
            <w:pPr>
              <w:spacing w:before="12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3336" w:type="dxa"/>
            <w:tcBorders>
              <w:top w:val="single" w:color="auto" w:sz="4" w:space="0"/>
              <w:left w:val="single" w:color="auto" w:sz="4" w:space="0"/>
              <w:bottom w:val="single" w:color="auto" w:sz="4" w:space="0"/>
              <w:right w:val="single" w:color="auto" w:sz="4" w:space="0"/>
            </w:tcBorders>
            <w:vAlign w:val="top"/>
          </w:tcPr>
          <w:p w14:paraId="72614B21">
            <w:pPr>
              <w:spacing w:before="120" w:line="360" w:lineRule="auto"/>
              <w:jc w:val="center"/>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vAlign w:val="top"/>
          </w:tcPr>
          <w:p w14:paraId="73322DEE">
            <w:pPr>
              <w:spacing w:before="120" w:line="360" w:lineRule="auto"/>
              <w:jc w:val="center"/>
              <w:rPr>
                <w:rFonts w:hint="eastAsia" w:ascii="宋体" w:hAnsi="宋体" w:cs="宋体"/>
                <w:color w:val="auto"/>
                <w:szCs w:val="21"/>
                <w:highlight w:val="none"/>
              </w:rPr>
            </w:pPr>
          </w:p>
        </w:tc>
        <w:tc>
          <w:tcPr>
            <w:tcW w:w="2035" w:type="dxa"/>
            <w:tcBorders>
              <w:top w:val="single" w:color="auto" w:sz="4" w:space="0"/>
              <w:left w:val="single" w:color="auto" w:sz="4" w:space="0"/>
              <w:bottom w:val="single" w:color="auto" w:sz="4" w:space="0"/>
              <w:right w:val="single" w:color="auto" w:sz="4" w:space="0"/>
            </w:tcBorders>
            <w:vAlign w:val="top"/>
          </w:tcPr>
          <w:p w14:paraId="64EF764B">
            <w:pPr>
              <w:spacing w:before="120" w:line="360" w:lineRule="auto"/>
              <w:jc w:val="center"/>
              <w:rPr>
                <w:rFonts w:hint="eastAsia" w:ascii="宋体" w:hAnsi="宋体" w:cs="宋体"/>
                <w:color w:val="auto"/>
                <w:szCs w:val="21"/>
                <w:highlight w:val="none"/>
              </w:rPr>
            </w:pPr>
          </w:p>
        </w:tc>
      </w:tr>
    </w:tbl>
    <w:p w14:paraId="0E2DA169">
      <w:pPr>
        <w:pStyle w:val="4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0BA63A04">
      <w:pPr>
        <w:pStyle w:val="44"/>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1.说明：应对照招标文件“第二章采购需求”中的商务条款逐条实质性响应，并作出偏离说明。</w:t>
      </w:r>
    </w:p>
    <w:p w14:paraId="1AA2EE8D">
      <w:pPr>
        <w:spacing w:before="50" w:after="50" w:line="360" w:lineRule="auto"/>
        <w:rPr>
          <w:rFonts w:hint="eastAsia" w:ascii="宋体" w:hAnsi="宋体" w:eastAsia="宋体" w:cs="宋体"/>
          <w:b/>
          <w:bCs/>
          <w:color w:val="auto"/>
          <w:szCs w:val="21"/>
          <w:highlight w:val="none"/>
          <w:lang w:eastAsia="zh-CN"/>
        </w:rPr>
      </w:pPr>
      <w:r>
        <w:rPr>
          <w:rFonts w:hint="eastAsia" w:ascii="宋体" w:hAnsi="宋体" w:cs="宋体"/>
          <w:b/>
          <w:bCs/>
          <w:color w:val="auto"/>
          <w:sz w:val="21"/>
          <w:szCs w:val="21"/>
          <w:highlight w:val="none"/>
        </w:rPr>
        <w:t>2.投标人可自行</w:t>
      </w:r>
      <w:r>
        <w:rPr>
          <w:rFonts w:hint="eastAsia" w:ascii="宋体" w:hAnsi="宋体" w:cs="宋体"/>
          <w:b/>
          <w:bCs/>
          <w:color w:val="auto"/>
          <w:sz w:val="21"/>
          <w:szCs w:val="21"/>
          <w:highlight w:val="none"/>
          <w:lang w:val="en-US" w:eastAsia="zh-CN"/>
        </w:rPr>
        <w:t>扩</w:t>
      </w:r>
      <w:r>
        <w:rPr>
          <w:rFonts w:hint="eastAsia" w:ascii="宋体" w:hAnsi="宋体" w:cs="宋体"/>
          <w:b/>
          <w:bCs/>
          <w:color w:val="auto"/>
          <w:sz w:val="21"/>
          <w:szCs w:val="21"/>
          <w:highlight w:val="none"/>
        </w:rPr>
        <w:t>展，应根据自身的承诺，对照招标文件要求在“偏离说明”中注明“正偏离”、“负偏离”或者“无偏离”。</w:t>
      </w:r>
      <w:r>
        <w:rPr>
          <w:b/>
          <w:bCs/>
        </w:rPr>
        <w:t>既不属于“正偏离”也不属于“负偏离”的即为“无偏离”</w:t>
      </w:r>
      <w:r>
        <w:rPr>
          <w:rFonts w:hint="eastAsia" w:ascii="宋体" w:hAnsi="宋体" w:cs="宋体"/>
          <w:b/>
          <w:bCs/>
          <w:color w:val="auto"/>
          <w:sz w:val="21"/>
          <w:szCs w:val="21"/>
          <w:highlight w:val="none"/>
        </w:rPr>
        <w:t>。</w:t>
      </w:r>
    </w:p>
    <w:p w14:paraId="69A01CFD">
      <w:pPr>
        <w:spacing w:before="50" w:after="50" w:line="360" w:lineRule="auto"/>
        <w:rPr>
          <w:rFonts w:hint="eastAsia" w:ascii="宋体" w:hAnsi="宋体" w:eastAsia="宋体" w:cs="宋体"/>
          <w:color w:val="auto"/>
          <w:spacing w:val="20"/>
          <w:szCs w:val="21"/>
          <w:highlight w:val="none"/>
          <w:u w:val="single"/>
          <w:lang w:eastAsia="zh-CN"/>
        </w:rPr>
      </w:pPr>
      <w:r>
        <w:rPr>
          <w:rFonts w:hint="eastAsia" w:ascii="宋体" w:hAnsi="宋体" w:cs="宋体"/>
          <w:color w:val="auto"/>
          <w:szCs w:val="21"/>
          <w:highlight w:val="none"/>
        </w:rPr>
        <w:t>法定代表人或者委托代理人签字</w:t>
      </w:r>
      <w:r>
        <w:rPr>
          <w:rFonts w:hint="eastAsia" w:ascii="宋体" w:hAnsi="宋体" w:cs="宋体"/>
          <w:color w:val="auto"/>
          <w:szCs w:val="21"/>
          <w:highlight w:val="none"/>
          <w:lang w:val="en-US" w:eastAsia="zh-CN"/>
        </w:rPr>
        <w:t>或盖章</w:t>
      </w:r>
      <w:r>
        <w:rPr>
          <w:rFonts w:hint="eastAsia" w:ascii="宋体" w:hAnsi="宋体" w:cs="宋体"/>
          <w:color w:val="auto"/>
          <w:spacing w:val="20"/>
          <w:szCs w:val="21"/>
          <w:highlight w:val="none"/>
        </w:rPr>
        <w:t>：</w:t>
      </w:r>
    </w:p>
    <w:p w14:paraId="18F44AC5">
      <w:pPr>
        <w:spacing w:before="120" w:line="360" w:lineRule="auto"/>
        <w:rPr>
          <w:rFonts w:hint="eastAsia" w:ascii="宋体" w:hAnsi="宋体" w:eastAsia="宋体" w:cs="宋体"/>
          <w:color w:val="auto"/>
          <w:spacing w:val="20"/>
          <w:szCs w:val="21"/>
          <w:highlight w:val="none"/>
          <w:lang w:eastAsia="zh-CN"/>
        </w:rPr>
      </w:pPr>
      <w:r>
        <w:rPr>
          <w:rFonts w:hint="eastAsia" w:ascii="宋体" w:hAnsi="宋体" w:cs="宋体"/>
          <w:color w:val="auto"/>
          <w:spacing w:val="20"/>
          <w:szCs w:val="21"/>
          <w:highlight w:val="none"/>
        </w:rPr>
        <w:t>投标</w:t>
      </w:r>
      <w:r>
        <w:rPr>
          <w:rFonts w:hint="eastAsia" w:ascii="宋体" w:hAnsi="宋体" w:cs="宋体"/>
          <w:color w:val="auto"/>
          <w:spacing w:val="20"/>
          <w:szCs w:val="21"/>
          <w:highlight w:val="none"/>
          <w:lang w:eastAsia="zh-CN"/>
        </w:rPr>
        <w:t>人加</w:t>
      </w:r>
      <w:r>
        <w:rPr>
          <w:rFonts w:hint="eastAsia" w:ascii="宋体" w:hAnsi="宋体" w:cs="宋体"/>
          <w:color w:val="auto"/>
          <w:spacing w:val="20"/>
          <w:szCs w:val="21"/>
          <w:highlight w:val="none"/>
        </w:rPr>
        <w:t>盖公章：</w:t>
      </w:r>
    </w:p>
    <w:p w14:paraId="199F3A51">
      <w:pPr>
        <w:spacing w:before="120" w:after="50" w:line="360" w:lineRule="auto"/>
        <w:jc w:val="left"/>
        <w:rPr>
          <w:rFonts w:hint="eastAsia" w:ascii="宋体" w:hAnsi="宋体" w:cs="宋体"/>
          <w:color w:val="auto"/>
          <w:szCs w:val="21"/>
          <w:highlight w:val="none"/>
        </w:rPr>
        <w:sectPr>
          <w:footerReference r:id="rId15" w:type="first"/>
          <w:headerReference r:id="rId12" w:type="default"/>
          <w:footerReference r:id="rId13" w:type="default"/>
          <w:footerReference r:id="rId14" w:type="even"/>
          <w:pgSz w:w="11906" w:h="16838"/>
          <w:pgMar w:top="1440" w:right="1797" w:bottom="1440" w:left="1797" w:header="851" w:footer="992" w:gutter="0"/>
          <w:cols w:space="720" w:num="1"/>
          <w:docGrid w:linePitch="312" w:charSpace="0"/>
        </w:sectPr>
      </w:pPr>
      <w:r>
        <w:rPr>
          <w:rFonts w:hint="eastAsia" w:ascii="宋体" w:hAnsi="宋体" w:cs="宋体"/>
          <w:color w:val="auto"/>
          <w:spacing w:val="20"/>
          <w:szCs w:val="21"/>
          <w:highlight w:val="none"/>
        </w:rPr>
        <w:t>日期：</w:t>
      </w:r>
    </w:p>
    <w:p w14:paraId="77FC25A0">
      <w:pPr>
        <w:spacing w:before="120" w:after="5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6.投标人类似业绩证明文件</w:t>
      </w:r>
    </w:p>
    <w:p w14:paraId="39D56E44">
      <w:pPr>
        <w:pStyle w:val="67"/>
        <w:spacing w:line="360" w:lineRule="auto"/>
        <w:ind w:left="480" w:hanging="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投标人同类项目情况一览表格式：</w:t>
      </w:r>
    </w:p>
    <w:tbl>
      <w:tblPr>
        <w:tblStyle w:val="11"/>
        <w:tblW w:w="4998" w:type="pct"/>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70"/>
        <w:gridCol w:w="1541"/>
        <w:gridCol w:w="1375"/>
        <w:gridCol w:w="1925"/>
        <w:gridCol w:w="2114"/>
      </w:tblGrid>
      <w:tr w14:paraId="735B76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33" w:hRule="atLeast"/>
        </w:trPr>
        <w:tc>
          <w:tcPr>
            <w:tcW w:w="920" w:type="pct"/>
            <w:tcBorders>
              <w:top w:val="single" w:color="auto" w:sz="4" w:space="0"/>
              <w:left w:val="single" w:color="auto" w:sz="4" w:space="0"/>
              <w:bottom w:val="single" w:color="auto" w:sz="4" w:space="0"/>
              <w:right w:val="single" w:color="auto" w:sz="4" w:space="0"/>
            </w:tcBorders>
            <w:vAlign w:val="center"/>
          </w:tcPr>
          <w:p w14:paraId="492B0B96">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采购人名称</w:t>
            </w:r>
          </w:p>
        </w:tc>
        <w:tc>
          <w:tcPr>
            <w:tcW w:w="903" w:type="pct"/>
            <w:tcBorders>
              <w:top w:val="single" w:color="auto" w:sz="4" w:space="0"/>
              <w:left w:val="single" w:color="auto" w:sz="4" w:space="0"/>
              <w:bottom w:val="single" w:color="auto" w:sz="4" w:space="0"/>
              <w:right w:val="single" w:color="auto" w:sz="4" w:space="0"/>
            </w:tcBorders>
            <w:vAlign w:val="center"/>
          </w:tcPr>
          <w:p w14:paraId="5766422C">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806" w:type="pct"/>
            <w:tcBorders>
              <w:top w:val="single" w:color="auto" w:sz="4" w:space="0"/>
              <w:left w:val="single" w:color="auto" w:sz="4" w:space="0"/>
              <w:bottom w:val="single" w:color="auto" w:sz="4" w:space="0"/>
              <w:right w:val="single" w:color="auto" w:sz="4" w:space="0"/>
            </w:tcBorders>
            <w:vAlign w:val="center"/>
          </w:tcPr>
          <w:p w14:paraId="03613977">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合同</w:t>
            </w:r>
          </w:p>
          <w:p w14:paraId="3EB23F6D">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金额</w:t>
            </w:r>
          </w:p>
          <w:p w14:paraId="1F66C0D1">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（万元）</w:t>
            </w:r>
          </w:p>
        </w:tc>
        <w:tc>
          <w:tcPr>
            <w:tcW w:w="1128" w:type="pct"/>
            <w:tcBorders>
              <w:top w:val="single" w:color="auto" w:sz="4" w:space="0"/>
              <w:left w:val="single" w:color="auto" w:sz="4" w:space="0"/>
              <w:bottom w:val="single" w:color="auto" w:sz="4" w:space="0"/>
              <w:right w:val="single" w:color="auto" w:sz="4" w:space="0"/>
            </w:tcBorders>
            <w:vAlign w:val="center"/>
          </w:tcPr>
          <w:p w14:paraId="1EE024F1">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合同或中标通知书在投标文件中的页码</w:t>
            </w:r>
          </w:p>
          <w:p w14:paraId="113113CC">
            <w:pPr>
              <w:spacing w:line="360" w:lineRule="auto"/>
              <w:contextualSpacing/>
              <w:jc w:val="center"/>
              <w:rPr>
                <w:rFonts w:hint="eastAsia" w:ascii="宋体" w:hAnsi="宋体" w:cs="宋体"/>
                <w:color w:val="auto"/>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17791DA4">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采购人联系人及</w:t>
            </w:r>
          </w:p>
          <w:p w14:paraId="21D78F95">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联系电话</w:t>
            </w:r>
          </w:p>
        </w:tc>
      </w:tr>
      <w:tr w14:paraId="390C77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920" w:type="pct"/>
            <w:tcBorders>
              <w:top w:val="single" w:color="auto" w:sz="4" w:space="0"/>
              <w:left w:val="single" w:color="auto" w:sz="4" w:space="0"/>
              <w:bottom w:val="single" w:color="auto" w:sz="4" w:space="0"/>
              <w:right w:val="single" w:color="auto" w:sz="4" w:space="0"/>
            </w:tcBorders>
            <w:vAlign w:val="top"/>
          </w:tcPr>
          <w:p w14:paraId="44C9D612">
            <w:pPr>
              <w:spacing w:line="360" w:lineRule="auto"/>
              <w:jc w:val="left"/>
              <w:rPr>
                <w:rFonts w:hint="eastAsia" w:ascii="宋体" w:hAnsi="宋体" w:cs="宋体"/>
                <w:color w:val="auto"/>
                <w:sz w:val="24"/>
                <w:highlight w:val="none"/>
              </w:rPr>
            </w:pPr>
          </w:p>
        </w:tc>
        <w:tc>
          <w:tcPr>
            <w:tcW w:w="903" w:type="pct"/>
            <w:tcBorders>
              <w:top w:val="single" w:color="auto" w:sz="4" w:space="0"/>
              <w:left w:val="single" w:color="auto" w:sz="4" w:space="0"/>
              <w:bottom w:val="single" w:color="auto" w:sz="4" w:space="0"/>
              <w:right w:val="single" w:color="auto" w:sz="4" w:space="0"/>
            </w:tcBorders>
            <w:vAlign w:val="top"/>
          </w:tcPr>
          <w:p w14:paraId="68665C09">
            <w:pPr>
              <w:spacing w:line="360" w:lineRule="auto"/>
              <w:jc w:val="left"/>
              <w:rPr>
                <w:rFonts w:hint="eastAsia" w:ascii="宋体" w:hAnsi="宋体" w:cs="宋体"/>
                <w:color w:val="auto"/>
                <w:sz w:val="24"/>
                <w:highlight w:val="none"/>
              </w:rPr>
            </w:pPr>
          </w:p>
        </w:tc>
        <w:tc>
          <w:tcPr>
            <w:tcW w:w="806" w:type="pct"/>
            <w:tcBorders>
              <w:top w:val="single" w:color="auto" w:sz="4" w:space="0"/>
              <w:left w:val="single" w:color="auto" w:sz="4" w:space="0"/>
              <w:bottom w:val="single" w:color="auto" w:sz="4" w:space="0"/>
              <w:right w:val="single" w:color="auto" w:sz="4" w:space="0"/>
            </w:tcBorders>
            <w:vAlign w:val="top"/>
          </w:tcPr>
          <w:p w14:paraId="178A3539">
            <w:pPr>
              <w:spacing w:line="360" w:lineRule="auto"/>
              <w:jc w:val="left"/>
              <w:rPr>
                <w:rFonts w:hint="eastAsia" w:ascii="宋体" w:hAnsi="宋体" w:cs="宋体"/>
                <w:color w:val="auto"/>
                <w:sz w:val="24"/>
                <w:highlight w:val="none"/>
              </w:rPr>
            </w:pPr>
          </w:p>
        </w:tc>
        <w:tc>
          <w:tcPr>
            <w:tcW w:w="1128" w:type="pct"/>
            <w:tcBorders>
              <w:top w:val="single" w:color="auto" w:sz="4" w:space="0"/>
              <w:left w:val="single" w:color="auto" w:sz="4" w:space="0"/>
              <w:bottom w:val="single" w:color="auto" w:sz="4" w:space="0"/>
              <w:right w:val="single" w:color="auto" w:sz="4" w:space="0"/>
            </w:tcBorders>
            <w:vAlign w:val="top"/>
          </w:tcPr>
          <w:p w14:paraId="489F9AFE">
            <w:pPr>
              <w:spacing w:line="360" w:lineRule="auto"/>
              <w:jc w:val="left"/>
              <w:rPr>
                <w:rFonts w:hint="eastAsia" w:ascii="宋体" w:hAnsi="宋体" w:cs="宋体"/>
                <w:color w:val="auto"/>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top"/>
          </w:tcPr>
          <w:p w14:paraId="3778B032">
            <w:pPr>
              <w:spacing w:line="360" w:lineRule="auto"/>
              <w:jc w:val="left"/>
              <w:rPr>
                <w:rFonts w:hint="eastAsia" w:ascii="宋体" w:hAnsi="宋体" w:cs="宋体"/>
                <w:color w:val="auto"/>
                <w:sz w:val="24"/>
                <w:highlight w:val="none"/>
              </w:rPr>
            </w:pPr>
          </w:p>
        </w:tc>
      </w:tr>
      <w:tr w14:paraId="466AE3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0" w:type="pct"/>
            <w:tcBorders>
              <w:top w:val="single" w:color="auto" w:sz="4" w:space="0"/>
              <w:left w:val="single" w:color="auto" w:sz="4" w:space="0"/>
              <w:bottom w:val="single" w:color="auto" w:sz="4" w:space="0"/>
              <w:right w:val="single" w:color="auto" w:sz="4" w:space="0"/>
            </w:tcBorders>
            <w:vAlign w:val="top"/>
          </w:tcPr>
          <w:p w14:paraId="0C146FDE">
            <w:pPr>
              <w:spacing w:before="50" w:after="120" w:line="360" w:lineRule="auto"/>
              <w:jc w:val="left"/>
              <w:rPr>
                <w:rFonts w:hint="eastAsia" w:ascii="宋体" w:hAnsi="宋体" w:cs="宋体"/>
                <w:color w:val="auto"/>
                <w:sz w:val="24"/>
                <w:highlight w:val="none"/>
              </w:rPr>
            </w:pPr>
          </w:p>
        </w:tc>
        <w:tc>
          <w:tcPr>
            <w:tcW w:w="903" w:type="pct"/>
            <w:tcBorders>
              <w:top w:val="single" w:color="auto" w:sz="4" w:space="0"/>
              <w:left w:val="single" w:color="auto" w:sz="4" w:space="0"/>
              <w:bottom w:val="single" w:color="auto" w:sz="4" w:space="0"/>
              <w:right w:val="single" w:color="auto" w:sz="4" w:space="0"/>
            </w:tcBorders>
            <w:vAlign w:val="top"/>
          </w:tcPr>
          <w:p w14:paraId="07816B23">
            <w:pPr>
              <w:spacing w:before="50" w:after="120" w:line="360" w:lineRule="auto"/>
              <w:jc w:val="left"/>
              <w:rPr>
                <w:rFonts w:hint="eastAsia" w:ascii="宋体" w:hAnsi="宋体" w:cs="宋体"/>
                <w:color w:val="auto"/>
                <w:sz w:val="24"/>
                <w:highlight w:val="none"/>
              </w:rPr>
            </w:pPr>
          </w:p>
        </w:tc>
        <w:tc>
          <w:tcPr>
            <w:tcW w:w="806" w:type="pct"/>
            <w:tcBorders>
              <w:top w:val="single" w:color="auto" w:sz="4" w:space="0"/>
              <w:left w:val="single" w:color="auto" w:sz="4" w:space="0"/>
              <w:bottom w:val="single" w:color="auto" w:sz="4" w:space="0"/>
              <w:right w:val="single" w:color="auto" w:sz="4" w:space="0"/>
            </w:tcBorders>
            <w:vAlign w:val="top"/>
          </w:tcPr>
          <w:p w14:paraId="5F329D0A">
            <w:pPr>
              <w:spacing w:before="50" w:after="120" w:line="360" w:lineRule="auto"/>
              <w:jc w:val="left"/>
              <w:rPr>
                <w:rFonts w:hint="eastAsia" w:ascii="宋体" w:hAnsi="宋体" w:cs="宋体"/>
                <w:color w:val="auto"/>
                <w:sz w:val="24"/>
                <w:highlight w:val="none"/>
              </w:rPr>
            </w:pPr>
          </w:p>
        </w:tc>
        <w:tc>
          <w:tcPr>
            <w:tcW w:w="1128" w:type="pct"/>
            <w:tcBorders>
              <w:top w:val="single" w:color="auto" w:sz="4" w:space="0"/>
              <w:left w:val="single" w:color="auto" w:sz="4" w:space="0"/>
              <w:bottom w:val="single" w:color="auto" w:sz="4" w:space="0"/>
              <w:right w:val="single" w:color="auto" w:sz="4" w:space="0"/>
            </w:tcBorders>
            <w:vAlign w:val="top"/>
          </w:tcPr>
          <w:p w14:paraId="48672389">
            <w:pPr>
              <w:spacing w:before="50" w:after="120" w:line="360" w:lineRule="auto"/>
              <w:jc w:val="left"/>
              <w:rPr>
                <w:rFonts w:hint="eastAsia" w:ascii="宋体" w:hAnsi="宋体" w:cs="宋体"/>
                <w:color w:val="auto"/>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top"/>
          </w:tcPr>
          <w:p w14:paraId="1F16D6DB">
            <w:pPr>
              <w:spacing w:before="50" w:after="120" w:line="360" w:lineRule="auto"/>
              <w:jc w:val="left"/>
              <w:rPr>
                <w:rFonts w:hint="eastAsia" w:ascii="宋体" w:hAnsi="宋体" w:cs="宋体"/>
                <w:color w:val="auto"/>
                <w:sz w:val="24"/>
                <w:highlight w:val="none"/>
              </w:rPr>
            </w:pPr>
          </w:p>
        </w:tc>
      </w:tr>
      <w:tr w14:paraId="5F79F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920" w:type="pct"/>
            <w:tcBorders>
              <w:top w:val="single" w:color="auto" w:sz="4" w:space="0"/>
              <w:left w:val="single" w:color="auto" w:sz="4" w:space="0"/>
              <w:bottom w:val="single" w:color="auto" w:sz="4" w:space="0"/>
              <w:right w:val="single" w:color="auto" w:sz="4" w:space="0"/>
            </w:tcBorders>
            <w:vAlign w:val="top"/>
          </w:tcPr>
          <w:p w14:paraId="7602DED4">
            <w:pPr>
              <w:spacing w:before="50" w:after="120" w:line="360" w:lineRule="auto"/>
              <w:jc w:val="left"/>
              <w:rPr>
                <w:rFonts w:hint="eastAsia" w:ascii="宋体" w:hAnsi="宋体" w:cs="宋体"/>
                <w:color w:val="auto"/>
                <w:sz w:val="24"/>
                <w:highlight w:val="none"/>
              </w:rPr>
            </w:pPr>
          </w:p>
        </w:tc>
        <w:tc>
          <w:tcPr>
            <w:tcW w:w="903" w:type="pct"/>
            <w:tcBorders>
              <w:top w:val="single" w:color="auto" w:sz="4" w:space="0"/>
              <w:left w:val="single" w:color="auto" w:sz="4" w:space="0"/>
              <w:bottom w:val="single" w:color="auto" w:sz="4" w:space="0"/>
              <w:right w:val="single" w:color="auto" w:sz="4" w:space="0"/>
            </w:tcBorders>
            <w:vAlign w:val="top"/>
          </w:tcPr>
          <w:p w14:paraId="7AF96D91">
            <w:pPr>
              <w:spacing w:before="50" w:after="120" w:line="360" w:lineRule="auto"/>
              <w:jc w:val="left"/>
              <w:rPr>
                <w:rFonts w:hint="eastAsia" w:ascii="宋体" w:hAnsi="宋体" w:cs="宋体"/>
                <w:color w:val="auto"/>
                <w:sz w:val="24"/>
                <w:highlight w:val="none"/>
              </w:rPr>
            </w:pPr>
          </w:p>
        </w:tc>
        <w:tc>
          <w:tcPr>
            <w:tcW w:w="806" w:type="pct"/>
            <w:tcBorders>
              <w:top w:val="single" w:color="auto" w:sz="4" w:space="0"/>
              <w:left w:val="single" w:color="auto" w:sz="4" w:space="0"/>
              <w:bottom w:val="single" w:color="auto" w:sz="4" w:space="0"/>
              <w:right w:val="single" w:color="auto" w:sz="4" w:space="0"/>
            </w:tcBorders>
            <w:vAlign w:val="top"/>
          </w:tcPr>
          <w:p w14:paraId="702A6A4A">
            <w:pPr>
              <w:spacing w:before="50" w:after="120" w:line="360" w:lineRule="auto"/>
              <w:jc w:val="left"/>
              <w:rPr>
                <w:rFonts w:hint="eastAsia" w:ascii="宋体" w:hAnsi="宋体" w:cs="宋体"/>
                <w:color w:val="auto"/>
                <w:sz w:val="24"/>
                <w:highlight w:val="none"/>
              </w:rPr>
            </w:pPr>
          </w:p>
        </w:tc>
        <w:tc>
          <w:tcPr>
            <w:tcW w:w="1128" w:type="pct"/>
            <w:tcBorders>
              <w:top w:val="single" w:color="auto" w:sz="4" w:space="0"/>
              <w:left w:val="single" w:color="auto" w:sz="4" w:space="0"/>
              <w:bottom w:val="single" w:color="auto" w:sz="4" w:space="0"/>
              <w:right w:val="single" w:color="auto" w:sz="4" w:space="0"/>
            </w:tcBorders>
            <w:vAlign w:val="top"/>
          </w:tcPr>
          <w:p w14:paraId="4A1FC56C">
            <w:pPr>
              <w:spacing w:before="50" w:after="120" w:line="360" w:lineRule="auto"/>
              <w:jc w:val="left"/>
              <w:rPr>
                <w:rFonts w:hint="eastAsia" w:ascii="宋体" w:hAnsi="宋体" w:cs="宋体"/>
                <w:color w:val="auto"/>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top"/>
          </w:tcPr>
          <w:p w14:paraId="6F6CA23E">
            <w:pPr>
              <w:spacing w:before="50" w:after="120" w:line="360" w:lineRule="auto"/>
              <w:jc w:val="left"/>
              <w:rPr>
                <w:rFonts w:hint="eastAsia" w:ascii="宋体" w:hAnsi="宋体" w:cs="宋体"/>
                <w:color w:val="auto"/>
                <w:sz w:val="24"/>
                <w:highlight w:val="none"/>
              </w:rPr>
            </w:pPr>
          </w:p>
        </w:tc>
      </w:tr>
      <w:tr w14:paraId="7A794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0" w:type="pct"/>
            <w:tcBorders>
              <w:top w:val="single" w:color="auto" w:sz="4" w:space="0"/>
              <w:left w:val="single" w:color="auto" w:sz="4" w:space="0"/>
              <w:bottom w:val="single" w:color="auto" w:sz="4" w:space="0"/>
              <w:right w:val="single" w:color="auto" w:sz="4" w:space="0"/>
            </w:tcBorders>
            <w:vAlign w:val="top"/>
          </w:tcPr>
          <w:p w14:paraId="744B966C">
            <w:pPr>
              <w:spacing w:before="50" w:after="120" w:line="360" w:lineRule="auto"/>
              <w:jc w:val="left"/>
              <w:rPr>
                <w:rFonts w:hint="eastAsia" w:ascii="宋体" w:hAnsi="宋体" w:cs="宋体"/>
                <w:color w:val="auto"/>
                <w:sz w:val="24"/>
                <w:highlight w:val="none"/>
              </w:rPr>
            </w:pPr>
          </w:p>
        </w:tc>
        <w:tc>
          <w:tcPr>
            <w:tcW w:w="903" w:type="pct"/>
            <w:tcBorders>
              <w:top w:val="single" w:color="auto" w:sz="4" w:space="0"/>
              <w:left w:val="single" w:color="auto" w:sz="4" w:space="0"/>
              <w:bottom w:val="single" w:color="auto" w:sz="4" w:space="0"/>
              <w:right w:val="single" w:color="auto" w:sz="4" w:space="0"/>
            </w:tcBorders>
            <w:vAlign w:val="top"/>
          </w:tcPr>
          <w:p w14:paraId="1E35DA37">
            <w:pPr>
              <w:spacing w:before="50" w:after="120" w:line="360" w:lineRule="auto"/>
              <w:jc w:val="left"/>
              <w:rPr>
                <w:rFonts w:hint="eastAsia" w:ascii="宋体" w:hAnsi="宋体" w:cs="宋体"/>
                <w:color w:val="auto"/>
                <w:sz w:val="24"/>
                <w:highlight w:val="none"/>
              </w:rPr>
            </w:pPr>
          </w:p>
        </w:tc>
        <w:tc>
          <w:tcPr>
            <w:tcW w:w="806" w:type="pct"/>
            <w:tcBorders>
              <w:top w:val="single" w:color="auto" w:sz="4" w:space="0"/>
              <w:left w:val="single" w:color="auto" w:sz="4" w:space="0"/>
              <w:bottom w:val="single" w:color="auto" w:sz="4" w:space="0"/>
              <w:right w:val="single" w:color="auto" w:sz="4" w:space="0"/>
            </w:tcBorders>
            <w:vAlign w:val="top"/>
          </w:tcPr>
          <w:p w14:paraId="4227A023">
            <w:pPr>
              <w:spacing w:before="50" w:after="120" w:line="360" w:lineRule="auto"/>
              <w:jc w:val="left"/>
              <w:rPr>
                <w:rFonts w:hint="eastAsia" w:ascii="宋体" w:hAnsi="宋体" w:cs="宋体"/>
                <w:color w:val="auto"/>
                <w:sz w:val="24"/>
                <w:highlight w:val="none"/>
              </w:rPr>
            </w:pPr>
          </w:p>
        </w:tc>
        <w:tc>
          <w:tcPr>
            <w:tcW w:w="1128" w:type="pct"/>
            <w:tcBorders>
              <w:top w:val="single" w:color="auto" w:sz="4" w:space="0"/>
              <w:left w:val="single" w:color="auto" w:sz="4" w:space="0"/>
              <w:bottom w:val="single" w:color="auto" w:sz="4" w:space="0"/>
              <w:right w:val="single" w:color="auto" w:sz="4" w:space="0"/>
            </w:tcBorders>
            <w:vAlign w:val="top"/>
          </w:tcPr>
          <w:p w14:paraId="5D14A4D8">
            <w:pPr>
              <w:spacing w:before="50" w:after="120" w:line="360" w:lineRule="auto"/>
              <w:jc w:val="left"/>
              <w:rPr>
                <w:rFonts w:hint="eastAsia" w:ascii="宋体" w:hAnsi="宋体" w:cs="宋体"/>
                <w:color w:val="auto"/>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top"/>
          </w:tcPr>
          <w:p w14:paraId="3D988C4C">
            <w:pPr>
              <w:spacing w:before="50" w:after="120" w:line="360" w:lineRule="auto"/>
              <w:jc w:val="left"/>
              <w:rPr>
                <w:rFonts w:hint="eastAsia" w:ascii="宋体" w:hAnsi="宋体" w:cs="宋体"/>
                <w:color w:val="auto"/>
                <w:sz w:val="24"/>
                <w:highlight w:val="none"/>
              </w:rPr>
            </w:pPr>
          </w:p>
        </w:tc>
      </w:tr>
      <w:tr w14:paraId="4517F8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0" w:type="pct"/>
            <w:tcBorders>
              <w:top w:val="single" w:color="auto" w:sz="4" w:space="0"/>
              <w:left w:val="single" w:color="auto" w:sz="4" w:space="0"/>
              <w:bottom w:val="single" w:color="auto" w:sz="4" w:space="0"/>
              <w:right w:val="single" w:color="auto" w:sz="4" w:space="0"/>
            </w:tcBorders>
            <w:vAlign w:val="top"/>
          </w:tcPr>
          <w:p w14:paraId="2C2A20D3">
            <w:pPr>
              <w:spacing w:before="50" w:after="120" w:line="360" w:lineRule="auto"/>
              <w:jc w:val="left"/>
              <w:rPr>
                <w:rFonts w:hint="eastAsia" w:ascii="宋体" w:hAnsi="宋体" w:cs="宋体"/>
                <w:color w:val="auto"/>
                <w:sz w:val="24"/>
                <w:highlight w:val="none"/>
              </w:rPr>
            </w:pPr>
          </w:p>
        </w:tc>
        <w:tc>
          <w:tcPr>
            <w:tcW w:w="903" w:type="pct"/>
            <w:tcBorders>
              <w:top w:val="single" w:color="auto" w:sz="4" w:space="0"/>
              <w:left w:val="single" w:color="auto" w:sz="4" w:space="0"/>
              <w:bottom w:val="single" w:color="auto" w:sz="4" w:space="0"/>
              <w:right w:val="single" w:color="auto" w:sz="4" w:space="0"/>
            </w:tcBorders>
            <w:vAlign w:val="top"/>
          </w:tcPr>
          <w:p w14:paraId="1F1F76E0">
            <w:pPr>
              <w:spacing w:before="50" w:after="120" w:line="360" w:lineRule="auto"/>
              <w:jc w:val="left"/>
              <w:rPr>
                <w:rFonts w:hint="eastAsia" w:ascii="宋体" w:hAnsi="宋体" w:cs="宋体"/>
                <w:color w:val="auto"/>
                <w:sz w:val="24"/>
                <w:highlight w:val="none"/>
              </w:rPr>
            </w:pPr>
          </w:p>
        </w:tc>
        <w:tc>
          <w:tcPr>
            <w:tcW w:w="806" w:type="pct"/>
            <w:tcBorders>
              <w:top w:val="single" w:color="auto" w:sz="4" w:space="0"/>
              <w:left w:val="single" w:color="auto" w:sz="4" w:space="0"/>
              <w:bottom w:val="single" w:color="auto" w:sz="4" w:space="0"/>
              <w:right w:val="single" w:color="auto" w:sz="4" w:space="0"/>
            </w:tcBorders>
            <w:vAlign w:val="top"/>
          </w:tcPr>
          <w:p w14:paraId="1AA1CB77">
            <w:pPr>
              <w:spacing w:before="50" w:after="120" w:line="360" w:lineRule="auto"/>
              <w:jc w:val="left"/>
              <w:rPr>
                <w:rFonts w:hint="eastAsia" w:ascii="宋体" w:hAnsi="宋体" w:cs="宋体"/>
                <w:color w:val="auto"/>
                <w:sz w:val="24"/>
                <w:highlight w:val="none"/>
              </w:rPr>
            </w:pPr>
          </w:p>
        </w:tc>
        <w:tc>
          <w:tcPr>
            <w:tcW w:w="1128" w:type="pct"/>
            <w:tcBorders>
              <w:top w:val="single" w:color="auto" w:sz="4" w:space="0"/>
              <w:left w:val="single" w:color="auto" w:sz="4" w:space="0"/>
              <w:bottom w:val="single" w:color="auto" w:sz="4" w:space="0"/>
              <w:right w:val="single" w:color="auto" w:sz="4" w:space="0"/>
            </w:tcBorders>
            <w:vAlign w:val="top"/>
          </w:tcPr>
          <w:p w14:paraId="57A625CE">
            <w:pPr>
              <w:spacing w:before="50" w:after="120" w:line="360" w:lineRule="auto"/>
              <w:jc w:val="left"/>
              <w:rPr>
                <w:rFonts w:hint="eastAsia" w:ascii="宋体" w:hAnsi="宋体" w:cs="宋体"/>
                <w:color w:val="auto"/>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top"/>
          </w:tcPr>
          <w:p w14:paraId="1E4D538F">
            <w:pPr>
              <w:spacing w:before="50" w:after="120" w:line="360" w:lineRule="auto"/>
              <w:jc w:val="left"/>
              <w:rPr>
                <w:rFonts w:hint="eastAsia" w:ascii="宋体" w:hAnsi="宋体" w:cs="宋体"/>
                <w:color w:val="auto"/>
                <w:sz w:val="24"/>
                <w:highlight w:val="none"/>
              </w:rPr>
            </w:pPr>
          </w:p>
        </w:tc>
      </w:tr>
    </w:tbl>
    <w:p w14:paraId="4B0CC1CA">
      <w:pPr>
        <w:pStyle w:val="37"/>
        <w:spacing w:line="360" w:lineRule="auto"/>
        <w:rPr>
          <w:rFonts w:hint="eastAsia" w:ascii="宋体" w:hAnsi="宋体" w:eastAsia="宋体" w:cs="宋体"/>
          <w:color w:val="auto"/>
          <w:sz w:val="24"/>
          <w:szCs w:val="24"/>
          <w:highlight w:val="none"/>
        </w:rPr>
      </w:pPr>
    </w:p>
    <w:p w14:paraId="65A5B074">
      <w:pPr>
        <w:pStyle w:val="37"/>
        <w:spacing w:before="120" w:after="120" w:line="360" w:lineRule="auto"/>
        <w:ind w:firstLine="3120" w:firstLineChars="13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法定代表人或者委托代理人签字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303A5F77">
      <w:pPr>
        <w:spacing w:before="120" w:after="120" w:line="360" w:lineRule="auto"/>
        <w:ind w:firstLine="6000" w:firstLineChars="25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投标人（盖公章）：</w:t>
      </w:r>
    </w:p>
    <w:p w14:paraId="7E70C00B">
      <w:pPr>
        <w:spacing w:before="120" w:after="120" w:line="360" w:lineRule="auto"/>
        <w:ind w:firstLine="6000" w:firstLineChars="2500"/>
        <w:rPr>
          <w:rFonts w:hint="eastAsia" w:ascii="宋体" w:hAnsi="宋体" w:cs="宋体"/>
          <w:color w:val="auto"/>
          <w:sz w:val="24"/>
          <w:highlight w:val="none"/>
        </w:rPr>
      </w:pPr>
      <w:r>
        <w:rPr>
          <w:rFonts w:hint="eastAsia" w:ascii="宋体" w:hAnsi="宋体" w:cs="宋体"/>
          <w:color w:val="auto"/>
          <w:sz w:val="24"/>
          <w:highlight w:val="none"/>
        </w:rPr>
        <w:t>年月日</w:t>
      </w:r>
    </w:p>
    <w:p w14:paraId="3F285F2D">
      <w:pPr>
        <w:pStyle w:val="37"/>
        <w:spacing w:line="360" w:lineRule="auto"/>
        <w:rPr>
          <w:rFonts w:hint="eastAsia" w:ascii="宋体" w:hAnsi="宋体" w:cs="宋体"/>
          <w:color w:val="auto"/>
          <w:sz w:val="24"/>
          <w:highlight w:val="none"/>
        </w:rPr>
        <w:sectPr>
          <w:pgSz w:w="11906" w:h="16838"/>
          <w:pgMar w:top="1440" w:right="1797" w:bottom="1440" w:left="1797" w:header="851" w:footer="992" w:gutter="0"/>
          <w:cols w:space="720" w:num="1"/>
          <w:docGrid w:linePitch="312" w:charSpace="0"/>
        </w:sectPr>
      </w:pPr>
    </w:p>
    <w:p w14:paraId="5A8B639D">
      <w:pPr>
        <w:pStyle w:val="16"/>
        <w:spacing w:before="0" w:after="0" w:line="360" w:lineRule="auto"/>
        <w:jc w:val="center"/>
        <w:rPr>
          <w:rFonts w:hint="eastAsia" w:ascii="宋体" w:hAnsi="宋体" w:eastAsia="宋体"/>
          <w:color w:val="auto"/>
          <w:highlight w:val="none"/>
        </w:rPr>
      </w:pPr>
      <w:bookmarkStart w:id="191" w:name="_Toc29593"/>
      <w:r>
        <w:rPr>
          <w:rFonts w:hint="eastAsia" w:ascii="宋体" w:hAnsi="宋体" w:eastAsia="宋体"/>
          <w:color w:val="auto"/>
          <w:highlight w:val="none"/>
        </w:rPr>
        <w:t>五、技术文件格式</w:t>
      </w:r>
      <w:bookmarkEnd w:id="191"/>
    </w:p>
    <w:p w14:paraId="7044806F">
      <w:pPr>
        <w:spacing w:before="120" w:after="50" w:line="360" w:lineRule="auto"/>
        <w:ind w:left="142"/>
        <w:jc w:val="left"/>
        <w:rPr>
          <w:rFonts w:hint="eastAsia" w:ascii="宋体" w:hAnsi="宋体" w:eastAsia="宋体" w:cs="宋体"/>
          <w:b/>
          <w:color w:val="auto"/>
          <w:sz w:val="24"/>
          <w:highlight w:val="none"/>
          <w:lang w:eastAsia="zh-CN"/>
        </w:rPr>
      </w:pPr>
      <w:r>
        <w:rPr>
          <w:rFonts w:hint="eastAsia" w:ascii="宋体" w:hAnsi="宋体" w:cs="宋体"/>
          <w:b/>
          <w:color w:val="auto"/>
          <w:sz w:val="24"/>
          <w:highlight w:val="none"/>
        </w:rPr>
        <w:t>1.技术文件封面格式：</w:t>
      </w:r>
    </w:p>
    <w:p w14:paraId="35DA63F2">
      <w:pPr>
        <w:spacing w:before="120" w:after="50" w:line="360" w:lineRule="auto"/>
        <w:jc w:val="center"/>
        <w:rPr>
          <w:rFonts w:hint="eastAsia" w:ascii="宋体" w:hAnsi="宋体" w:cs="宋体"/>
          <w:bCs/>
          <w:color w:val="auto"/>
          <w:sz w:val="24"/>
          <w:szCs w:val="20"/>
          <w:highlight w:val="none"/>
        </w:rPr>
      </w:pPr>
      <w:r>
        <w:rPr>
          <w:rFonts w:hint="eastAsia" w:ascii="宋体" w:hAnsi="宋体" w:cs="宋体"/>
          <w:b/>
          <w:bCs/>
          <w:color w:val="auto"/>
          <w:sz w:val="24"/>
          <w:szCs w:val="32"/>
          <w:highlight w:val="none"/>
        </w:rPr>
        <w:t>正本/副本</w:t>
      </w:r>
      <w:r>
        <w:rPr>
          <w:rFonts w:hint="eastAsia" w:ascii="宋体" w:hAnsi="宋体" w:cs="宋体"/>
          <w:b/>
          <w:bCs/>
          <w:color w:val="auto"/>
          <w:sz w:val="32"/>
          <w:szCs w:val="32"/>
          <w:highlight w:val="none"/>
        </w:rPr>
        <w:t>技术文件</w:t>
      </w:r>
      <w:r>
        <w:rPr>
          <w:rFonts w:hint="eastAsia" w:ascii="宋体" w:hAnsi="宋体" w:cs="宋体"/>
          <w:bCs/>
          <w:color w:val="auto"/>
          <w:sz w:val="24"/>
          <w:highlight w:val="none"/>
        </w:rPr>
        <w:t>项目名称：</w:t>
      </w:r>
    </w:p>
    <w:p w14:paraId="07331D0A">
      <w:pPr>
        <w:pStyle w:val="61"/>
        <w:spacing w:line="360" w:lineRule="auto"/>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项目编号：</w:t>
      </w:r>
    </w:p>
    <w:p w14:paraId="031E9CD6">
      <w:pPr>
        <w:spacing w:before="120" w:after="50"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2BEFA58B">
      <w:pPr>
        <w:spacing w:before="120" w:after="50"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投标人地址：</w:t>
      </w:r>
    </w:p>
    <w:p w14:paraId="11F1C02F">
      <w:pPr>
        <w:spacing w:before="120" w:after="50" w:line="360" w:lineRule="auto"/>
        <w:jc w:val="center"/>
        <w:rPr>
          <w:rFonts w:ascii="宋体" w:hAnsi="宋体" w:cs="宋体"/>
          <w:color w:val="auto"/>
          <w:sz w:val="24"/>
          <w:highlight w:val="none"/>
        </w:rPr>
        <w:sectPr>
          <w:pgSz w:w="11906" w:h="16838"/>
          <w:pgMar w:top="1440" w:right="1797" w:bottom="1440" w:left="1797" w:header="851" w:footer="992" w:gutter="0"/>
          <w:cols w:space="720" w:num="1"/>
          <w:docGrid w:linePitch="312" w:charSpace="0"/>
        </w:sectPr>
      </w:pPr>
      <w:r>
        <w:rPr>
          <w:rFonts w:hint="eastAsia" w:ascii="宋体" w:hAnsi="宋体" w:cs="宋体"/>
          <w:color w:val="auto"/>
          <w:sz w:val="24"/>
          <w:highlight w:val="none"/>
        </w:rPr>
        <w:t>年月日</w:t>
      </w:r>
    </w:p>
    <w:p w14:paraId="3BAA787C">
      <w:pPr>
        <w:pStyle w:val="17"/>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b w:val="0"/>
          <w:bCs w:val="0"/>
          <w:color w:val="auto"/>
          <w:sz w:val="24"/>
          <w:highlight w:val="none"/>
        </w:rPr>
        <w:t>2.</w:t>
      </w:r>
      <w:r>
        <w:rPr>
          <w:rFonts w:hint="eastAsia" w:ascii="宋体" w:hAnsi="宋体" w:eastAsia="宋体" w:cs="宋体"/>
          <w:color w:val="auto"/>
          <w:sz w:val="30"/>
          <w:szCs w:val="30"/>
          <w:highlight w:val="none"/>
        </w:rPr>
        <w:t>监理大纲编制内容要求</w:t>
      </w:r>
      <w:r>
        <w:rPr>
          <w:rFonts w:hint="eastAsia" w:ascii="宋体" w:hAnsi="宋体" w:eastAsia="宋体" w:cs="宋体"/>
          <w:color w:val="auto"/>
          <w:sz w:val="30"/>
          <w:szCs w:val="30"/>
          <w:highlight w:val="none"/>
          <w:lang w:eastAsia="zh-CN"/>
        </w:rPr>
        <w:t>（格式自拟）</w:t>
      </w:r>
    </w:p>
    <w:p w14:paraId="76A178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编制工程监理大纲的要求：编制时应采用文字并结合图表形式说明工程质量、进度、费用、合同、信息、协调等各方面工作方法及控制措施；同时应对关键工序、复杂环节重点提出相应监理措施与旁站监理工作的安排等。具体内容可参照如下章节展开</w:t>
      </w:r>
      <w:r>
        <w:rPr>
          <w:rFonts w:hint="eastAsia" w:ascii="宋体" w:hAnsi="宋体" w:eastAsia="宋体" w:cs="宋体"/>
          <w:color w:val="auto"/>
          <w:szCs w:val="21"/>
          <w:highlight w:val="none"/>
          <w:lang w:eastAsia="zh-CN"/>
        </w:rPr>
        <w:t>（但不限于）</w:t>
      </w:r>
      <w:r>
        <w:rPr>
          <w:rFonts w:hint="eastAsia" w:ascii="宋体" w:hAnsi="宋体" w:eastAsia="宋体" w:cs="宋体"/>
          <w:color w:val="auto"/>
          <w:szCs w:val="21"/>
          <w:highlight w:val="none"/>
        </w:rPr>
        <w:t>：</w:t>
      </w:r>
    </w:p>
    <w:p w14:paraId="60D745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1.工程概述：本章节主要根据已掌握的资料，结合现场考察情况对拟投监理标段的工程总体概况进行简单描述。</w:t>
      </w:r>
    </w:p>
    <w:p w14:paraId="4204D9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2.工程监理范围与内容：依据工程监理合同条款中相应约定，编制工程监理工作范围与内容。</w:t>
      </w:r>
    </w:p>
    <w:p w14:paraId="26A718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3.工程特点、难点分析及监理对策：根据招标文件及现场察看，对</w:t>
      </w:r>
      <w:r>
        <w:rPr>
          <w:rFonts w:hint="eastAsia" w:ascii="宋体" w:hAnsi="宋体" w:cs="宋体"/>
          <w:color w:val="auto"/>
          <w:szCs w:val="21"/>
          <w:highlight w:val="none"/>
          <w:lang w:val="en-US" w:eastAsia="zh-CN"/>
        </w:rPr>
        <w:t>各</w:t>
      </w:r>
      <w:r>
        <w:rPr>
          <w:rFonts w:hint="eastAsia" w:ascii="宋体" w:hAnsi="宋体" w:eastAsia="宋体" w:cs="宋体"/>
          <w:color w:val="auto"/>
          <w:szCs w:val="21"/>
          <w:highlight w:val="none"/>
          <w:lang w:eastAsia="zh-CN"/>
        </w:rPr>
        <w:t>标段</w:t>
      </w:r>
      <w:r>
        <w:rPr>
          <w:rFonts w:hint="eastAsia" w:ascii="宋体" w:hAnsi="宋体" w:eastAsia="宋体" w:cs="宋体"/>
          <w:color w:val="auto"/>
          <w:szCs w:val="21"/>
          <w:highlight w:val="none"/>
        </w:rPr>
        <w:t>监理工作需要特别给予重视的问题逐一论述并给出解决难点的对策与方法。</w:t>
      </w:r>
    </w:p>
    <w:p w14:paraId="0AC1B3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4.质量控制重点</w:t>
      </w:r>
      <w:r>
        <w:rPr>
          <w:rFonts w:hint="eastAsia" w:ascii="宋体" w:hAnsi="宋体" w:cs="宋体"/>
          <w:color w:val="auto"/>
          <w:szCs w:val="21"/>
          <w:highlight w:val="none"/>
          <w:lang w:val="en-US" w:eastAsia="zh-CN"/>
        </w:rPr>
        <w:t>及</w:t>
      </w:r>
      <w:r>
        <w:rPr>
          <w:rFonts w:hint="eastAsia" w:ascii="宋体" w:hAnsi="宋体" w:eastAsia="宋体" w:cs="宋体"/>
          <w:color w:val="auto"/>
          <w:szCs w:val="21"/>
          <w:highlight w:val="none"/>
        </w:rPr>
        <w:t>监理措施。</w:t>
      </w:r>
    </w:p>
    <w:p w14:paraId="2DB6F4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5.进度控制重点</w:t>
      </w:r>
      <w:r>
        <w:rPr>
          <w:rFonts w:hint="eastAsia" w:ascii="宋体" w:hAnsi="宋体" w:cs="宋体"/>
          <w:color w:val="auto"/>
          <w:szCs w:val="21"/>
          <w:highlight w:val="none"/>
          <w:lang w:val="en-US" w:eastAsia="zh-CN"/>
        </w:rPr>
        <w:t>及</w:t>
      </w:r>
      <w:r>
        <w:rPr>
          <w:rFonts w:hint="eastAsia" w:ascii="宋体" w:hAnsi="宋体" w:eastAsia="宋体" w:cs="宋体"/>
          <w:color w:val="auto"/>
          <w:szCs w:val="21"/>
          <w:highlight w:val="none"/>
        </w:rPr>
        <w:t>监理措施。</w:t>
      </w:r>
    </w:p>
    <w:p w14:paraId="708C7B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6.造价控制重点</w:t>
      </w:r>
      <w:r>
        <w:rPr>
          <w:rFonts w:hint="eastAsia" w:ascii="宋体" w:hAnsi="宋体" w:cs="宋体"/>
          <w:color w:val="auto"/>
          <w:szCs w:val="21"/>
          <w:highlight w:val="none"/>
          <w:lang w:val="en-US" w:eastAsia="zh-CN"/>
        </w:rPr>
        <w:t>及</w:t>
      </w:r>
      <w:r>
        <w:rPr>
          <w:rFonts w:hint="eastAsia" w:ascii="宋体" w:hAnsi="宋体" w:eastAsia="宋体" w:cs="宋体"/>
          <w:color w:val="auto"/>
          <w:szCs w:val="21"/>
          <w:highlight w:val="none"/>
        </w:rPr>
        <w:t>监理措施。</w:t>
      </w:r>
    </w:p>
    <w:p w14:paraId="7AF619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7.合同及信息管理措施。</w:t>
      </w:r>
    </w:p>
    <w:p w14:paraId="0035C3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8.环境保护及文明施工监理措施。</w:t>
      </w:r>
    </w:p>
    <w:p w14:paraId="70B61B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9.监理工作协调。</w:t>
      </w:r>
    </w:p>
    <w:p w14:paraId="4775DF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10.履行安全职责措施。</w:t>
      </w:r>
    </w:p>
    <w:p w14:paraId="550F67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11.针对本标段实施的合理化建议：为更好地完成本标段的监理工作，投标人可按照自身的实际经验，对本标段监理工作提出良好的建议。</w:t>
      </w:r>
    </w:p>
    <w:p w14:paraId="63721F48">
      <w:pPr>
        <w:tabs>
          <w:tab w:val="left" w:pos="0"/>
          <w:tab w:val="left" w:pos="567"/>
          <w:tab w:val="left" w:pos="993"/>
          <w:tab w:val="left" w:pos="1134"/>
        </w:tabs>
        <w:spacing w:line="360" w:lineRule="auto"/>
        <w:jc w:val="center"/>
        <w:rPr>
          <w:rFonts w:hint="eastAsia" w:ascii="宋体" w:hAnsi="宋体" w:eastAsia="宋体" w:cs="宋体"/>
          <w:b/>
          <w:color w:val="auto"/>
          <w:szCs w:val="21"/>
          <w:highlight w:val="none"/>
          <w:lang w:eastAsia="zh-CN"/>
        </w:rPr>
      </w:pPr>
      <w:r>
        <w:rPr>
          <w:rFonts w:hint="eastAsia" w:ascii="宋体" w:hAnsi="宋体" w:eastAsia="宋体" w:cs="宋体"/>
          <w:color w:val="auto"/>
          <w:szCs w:val="21"/>
          <w:highlight w:val="none"/>
        </w:rPr>
        <w:t>12.其它</w:t>
      </w:r>
      <w:r>
        <w:rPr>
          <w:rFonts w:hint="eastAsia" w:ascii="宋体" w:hAnsi="宋体" w:eastAsia="宋体" w:cs="宋体"/>
          <w:color w:val="auto"/>
          <w:sz w:val="30"/>
          <w:szCs w:val="30"/>
          <w:highlight w:val="none"/>
          <w:lang w:val="en-US" w:eastAsia="zh-CN"/>
        </w:rPr>
        <w:t>附件：</w:t>
      </w:r>
      <w:r>
        <w:rPr>
          <w:rFonts w:hint="eastAsia" w:ascii="宋体" w:hAnsi="宋体" w:eastAsia="宋体" w:cs="宋体"/>
          <w:color w:val="auto"/>
          <w:sz w:val="30"/>
          <w:szCs w:val="30"/>
          <w:highlight w:val="none"/>
        </w:rPr>
        <w:t>项目总监理工程师简历表</w:t>
      </w:r>
    </w:p>
    <w:tbl>
      <w:tblPr>
        <w:tblStyle w:val="11"/>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00"/>
        <w:gridCol w:w="213"/>
        <w:gridCol w:w="1470"/>
        <w:gridCol w:w="17"/>
        <w:gridCol w:w="1453"/>
        <w:gridCol w:w="1047"/>
        <w:gridCol w:w="800"/>
        <w:gridCol w:w="400"/>
        <w:gridCol w:w="875"/>
        <w:gridCol w:w="225"/>
        <w:gridCol w:w="1304"/>
      </w:tblGrid>
      <w:tr w14:paraId="4ECCC9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jc w:val="center"/>
        </w:trPr>
        <w:tc>
          <w:tcPr>
            <w:tcW w:w="1100" w:type="dxa"/>
            <w:tcBorders>
              <w:top w:val="single" w:color="auto" w:sz="2" w:space="0"/>
              <w:left w:val="single" w:color="auto" w:sz="2" w:space="0"/>
              <w:bottom w:val="single" w:color="auto" w:sz="2" w:space="0"/>
              <w:right w:val="single" w:color="auto" w:sz="2" w:space="0"/>
            </w:tcBorders>
            <w:vAlign w:val="center"/>
          </w:tcPr>
          <w:p w14:paraId="22748BF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700" w:type="dxa"/>
            <w:gridSpan w:val="3"/>
            <w:tcBorders>
              <w:top w:val="single" w:color="auto" w:sz="2" w:space="0"/>
              <w:left w:val="single" w:color="auto" w:sz="2" w:space="0"/>
              <w:bottom w:val="single" w:color="auto" w:sz="2" w:space="0"/>
              <w:right w:val="single" w:color="auto" w:sz="2" w:space="0"/>
            </w:tcBorders>
            <w:vAlign w:val="center"/>
          </w:tcPr>
          <w:p w14:paraId="01321E48">
            <w:pPr>
              <w:spacing w:line="360" w:lineRule="auto"/>
              <w:ind w:firstLine="420"/>
              <w:rPr>
                <w:rFonts w:hint="eastAsia" w:ascii="宋体" w:hAnsi="宋体" w:eastAsia="宋体" w:cs="宋体"/>
                <w:color w:val="auto"/>
                <w:szCs w:val="21"/>
                <w:highlight w:val="none"/>
              </w:rPr>
            </w:pPr>
          </w:p>
        </w:tc>
        <w:tc>
          <w:tcPr>
            <w:tcW w:w="1453" w:type="dxa"/>
            <w:tcBorders>
              <w:top w:val="single" w:color="auto" w:sz="2" w:space="0"/>
              <w:left w:val="single" w:color="auto" w:sz="2" w:space="0"/>
              <w:bottom w:val="single" w:color="auto" w:sz="2" w:space="0"/>
              <w:right w:val="single" w:color="auto" w:sz="2" w:space="0"/>
            </w:tcBorders>
            <w:vAlign w:val="center"/>
          </w:tcPr>
          <w:p w14:paraId="7F9ECB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1847" w:type="dxa"/>
            <w:gridSpan w:val="2"/>
            <w:tcBorders>
              <w:top w:val="single" w:color="auto" w:sz="2" w:space="0"/>
              <w:left w:val="single" w:color="auto" w:sz="2" w:space="0"/>
              <w:bottom w:val="single" w:color="auto" w:sz="2" w:space="0"/>
              <w:right w:val="single" w:color="auto" w:sz="2" w:space="0"/>
            </w:tcBorders>
            <w:vAlign w:val="center"/>
          </w:tcPr>
          <w:p w14:paraId="6DAEA001">
            <w:pPr>
              <w:spacing w:line="360" w:lineRule="auto"/>
              <w:ind w:firstLine="420"/>
              <w:rPr>
                <w:rFonts w:hint="eastAsia" w:ascii="宋体" w:hAnsi="宋体" w:eastAsia="宋体" w:cs="宋体"/>
                <w:color w:val="auto"/>
                <w:szCs w:val="21"/>
                <w:highlight w:val="none"/>
              </w:rPr>
            </w:pPr>
          </w:p>
        </w:tc>
        <w:tc>
          <w:tcPr>
            <w:tcW w:w="1275" w:type="dxa"/>
            <w:gridSpan w:val="2"/>
            <w:tcBorders>
              <w:top w:val="single" w:color="auto" w:sz="2" w:space="0"/>
              <w:left w:val="single" w:color="auto" w:sz="2" w:space="0"/>
              <w:bottom w:val="single" w:color="auto" w:sz="2" w:space="0"/>
              <w:right w:val="single" w:color="auto" w:sz="2" w:space="0"/>
            </w:tcBorders>
            <w:vAlign w:val="center"/>
          </w:tcPr>
          <w:p w14:paraId="64C195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529" w:type="dxa"/>
            <w:gridSpan w:val="2"/>
            <w:tcBorders>
              <w:top w:val="single" w:color="auto" w:sz="2" w:space="0"/>
              <w:left w:val="single" w:color="auto" w:sz="2" w:space="0"/>
              <w:bottom w:val="single" w:color="auto" w:sz="2" w:space="0"/>
              <w:right w:val="single" w:color="auto" w:sz="2" w:space="0"/>
            </w:tcBorders>
            <w:vAlign w:val="center"/>
          </w:tcPr>
          <w:p w14:paraId="014CA7AF">
            <w:pPr>
              <w:spacing w:line="360" w:lineRule="auto"/>
              <w:ind w:firstLine="420"/>
              <w:rPr>
                <w:rFonts w:hint="eastAsia" w:ascii="宋体" w:hAnsi="宋体" w:eastAsia="宋体" w:cs="宋体"/>
                <w:color w:val="auto"/>
                <w:szCs w:val="21"/>
                <w:highlight w:val="none"/>
              </w:rPr>
            </w:pPr>
          </w:p>
        </w:tc>
      </w:tr>
      <w:tr w14:paraId="1F7D72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jc w:val="center"/>
        </w:trPr>
        <w:tc>
          <w:tcPr>
            <w:tcW w:w="1100" w:type="dxa"/>
            <w:tcBorders>
              <w:top w:val="single" w:color="auto" w:sz="2" w:space="0"/>
              <w:left w:val="single" w:color="auto" w:sz="2" w:space="0"/>
              <w:bottom w:val="single" w:color="auto" w:sz="2" w:space="0"/>
              <w:right w:val="single" w:color="auto" w:sz="2" w:space="0"/>
            </w:tcBorders>
            <w:vAlign w:val="center"/>
          </w:tcPr>
          <w:p w14:paraId="403C0CA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700" w:type="dxa"/>
            <w:gridSpan w:val="3"/>
            <w:tcBorders>
              <w:top w:val="single" w:color="auto" w:sz="2" w:space="0"/>
              <w:left w:val="single" w:color="auto" w:sz="2" w:space="0"/>
              <w:bottom w:val="single" w:color="auto" w:sz="2" w:space="0"/>
              <w:right w:val="single" w:color="auto" w:sz="2" w:space="0"/>
            </w:tcBorders>
            <w:vAlign w:val="center"/>
          </w:tcPr>
          <w:p w14:paraId="32E7DC03">
            <w:pPr>
              <w:spacing w:line="360" w:lineRule="auto"/>
              <w:ind w:firstLine="420"/>
              <w:rPr>
                <w:rFonts w:hint="eastAsia" w:ascii="宋体" w:hAnsi="宋体" w:eastAsia="宋体" w:cs="宋体"/>
                <w:color w:val="auto"/>
                <w:szCs w:val="21"/>
                <w:highlight w:val="none"/>
              </w:rPr>
            </w:pPr>
          </w:p>
        </w:tc>
        <w:tc>
          <w:tcPr>
            <w:tcW w:w="1453" w:type="dxa"/>
            <w:tcBorders>
              <w:top w:val="single" w:color="auto" w:sz="2" w:space="0"/>
              <w:left w:val="single" w:color="auto" w:sz="2" w:space="0"/>
              <w:bottom w:val="single" w:color="auto" w:sz="2" w:space="0"/>
              <w:right w:val="single" w:color="auto" w:sz="2" w:space="0"/>
            </w:tcBorders>
            <w:vAlign w:val="center"/>
          </w:tcPr>
          <w:p w14:paraId="00C698F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847" w:type="dxa"/>
            <w:gridSpan w:val="2"/>
            <w:tcBorders>
              <w:top w:val="single" w:color="auto" w:sz="2" w:space="0"/>
              <w:left w:val="single" w:color="auto" w:sz="2" w:space="0"/>
              <w:bottom w:val="single" w:color="auto" w:sz="2" w:space="0"/>
              <w:right w:val="single" w:color="auto" w:sz="2" w:space="0"/>
            </w:tcBorders>
            <w:vAlign w:val="center"/>
          </w:tcPr>
          <w:p w14:paraId="748F1741">
            <w:pPr>
              <w:spacing w:line="360" w:lineRule="auto"/>
              <w:ind w:firstLine="420"/>
              <w:rPr>
                <w:rFonts w:hint="eastAsia" w:ascii="宋体" w:hAnsi="宋体" w:eastAsia="宋体" w:cs="宋体"/>
                <w:color w:val="auto"/>
                <w:szCs w:val="21"/>
                <w:highlight w:val="none"/>
              </w:rPr>
            </w:pPr>
          </w:p>
        </w:tc>
        <w:tc>
          <w:tcPr>
            <w:tcW w:w="1275" w:type="dxa"/>
            <w:gridSpan w:val="2"/>
            <w:tcBorders>
              <w:top w:val="single" w:color="auto" w:sz="2" w:space="0"/>
              <w:left w:val="single" w:color="auto" w:sz="2" w:space="0"/>
              <w:bottom w:val="single" w:color="auto" w:sz="2" w:space="0"/>
              <w:right w:val="single" w:color="auto" w:sz="2" w:space="0"/>
            </w:tcBorders>
            <w:vAlign w:val="center"/>
          </w:tcPr>
          <w:p w14:paraId="56A842C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529" w:type="dxa"/>
            <w:gridSpan w:val="2"/>
            <w:tcBorders>
              <w:top w:val="single" w:color="auto" w:sz="2" w:space="0"/>
              <w:left w:val="single" w:color="auto" w:sz="2" w:space="0"/>
              <w:bottom w:val="single" w:color="auto" w:sz="2" w:space="0"/>
              <w:right w:val="single" w:color="auto" w:sz="2" w:space="0"/>
            </w:tcBorders>
            <w:vAlign w:val="center"/>
          </w:tcPr>
          <w:p w14:paraId="3BD4FC7E">
            <w:pPr>
              <w:spacing w:line="360" w:lineRule="auto"/>
              <w:ind w:firstLine="420"/>
              <w:rPr>
                <w:rFonts w:hint="eastAsia" w:ascii="宋体" w:hAnsi="宋体" w:eastAsia="宋体" w:cs="宋体"/>
                <w:color w:val="auto"/>
                <w:szCs w:val="21"/>
                <w:highlight w:val="none"/>
              </w:rPr>
            </w:pPr>
          </w:p>
        </w:tc>
      </w:tr>
      <w:tr w14:paraId="32CD7B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jc w:val="center"/>
        </w:trPr>
        <w:tc>
          <w:tcPr>
            <w:tcW w:w="2800" w:type="dxa"/>
            <w:gridSpan w:val="4"/>
            <w:tcBorders>
              <w:top w:val="single" w:color="auto" w:sz="2" w:space="0"/>
              <w:left w:val="single" w:color="auto" w:sz="2" w:space="0"/>
              <w:bottom w:val="single" w:color="auto" w:sz="2" w:space="0"/>
              <w:right w:val="single" w:color="auto" w:sz="2" w:space="0"/>
            </w:tcBorders>
            <w:vAlign w:val="center"/>
          </w:tcPr>
          <w:p w14:paraId="2E4DA94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1453" w:type="dxa"/>
            <w:tcBorders>
              <w:top w:val="single" w:color="auto" w:sz="2" w:space="0"/>
              <w:left w:val="single" w:color="auto" w:sz="2" w:space="0"/>
              <w:bottom w:val="single" w:color="auto" w:sz="2" w:space="0"/>
              <w:right w:val="single" w:color="auto" w:sz="2" w:space="0"/>
            </w:tcBorders>
            <w:vAlign w:val="center"/>
          </w:tcPr>
          <w:p w14:paraId="7236524D">
            <w:pPr>
              <w:spacing w:line="360" w:lineRule="auto"/>
              <w:jc w:val="center"/>
              <w:rPr>
                <w:rFonts w:hint="eastAsia" w:ascii="宋体" w:hAnsi="宋体" w:eastAsia="宋体" w:cs="宋体"/>
                <w:color w:val="auto"/>
                <w:szCs w:val="21"/>
                <w:highlight w:val="none"/>
              </w:rPr>
            </w:pPr>
          </w:p>
        </w:tc>
        <w:tc>
          <w:tcPr>
            <w:tcW w:w="3122" w:type="dxa"/>
            <w:gridSpan w:val="4"/>
            <w:tcBorders>
              <w:top w:val="single" w:color="auto" w:sz="2" w:space="0"/>
              <w:left w:val="single" w:color="auto" w:sz="2" w:space="0"/>
              <w:bottom w:val="single" w:color="auto" w:sz="2" w:space="0"/>
              <w:right w:val="single" w:color="auto" w:sz="2" w:space="0"/>
            </w:tcBorders>
            <w:vAlign w:val="center"/>
          </w:tcPr>
          <w:p w14:paraId="66F9A45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担任项目总监理工程师年限</w:t>
            </w:r>
          </w:p>
        </w:tc>
        <w:tc>
          <w:tcPr>
            <w:tcW w:w="1529" w:type="dxa"/>
            <w:gridSpan w:val="2"/>
            <w:tcBorders>
              <w:top w:val="single" w:color="auto" w:sz="2" w:space="0"/>
              <w:left w:val="single" w:color="auto" w:sz="2" w:space="0"/>
              <w:bottom w:val="single" w:color="auto" w:sz="2" w:space="0"/>
              <w:right w:val="single" w:color="auto" w:sz="2" w:space="0"/>
            </w:tcBorders>
            <w:vAlign w:val="center"/>
          </w:tcPr>
          <w:p w14:paraId="60A75D5D">
            <w:pPr>
              <w:spacing w:line="360" w:lineRule="auto"/>
              <w:ind w:firstLine="420"/>
              <w:rPr>
                <w:rFonts w:hint="eastAsia" w:ascii="宋体" w:hAnsi="宋体" w:eastAsia="宋体" w:cs="宋体"/>
                <w:color w:val="auto"/>
                <w:szCs w:val="21"/>
                <w:highlight w:val="none"/>
              </w:rPr>
            </w:pPr>
          </w:p>
        </w:tc>
      </w:tr>
      <w:tr w14:paraId="3E6C32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7" w:hRule="exact"/>
          <w:jc w:val="center"/>
        </w:trPr>
        <w:tc>
          <w:tcPr>
            <w:tcW w:w="2800" w:type="dxa"/>
            <w:gridSpan w:val="4"/>
            <w:tcBorders>
              <w:top w:val="single" w:color="auto" w:sz="2" w:space="0"/>
              <w:left w:val="single" w:color="auto" w:sz="2" w:space="0"/>
              <w:bottom w:val="single" w:color="auto" w:sz="2" w:space="0"/>
              <w:right w:val="single" w:color="auto" w:sz="2" w:space="0"/>
            </w:tcBorders>
            <w:vAlign w:val="center"/>
          </w:tcPr>
          <w:p w14:paraId="3F34CB9A">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注册监理工程师职称证书号程</w:t>
            </w:r>
          </w:p>
        </w:tc>
        <w:tc>
          <w:tcPr>
            <w:tcW w:w="1453" w:type="dxa"/>
            <w:tcBorders>
              <w:top w:val="single" w:color="auto" w:sz="2" w:space="0"/>
              <w:left w:val="single" w:color="auto" w:sz="2" w:space="0"/>
              <w:bottom w:val="single" w:color="auto" w:sz="2" w:space="0"/>
              <w:right w:val="single" w:color="auto" w:sz="2" w:space="0"/>
            </w:tcBorders>
            <w:vAlign w:val="center"/>
          </w:tcPr>
          <w:p w14:paraId="01E12702">
            <w:pPr>
              <w:spacing w:line="360" w:lineRule="auto"/>
              <w:ind w:firstLine="420"/>
              <w:jc w:val="center"/>
              <w:rPr>
                <w:rFonts w:hint="eastAsia" w:ascii="宋体" w:hAnsi="宋体" w:eastAsia="宋体" w:cs="宋体"/>
                <w:color w:val="auto"/>
                <w:szCs w:val="21"/>
                <w:highlight w:val="none"/>
                <w:lang w:eastAsia="zh-CN"/>
              </w:rPr>
            </w:pPr>
          </w:p>
        </w:tc>
        <w:tc>
          <w:tcPr>
            <w:tcW w:w="3122" w:type="dxa"/>
            <w:gridSpan w:val="4"/>
            <w:tcBorders>
              <w:top w:val="single" w:color="auto" w:sz="2" w:space="0"/>
              <w:left w:val="single" w:color="auto" w:sz="2" w:space="0"/>
              <w:bottom w:val="single" w:color="auto" w:sz="2" w:space="0"/>
              <w:right w:val="single" w:color="auto" w:sz="2" w:space="0"/>
            </w:tcBorders>
            <w:vAlign w:val="center"/>
          </w:tcPr>
          <w:p w14:paraId="47A505F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注册监理工程师注册证书号</w:t>
            </w:r>
          </w:p>
          <w:p w14:paraId="71A17093">
            <w:pPr>
              <w:spacing w:line="360" w:lineRule="auto"/>
              <w:ind w:firstLine="420"/>
              <w:rPr>
                <w:rFonts w:hint="eastAsia" w:ascii="宋体" w:hAnsi="宋体" w:eastAsia="宋体" w:cs="宋体"/>
                <w:color w:val="auto"/>
                <w:szCs w:val="21"/>
                <w:highlight w:val="none"/>
              </w:rPr>
            </w:pPr>
          </w:p>
        </w:tc>
        <w:tc>
          <w:tcPr>
            <w:tcW w:w="1529" w:type="dxa"/>
            <w:gridSpan w:val="2"/>
            <w:tcBorders>
              <w:top w:val="single" w:color="auto" w:sz="2" w:space="0"/>
              <w:left w:val="single" w:color="auto" w:sz="2" w:space="0"/>
              <w:bottom w:val="single" w:color="auto" w:sz="2" w:space="0"/>
              <w:right w:val="single" w:color="auto" w:sz="2" w:space="0"/>
            </w:tcBorders>
            <w:vAlign w:val="center"/>
          </w:tcPr>
          <w:p w14:paraId="50E1B0BD">
            <w:pPr>
              <w:spacing w:line="360" w:lineRule="auto"/>
              <w:ind w:firstLine="420"/>
              <w:rPr>
                <w:rFonts w:hint="eastAsia" w:ascii="宋体" w:hAnsi="宋体" w:eastAsia="宋体" w:cs="宋体"/>
                <w:color w:val="auto"/>
                <w:szCs w:val="21"/>
                <w:highlight w:val="none"/>
              </w:rPr>
            </w:pPr>
          </w:p>
          <w:p w14:paraId="0430B56D">
            <w:pPr>
              <w:spacing w:line="360" w:lineRule="auto"/>
              <w:ind w:firstLine="420"/>
              <w:rPr>
                <w:rFonts w:hint="eastAsia" w:ascii="宋体" w:hAnsi="宋体" w:eastAsia="宋体" w:cs="宋体"/>
                <w:color w:val="auto"/>
                <w:szCs w:val="21"/>
                <w:highlight w:val="none"/>
              </w:rPr>
            </w:pPr>
          </w:p>
        </w:tc>
      </w:tr>
      <w:tr w14:paraId="1CDA9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39" w:hRule="exact"/>
          <w:jc w:val="center"/>
        </w:trPr>
        <w:tc>
          <w:tcPr>
            <w:tcW w:w="1100" w:type="dxa"/>
            <w:tcBorders>
              <w:top w:val="single" w:color="auto" w:sz="2" w:space="0"/>
              <w:left w:val="single" w:color="auto" w:sz="2" w:space="0"/>
              <w:bottom w:val="single" w:color="auto" w:sz="2" w:space="0"/>
              <w:right w:val="single" w:color="auto" w:sz="2" w:space="0"/>
            </w:tcBorders>
            <w:vAlign w:val="center"/>
          </w:tcPr>
          <w:p w14:paraId="609BC6D1">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主要工作</w:t>
            </w:r>
          </w:p>
          <w:p w14:paraId="79F3D8B4">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经历</w:t>
            </w:r>
          </w:p>
        </w:tc>
        <w:tc>
          <w:tcPr>
            <w:tcW w:w="7804" w:type="dxa"/>
            <w:gridSpan w:val="10"/>
            <w:tcBorders>
              <w:top w:val="single" w:color="auto" w:sz="2" w:space="0"/>
              <w:left w:val="single" w:color="auto" w:sz="2" w:space="0"/>
              <w:bottom w:val="single" w:color="auto" w:sz="2" w:space="0"/>
              <w:right w:val="single" w:color="auto" w:sz="2" w:space="0"/>
            </w:tcBorders>
            <w:vAlign w:val="center"/>
          </w:tcPr>
          <w:p w14:paraId="7A5ECDF1">
            <w:pPr>
              <w:spacing w:line="360" w:lineRule="auto"/>
              <w:ind w:firstLine="420"/>
              <w:jc w:val="center"/>
              <w:rPr>
                <w:rFonts w:hint="eastAsia" w:ascii="宋体" w:hAnsi="宋体" w:eastAsia="宋体" w:cs="宋体"/>
                <w:color w:val="auto"/>
                <w:szCs w:val="21"/>
                <w:highlight w:val="none"/>
              </w:rPr>
            </w:pPr>
          </w:p>
        </w:tc>
      </w:tr>
      <w:tr w14:paraId="548FB7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70" w:hRule="exact"/>
          <w:jc w:val="center"/>
        </w:trPr>
        <w:tc>
          <w:tcPr>
            <w:tcW w:w="8904" w:type="dxa"/>
            <w:gridSpan w:val="11"/>
            <w:tcBorders>
              <w:top w:val="single" w:color="auto" w:sz="2" w:space="0"/>
              <w:left w:val="single" w:color="auto" w:sz="2" w:space="0"/>
              <w:bottom w:val="single" w:color="auto" w:sz="2" w:space="0"/>
              <w:right w:val="single" w:color="auto" w:sz="2" w:space="0"/>
            </w:tcBorders>
            <w:vAlign w:val="center"/>
          </w:tcPr>
          <w:p w14:paraId="7A5D671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已完成的工程情况</w:t>
            </w:r>
          </w:p>
        </w:tc>
      </w:tr>
      <w:tr w14:paraId="596118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35" w:hRule="exact"/>
          <w:jc w:val="center"/>
        </w:trPr>
        <w:tc>
          <w:tcPr>
            <w:tcW w:w="1313" w:type="dxa"/>
            <w:gridSpan w:val="2"/>
            <w:tcBorders>
              <w:top w:val="single" w:color="auto" w:sz="2" w:space="0"/>
              <w:left w:val="single" w:color="auto" w:sz="2" w:space="0"/>
              <w:bottom w:val="single" w:color="auto" w:sz="2" w:space="0"/>
              <w:right w:val="single" w:color="auto" w:sz="2" w:space="0"/>
            </w:tcBorders>
            <w:vAlign w:val="center"/>
          </w:tcPr>
          <w:p w14:paraId="12015E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建设单位</w:t>
            </w:r>
          </w:p>
        </w:tc>
        <w:tc>
          <w:tcPr>
            <w:tcW w:w="1470" w:type="dxa"/>
            <w:tcBorders>
              <w:top w:val="single" w:color="auto" w:sz="2" w:space="0"/>
              <w:left w:val="single" w:color="auto" w:sz="2" w:space="0"/>
              <w:bottom w:val="single" w:color="auto" w:sz="2" w:space="0"/>
              <w:right w:val="single" w:color="auto" w:sz="2" w:space="0"/>
            </w:tcBorders>
            <w:vAlign w:val="center"/>
          </w:tcPr>
          <w:p w14:paraId="24165C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470" w:type="dxa"/>
            <w:gridSpan w:val="2"/>
            <w:tcBorders>
              <w:top w:val="single" w:color="auto" w:sz="2" w:space="0"/>
              <w:left w:val="single" w:color="auto" w:sz="2" w:space="0"/>
              <w:bottom w:val="single" w:color="auto" w:sz="2" w:space="0"/>
              <w:right w:val="single" w:color="auto" w:sz="2" w:space="0"/>
            </w:tcBorders>
            <w:vAlign w:val="center"/>
          </w:tcPr>
          <w:p w14:paraId="5119F2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建设规模</w:t>
            </w:r>
          </w:p>
          <w:p w14:paraId="58E965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（面积、层数等）</w:t>
            </w:r>
          </w:p>
        </w:tc>
        <w:tc>
          <w:tcPr>
            <w:tcW w:w="1047" w:type="dxa"/>
            <w:tcBorders>
              <w:top w:val="single" w:color="auto" w:sz="2" w:space="0"/>
              <w:left w:val="single" w:color="auto" w:sz="2" w:space="0"/>
              <w:bottom w:val="single" w:color="auto" w:sz="2" w:space="0"/>
              <w:right w:val="single" w:color="auto" w:sz="2" w:space="0"/>
            </w:tcBorders>
            <w:vAlign w:val="center"/>
          </w:tcPr>
          <w:p w14:paraId="156DC69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开、竣工</w:t>
            </w:r>
          </w:p>
          <w:p w14:paraId="3B231CD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tc>
        <w:tc>
          <w:tcPr>
            <w:tcW w:w="1200" w:type="dxa"/>
            <w:gridSpan w:val="2"/>
            <w:tcBorders>
              <w:top w:val="single" w:color="auto" w:sz="2" w:space="0"/>
              <w:left w:val="single" w:color="auto" w:sz="2" w:space="0"/>
              <w:bottom w:val="single" w:color="auto" w:sz="2" w:space="0"/>
              <w:right w:val="single" w:color="auto" w:sz="2" w:space="0"/>
            </w:tcBorders>
            <w:vAlign w:val="center"/>
          </w:tcPr>
          <w:p w14:paraId="291C035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w:t>
            </w:r>
          </w:p>
        </w:tc>
        <w:tc>
          <w:tcPr>
            <w:tcW w:w="1100" w:type="dxa"/>
            <w:gridSpan w:val="2"/>
            <w:tcBorders>
              <w:top w:val="single" w:color="auto" w:sz="2" w:space="0"/>
              <w:left w:val="single" w:color="auto" w:sz="2" w:space="0"/>
              <w:bottom w:val="single" w:color="auto" w:sz="2" w:space="0"/>
              <w:right w:val="single" w:color="auto" w:sz="2" w:space="0"/>
            </w:tcBorders>
            <w:vAlign w:val="center"/>
          </w:tcPr>
          <w:p w14:paraId="6768FBB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在项目中</w:t>
            </w:r>
          </w:p>
          <w:p w14:paraId="32506FE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担任职务</w:t>
            </w:r>
          </w:p>
        </w:tc>
        <w:tc>
          <w:tcPr>
            <w:tcW w:w="1304" w:type="dxa"/>
            <w:tcBorders>
              <w:top w:val="single" w:color="auto" w:sz="2" w:space="0"/>
              <w:left w:val="single" w:color="auto" w:sz="2" w:space="0"/>
              <w:bottom w:val="single" w:color="auto" w:sz="2" w:space="0"/>
              <w:right w:val="single" w:color="auto" w:sz="2" w:space="0"/>
            </w:tcBorders>
            <w:vAlign w:val="center"/>
          </w:tcPr>
          <w:p w14:paraId="196542F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412D89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37" w:hRule="exact"/>
          <w:jc w:val="center"/>
        </w:trPr>
        <w:tc>
          <w:tcPr>
            <w:tcW w:w="1313" w:type="dxa"/>
            <w:gridSpan w:val="2"/>
            <w:tcBorders>
              <w:top w:val="single" w:color="auto" w:sz="2" w:space="0"/>
              <w:left w:val="single" w:color="auto" w:sz="2" w:space="0"/>
              <w:bottom w:val="single" w:color="auto" w:sz="2" w:space="0"/>
              <w:right w:val="single" w:color="auto" w:sz="2" w:space="0"/>
            </w:tcBorders>
            <w:vAlign w:val="center"/>
          </w:tcPr>
          <w:p w14:paraId="4B222DD3">
            <w:pPr>
              <w:spacing w:line="360" w:lineRule="auto"/>
              <w:ind w:firstLine="420"/>
              <w:jc w:val="center"/>
              <w:rPr>
                <w:rFonts w:hint="eastAsia" w:ascii="宋体" w:hAnsi="宋体" w:eastAsia="宋体" w:cs="宋体"/>
                <w:color w:val="auto"/>
                <w:szCs w:val="21"/>
                <w:highlight w:val="none"/>
              </w:rPr>
            </w:pPr>
          </w:p>
        </w:tc>
        <w:tc>
          <w:tcPr>
            <w:tcW w:w="1470" w:type="dxa"/>
            <w:tcBorders>
              <w:top w:val="single" w:color="auto" w:sz="2" w:space="0"/>
              <w:left w:val="single" w:color="auto" w:sz="2" w:space="0"/>
              <w:bottom w:val="single" w:color="auto" w:sz="2" w:space="0"/>
              <w:right w:val="single" w:color="auto" w:sz="2" w:space="0"/>
            </w:tcBorders>
            <w:vAlign w:val="center"/>
          </w:tcPr>
          <w:p w14:paraId="05316B88">
            <w:pPr>
              <w:spacing w:line="360" w:lineRule="auto"/>
              <w:ind w:firstLine="420"/>
              <w:jc w:val="center"/>
              <w:rPr>
                <w:rFonts w:hint="eastAsia" w:ascii="宋体" w:hAnsi="宋体" w:eastAsia="宋体" w:cs="宋体"/>
                <w:color w:val="auto"/>
                <w:szCs w:val="21"/>
                <w:highlight w:val="none"/>
              </w:rPr>
            </w:pPr>
          </w:p>
        </w:tc>
        <w:tc>
          <w:tcPr>
            <w:tcW w:w="1470" w:type="dxa"/>
            <w:gridSpan w:val="2"/>
            <w:tcBorders>
              <w:top w:val="single" w:color="auto" w:sz="2" w:space="0"/>
              <w:left w:val="single" w:color="auto" w:sz="2" w:space="0"/>
              <w:bottom w:val="single" w:color="auto" w:sz="2" w:space="0"/>
              <w:right w:val="single" w:color="auto" w:sz="2" w:space="0"/>
            </w:tcBorders>
            <w:vAlign w:val="center"/>
          </w:tcPr>
          <w:p w14:paraId="7FA88B58">
            <w:pPr>
              <w:spacing w:line="360" w:lineRule="auto"/>
              <w:ind w:firstLine="420"/>
              <w:jc w:val="center"/>
              <w:rPr>
                <w:rFonts w:hint="eastAsia" w:ascii="宋体" w:hAnsi="宋体" w:eastAsia="宋体" w:cs="宋体"/>
                <w:color w:val="auto"/>
                <w:szCs w:val="21"/>
                <w:highlight w:val="none"/>
              </w:rPr>
            </w:pPr>
          </w:p>
        </w:tc>
        <w:tc>
          <w:tcPr>
            <w:tcW w:w="1047" w:type="dxa"/>
            <w:tcBorders>
              <w:top w:val="single" w:color="auto" w:sz="2" w:space="0"/>
              <w:left w:val="single" w:color="auto" w:sz="2" w:space="0"/>
              <w:bottom w:val="single" w:color="auto" w:sz="2" w:space="0"/>
              <w:right w:val="single" w:color="auto" w:sz="2" w:space="0"/>
            </w:tcBorders>
            <w:vAlign w:val="center"/>
          </w:tcPr>
          <w:p w14:paraId="1B691AE6">
            <w:pPr>
              <w:spacing w:line="360" w:lineRule="auto"/>
              <w:ind w:firstLine="420"/>
              <w:jc w:val="center"/>
              <w:rPr>
                <w:rFonts w:hint="eastAsia" w:ascii="宋体" w:hAnsi="宋体" w:eastAsia="宋体" w:cs="宋体"/>
                <w:color w:val="auto"/>
                <w:szCs w:val="21"/>
                <w:highlight w:val="none"/>
              </w:rPr>
            </w:pPr>
          </w:p>
        </w:tc>
        <w:tc>
          <w:tcPr>
            <w:tcW w:w="1200" w:type="dxa"/>
            <w:gridSpan w:val="2"/>
            <w:tcBorders>
              <w:top w:val="single" w:color="auto" w:sz="2" w:space="0"/>
              <w:left w:val="single" w:color="auto" w:sz="2" w:space="0"/>
              <w:bottom w:val="single" w:color="auto" w:sz="2" w:space="0"/>
              <w:right w:val="single" w:color="auto" w:sz="2" w:space="0"/>
            </w:tcBorders>
            <w:vAlign w:val="center"/>
          </w:tcPr>
          <w:p w14:paraId="1E21DB86">
            <w:pPr>
              <w:spacing w:line="360" w:lineRule="auto"/>
              <w:ind w:firstLine="420"/>
              <w:jc w:val="center"/>
              <w:rPr>
                <w:rFonts w:hint="eastAsia" w:ascii="宋体" w:hAnsi="宋体" w:eastAsia="宋体" w:cs="宋体"/>
                <w:color w:val="auto"/>
                <w:szCs w:val="21"/>
                <w:highlight w:val="none"/>
              </w:rPr>
            </w:pPr>
          </w:p>
        </w:tc>
        <w:tc>
          <w:tcPr>
            <w:tcW w:w="1100" w:type="dxa"/>
            <w:gridSpan w:val="2"/>
            <w:tcBorders>
              <w:top w:val="single" w:color="auto" w:sz="2" w:space="0"/>
              <w:left w:val="single" w:color="auto" w:sz="2" w:space="0"/>
              <w:bottom w:val="single" w:color="auto" w:sz="2" w:space="0"/>
              <w:right w:val="single" w:color="auto" w:sz="2" w:space="0"/>
            </w:tcBorders>
            <w:vAlign w:val="center"/>
          </w:tcPr>
          <w:p w14:paraId="0CAC2C54">
            <w:pPr>
              <w:spacing w:line="360" w:lineRule="auto"/>
              <w:ind w:firstLine="420"/>
              <w:jc w:val="center"/>
              <w:rPr>
                <w:rFonts w:hint="eastAsia" w:ascii="宋体" w:hAnsi="宋体" w:eastAsia="宋体" w:cs="宋体"/>
                <w:color w:val="auto"/>
                <w:szCs w:val="21"/>
                <w:highlight w:val="none"/>
              </w:rPr>
            </w:pPr>
          </w:p>
        </w:tc>
        <w:tc>
          <w:tcPr>
            <w:tcW w:w="1304" w:type="dxa"/>
            <w:tcBorders>
              <w:top w:val="single" w:color="auto" w:sz="2" w:space="0"/>
              <w:left w:val="single" w:color="auto" w:sz="2" w:space="0"/>
              <w:bottom w:val="single" w:color="auto" w:sz="2" w:space="0"/>
              <w:right w:val="single" w:color="auto" w:sz="2" w:space="0"/>
            </w:tcBorders>
            <w:vAlign w:val="center"/>
          </w:tcPr>
          <w:p w14:paraId="36A8C66C">
            <w:pPr>
              <w:spacing w:line="360" w:lineRule="auto"/>
              <w:ind w:firstLine="420"/>
              <w:jc w:val="center"/>
              <w:rPr>
                <w:rFonts w:hint="eastAsia" w:ascii="宋体" w:hAnsi="宋体" w:eastAsia="宋体" w:cs="宋体"/>
                <w:color w:val="auto"/>
                <w:szCs w:val="21"/>
                <w:highlight w:val="none"/>
              </w:rPr>
            </w:pPr>
          </w:p>
        </w:tc>
      </w:tr>
      <w:tr w14:paraId="179406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57" w:hRule="exact"/>
          <w:jc w:val="center"/>
        </w:trPr>
        <w:tc>
          <w:tcPr>
            <w:tcW w:w="1313" w:type="dxa"/>
            <w:gridSpan w:val="2"/>
            <w:tcBorders>
              <w:top w:val="single" w:color="auto" w:sz="2" w:space="0"/>
              <w:left w:val="single" w:color="auto" w:sz="2" w:space="0"/>
              <w:bottom w:val="single" w:color="auto" w:sz="2" w:space="0"/>
              <w:right w:val="single" w:color="auto" w:sz="2" w:space="0"/>
            </w:tcBorders>
            <w:vAlign w:val="center"/>
          </w:tcPr>
          <w:p w14:paraId="3CDCCEB5">
            <w:pPr>
              <w:spacing w:line="360" w:lineRule="auto"/>
              <w:ind w:firstLine="420"/>
              <w:jc w:val="center"/>
              <w:rPr>
                <w:rFonts w:hint="eastAsia" w:ascii="宋体" w:hAnsi="宋体" w:eastAsia="宋体" w:cs="宋体"/>
                <w:color w:val="auto"/>
                <w:szCs w:val="21"/>
                <w:highlight w:val="none"/>
              </w:rPr>
            </w:pPr>
          </w:p>
        </w:tc>
        <w:tc>
          <w:tcPr>
            <w:tcW w:w="1470" w:type="dxa"/>
            <w:tcBorders>
              <w:top w:val="single" w:color="auto" w:sz="2" w:space="0"/>
              <w:left w:val="single" w:color="auto" w:sz="2" w:space="0"/>
              <w:bottom w:val="single" w:color="auto" w:sz="2" w:space="0"/>
              <w:right w:val="single" w:color="auto" w:sz="2" w:space="0"/>
            </w:tcBorders>
            <w:vAlign w:val="center"/>
          </w:tcPr>
          <w:p w14:paraId="35D6A67E">
            <w:pPr>
              <w:spacing w:line="360" w:lineRule="auto"/>
              <w:ind w:firstLine="420"/>
              <w:jc w:val="center"/>
              <w:rPr>
                <w:rFonts w:hint="eastAsia" w:ascii="宋体" w:hAnsi="宋体" w:eastAsia="宋体" w:cs="宋体"/>
                <w:color w:val="auto"/>
                <w:szCs w:val="21"/>
                <w:highlight w:val="none"/>
              </w:rPr>
            </w:pPr>
          </w:p>
        </w:tc>
        <w:tc>
          <w:tcPr>
            <w:tcW w:w="1470" w:type="dxa"/>
            <w:gridSpan w:val="2"/>
            <w:tcBorders>
              <w:top w:val="single" w:color="auto" w:sz="2" w:space="0"/>
              <w:left w:val="single" w:color="auto" w:sz="2" w:space="0"/>
              <w:bottom w:val="single" w:color="auto" w:sz="2" w:space="0"/>
              <w:right w:val="single" w:color="auto" w:sz="2" w:space="0"/>
            </w:tcBorders>
            <w:vAlign w:val="center"/>
          </w:tcPr>
          <w:p w14:paraId="5952DDDC">
            <w:pPr>
              <w:spacing w:line="360" w:lineRule="auto"/>
              <w:ind w:firstLine="420"/>
              <w:jc w:val="center"/>
              <w:rPr>
                <w:rFonts w:hint="eastAsia" w:ascii="宋体" w:hAnsi="宋体" w:eastAsia="宋体" w:cs="宋体"/>
                <w:color w:val="auto"/>
                <w:szCs w:val="21"/>
                <w:highlight w:val="none"/>
              </w:rPr>
            </w:pPr>
          </w:p>
        </w:tc>
        <w:tc>
          <w:tcPr>
            <w:tcW w:w="1047" w:type="dxa"/>
            <w:tcBorders>
              <w:top w:val="single" w:color="auto" w:sz="2" w:space="0"/>
              <w:left w:val="single" w:color="auto" w:sz="2" w:space="0"/>
              <w:bottom w:val="single" w:color="auto" w:sz="2" w:space="0"/>
              <w:right w:val="single" w:color="auto" w:sz="2" w:space="0"/>
            </w:tcBorders>
            <w:vAlign w:val="center"/>
          </w:tcPr>
          <w:p w14:paraId="627EC14B">
            <w:pPr>
              <w:spacing w:line="360" w:lineRule="auto"/>
              <w:ind w:firstLine="420"/>
              <w:jc w:val="center"/>
              <w:rPr>
                <w:rFonts w:hint="eastAsia" w:ascii="宋体" w:hAnsi="宋体" w:eastAsia="宋体" w:cs="宋体"/>
                <w:color w:val="auto"/>
                <w:szCs w:val="21"/>
                <w:highlight w:val="none"/>
              </w:rPr>
            </w:pPr>
          </w:p>
        </w:tc>
        <w:tc>
          <w:tcPr>
            <w:tcW w:w="1200" w:type="dxa"/>
            <w:gridSpan w:val="2"/>
            <w:tcBorders>
              <w:top w:val="single" w:color="auto" w:sz="2" w:space="0"/>
              <w:left w:val="single" w:color="auto" w:sz="2" w:space="0"/>
              <w:bottom w:val="single" w:color="auto" w:sz="2" w:space="0"/>
              <w:right w:val="single" w:color="auto" w:sz="2" w:space="0"/>
            </w:tcBorders>
            <w:vAlign w:val="center"/>
          </w:tcPr>
          <w:p w14:paraId="706CDD14">
            <w:pPr>
              <w:spacing w:line="360" w:lineRule="auto"/>
              <w:ind w:firstLine="420"/>
              <w:jc w:val="center"/>
              <w:rPr>
                <w:rFonts w:hint="eastAsia" w:ascii="宋体" w:hAnsi="宋体" w:eastAsia="宋体" w:cs="宋体"/>
                <w:color w:val="auto"/>
                <w:szCs w:val="21"/>
                <w:highlight w:val="none"/>
              </w:rPr>
            </w:pPr>
          </w:p>
        </w:tc>
        <w:tc>
          <w:tcPr>
            <w:tcW w:w="1100" w:type="dxa"/>
            <w:gridSpan w:val="2"/>
            <w:tcBorders>
              <w:top w:val="single" w:color="auto" w:sz="2" w:space="0"/>
              <w:left w:val="single" w:color="auto" w:sz="2" w:space="0"/>
              <w:bottom w:val="single" w:color="auto" w:sz="2" w:space="0"/>
              <w:right w:val="single" w:color="auto" w:sz="2" w:space="0"/>
            </w:tcBorders>
            <w:vAlign w:val="center"/>
          </w:tcPr>
          <w:p w14:paraId="19790D23">
            <w:pPr>
              <w:spacing w:line="360" w:lineRule="auto"/>
              <w:ind w:firstLine="420"/>
              <w:jc w:val="center"/>
              <w:rPr>
                <w:rFonts w:hint="eastAsia" w:ascii="宋体" w:hAnsi="宋体" w:eastAsia="宋体" w:cs="宋体"/>
                <w:color w:val="auto"/>
                <w:szCs w:val="21"/>
                <w:highlight w:val="none"/>
              </w:rPr>
            </w:pPr>
          </w:p>
        </w:tc>
        <w:tc>
          <w:tcPr>
            <w:tcW w:w="1304" w:type="dxa"/>
            <w:tcBorders>
              <w:top w:val="single" w:color="auto" w:sz="2" w:space="0"/>
              <w:left w:val="single" w:color="auto" w:sz="2" w:space="0"/>
              <w:bottom w:val="single" w:color="auto" w:sz="2" w:space="0"/>
              <w:right w:val="single" w:color="auto" w:sz="2" w:space="0"/>
            </w:tcBorders>
            <w:vAlign w:val="center"/>
          </w:tcPr>
          <w:p w14:paraId="2FFE28D4">
            <w:pPr>
              <w:spacing w:line="360" w:lineRule="auto"/>
              <w:ind w:firstLine="420"/>
              <w:jc w:val="center"/>
              <w:rPr>
                <w:rFonts w:hint="eastAsia" w:ascii="宋体" w:hAnsi="宋体" w:eastAsia="宋体" w:cs="宋体"/>
                <w:color w:val="auto"/>
                <w:szCs w:val="21"/>
                <w:highlight w:val="none"/>
              </w:rPr>
            </w:pPr>
          </w:p>
        </w:tc>
      </w:tr>
      <w:tr w14:paraId="6F1DFF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37" w:hRule="exact"/>
          <w:jc w:val="center"/>
        </w:trPr>
        <w:tc>
          <w:tcPr>
            <w:tcW w:w="1313" w:type="dxa"/>
            <w:gridSpan w:val="2"/>
            <w:tcBorders>
              <w:top w:val="single" w:color="auto" w:sz="2" w:space="0"/>
              <w:left w:val="single" w:color="auto" w:sz="2" w:space="0"/>
              <w:bottom w:val="single" w:color="auto" w:sz="2" w:space="0"/>
              <w:right w:val="single" w:color="auto" w:sz="2" w:space="0"/>
            </w:tcBorders>
            <w:vAlign w:val="center"/>
          </w:tcPr>
          <w:p w14:paraId="2D2FB48F">
            <w:pPr>
              <w:spacing w:line="360" w:lineRule="auto"/>
              <w:ind w:firstLine="420"/>
              <w:jc w:val="center"/>
              <w:rPr>
                <w:rFonts w:hint="eastAsia" w:ascii="宋体" w:hAnsi="宋体" w:eastAsia="宋体" w:cs="宋体"/>
                <w:color w:val="auto"/>
                <w:szCs w:val="21"/>
                <w:highlight w:val="none"/>
              </w:rPr>
            </w:pPr>
          </w:p>
        </w:tc>
        <w:tc>
          <w:tcPr>
            <w:tcW w:w="1470" w:type="dxa"/>
            <w:tcBorders>
              <w:top w:val="single" w:color="auto" w:sz="2" w:space="0"/>
              <w:left w:val="single" w:color="auto" w:sz="2" w:space="0"/>
              <w:bottom w:val="single" w:color="auto" w:sz="2" w:space="0"/>
              <w:right w:val="single" w:color="auto" w:sz="2" w:space="0"/>
            </w:tcBorders>
            <w:vAlign w:val="center"/>
          </w:tcPr>
          <w:p w14:paraId="69959069">
            <w:pPr>
              <w:spacing w:line="360" w:lineRule="auto"/>
              <w:ind w:firstLine="420"/>
              <w:jc w:val="center"/>
              <w:rPr>
                <w:rFonts w:hint="eastAsia" w:ascii="宋体" w:hAnsi="宋体" w:eastAsia="宋体" w:cs="宋体"/>
                <w:color w:val="auto"/>
                <w:szCs w:val="21"/>
                <w:highlight w:val="none"/>
              </w:rPr>
            </w:pPr>
          </w:p>
        </w:tc>
        <w:tc>
          <w:tcPr>
            <w:tcW w:w="1470" w:type="dxa"/>
            <w:gridSpan w:val="2"/>
            <w:tcBorders>
              <w:top w:val="single" w:color="auto" w:sz="2" w:space="0"/>
              <w:left w:val="single" w:color="auto" w:sz="2" w:space="0"/>
              <w:bottom w:val="single" w:color="auto" w:sz="2" w:space="0"/>
              <w:right w:val="single" w:color="auto" w:sz="2" w:space="0"/>
            </w:tcBorders>
            <w:vAlign w:val="center"/>
          </w:tcPr>
          <w:p w14:paraId="54EC70C1">
            <w:pPr>
              <w:spacing w:line="360" w:lineRule="auto"/>
              <w:ind w:firstLine="420"/>
              <w:jc w:val="center"/>
              <w:rPr>
                <w:rFonts w:hint="eastAsia" w:ascii="宋体" w:hAnsi="宋体" w:eastAsia="宋体" w:cs="宋体"/>
                <w:color w:val="auto"/>
                <w:szCs w:val="21"/>
                <w:highlight w:val="none"/>
              </w:rPr>
            </w:pPr>
          </w:p>
        </w:tc>
        <w:tc>
          <w:tcPr>
            <w:tcW w:w="1047" w:type="dxa"/>
            <w:tcBorders>
              <w:top w:val="single" w:color="auto" w:sz="2" w:space="0"/>
              <w:left w:val="single" w:color="auto" w:sz="2" w:space="0"/>
              <w:bottom w:val="single" w:color="auto" w:sz="2" w:space="0"/>
              <w:right w:val="single" w:color="auto" w:sz="2" w:space="0"/>
            </w:tcBorders>
            <w:vAlign w:val="center"/>
          </w:tcPr>
          <w:p w14:paraId="18482000">
            <w:pPr>
              <w:spacing w:line="360" w:lineRule="auto"/>
              <w:ind w:firstLine="420"/>
              <w:jc w:val="center"/>
              <w:rPr>
                <w:rFonts w:hint="eastAsia" w:ascii="宋体" w:hAnsi="宋体" w:eastAsia="宋体" w:cs="宋体"/>
                <w:color w:val="auto"/>
                <w:szCs w:val="21"/>
                <w:highlight w:val="none"/>
              </w:rPr>
            </w:pPr>
          </w:p>
        </w:tc>
        <w:tc>
          <w:tcPr>
            <w:tcW w:w="1200" w:type="dxa"/>
            <w:gridSpan w:val="2"/>
            <w:tcBorders>
              <w:top w:val="single" w:color="auto" w:sz="2" w:space="0"/>
              <w:left w:val="single" w:color="auto" w:sz="2" w:space="0"/>
              <w:bottom w:val="single" w:color="auto" w:sz="2" w:space="0"/>
              <w:right w:val="single" w:color="auto" w:sz="2" w:space="0"/>
            </w:tcBorders>
            <w:vAlign w:val="center"/>
          </w:tcPr>
          <w:p w14:paraId="169782A5">
            <w:pPr>
              <w:spacing w:line="360" w:lineRule="auto"/>
              <w:ind w:firstLine="420"/>
              <w:jc w:val="center"/>
              <w:rPr>
                <w:rFonts w:hint="eastAsia" w:ascii="宋体" w:hAnsi="宋体" w:eastAsia="宋体" w:cs="宋体"/>
                <w:color w:val="auto"/>
                <w:szCs w:val="21"/>
                <w:highlight w:val="none"/>
              </w:rPr>
            </w:pPr>
          </w:p>
        </w:tc>
        <w:tc>
          <w:tcPr>
            <w:tcW w:w="1100" w:type="dxa"/>
            <w:gridSpan w:val="2"/>
            <w:tcBorders>
              <w:top w:val="single" w:color="auto" w:sz="2" w:space="0"/>
              <w:left w:val="single" w:color="auto" w:sz="2" w:space="0"/>
              <w:bottom w:val="single" w:color="auto" w:sz="2" w:space="0"/>
              <w:right w:val="single" w:color="auto" w:sz="2" w:space="0"/>
            </w:tcBorders>
            <w:vAlign w:val="center"/>
          </w:tcPr>
          <w:p w14:paraId="1650966B">
            <w:pPr>
              <w:spacing w:line="360" w:lineRule="auto"/>
              <w:ind w:firstLine="420"/>
              <w:jc w:val="center"/>
              <w:rPr>
                <w:rFonts w:hint="eastAsia" w:ascii="宋体" w:hAnsi="宋体" w:eastAsia="宋体" w:cs="宋体"/>
                <w:color w:val="auto"/>
                <w:szCs w:val="21"/>
                <w:highlight w:val="none"/>
              </w:rPr>
            </w:pPr>
          </w:p>
        </w:tc>
        <w:tc>
          <w:tcPr>
            <w:tcW w:w="1304" w:type="dxa"/>
            <w:tcBorders>
              <w:top w:val="single" w:color="auto" w:sz="2" w:space="0"/>
              <w:left w:val="single" w:color="auto" w:sz="2" w:space="0"/>
              <w:bottom w:val="single" w:color="auto" w:sz="2" w:space="0"/>
              <w:right w:val="single" w:color="auto" w:sz="2" w:space="0"/>
            </w:tcBorders>
            <w:vAlign w:val="center"/>
          </w:tcPr>
          <w:p w14:paraId="23FFD1E8">
            <w:pPr>
              <w:spacing w:line="360" w:lineRule="auto"/>
              <w:ind w:firstLine="420"/>
              <w:jc w:val="center"/>
              <w:rPr>
                <w:rFonts w:hint="eastAsia" w:ascii="宋体" w:hAnsi="宋体" w:eastAsia="宋体" w:cs="宋体"/>
                <w:color w:val="auto"/>
                <w:szCs w:val="21"/>
                <w:highlight w:val="none"/>
              </w:rPr>
            </w:pPr>
          </w:p>
        </w:tc>
      </w:tr>
      <w:tr w14:paraId="14B4FD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37" w:hRule="exact"/>
          <w:jc w:val="center"/>
        </w:trPr>
        <w:tc>
          <w:tcPr>
            <w:tcW w:w="1313" w:type="dxa"/>
            <w:gridSpan w:val="2"/>
            <w:tcBorders>
              <w:top w:val="single" w:color="auto" w:sz="2" w:space="0"/>
              <w:left w:val="single" w:color="auto" w:sz="2" w:space="0"/>
              <w:bottom w:val="single" w:color="auto" w:sz="2" w:space="0"/>
              <w:right w:val="single" w:color="auto" w:sz="2" w:space="0"/>
            </w:tcBorders>
            <w:vAlign w:val="center"/>
          </w:tcPr>
          <w:p w14:paraId="5B7F140B">
            <w:pPr>
              <w:spacing w:line="360" w:lineRule="auto"/>
              <w:ind w:firstLine="420"/>
              <w:jc w:val="center"/>
              <w:rPr>
                <w:rFonts w:hint="eastAsia" w:ascii="宋体" w:hAnsi="宋体" w:eastAsia="宋体" w:cs="宋体"/>
                <w:color w:val="auto"/>
                <w:szCs w:val="21"/>
                <w:highlight w:val="none"/>
              </w:rPr>
            </w:pPr>
          </w:p>
        </w:tc>
        <w:tc>
          <w:tcPr>
            <w:tcW w:w="1470" w:type="dxa"/>
            <w:tcBorders>
              <w:top w:val="single" w:color="auto" w:sz="2" w:space="0"/>
              <w:left w:val="single" w:color="auto" w:sz="2" w:space="0"/>
              <w:bottom w:val="single" w:color="auto" w:sz="2" w:space="0"/>
              <w:right w:val="single" w:color="auto" w:sz="2" w:space="0"/>
            </w:tcBorders>
            <w:vAlign w:val="center"/>
          </w:tcPr>
          <w:p w14:paraId="2248637F">
            <w:pPr>
              <w:spacing w:line="360" w:lineRule="auto"/>
              <w:ind w:firstLine="420"/>
              <w:jc w:val="center"/>
              <w:rPr>
                <w:rFonts w:hint="eastAsia" w:ascii="宋体" w:hAnsi="宋体" w:eastAsia="宋体" w:cs="宋体"/>
                <w:color w:val="auto"/>
                <w:szCs w:val="21"/>
                <w:highlight w:val="none"/>
              </w:rPr>
            </w:pPr>
          </w:p>
        </w:tc>
        <w:tc>
          <w:tcPr>
            <w:tcW w:w="1470" w:type="dxa"/>
            <w:gridSpan w:val="2"/>
            <w:tcBorders>
              <w:top w:val="single" w:color="auto" w:sz="2" w:space="0"/>
              <w:left w:val="single" w:color="auto" w:sz="2" w:space="0"/>
              <w:bottom w:val="single" w:color="auto" w:sz="2" w:space="0"/>
              <w:right w:val="single" w:color="auto" w:sz="2" w:space="0"/>
            </w:tcBorders>
            <w:vAlign w:val="center"/>
          </w:tcPr>
          <w:p w14:paraId="73EF61F2">
            <w:pPr>
              <w:spacing w:line="360" w:lineRule="auto"/>
              <w:ind w:firstLine="420"/>
              <w:jc w:val="center"/>
              <w:rPr>
                <w:rFonts w:hint="eastAsia" w:ascii="宋体" w:hAnsi="宋体" w:eastAsia="宋体" w:cs="宋体"/>
                <w:color w:val="auto"/>
                <w:szCs w:val="21"/>
                <w:highlight w:val="none"/>
              </w:rPr>
            </w:pPr>
          </w:p>
        </w:tc>
        <w:tc>
          <w:tcPr>
            <w:tcW w:w="1047" w:type="dxa"/>
            <w:tcBorders>
              <w:top w:val="single" w:color="auto" w:sz="2" w:space="0"/>
              <w:left w:val="single" w:color="auto" w:sz="2" w:space="0"/>
              <w:bottom w:val="single" w:color="auto" w:sz="2" w:space="0"/>
              <w:right w:val="single" w:color="auto" w:sz="2" w:space="0"/>
            </w:tcBorders>
            <w:vAlign w:val="center"/>
          </w:tcPr>
          <w:p w14:paraId="32841726">
            <w:pPr>
              <w:spacing w:line="360" w:lineRule="auto"/>
              <w:ind w:firstLine="420"/>
              <w:jc w:val="center"/>
              <w:rPr>
                <w:rFonts w:hint="eastAsia" w:ascii="宋体" w:hAnsi="宋体" w:eastAsia="宋体" w:cs="宋体"/>
                <w:color w:val="auto"/>
                <w:szCs w:val="21"/>
                <w:highlight w:val="none"/>
              </w:rPr>
            </w:pPr>
          </w:p>
        </w:tc>
        <w:tc>
          <w:tcPr>
            <w:tcW w:w="1200" w:type="dxa"/>
            <w:gridSpan w:val="2"/>
            <w:tcBorders>
              <w:top w:val="single" w:color="auto" w:sz="2" w:space="0"/>
              <w:left w:val="single" w:color="auto" w:sz="2" w:space="0"/>
              <w:bottom w:val="single" w:color="auto" w:sz="2" w:space="0"/>
              <w:right w:val="single" w:color="auto" w:sz="2" w:space="0"/>
            </w:tcBorders>
            <w:vAlign w:val="center"/>
          </w:tcPr>
          <w:p w14:paraId="1B71EB79">
            <w:pPr>
              <w:spacing w:line="360" w:lineRule="auto"/>
              <w:ind w:firstLine="420"/>
              <w:jc w:val="center"/>
              <w:rPr>
                <w:rFonts w:hint="eastAsia" w:ascii="宋体" w:hAnsi="宋体" w:eastAsia="宋体" w:cs="宋体"/>
                <w:color w:val="auto"/>
                <w:szCs w:val="21"/>
                <w:highlight w:val="none"/>
              </w:rPr>
            </w:pPr>
          </w:p>
        </w:tc>
        <w:tc>
          <w:tcPr>
            <w:tcW w:w="1100" w:type="dxa"/>
            <w:gridSpan w:val="2"/>
            <w:tcBorders>
              <w:top w:val="single" w:color="auto" w:sz="2" w:space="0"/>
              <w:left w:val="single" w:color="auto" w:sz="2" w:space="0"/>
              <w:bottom w:val="single" w:color="auto" w:sz="2" w:space="0"/>
              <w:right w:val="single" w:color="auto" w:sz="2" w:space="0"/>
            </w:tcBorders>
            <w:vAlign w:val="center"/>
          </w:tcPr>
          <w:p w14:paraId="36956828">
            <w:pPr>
              <w:spacing w:line="360" w:lineRule="auto"/>
              <w:ind w:firstLine="420"/>
              <w:jc w:val="center"/>
              <w:rPr>
                <w:rFonts w:hint="eastAsia" w:ascii="宋体" w:hAnsi="宋体" w:eastAsia="宋体" w:cs="宋体"/>
                <w:color w:val="auto"/>
                <w:szCs w:val="21"/>
                <w:highlight w:val="none"/>
              </w:rPr>
            </w:pPr>
          </w:p>
        </w:tc>
        <w:tc>
          <w:tcPr>
            <w:tcW w:w="1304" w:type="dxa"/>
            <w:tcBorders>
              <w:top w:val="single" w:color="auto" w:sz="2" w:space="0"/>
              <w:left w:val="single" w:color="auto" w:sz="2" w:space="0"/>
              <w:bottom w:val="single" w:color="auto" w:sz="2" w:space="0"/>
              <w:right w:val="single" w:color="auto" w:sz="2" w:space="0"/>
            </w:tcBorders>
            <w:vAlign w:val="center"/>
          </w:tcPr>
          <w:p w14:paraId="26148F0D">
            <w:pPr>
              <w:spacing w:line="360" w:lineRule="auto"/>
              <w:ind w:firstLine="420"/>
              <w:jc w:val="center"/>
              <w:rPr>
                <w:rFonts w:hint="eastAsia" w:ascii="宋体" w:hAnsi="宋体" w:eastAsia="宋体" w:cs="宋体"/>
                <w:color w:val="auto"/>
                <w:szCs w:val="21"/>
                <w:highlight w:val="none"/>
              </w:rPr>
            </w:pPr>
          </w:p>
        </w:tc>
      </w:tr>
      <w:tr w14:paraId="457EDB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37" w:hRule="exact"/>
          <w:jc w:val="center"/>
        </w:trPr>
        <w:tc>
          <w:tcPr>
            <w:tcW w:w="1313" w:type="dxa"/>
            <w:gridSpan w:val="2"/>
            <w:tcBorders>
              <w:top w:val="single" w:color="auto" w:sz="2" w:space="0"/>
              <w:left w:val="single" w:color="auto" w:sz="2" w:space="0"/>
              <w:bottom w:val="single" w:color="auto" w:sz="2" w:space="0"/>
              <w:right w:val="single" w:color="auto" w:sz="2" w:space="0"/>
            </w:tcBorders>
            <w:vAlign w:val="center"/>
          </w:tcPr>
          <w:p w14:paraId="6D4DBC3D">
            <w:pPr>
              <w:spacing w:line="360" w:lineRule="auto"/>
              <w:ind w:firstLine="420"/>
              <w:jc w:val="center"/>
              <w:rPr>
                <w:rFonts w:hint="eastAsia" w:ascii="宋体" w:hAnsi="宋体" w:eastAsia="宋体" w:cs="宋体"/>
                <w:color w:val="auto"/>
                <w:szCs w:val="21"/>
                <w:highlight w:val="none"/>
              </w:rPr>
            </w:pPr>
          </w:p>
        </w:tc>
        <w:tc>
          <w:tcPr>
            <w:tcW w:w="1470" w:type="dxa"/>
            <w:tcBorders>
              <w:top w:val="single" w:color="auto" w:sz="2" w:space="0"/>
              <w:left w:val="single" w:color="auto" w:sz="2" w:space="0"/>
              <w:bottom w:val="single" w:color="auto" w:sz="2" w:space="0"/>
              <w:right w:val="single" w:color="auto" w:sz="2" w:space="0"/>
            </w:tcBorders>
            <w:vAlign w:val="center"/>
          </w:tcPr>
          <w:p w14:paraId="5F02AFD2">
            <w:pPr>
              <w:spacing w:line="360" w:lineRule="auto"/>
              <w:ind w:firstLine="420"/>
              <w:jc w:val="center"/>
              <w:rPr>
                <w:rFonts w:hint="eastAsia" w:ascii="宋体" w:hAnsi="宋体" w:eastAsia="宋体" w:cs="宋体"/>
                <w:color w:val="auto"/>
                <w:szCs w:val="21"/>
                <w:highlight w:val="none"/>
              </w:rPr>
            </w:pPr>
          </w:p>
        </w:tc>
        <w:tc>
          <w:tcPr>
            <w:tcW w:w="1470" w:type="dxa"/>
            <w:gridSpan w:val="2"/>
            <w:tcBorders>
              <w:top w:val="single" w:color="auto" w:sz="2" w:space="0"/>
              <w:left w:val="single" w:color="auto" w:sz="2" w:space="0"/>
              <w:bottom w:val="single" w:color="auto" w:sz="2" w:space="0"/>
              <w:right w:val="single" w:color="auto" w:sz="2" w:space="0"/>
            </w:tcBorders>
            <w:vAlign w:val="center"/>
          </w:tcPr>
          <w:p w14:paraId="64C37DD2">
            <w:pPr>
              <w:spacing w:line="360" w:lineRule="auto"/>
              <w:ind w:firstLine="420"/>
              <w:jc w:val="center"/>
              <w:rPr>
                <w:rFonts w:hint="eastAsia" w:ascii="宋体" w:hAnsi="宋体" w:eastAsia="宋体" w:cs="宋体"/>
                <w:color w:val="auto"/>
                <w:szCs w:val="21"/>
                <w:highlight w:val="none"/>
              </w:rPr>
            </w:pPr>
          </w:p>
        </w:tc>
        <w:tc>
          <w:tcPr>
            <w:tcW w:w="1047" w:type="dxa"/>
            <w:tcBorders>
              <w:top w:val="single" w:color="auto" w:sz="2" w:space="0"/>
              <w:left w:val="single" w:color="auto" w:sz="2" w:space="0"/>
              <w:bottom w:val="single" w:color="auto" w:sz="2" w:space="0"/>
              <w:right w:val="single" w:color="auto" w:sz="2" w:space="0"/>
            </w:tcBorders>
            <w:vAlign w:val="center"/>
          </w:tcPr>
          <w:p w14:paraId="2D4B45E1">
            <w:pPr>
              <w:spacing w:line="360" w:lineRule="auto"/>
              <w:ind w:firstLine="420"/>
              <w:jc w:val="center"/>
              <w:rPr>
                <w:rFonts w:hint="eastAsia" w:ascii="宋体" w:hAnsi="宋体" w:eastAsia="宋体" w:cs="宋体"/>
                <w:color w:val="auto"/>
                <w:szCs w:val="21"/>
                <w:highlight w:val="none"/>
              </w:rPr>
            </w:pPr>
          </w:p>
        </w:tc>
        <w:tc>
          <w:tcPr>
            <w:tcW w:w="1200" w:type="dxa"/>
            <w:gridSpan w:val="2"/>
            <w:tcBorders>
              <w:top w:val="single" w:color="auto" w:sz="2" w:space="0"/>
              <w:left w:val="single" w:color="auto" w:sz="2" w:space="0"/>
              <w:bottom w:val="single" w:color="auto" w:sz="2" w:space="0"/>
              <w:right w:val="single" w:color="auto" w:sz="2" w:space="0"/>
            </w:tcBorders>
            <w:vAlign w:val="center"/>
          </w:tcPr>
          <w:p w14:paraId="533F7844">
            <w:pPr>
              <w:spacing w:line="360" w:lineRule="auto"/>
              <w:ind w:firstLine="420"/>
              <w:jc w:val="center"/>
              <w:rPr>
                <w:rFonts w:hint="eastAsia" w:ascii="宋体" w:hAnsi="宋体" w:eastAsia="宋体" w:cs="宋体"/>
                <w:color w:val="auto"/>
                <w:szCs w:val="21"/>
                <w:highlight w:val="none"/>
              </w:rPr>
            </w:pPr>
          </w:p>
        </w:tc>
        <w:tc>
          <w:tcPr>
            <w:tcW w:w="1100" w:type="dxa"/>
            <w:gridSpan w:val="2"/>
            <w:tcBorders>
              <w:top w:val="single" w:color="auto" w:sz="2" w:space="0"/>
              <w:left w:val="single" w:color="auto" w:sz="2" w:space="0"/>
              <w:bottom w:val="single" w:color="auto" w:sz="2" w:space="0"/>
              <w:right w:val="single" w:color="auto" w:sz="2" w:space="0"/>
            </w:tcBorders>
            <w:vAlign w:val="center"/>
          </w:tcPr>
          <w:p w14:paraId="4A74D69B">
            <w:pPr>
              <w:spacing w:line="360" w:lineRule="auto"/>
              <w:ind w:firstLine="420"/>
              <w:jc w:val="center"/>
              <w:rPr>
                <w:rFonts w:hint="eastAsia" w:ascii="宋体" w:hAnsi="宋体" w:eastAsia="宋体" w:cs="宋体"/>
                <w:color w:val="auto"/>
                <w:szCs w:val="21"/>
                <w:highlight w:val="none"/>
              </w:rPr>
            </w:pPr>
          </w:p>
        </w:tc>
        <w:tc>
          <w:tcPr>
            <w:tcW w:w="1304" w:type="dxa"/>
            <w:tcBorders>
              <w:top w:val="single" w:color="auto" w:sz="2" w:space="0"/>
              <w:left w:val="single" w:color="auto" w:sz="2" w:space="0"/>
              <w:bottom w:val="single" w:color="auto" w:sz="2" w:space="0"/>
              <w:right w:val="single" w:color="auto" w:sz="2" w:space="0"/>
            </w:tcBorders>
            <w:vAlign w:val="center"/>
          </w:tcPr>
          <w:p w14:paraId="7CF506D7">
            <w:pPr>
              <w:spacing w:line="360" w:lineRule="auto"/>
              <w:ind w:firstLine="420"/>
              <w:jc w:val="center"/>
              <w:rPr>
                <w:rFonts w:hint="eastAsia" w:ascii="宋体" w:hAnsi="宋体" w:eastAsia="宋体" w:cs="宋体"/>
                <w:color w:val="auto"/>
                <w:szCs w:val="21"/>
                <w:highlight w:val="none"/>
              </w:rPr>
            </w:pPr>
          </w:p>
        </w:tc>
      </w:tr>
    </w:tbl>
    <w:p w14:paraId="58AB5983">
      <w:pPr>
        <w:spacing w:after="100" w:afterAutospacing="1" w:line="360" w:lineRule="auto"/>
        <w:ind w:left="315" w:leftChars="150" w:right="399" w:rightChars="190"/>
        <w:rPr>
          <w:rFonts w:hint="eastAsia" w:ascii="宋体" w:hAnsi="宋体" w:eastAsia="宋体" w:cs="宋体"/>
          <w:color w:val="auto"/>
          <w:szCs w:val="21"/>
          <w:highlight w:val="none"/>
          <w:lang w:eastAsia="zh-CN"/>
        </w:rPr>
        <w:sectPr>
          <w:pgSz w:w="11907" w:h="16840"/>
          <w:pgMar w:top="1440" w:right="1440" w:bottom="1440" w:left="1797" w:header="567" w:footer="591" w:gutter="0"/>
          <w:pgNumType w:fmt="decimal"/>
          <w:cols w:space="720" w:num="1"/>
          <w:docGrid w:linePitch="312" w:charSpace="0"/>
        </w:sectPr>
      </w:pPr>
      <w:r>
        <w:rPr>
          <w:rFonts w:hint="eastAsia" w:ascii="宋体" w:hAnsi="宋体" w:eastAsia="宋体" w:cs="宋体"/>
          <w:color w:val="auto"/>
          <w:highlight w:val="none"/>
        </w:rPr>
        <w:t>【备注：</w:t>
      </w:r>
      <w:r>
        <w:rPr>
          <w:rFonts w:hint="eastAsia" w:ascii="宋体" w:hAnsi="宋体" w:eastAsia="宋体" w:cs="宋体"/>
          <w:color w:val="auto"/>
          <w:szCs w:val="21"/>
          <w:highlight w:val="none"/>
        </w:rPr>
        <w:t>项目总监理工程师的资格证书（含注册证书）等相关证件的复印件。项目总监理工程师必须为投标人本单位的人员，以证书所署单位或以发证单位出具正在变更的证明为准</w:t>
      </w:r>
      <w:r>
        <w:rPr>
          <w:rFonts w:hint="eastAsia" w:ascii="宋体" w:hAnsi="宋体" w:eastAsia="宋体" w:cs="宋体"/>
          <w:color w:val="auto"/>
          <w:sz w:val="20"/>
          <w:szCs w:val="20"/>
          <w:highlight w:val="none"/>
          <w:shd w:val="clear" w:color="auto" w:fill="FFFFFF"/>
        </w:rPr>
        <w:t>。</w:t>
      </w:r>
      <w:r>
        <w:rPr>
          <w:rFonts w:hint="eastAsia" w:ascii="宋体" w:hAnsi="宋体" w:eastAsia="宋体" w:cs="宋体"/>
          <w:color w:val="auto"/>
          <w:highlight w:val="none"/>
        </w:rPr>
        <w:t>】</w:t>
      </w:r>
    </w:p>
    <w:p w14:paraId="55A433D4">
      <w:pPr>
        <w:spacing w:line="360" w:lineRule="auto"/>
        <w:jc w:val="center"/>
        <w:rPr>
          <w:rFonts w:hint="eastAsia" w:ascii="宋体" w:hAnsi="宋体" w:eastAsia="宋体" w:cs="宋体"/>
          <w:b/>
          <w:color w:val="auto"/>
          <w:sz w:val="24"/>
          <w:highlight w:val="none"/>
          <w:lang w:eastAsia="zh-CN"/>
        </w:rPr>
      </w:pPr>
      <w:r>
        <w:rPr>
          <w:rFonts w:hint="eastAsia" w:ascii="宋体" w:hAnsi="宋体" w:eastAsia="宋体" w:cs="宋体"/>
          <w:color w:val="auto"/>
          <w:sz w:val="30"/>
          <w:szCs w:val="30"/>
          <w:highlight w:val="none"/>
          <w:lang w:val="en-US" w:eastAsia="zh-CN"/>
        </w:rPr>
        <w:t>附件：</w:t>
      </w:r>
      <w:r>
        <w:rPr>
          <w:rFonts w:hint="eastAsia" w:ascii="宋体" w:hAnsi="宋体" w:eastAsia="宋体" w:cs="宋体"/>
          <w:color w:val="auto"/>
          <w:sz w:val="30"/>
          <w:szCs w:val="30"/>
          <w:highlight w:val="none"/>
        </w:rPr>
        <w:t>拟投入本项目人员情况汇总表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994"/>
        <w:gridCol w:w="994"/>
        <w:gridCol w:w="994"/>
        <w:gridCol w:w="994"/>
        <w:gridCol w:w="994"/>
        <w:gridCol w:w="1234"/>
        <w:gridCol w:w="995"/>
        <w:gridCol w:w="1090"/>
      </w:tblGrid>
      <w:tr w14:paraId="7A24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95" w:type="dxa"/>
            <w:vMerge w:val="restart"/>
            <w:tcBorders>
              <w:top w:val="single" w:color="auto" w:sz="4" w:space="0"/>
              <w:left w:val="single" w:color="auto" w:sz="4" w:space="0"/>
              <w:bottom w:val="single" w:color="auto" w:sz="4" w:space="0"/>
              <w:right w:val="single" w:color="auto" w:sz="4" w:space="0"/>
            </w:tcBorders>
            <w:vAlign w:val="center"/>
          </w:tcPr>
          <w:p w14:paraId="1E8D3F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94" w:type="dxa"/>
            <w:vMerge w:val="restart"/>
            <w:tcBorders>
              <w:top w:val="single" w:color="auto" w:sz="4" w:space="0"/>
              <w:left w:val="single" w:color="auto" w:sz="4" w:space="0"/>
              <w:bottom w:val="single" w:color="auto" w:sz="4" w:space="0"/>
              <w:right w:val="single" w:color="auto" w:sz="4" w:space="0"/>
            </w:tcBorders>
            <w:vAlign w:val="center"/>
          </w:tcPr>
          <w:p w14:paraId="58E3C57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994" w:type="dxa"/>
            <w:vMerge w:val="restart"/>
            <w:tcBorders>
              <w:top w:val="single" w:color="auto" w:sz="4" w:space="0"/>
              <w:left w:val="single" w:color="auto" w:sz="4" w:space="0"/>
              <w:bottom w:val="single" w:color="auto" w:sz="4" w:space="0"/>
              <w:right w:val="single" w:color="auto" w:sz="4" w:space="0"/>
            </w:tcBorders>
            <w:vAlign w:val="center"/>
          </w:tcPr>
          <w:p w14:paraId="28851FB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拟担任职务</w:t>
            </w:r>
          </w:p>
        </w:tc>
        <w:tc>
          <w:tcPr>
            <w:tcW w:w="994" w:type="dxa"/>
            <w:vMerge w:val="restart"/>
            <w:tcBorders>
              <w:top w:val="single" w:color="auto" w:sz="4" w:space="0"/>
              <w:left w:val="single" w:color="auto" w:sz="4" w:space="0"/>
              <w:bottom w:val="single" w:color="auto" w:sz="4" w:space="0"/>
              <w:right w:val="single" w:color="auto" w:sz="4" w:space="0"/>
            </w:tcBorders>
            <w:vAlign w:val="center"/>
          </w:tcPr>
          <w:p w14:paraId="5311E3C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994" w:type="dxa"/>
            <w:vMerge w:val="restart"/>
            <w:tcBorders>
              <w:top w:val="single" w:color="auto" w:sz="4" w:space="0"/>
              <w:left w:val="single" w:color="auto" w:sz="4" w:space="0"/>
              <w:bottom w:val="single" w:color="auto" w:sz="4" w:space="0"/>
              <w:right w:val="single" w:color="auto" w:sz="4" w:space="0"/>
            </w:tcBorders>
            <w:vAlign w:val="center"/>
          </w:tcPr>
          <w:p w14:paraId="4ECA70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994" w:type="dxa"/>
            <w:vMerge w:val="restart"/>
            <w:tcBorders>
              <w:top w:val="single" w:color="auto" w:sz="4" w:space="0"/>
              <w:left w:val="single" w:color="auto" w:sz="4" w:space="0"/>
              <w:bottom w:val="single" w:color="auto" w:sz="4" w:space="0"/>
              <w:right w:val="single" w:color="auto" w:sz="4" w:space="0"/>
            </w:tcBorders>
            <w:vAlign w:val="center"/>
          </w:tcPr>
          <w:p w14:paraId="333F4DD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2229" w:type="dxa"/>
            <w:gridSpan w:val="2"/>
            <w:tcBorders>
              <w:top w:val="single" w:color="auto" w:sz="4" w:space="0"/>
              <w:left w:val="single" w:color="auto" w:sz="4" w:space="0"/>
              <w:bottom w:val="single" w:color="auto" w:sz="4" w:space="0"/>
              <w:right w:val="single" w:color="auto" w:sz="4" w:space="0"/>
            </w:tcBorders>
            <w:vAlign w:val="center"/>
          </w:tcPr>
          <w:p w14:paraId="43B054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执业资格或岗位</w:t>
            </w:r>
          </w:p>
          <w:p w14:paraId="64DA015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（培训）证书</w:t>
            </w:r>
          </w:p>
        </w:tc>
        <w:tc>
          <w:tcPr>
            <w:tcW w:w="1090" w:type="dxa"/>
            <w:vMerge w:val="restart"/>
            <w:tcBorders>
              <w:top w:val="single" w:color="auto" w:sz="4" w:space="0"/>
              <w:left w:val="single" w:color="auto" w:sz="4" w:space="0"/>
              <w:bottom w:val="single" w:color="auto" w:sz="4" w:space="0"/>
              <w:right w:val="single" w:color="auto" w:sz="4" w:space="0"/>
            </w:tcBorders>
            <w:vAlign w:val="center"/>
          </w:tcPr>
          <w:p w14:paraId="0A2044F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工程监理（服务）工作年限</w:t>
            </w:r>
          </w:p>
        </w:tc>
      </w:tr>
      <w:tr w14:paraId="7E21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995" w:type="dxa"/>
            <w:vMerge w:val="continue"/>
            <w:tcBorders>
              <w:top w:val="single" w:color="auto" w:sz="4" w:space="0"/>
              <w:left w:val="single" w:color="auto" w:sz="4" w:space="0"/>
              <w:bottom w:val="single" w:color="auto" w:sz="4" w:space="0"/>
              <w:right w:val="single" w:color="auto" w:sz="4" w:space="0"/>
            </w:tcBorders>
            <w:vAlign w:val="center"/>
          </w:tcPr>
          <w:p w14:paraId="0F09E3F6">
            <w:pPr>
              <w:spacing w:line="360" w:lineRule="auto"/>
              <w:jc w:val="center"/>
              <w:rPr>
                <w:rFonts w:hint="eastAsia" w:ascii="宋体" w:hAnsi="宋体" w:eastAsia="宋体" w:cs="宋体"/>
                <w:color w:val="auto"/>
                <w:szCs w:val="21"/>
                <w:highlight w:val="none"/>
              </w:rPr>
            </w:pPr>
          </w:p>
        </w:tc>
        <w:tc>
          <w:tcPr>
            <w:tcW w:w="994" w:type="dxa"/>
            <w:vMerge w:val="continue"/>
            <w:tcBorders>
              <w:top w:val="single" w:color="auto" w:sz="4" w:space="0"/>
              <w:left w:val="single" w:color="auto" w:sz="4" w:space="0"/>
              <w:bottom w:val="single" w:color="auto" w:sz="4" w:space="0"/>
              <w:right w:val="single" w:color="auto" w:sz="4" w:space="0"/>
            </w:tcBorders>
            <w:vAlign w:val="center"/>
          </w:tcPr>
          <w:p w14:paraId="2CB92A6E">
            <w:pPr>
              <w:spacing w:line="360" w:lineRule="auto"/>
              <w:jc w:val="center"/>
              <w:rPr>
                <w:rFonts w:hint="eastAsia" w:ascii="宋体" w:hAnsi="宋体" w:eastAsia="宋体" w:cs="宋体"/>
                <w:color w:val="auto"/>
                <w:szCs w:val="21"/>
                <w:highlight w:val="none"/>
              </w:rPr>
            </w:pPr>
          </w:p>
        </w:tc>
        <w:tc>
          <w:tcPr>
            <w:tcW w:w="994" w:type="dxa"/>
            <w:vMerge w:val="continue"/>
            <w:tcBorders>
              <w:top w:val="single" w:color="auto" w:sz="4" w:space="0"/>
              <w:left w:val="single" w:color="auto" w:sz="4" w:space="0"/>
              <w:bottom w:val="single" w:color="auto" w:sz="4" w:space="0"/>
              <w:right w:val="single" w:color="auto" w:sz="4" w:space="0"/>
            </w:tcBorders>
            <w:vAlign w:val="center"/>
          </w:tcPr>
          <w:p w14:paraId="1C951031">
            <w:pPr>
              <w:spacing w:line="360" w:lineRule="auto"/>
              <w:jc w:val="center"/>
              <w:rPr>
                <w:rFonts w:hint="eastAsia" w:ascii="宋体" w:hAnsi="宋体" w:eastAsia="宋体" w:cs="宋体"/>
                <w:color w:val="auto"/>
                <w:szCs w:val="21"/>
                <w:highlight w:val="none"/>
              </w:rPr>
            </w:pPr>
          </w:p>
        </w:tc>
        <w:tc>
          <w:tcPr>
            <w:tcW w:w="994" w:type="dxa"/>
            <w:vMerge w:val="continue"/>
            <w:tcBorders>
              <w:top w:val="single" w:color="auto" w:sz="4" w:space="0"/>
              <w:left w:val="single" w:color="auto" w:sz="4" w:space="0"/>
              <w:bottom w:val="single" w:color="auto" w:sz="4" w:space="0"/>
              <w:right w:val="single" w:color="auto" w:sz="4" w:space="0"/>
            </w:tcBorders>
            <w:vAlign w:val="center"/>
          </w:tcPr>
          <w:p w14:paraId="256FD5D7">
            <w:pPr>
              <w:spacing w:line="360" w:lineRule="auto"/>
              <w:jc w:val="center"/>
              <w:rPr>
                <w:rFonts w:hint="eastAsia" w:ascii="宋体" w:hAnsi="宋体" w:eastAsia="宋体" w:cs="宋体"/>
                <w:color w:val="auto"/>
                <w:szCs w:val="21"/>
                <w:highlight w:val="none"/>
              </w:rPr>
            </w:pPr>
          </w:p>
        </w:tc>
        <w:tc>
          <w:tcPr>
            <w:tcW w:w="994" w:type="dxa"/>
            <w:vMerge w:val="continue"/>
            <w:tcBorders>
              <w:top w:val="single" w:color="auto" w:sz="4" w:space="0"/>
              <w:left w:val="single" w:color="auto" w:sz="4" w:space="0"/>
              <w:bottom w:val="single" w:color="auto" w:sz="4" w:space="0"/>
              <w:right w:val="single" w:color="auto" w:sz="4" w:space="0"/>
            </w:tcBorders>
            <w:vAlign w:val="center"/>
          </w:tcPr>
          <w:p w14:paraId="66957840">
            <w:pPr>
              <w:spacing w:line="360" w:lineRule="auto"/>
              <w:jc w:val="center"/>
              <w:rPr>
                <w:rFonts w:hint="eastAsia" w:ascii="宋体" w:hAnsi="宋体" w:eastAsia="宋体" w:cs="宋体"/>
                <w:color w:val="auto"/>
                <w:szCs w:val="21"/>
                <w:highlight w:val="none"/>
              </w:rPr>
            </w:pPr>
          </w:p>
        </w:tc>
        <w:tc>
          <w:tcPr>
            <w:tcW w:w="994" w:type="dxa"/>
            <w:vMerge w:val="continue"/>
            <w:tcBorders>
              <w:top w:val="single" w:color="auto" w:sz="4" w:space="0"/>
              <w:left w:val="single" w:color="auto" w:sz="4" w:space="0"/>
              <w:bottom w:val="single" w:color="auto" w:sz="4" w:space="0"/>
              <w:right w:val="single" w:color="auto" w:sz="4" w:space="0"/>
            </w:tcBorders>
            <w:vAlign w:val="center"/>
          </w:tcPr>
          <w:p w14:paraId="0D0834BA">
            <w:pPr>
              <w:spacing w:line="360" w:lineRule="auto"/>
              <w:jc w:val="center"/>
              <w:rPr>
                <w:rFonts w:hint="eastAsia" w:ascii="宋体" w:hAnsi="宋体" w:eastAsia="宋体" w:cs="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48A1E39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证书名称及专业</w:t>
            </w:r>
          </w:p>
        </w:tc>
        <w:tc>
          <w:tcPr>
            <w:tcW w:w="995" w:type="dxa"/>
            <w:tcBorders>
              <w:top w:val="single" w:color="auto" w:sz="4" w:space="0"/>
              <w:left w:val="single" w:color="auto" w:sz="4" w:space="0"/>
              <w:bottom w:val="single" w:color="auto" w:sz="4" w:space="0"/>
              <w:right w:val="single" w:color="auto" w:sz="4" w:space="0"/>
            </w:tcBorders>
            <w:vAlign w:val="center"/>
          </w:tcPr>
          <w:p w14:paraId="181B8E2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w:t>
            </w:r>
          </w:p>
          <w:p w14:paraId="170C30E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编号</w:t>
            </w:r>
          </w:p>
        </w:tc>
        <w:tc>
          <w:tcPr>
            <w:tcW w:w="1090" w:type="dxa"/>
            <w:vMerge w:val="continue"/>
            <w:tcBorders>
              <w:top w:val="single" w:color="auto" w:sz="4" w:space="0"/>
              <w:left w:val="single" w:color="auto" w:sz="4" w:space="0"/>
              <w:bottom w:val="single" w:color="auto" w:sz="4" w:space="0"/>
              <w:right w:val="single" w:color="auto" w:sz="4" w:space="0"/>
            </w:tcBorders>
            <w:vAlign w:val="center"/>
          </w:tcPr>
          <w:p w14:paraId="1BBD964F">
            <w:pPr>
              <w:spacing w:line="360" w:lineRule="auto"/>
              <w:jc w:val="center"/>
              <w:rPr>
                <w:rFonts w:hint="eastAsia" w:ascii="宋体" w:hAnsi="宋体" w:eastAsia="宋体" w:cs="宋体"/>
                <w:color w:val="auto"/>
                <w:szCs w:val="21"/>
                <w:highlight w:val="none"/>
              </w:rPr>
            </w:pPr>
          </w:p>
        </w:tc>
      </w:tr>
      <w:tr w14:paraId="3AC8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5BC5275B">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28395C4F">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5E06D1EE">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759F7CDB">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2C906298">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7A837889">
            <w:pPr>
              <w:spacing w:line="360" w:lineRule="auto"/>
              <w:jc w:val="center"/>
              <w:rPr>
                <w:rFonts w:hint="eastAsia" w:ascii="宋体" w:hAnsi="宋体" w:eastAsia="宋体" w:cs="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18992A57">
            <w:pPr>
              <w:spacing w:line="360" w:lineRule="auto"/>
              <w:jc w:val="center"/>
              <w:rPr>
                <w:rFonts w:hint="eastAsia" w:ascii="宋体" w:hAnsi="宋体" w:eastAsia="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vAlign w:val="center"/>
          </w:tcPr>
          <w:p w14:paraId="65DD81A6">
            <w:pPr>
              <w:spacing w:line="360" w:lineRule="auto"/>
              <w:jc w:val="center"/>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783FA201">
            <w:pPr>
              <w:spacing w:line="360" w:lineRule="auto"/>
              <w:jc w:val="center"/>
              <w:rPr>
                <w:rFonts w:hint="eastAsia" w:ascii="宋体" w:hAnsi="宋体" w:eastAsia="宋体" w:cs="宋体"/>
                <w:color w:val="auto"/>
                <w:szCs w:val="21"/>
                <w:highlight w:val="none"/>
              </w:rPr>
            </w:pPr>
          </w:p>
        </w:tc>
      </w:tr>
      <w:tr w14:paraId="761F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5AC79B7C">
            <w:pPr>
              <w:spacing w:line="360" w:lineRule="auto"/>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2942C314">
            <w:pPr>
              <w:spacing w:line="360" w:lineRule="auto"/>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749C7578">
            <w:pPr>
              <w:spacing w:line="360" w:lineRule="auto"/>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43B78EEA">
            <w:pPr>
              <w:spacing w:line="360" w:lineRule="auto"/>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5A378868">
            <w:pPr>
              <w:spacing w:line="360" w:lineRule="auto"/>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7E953AE0">
            <w:pPr>
              <w:spacing w:line="360" w:lineRule="auto"/>
              <w:rPr>
                <w:rFonts w:hint="eastAsia" w:ascii="宋体" w:hAnsi="宋体" w:eastAsia="宋体" w:cs="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5A4B54F7">
            <w:pPr>
              <w:spacing w:line="360" w:lineRule="auto"/>
              <w:rPr>
                <w:rFonts w:hint="eastAsia" w:ascii="宋体" w:hAnsi="宋体" w:eastAsia="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vAlign w:val="center"/>
          </w:tcPr>
          <w:p w14:paraId="4890F107">
            <w:pPr>
              <w:spacing w:line="360" w:lineRule="auto"/>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5FD82150">
            <w:pPr>
              <w:spacing w:line="360" w:lineRule="auto"/>
              <w:rPr>
                <w:rFonts w:hint="eastAsia" w:ascii="宋体" w:hAnsi="宋体" w:eastAsia="宋体" w:cs="宋体"/>
                <w:color w:val="auto"/>
                <w:szCs w:val="21"/>
                <w:highlight w:val="none"/>
              </w:rPr>
            </w:pPr>
          </w:p>
        </w:tc>
      </w:tr>
      <w:tr w14:paraId="741B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6A20DC83">
            <w:pPr>
              <w:spacing w:line="360" w:lineRule="auto"/>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010FB00D">
            <w:pPr>
              <w:spacing w:line="360" w:lineRule="auto"/>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122F4F03">
            <w:pPr>
              <w:spacing w:line="360" w:lineRule="auto"/>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3BB6E751">
            <w:pPr>
              <w:spacing w:line="360" w:lineRule="auto"/>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3585BBAB">
            <w:pPr>
              <w:spacing w:line="360" w:lineRule="auto"/>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2D78FFAB">
            <w:pPr>
              <w:spacing w:line="360" w:lineRule="auto"/>
              <w:rPr>
                <w:rFonts w:hint="eastAsia" w:ascii="宋体" w:hAnsi="宋体" w:eastAsia="宋体" w:cs="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01C3F855">
            <w:pPr>
              <w:spacing w:line="360" w:lineRule="auto"/>
              <w:rPr>
                <w:rFonts w:hint="eastAsia" w:ascii="宋体" w:hAnsi="宋体" w:eastAsia="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vAlign w:val="center"/>
          </w:tcPr>
          <w:p w14:paraId="7BA40369">
            <w:pPr>
              <w:spacing w:line="360" w:lineRule="auto"/>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173043CB">
            <w:pPr>
              <w:spacing w:line="360" w:lineRule="auto"/>
              <w:rPr>
                <w:rFonts w:hint="eastAsia" w:ascii="宋体" w:hAnsi="宋体" w:eastAsia="宋体" w:cs="宋体"/>
                <w:color w:val="auto"/>
                <w:szCs w:val="21"/>
                <w:highlight w:val="none"/>
              </w:rPr>
            </w:pPr>
          </w:p>
        </w:tc>
      </w:tr>
      <w:tr w14:paraId="3212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0C5E8CF6">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57B21F4F">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5AE1E814">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27377AFC">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48C852AA">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1885F31C">
            <w:pPr>
              <w:spacing w:line="360" w:lineRule="auto"/>
              <w:jc w:val="center"/>
              <w:rPr>
                <w:rFonts w:hint="eastAsia" w:ascii="宋体" w:hAnsi="宋体" w:eastAsia="宋体" w:cs="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12DC9AAF">
            <w:pPr>
              <w:spacing w:line="360" w:lineRule="auto"/>
              <w:jc w:val="center"/>
              <w:rPr>
                <w:rFonts w:hint="eastAsia" w:ascii="宋体" w:hAnsi="宋体" w:eastAsia="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vAlign w:val="center"/>
          </w:tcPr>
          <w:p w14:paraId="1CDCB4AB">
            <w:pPr>
              <w:spacing w:line="360" w:lineRule="auto"/>
              <w:jc w:val="center"/>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5B446958">
            <w:pPr>
              <w:spacing w:line="360" w:lineRule="auto"/>
              <w:jc w:val="center"/>
              <w:rPr>
                <w:rFonts w:hint="eastAsia" w:ascii="宋体" w:hAnsi="宋体" w:eastAsia="宋体" w:cs="宋体"/>
                <w:color w:val="auto"/>
                <w:szCs w:val="21"/>
                <w:highlight w:val="none"/>
              </w:rPr>
            </w:pPr>
          </w:p>
        </w:tc>
      </w:tr>
      <w:tr w14:paraId="0F43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7CDB86DA">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7C20690C">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799650CF">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0ECE92B9">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176C205F">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1EFA7360">
            <w:pPr>
              <w:spacing w:line="360" w:lineRule="auto"/>
              <w:jc w:val="center"/>
              <w:rPr>
                <w:rFonts w:hint="eastAsia" w:ascii="宋体" w:hAnsi="宋体" w:eastAsia="宋体" w:cs="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266A96F8">
            <w:pPr>
              <w:spacing w:line="360" w:lineRule="auto"/>
              <w:jc w:val="center"/>
              <w:rPr>
                <w:rFonts w:hint="eastAsia" w:ascii="宋体" w:hAnsi="宋体" w:eastAsia="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vAlign w:val="center"/>
          </w:tcPr>
          <w:p w14:paraId="2A2D602A">
            <w:pPr>
              <w:spacing w:line="360" w:lineRule="auto"/>
              <w:jc w:val="center"/>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5D59F696">
            <w:pPr>
              <w:spacing w:line="360" w:lineRule="auto"/>
              <w:jc w:val="center"/>
              <w:rPr>
                <w:rFonts w:hint="eastAsia" w:ascii="宋体" w:hAnsi="宋体" w:eastAsia="宋体" w:cs="宋体"/>
                <w:color w:val="auto"/>
                <w:szCs w:val="21"/>
                <w:highlight w:val="none"/>
              </w:rPr>
            </w:pPr>
          </w:p>
        </w:tc>
      </w:tr>
      <w:tr w14:paraId="63EF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64C6632F">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08E8CE8F">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04F1A98A">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3EF965CB">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7968EBD3">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2D8B2BE3">
            <w:pPr>
              <w:spacing w:line="360" w:lineRule="auto"/>
              <w:jc w:val="center"/>
              <w:rPr>
                <w:rFonts w:hint="eastAsia" w:ascii="宋体" w:hAnsi="宋体" w:eastAsia="宋体" w:cs="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31ACC870">
            <w:pPr>
              <w:spacing w:line="360" w:lineRule="auto"/>
              <w:jc w:val="center"/>
              <w:rPr>
                <w:rFonts w:hint="eastAsia" w:ascii="宋体" w:hAnsi="宋体" w:eastAsia="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vAlign w:val="center"/>
          </w:tcPr>
          <w:p w14:paraId="55F0548E">
            <w:pPr>
              <w:spacing w:line="360" w:lineRule="auto"/>
              <w:jc w:val="center"/>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2FA778D7">
            <w:pPr>
              <w:spacing w:line="360" w:lineRule="auto"/>
              <w:jc w:val="center"/>
              <w:rPr>
                <w:rFonts w:hint="eastAsia" w:ascii="宋体" w:hAnsi="宋体" w:eastAsia="宋体" w:cs="宋体"/>
                <w:color w:val="auto"/>
                <w:szCs w:val="21"/>
                <w:highlight w:val="none"/>
              </w:rPr>
            </w:pPr>
          </w:p>
        </w:tc>
      </w:tr>
      <w:tr w14:paraId="1023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770A2EC9">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24F96867">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211BA9A7">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1D47D7F2">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58FE9AE0">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7E280B77">
            <w:pPr>
              <w:spacing w:line="360" w:lineRule="auto"/>
              <w:jc w:val="center"/>
              <w:rPr>
                <w:rFonts w:hint="eastAsia" w:ascii="宋体" w:hAnsi="宋体" w:eastAsia="宋体" w:cs="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14C86829">
            <w:pPr>
              <w:spacing w:line="360" w:lineRule="auto"/>
              <w:jc w:val="center"/>
              <w:rPr>
                <w:rFonts w:hint="eastAsia" w:ascii="宋体" w:hAnsi="宋体" w:eastAsia="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vAlign w:val="center"/>
          </w:tcPr>
          <w:p w14:paraId="1659E62B">
            <w:pPr>
              <w:spacing w:line="360" w:lineRule="auto"/>
              <w:jc w:val="center"/>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36FB45A1">
            <w:pPr>
              <w:spacing w:line="360" w:lineRule="auto"/>
              <w:jc w:val="center"/>
              <w:rPr>
                <w:rFonts w:hint="eastAsia" w:ascii="宋体" w:hAnsi="宋体" w:eastAsia="宋体" w:cs="宋体"/>
                <w:color w:val="auto"/>
                <w:szCs w:val="21"/>
                <w:highlight w:val="none"/>
              </w:rPr>
            </w:pPr>
          </w:p>
        </w:tc>
      </w:tr>
      <w:tr w14:paraId="7DE3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6CA8700E">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14810E43">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492F47BC">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1F84E7FE">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3706A772">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5CEC2D91">
            <w:pPr>
              <w:spacing w:line="360" w:lineRule="auto"/>
              <w:jc w:val="center"/>
              <w:rPr>
                <w:rFonts w:hint="eastAsia" w:ascii="宋体" w:hAnsi="宋体" w:eastAsia="宋体" w:cs="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14494F23">
            <w:pPr>
              <w:spacing w:line="360" w:lineRule="auto"/>
              <w:jc w:val="center"/>
              <w:rPr>
                <w:rFonts w:hint="eastAsia" w:ascii="宋体" w:hAnsi="宋体" w:eastAsia="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vAlign w:val="center"/>
          </w:tcPr>
          <w:p w14:paraId="342BCF52">
            <w:pPr>
              <w:spacing w:line="360" w:lineRule="auto"/>
              <w:jc w:val="center"/>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00248E9A">
            <w:pPr>
              <w:spacing w:line="360" w:lineRule="auto"/>
              <w:jc w:val="center"/>
              <w:rPr>
                <w:rFonts w:hint="eastAsia" w:ascii="宋体" w:hAnsi="宋体" w:eastAsia="宋体" w:cs="宋体"/>
                <w:color w:val="auto"/>
                <w:szCs w:val="21"/>
                <w:highlight w:val="none"/>
              </w:rPr>
            </w:pPr>
          </w:p>
        </w:tc>
      </w:tr>
      <w:tr w14:paraId="419F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0448FEBB">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0EFD8BA6">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2944B987">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2A64F8F1">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59F0E2F8">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3BCF90FF">
            <w:pPr>
              <w:spacing w:line="360" w:lineRule="auto"/>
              <w:jc w:val="center"/>
              <w:rPr>
                <w:rFonts w:hint="eastAsia" w:ascii="宋体" w:hAnsi="宋体" w:eastAsia="宋体" w:cs="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2FEBB2E9">
            <w:pPr>
              <w:spacing w:line="360" w:lineRule="auto"/>
              <w:jc w:val="center"/>
              <w:rPr>
                <w:rFonts w:hint="eastAsia" w:ascii="宋体" w:hAnsi="宋体" w:eastAsia="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vAlign w:val="center"/>
          </w:tcPr>
          <w:p w14:paraId="11B4C7A9">
            <w:pPr>
              <w:spacing w:line="360" w:lineRule="auto"/>
              <w:jc w:val="center"/>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63F181CF">
            <w:pPr>
              <w:spacing w:line="360" w:lineRule="auto"/>
              <w:jc w:val="center"/>
              <w:rPr>
                <w:rFonts w:hint="eastAsia" w:ascii="宋体" w:hAnsi="宋体" w:eastAsia="宋体" w:cs="宋体"/>
                <w:color w:val="auto"/>
                <w:szCs w:val="21"/>
                <w:highlight w:val="none"/>
              </w:rPr>
            </w:pPr>
          </w:p>
        </w:tc>
      </w:tr>
      <w:tr w14:paraId="0042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2869A07B">
            <w:pPr>
              <w:spacing w:line="360" w:lineRule="auto"/>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20C28E1F">
            <w:pPr>
              <w:spacing w:line="360" w:lineRule="auto"/>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7D0CC035">
            <w:pPr>
              <w:spacing w:line="360" w:lineRule="auto"/>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51D1E226">
            <w:pPr>
              <w:spacing w:line="360" w:lineRule="auto"/>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38E8693E">
            <w:pPr>
              <w:spacing w:line="360" w:lineRule="auto"/>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61EB917D">
            <w:pPr>
              <w:spacing w:line="360" w:lineRule="auto"/>
              <w:rPr>
                <w:rFonts w:hint="eastAsia" w:ascii="宋体" w:hAnsi="宋体" w:eastAsia="宋体" w:cs="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5177E684">
            <w:pPr>
              <w:spacing w:line="360" w:lineRule="auto"/>
              <w:rPr>
                <w:rFonts w:hint="eastAsia" w:ascii="宋体" w:hAnsi="宋体" w:eastAsia="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vAlign w:val="center"/>
          </w:tcPr>
          <w:p w14:paraId="5910CE24">
            <w:pPr>
              <w:spacing w:line="360" w:lineRule="auto"/>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46E5C12F">
            <w:pPr>
              <w:spacing w:line="360" w:lineRule="auto"/>
              <w:rPr>
                <w:rFonts w:hint="eastAsia" w:ascii="宋体" w:hAnsi="宋体" w:eastAsia="宋体" w:cs="宋体"/>
                <w:color w:val="auto"/>
                <w:szCs w:val="21"/>
                <w:highlight w:val="none"/>
              </w:rPr>
            </w:pPr>
          </w:p>
        </w:tc>
      </w:tr>
      <w:tr w14:paraId="05B2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17D2BE1E">
            <w:pPr>
              <w:spacing w:line="360" w:lineRule="auto"/>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27775A4D">
            <w:pPr>
              <w:spacing w:line="360" w:lineRule="auto"/>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37053A9B">
            <w:pPr>
              <w:spacing w:line="360" w:lineRule="auto"/>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1D66E3B9">
            <w:pPr>
              <w:spacing w:line="360" w:lineRule="auto"/>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3E40A211">
            <w:pPr>
              <w:spacing w:line="360" w:lineRule="auto"/>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184FFE72">
            <w:pPr>
              <w:spacing w:line="360" w:lineRule="auto"/>
              <w:rPr>
                <w:rFonts w:hint="eastAsia" w:ascii="宋体" w:hAnsi="宋体" w:eastAsia="宋体" w:cs="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13316BDA">
            <w:pPr>
              <w:spacing w:line="360" w:lineRule="auto"/>
              <w:rPr>
                <w:rFonts w:hint="eastAsia" w:ascii="宋体" w:hAnsi="宋体" w:eastAsia="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vAlign w:val="center"/>
          </w:tcPr>
          <w:p w14:paraId="26E35E43">
            <w:pPr>
              <w:spacing w:line="360" w:lineRule="auto"/>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6F1BD4A2">
            <w:pPr>
              <w:spacing w:line="360" w:lineRule="auto"/>
              <w:rPr>
                <w:rFonts w:hint="eastAsia" w:ascii="宋体" w:hAnsi="宋体" w:eastAsia="宋体" w:cs="宋体"/>
                <w:color w:val="auto"/>
                <w:szCs w:val="21"/>
                <w:highlight w:val="none"/>
              </w:rPr>
            </w:pPr>
          </w:p>
        </w:tc>
      </w:tr>
      <w:tr w14:paraId="640B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2AB4E636">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11164A32">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673A6E89">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542DA934">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25F2CB7B">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39E958E7">
            <w:pPr>
              <w:spacing w:line="360" w:lineRule="auto"/>
              <w:jc w:val="center"/>
              <w:rPr>
                <w:rFonts w:hint="eastAsia" w:ascii="宋体" w:hAnsi="宋体" w:eastAsia="宋体" w:cs="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2C6E9528">
            <w:pPr>
              <w:spacing w:line="360" w:lineRule="auto"/>
              <w:jc w:val="center"/>
              <w:rPr>
                <w:rFonts w:hint="eastAsia" w:ascii="宋体" w:hAnsi="宋体" w:eastAsia="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vAlign w:val="center"/>
          </w:tcPr>
          <w:p w14:paraId="77AC9875">
            <w:pPr>
              <w:spacing w:line="360" w:lineRule="auto"/>
              <w:jc w:val="center"/>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203C57BC">
            <w:pPr>
              <w:spacing w:line="360" w:lineRule="auto"/>
              <w:jc w:val="center"/>
              <w:rPr>
                <w:rFonts w:hint="eastAsia" w:ascii="宋体" w:hAnsi="宋体" w:eastAsia="宋体" w:cs="宋体"/>
                <w:color w:val="auto"/>
                <w:szCs w:val="21"/>
                <w:highlight w:val="none"/>
              </w:rPr>
            </w:pPr>
          </w:p>
        </w:tc>
      </w:tr>
      <w:tr w14:paraId="0312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0B595CE0">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7083B0BB">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115778A6">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03652961">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354AE71E">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74E92266">
            <w:pPr>
              <w:spacing w:line="360" w:lineRule="auto"/>
              <w:jc w:val="center"/>
              <w:rPr>
                <w:rFonts w:hint="eastAsia" w:ascii="宋体" w:hAnsi="宋体" w:eastAsia="宋体" w:cs="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256FB8D9">
            <w:pPr>
              <w:spacing w:line="360" w:lineRule="auto"/>
              <w:jc w:val="center"/>
              <w:rPr>
                <w:rFonts w:hint="eastAsia" w:ascii="宋体" w:hAnsi="宋体" w:eastAsia="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vAlign w:val="center"/>
          </w:tcPr>
          <w:p w14:paraId="27488943">
            <w:pPr>
              <w:spacing w:line="360" w:lineRule="auto"/>
              <w:jc w:val="center"/>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7026FBB0">
            <w:pPr>
              <w:spacing w:line="360" w:lineRule="auto"/>
              <w:jc w:val="center"/>
              <w:rPr>
                <w:rFonts w:hint="eastAsia" w:ascii="宋体" w:hAnsi="宋体" w:eastAsia="宋体" w:cs="宋体"/>
                <w:color w:val="auto"/>
                <w:szCs w:val="21"/>
                <w:highlight w:val="none"/>
              </w:rPr>
            </w:pPr>
          </w:p>
        </w:tc>
      </w:tr>
      <w:tr w14:paraId="0B34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022429EB">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3FD41AD7">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5DC90BCE">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07CD1F58">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5F97B1EC">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12570102">
            <w:pPr>
              <w:spacing w:line="360" w:lineRule="auto"/>
              <w:jc w:val="center"/>
              <w:rPr>
                <w:rFonts w:hint="eastAsia" w:ascii="宋体" w:hAnsi="宋体" w:eastAsia="宋体" w:cs="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50673E4E">
            <w:pPr>
              <w:spacing w:line="360" w:lineRule="auto"/>
              <w:jc w:val="center"/>
              <w:rPr>
                <w:rFonts w:hint="eastAsia" w:ascii="宋体" w:hAnsi="宋体" w:eastAsia="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vAlign w:val="center"/>
          </w:tcPr>
          <w:p w14:paraId="7BC32A9E">
            <w:pPr>
              <w:spacing w:line="360" w:lineRule="auto"/>
              <w:jc w:val="center"/>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3CAC6171">
            <w:pPr>
              <w:spacing w:line="360" w:lineRule="auto"/>
              <w:jc w:val="center"/>
              <w:rPr>
                <w:rFonts w:hint="eastAsia" w:ascii="宋体" w:hAnsi="宋体" w:eastAsia="宋体" w:cs="宋体"/>
                <w:color w:val="auto"/>
                <w:szCs w:val="21"/>
                <w:highlight w:val="none"/>
              </w:rPr>
            </w:pPr>
          </w:p>
        </w:tc>
      </w:tr>
      <w:tr w14:paraId="777F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2F201E41">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7DE8CCED">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17260E70">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563E5396">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6F1812EB">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46225E80">
            <w:pPr>
              <w:spacing w:line="360" w:lineRule="auto"/>
              <w:jc w:val="center"/>
              <w:rPr>
                <w:rFonts w:hint="eastAsia" w:ascii="宋体" w:hAnsi="宋体" w:eastAsia="宋体" w:cs="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6089EF4B">
            <w:pPr>
              <w:spacing w:line="360" w:lineRule="auto"/>
              <w:jc w:val="center"/>
              <w:rPr>
                <w:rFonts w:hint="eastAsia" w:ascii="宋体" w:hAnsi="宋体" w:eastAsia="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vAlign w:val="center"/>
          </w:tcPr>
          <w:p w14:paraId="75FC468D">
            <w:pPr>
              <w:spacing w:line="360" w:lineRule="auto"/>
              <w:jc w:val="center"/>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03D925E5">
            <w:pPr>
              <w:spacing w:line="360" w:lineRule="auto"/>
              <w:jc w:val="center"/>
              <w:rPr>
                <w:rFonts w:hint="eastAsia" w:ascii="宋体" w:hAnsi="宋体" w:eastAsia="宋体" w:cs="宋体"/>
                <w:color w:val="auto"/>
                <w:szCs w:val="21"/>
                <w:highlight w:val="none"/>
              </w:rPr>
            </w:pPr>
          </w:p>
        </w:tc>
      </w:tr>
      <w:tr w14:paraId="7D7D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31F735E2">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68AD6A89">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557CC3C4">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32EF1BCA">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710420B5">
            <w:pPr>
              <w:spacing w:line="360" w:lineRule="auto"/>
              <w:jc w:val="center"/>
              <w:rPr>
                <w:rFonts w:hint="eastAsia" w:ascii="宋体" w:hAnsi="宋体" w:eastAsia="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0CED2A8B">
            <w:pPr>
              <w:spacing w:line="360" w:lineRule="auto"/>
              <w:jc w:val="center"/>
              <w:rPr>
                <w:rFonts w:hint="eastAsia" w:ascii="宋体" w:hAnsi="宋体" w:eastAsia="宋体" w:cs="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420FA676">
            <w:pPr>
              <w:spacing w:line="360" w:lineRule="auto"/>
              <w:jc w:val="center"/>
              <w:rPr>
                <w:rFonts w:hint="eastAsia" w:ascii="宋体" w:hAnsi="宋体" w:eastAsia="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vAlign w:val="center"/>
          </w:tcPr>
          <w:p w14:paraId="24D1217A">
            <w:pPr>
              <w:spacing w:line="360" w:lineRule="auto"/>
              <w:jc w:val="center"/>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5F314589">
            <w:pPr>
              <w:spacing w:line="360" w:lineRule="auto"/>
              <w:jc w:val="center"/>
              <w:rPr>
                <w:rFonts w:hint="eastAsia" w:ascii="宋体" w:hAnsi="宋体" w:eastAsia="宋体" w:cs="宋体"/>
                <w:color w:val="auto"/>
                <w:szCs w:val="21"/>
                <w:highlight w:val="none"/>
              </w:rPr>
            </w:pPr>
          </w:p>
        </w:tc>
      </w:tr>
    </w:tbl>
    <w:p w14:paraId="0897C6EE">
      <w:pPr>
        <w:spacing w:after="100" w:afterAutospacing="1" w:line="360" w:lineRule="auto"/>
        <w:ind w:left="315" w:leftChars="150" w:right="399" w:rightChars="190"/>
        <w:jc w:val="center"/>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【备注：附本项目监理人员的监理岗位证、职称证等相关证件加盖投标人单位公章。】</w:t>
      </w:r>
    </w:p>
    <w:p w14:paraId="449CF7FB">
      <w:pPr>
        <w:spacing w:after="100" w:afterAutospacing="1" w:line="360" w:lineRule="auto"/>
        <w:ind w:left="315" w:leftChars="150" w:right="399" w:rightChars="190"/>
        <w:jc w:val="center"/>
        <w:rPr>
          <w:rFonts w:hint="eastAsia" w:ascii="宋体" w:hAnsi="宋体" w:eastAsia="宋体" w:cs="宋体"/>
          <w:color w:val="auto"/>
          <w:szCs w:val="21"/>
          <w:highlight w:val="none"/>
        </w:rPr>
        <w:sectPr>
          <w:pgSz w:w="11907" w:h="16840"/>
          <w:pgMar w:top="1440" w:right="1440" w:bottom="1440" w:left="1797" w:header="567" w:footer="591" w:gutter="0"/>
          <w:pgNumType w:fmt="decimal"/>
          <w:cols w:space="720" w:num="1"/>
          <w:docGrid w:linePitch="312" w:charSpace="0"/>
        </w:sectPr>
      </w:pPr>
    </w:p>
    <w:p w14:paraId="18240423">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sz w:val="30"/>
          <w:szCs w:val="30"/>
          <w:highlight w:val="none"/>
          <w:lang w:val="en-US" w:eastAsia="zh-CN"/>
        </w:rPr>
        <w:t>附件：</w:t>
      </w:r>
      <w:r>
        <w:rPr>
          <w:rFonts w:hint="eastAsia" w:ascii="宋体" w:hAnsi="宋体" w:eastAsia="宋体" w:cs="宋体"/>
          <w:color w:val="auto"/>
          <w:sz w:val="30"/>
          <w:szCs w:val="30"/>
          <w:highlight w:val="none"/>
        </w:rPr>
        <w:t>近三年工程项目监理获奖情况表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192"/>
        <w:gridCol w:w="1821"/>
        <w:gridCol w:w="1800"/>
        <w:gridCol w:w="1440"/>
        <w:gridCol w:w="1080"/>
      </w:tblGrid>
      <w:tr w14:paraId="3C81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F39A256">
            <w:pPr>
              <w:spacing w:after="100" w:afterAutospacing="1" w:line="360" w:lineRule="auto"/>
              <w:ind w:right="8" w:rightChars="4"/>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192" w:type="dxa"/>
            <w:tcBorders>
              <w:top w:val="single" w:color="auto" w:sz="4" w:space="0"/>
              <w:left w:val="single" w:color="auto" w:sz="4" w:space="0"/>
              <w:bottom w:val="single" w:color="auto" w:sz="4" w:space="0"/>
              <w:right w:val="single" w:color="auto" w:sz="4" w:space="0"/>
            </w:tcBorders>
            <w:vAlign w:val="center"/>
          </w:tcPr>
          <w:p w14:paraId="24C02416">
            <w:pPr>
              <w:spacing w:after="100" w:afterAutospacing="1" w:line="360" w:lineRule="auto"/>
              <w:ind w:right="-82" w:rightChars="-3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821" w:type="dxa"/>
            <w:tcBorders>
              <w:top w:val="single" w:color="auto" w:sz="4" w:space="0"/>
              <w:left w:val="single" w:color="auto" w:sz="4" w:space="0"/>
              <w:bottom w:val="single" w:color="auto" w:sz="4" w:space="0"/>
              <w:right w:val="single" w:color="auto" w:sz="4" w:space="0"/>
            </w:tcBorders>
            <w:vAlign w:val="center"/>
          </w:tcPr>
          <w:p w14:paraId="7917F29E">
            <w:pPr>
              <w:spacing w:after="100" w:afterAutospacing="1" w:line="360" w:lineRule="auto"/>
              <w:ind w:right="-78" w:rightChars="-3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奖项名称</w:t>
            </w:r>
          </w:p>
        </w:tc>
        <w:tc>
          <w:tcPr>
            <w:tcW w:w="1800" w:type="dxa"/>
            <w:tcBorders>
              <w:top w:val="single" w:color="auto" w:sz="4" w:space="0"/>
              <w:left w:val="single" w:color="auto" w:sz="4" w:space="0"/>
              <w:bottom w:val="single" w:color="auto" w:sz="4" w:space="0"/>
              <w:right w:val="single" w:color="auto" w:sz="4" w:space="0"/>
            </w:tcBorders>
            <w:vAlign w:val="center"/>
          </w:tcPr>
          <w:p w14:paraId="1ABA37CD">
            <w:pPr>
              <w:spacing w:after="100" w:afterAutospacing="1" w:line="360" w:lineRule="auto"/>
              <w:ind w:right="-8" w:rightChars="-4"/>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颁奖单位</w:t>
            </w:r>
          </w:p>
        </w:tc>
        <w:tc>
          <w:tcPr>
            <w:tcW w:w="1440" w:type="dxa"/>
            <w:tcBorders>
              <w:top w:val="single" w:color="auto" w:sz="4" w:space="0"/>
              <w:left w:val="single" w:color="auto" w:sz="4" w:space="0"/>
              <w:bottom w:val="single" w:color="auto" w:sz="4" w:space="0"/>
              <w:right w:val="single" w:color="auto" w:sz="4" w:space="0"/>
            </w:tcBorders>
            <w:vAlign w:val="center"/>
          </w:tcPr>
          <w:p w14:paraId="2A2C52F9">
            <w:pPr>
              <w:spacing w:after="100" w:afterAutospacing="1" w:line="360" w:lineRule="auto"/>
              <w:ind w:right="59" w:rightChars="28"/>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获奖时间</w:t>
            </w:r>
          </w:p>
        </w:tc>
        <w:tc>
          <w:tcPr>
            <w:tcW w:w="1080" w:type="dxa"/>
            <w:tcBorders>
              <w:top w:val="single" w:color="auto" w:sz="4" w:space="0"/>
              <w:left w:val="single" w:color="auto" w:sz="4" w:space="0"/>
              <w:bottom w:val="single" w:color="auto" w:sz="4" w:space="0"/>
              <w:right w:val="single" w:color="auto" w:sz="4" w:space="0"/>
            </w:tcBorders>
            <w:vAlign w:val="center"/>
          </w:tcPr>
          <w:p w14:paraId="28AAB176">
            <w:pPr>
              <w:tabs>
                <w:tab w:val="left" w:pos="1284"/>
              </w:tabs>
              <w:spacing w:after="100" w:afterAutospacing="1" w:line="360" w:lineRule="auto"/>
              <w:ind w:right="101" w:rightChars="48"/>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6218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137606D">
            <w:pPr>
              <w:spacing w:after="100" w:afterAutospacing="1" w:line="360" w:lineRule="auto"/>
              <w:ind w:right="399" w:rightChars="190"/>
              <w:rPr>
                <w:rFonts w:hint="eastAsia" w:ascii="宋体" w:hAnsi="宋体" w:eastAsia="宋体" w:cs="宋体"/>
                <w:color w:val="auto"/>
                <w:szCs w:val="21"/>
                <w:highlight w:val="none"/>
              </w:rPr>
            </w:pPr>
          </w:p>
        </w:tc>
        <w:tc>
          <w:tcPr>
            <w:tcW w:w="2192" w:type="dxa"/>
            <w:tcBorders>
              <w:top w:val="single" w:color="auto" w:sz="4" w:space="0"/>
              <w:left w:val="single" w:color="auto" w:sz="4" w:space="0"/>
              <w:bottom w:val="single" w:color="auto" w:sz="4" w:space="0"/>
              <w:right w:val="single" w:color="auto" w:sz="4" w:space="0"/>
            </w:tcBorders>
            <w:vAlign w:val="center"/>
          </w:tcPr>
          <w:p w14:paraId="53C364AE">
            <w:pPr>
              <w:spacing w:after="100" w:afterAutospacing="1" w:line="360" w:lineRule="auto"/>
              <w:ind w:right="399" w:rightChars="190"/>
              <w:rPr>
                <w:rFonts w:hint="eastAsia" w:ascii="宋体" w:hAnsi="宋体" w:eastAsia="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vAlign w:val="center"/>
          </w:tcPr>
          <w:p w14:paraId="2A57E7BB">
            <w:pPr>
              <w:spacing w:after="100" w:afterAutospacing="1" w:line="360" w:lineRule="auto"/>
              <w:ind w:right="399" w:rightChars="190"/>
              <w:rPr>
                <w:rFonts w:hint="eastAsia" w:ascii="宋体" w:hAnsi="宋体" w:eastAsia="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65EA7A2E">
            <w:pPr>
              <w:spacing w:after="100" w:afterAutospacing="1" w:line="360" w:lineRule="auto"/>
              <w:ind w:right="399" w:rightChars="190"/>
              <w:rPr>
                <w:rFonts w:hint="eastAsia" w:ascii="宋体" w:hAnsi="宋体" w:eastAsia="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220A594">
            <w:pPr>
              <w:spacing w:after="100" w:afterAutospacing="1" w:line="360" w:lineRule="auto"/>
              <w:ind w:right="399" w:rightChars="190"/>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002D3828">
            <w:pPr>
              <w:spacing w:after="100" w:afterAutospacing="1" w:line="360" w:lineRule="auto"/>
              <w:ind w:right="399" w:rightChars="190"/>
              <w:rPr>
                <w:rFonts w:hint="eastAsia" w:ascii="宋体" w:hAnsi="宋体" w:eastAsia="宋体" w:cs="宋体"/>
                <w:color w:val="auto"/>
                <w:szCs w:val="21"/>
                <w:highlight w:val="none"/>
              </w:rPr>
            </w:pPr>
          </w:p>
        </w:tc>
      </w:tr>
      <w:tr w14:paraId="22D9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67CEE881">
            <w:pPr>
              <w:spacing w:after="100" w:afterAutospacing="1" w:line="360" w:lineRule="auto"/>
              <w:ind w:right="399" w:rightChars="190"/>
              <w:rPr>
                <w:rFonts w:hint="eastAsia" w:ascii="宋体" w:hAnsi="宋体" w:eastAsia="宋体" w:cs="宋体"/>
                <w:color w:val="auto"/>
                <w:szCs w:val="21"/>
                <w:highlight w:val="none"/>
              </w:rPr>
            </w:pPr>
          </w:p>
        </w:tc>
        <w:tc>
          <w:tcPr>
            <w:tcW w:w="2192" w:type="dxa"/>
            <w:tcBorders>
              <w:top w:val="single" w:color="auto" w:sz="4" w:space="0"/>
              <w:left w:val="single" w:color="auto" w:sz="4" w:space="0"/>
              <w:bottom w:val="single" w:color="auto" w:sz="4" w:space="0"/>
              <w:right w:val="single" w:color="auto" w:sz="4" w:space="0"/>
            </w:tcBorders>
            <w:vAlign w:val="center"/>
          </w:tcPr>
          <w:p w14:paraId="09E72711">
            <w:pPr>
              <w:spacing w:after="100" w:afterAutospacing="1" w:line="360" w:lineRule="auto"/>
              <w:ind w:right="399" w:rightChars="190"/>
              <w:rPr>
                <w:rFonts w:hint="eastAsia" w:ascii="宋体" w:hAnsi="宋体" w:eastAsia="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vAlign w:val="center"/>
          </w:tcPr>
          <w:p w14:paraId="46115652">
            <w:pPr>
              <w:spacing w:after="100" w:afterAutospacing="1" w:line="360" w:lineRule="auto"/>
              <w:ind w:right="399" w:rightChars="190"/>
              <w:rPr>
                <w:rFonts w:hint="eastAsia" w:ascii="宋体" w:hAnsi="宋体" w:eastAsia="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652B42F6">
            <w:pPr>
              <w:spacing w:after="100" w:afterAutospacing="1" w:line="360" w:lineRule="auto"/>
              <w:ind w:right="399" w:rightChars="190"/>
              <w:rPr>
                <w:rFonts w:hint="eastAsia" w:ascii="宋体" w:hAnsi="宋体" w:eastAsia="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F320EED">
            <w:pPr>
              <w:spacing w:after="100" w:afterAutospacing="1" w:line="360" w:lineRule="auto"/>
              <w:ind w:right="399" w:rightChars="190"/>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3C8CBB0">
            <w:pPr>
              <w:spacing w:after="100" w:afterAutospacing="1" w:line="360" w:lineRule="auto"/>
              <w:ind w:right="399" w:rightChars="190"/>
              <w:rPr>
                <w:rFonts w:hint="eastAsia" w:ascii="宋体" w:hAnsi="宋体" w:eastAsia="宋体" w:cs="宋体"/>
                <w:color w:val="auto"/>
                <w:szCs w:val="21"/>
                <w:highlight w:val="none"/>
              </w:rPr>
            </w:pPr>
          </w:p>
        </w:tc>
      </w:tr>
      <w:tr w14:paraId="0362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ADB82D8">
            <w:pPr>
              <w:spacing w:after="100" w:afterAutospacing="1" w:line="360" w:lineRule="auto"/>
              <w:ind w:right="399" w:rightChars="190"/>
              <w:rPr>
                <w:rFonts w:hint="eastAsia" w:ascii="宋体" w:hAnsi="宋体" w:eastAsia="宋体" w:cs="宋体"/>
                <w:color w:val="auto"/>
                <w:szCs w:val="21"/>
                <w:highlight w:val="none"/>
              </w:rPr>
            </w:pPr>
          </w:p>
        </w:tc>
        <w:tc>
          <w:tcPr>
            <w:tcW w:w="2192" w:type="dxa"/>
            <w:tcBorders>
              <w:top w:val="single" w:color="auto" w:sz="4" w:space="0"/>
              <w:left w:val="single" w:color="auto" w:sz="4" w:space="0"/>
              <w:bottom w:val="single" w:color="auto" w:sz="4" w:space="0"/>
              <w:right w:val="single" w:color="auto" w:sz="4" w:space="0"/>
            </w:tcBorders>
            <w:vAlign w:val="center"/>
          </w:tcPr>
          <w:p w14:paraId="1F61BDFB">
            <w:pPr>
              <w:spacing w:after="100" w:afterAutospacing="1" w:line="360" w:lineRule="auto"/>
              <w:ind w:right="399" w:rightChars="190"/>
              <w:rPr>
                <w:rFonts w:hint="eastAsia" w:ascii="宋体" w:hAnsi="宋体" w:eastAsia="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vAlign w:val="center"/>
          </w:tcPr>
          <w:p w14:paraId="6820449B">
            <w:pPr>
              <w:spacing w:after="100" w:afterAutospacing="1" w:line="360" w:lineRule="auto"/>
              <w:ind w:right="399" w:rightChars="190"/>
              <w:rPr>
                <w:rFonts w:hint="eastAsia" w:ascii="宋体" w:hAnsi="宋体" w:eastAsia="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0A9D6966">
            <w:pPr>
              <w:spacing w:after="100" w:afterAutospacing="1" w:line="360" w:lineRule="auto"/>
              <w:ind w:right="399" w:rightChars="190"/>
              <w:rPr>
                <w:rFonts w:hint="eastAsia" w:ascii="宋体" w:hAnsi="宋体" w:eastAsia="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47C1F38B">
            <w:pPr>
              <w:spacing w:after="100" w:afterAutospacing="1" w:line="360" w:lineRule="auto"/>
              <w:ind w:right="399" w:rightChars="190"/>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612A445">
            <w:pPr>
              <w:spacing w:after="100" w:afterAutospacing="1" w:line="360" w:lineRule="auto"/>
              <w:ind w:right="399" w:rightChars="190"/>
              <w:rPr>
                <w:rFonts w:hint="eastAsia" w:ascii="宋体" w:hAnsi="宋体" w:eastAsia="宋体" w:cs="宋体"/>
                <w:color w:val="auto"/>
                <w:szCs w:val="21"/>
                <w:highlight w:val="none"/>
              </w:rPr>
            </w:pPr>
          </w:p>
        </w:tc>
      </w:tr>
      <w:tr w14:paraId="6E96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49D3F39">
            <w:pPr>
              <w:spacing w:after="100" w:afterAutospacing="1" w:line="360" w:lineRule="auto"/>
              <w:ind w:right="399" w:rightChars="190"/>
              <w:rPr>
                <w:rFonts w:hint="eastAsia" w:ascii="宋体" w:hAnsi="宋体" w:eastAsia="宋体" w:cs="宋体"/>
                <w:color w:val="auto"/>
                <w:szCs w:val="21"/>
                <w:highlight w:val="none"/>
              </w:rPr>
            </w:pPr>
          </w:p>
        </w:tc>
        <w:tc>
          <w:tcPr>
            <w:tcW w:w="2192" w:type="dxa"/>
            <w:tcBorders>
              <w:top w:val="single" w:color="auto" w:sz="4" w:space="0"/>
              <w:left w:val="single" w:color="auto" w:sz="4" w:space="0"/>
              <w:bottom w:val="single" w:color="auto" w:sz="4" w:space="0"/>
              <w:right w:val="single" w:color="auto" w:sz="4" w:space="0"/>
            </w:tcBorders>
            <w:vAlign w:val="center"/>
          </w:tcPr>
          <w:p w14:paraId="26FC177E">
            <w:pPr>
              <w:spacing w:after="100" w:afterAutospacing="1" w:line="360" w:lineRule="auto"/>
              <w:ind w:right="399" w:rightChars="190"/>
              <w:rPr>
                <w:rFonts w:hint="eastAsia" w:ascii="宋体" w:hAnsi="宋体" w:eastAsia="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vAlign w:val="center"/>
          </w:tcPr>
          <w:p w14:paraId="61A07E14">
            <w:pPr>
              <w:spacing w:after="100" w:afterAutospacing="1" w:line="360" w:lineRule="auto"/>
              <w:ind w:right="399" w:rightChars="190"/>
              <w:rPr>
                <w:rFonts w:hint="eastAsia" w:ascii="宋体" w:hAnsi="宋体" w:eastAsia="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1A42E52C">
            <w:pPr>
              <w:spacing w:after="100" w:afterAutospacing="1" w:line="360" w:lineRule="auto"/>
              <w:ind w:right="399" w:rightChars="190"/>
              <w:rPr>
                <w:rFonts w:hint="eastAsia" w:ascii="宋体" w:hAnsi="宋体" w:eastAsia="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FFE773E">
            <w:pPr>
              <w:spacing w:after="100" w:afterAutospacing="1" w:line="360" w:lineRule="auto"/>
              <w:ind w:right="399" w:rightChars="190"/>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7ABF020">
            <w:pPr>
              <w:spacing w:after="100" w:afterAutospacing="1" w:line="360" w:lineRule="auto"/>
              <w:ind w:right="399" w:rightChars="190"/>
              <w:rPr>
                <w:rFonts w:hint="eastAsia" w:ascii="宋体" w:hAnsi="宋体" w:eastAsia="宋体" w:cs="宋体"/>
                <w:color w:val="auto"/>
                <w:szCs w:val="21"/>
                <w:highlight w:val="none"/>
              </w:rPr>
            </w:pPr>
          </w:p>
        </w:tc>
      </w:tr>
      <w:tr w14:paraId="2B45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CAA7D20">
            <w:pPr>
              <w:spacing w:after="100" w:afterAutospacing="1" w:line="360" w:lineRule="auto"/>
              <w:rPr>
                <w:rFonts w:hint="eastAsia" w:ascii="宋体" w:hAnsi="宋体" w:eastAsia="宋体" w:cs="宋体"/>
                <w:color w:val="auto"/>
                <w:szCs w:val="21"/>
                <w:highlight w:val="none"/>
              </w:rPr>
            </w:pPr>
          </w:p>
        </w:tc>
        <w:tc>
          <w:tcPr>
            <w:tcW w:w="2192" w:type="dxa"/>
            <w:tcBorders>
              <w:top w:val="single" w:color="auto" w:sz="4" w:space="0"/>
              <w:left w:val="single" w:color="auto" w:sz="4" w:space="0"/>
              <w:bottom w:val="single" w:color="auto" w:sz="4" w:space="0"/>
              <w:right w:val="single" w:color="auto" w:sz="4" w:space="0"/>
            </w:tcBorders>
            <w:vAlign w:val="center"/>
          </w:tcPr>
          <w:p w14:paraId="3CF341BF">
            <w:pPr>
              <w:spacing w:after="100" w:afterAutospacing="1" w:line="360" w:lineRule="auto"/>
              <w:rPr>
                <w:rFonts w:hint="eastAsia" w:ascii="宋体" w:hAnsi="宋体" w:eastAsia="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vAlign w:val="center"/>
          </w:tcPr>
          <w:p w14:paraId="4946258A">
            <w:pPr>
              <w:spacing w:after="100" w:afterAutospacing="1" w:line="360" w:lineRule="auto"/>
              <w:rPr>
                <w:rFonts w:hint="eastAsia" w:ascii="宋体" w:hAnsi="宋体" w:eastAsia="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1AD31886">
            <w:pPr>
              <w:spacing w:after="100" w:afterAutospacing="1" w:line="360" w:lineRule="auto"/>
              <w:rPr>
                <w:rFonts w:hint="eastAsia" w:ascii="宋体" w:hAnsi="宋体" w:eastAsia="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18FDC77D">
            <w:pPr>
              <w:spacing w:after="100" w:afterAutospacing="1" w:line="360" w:lineRule="auto"/>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984AE79">
            <w:pPr>
              <w:spacing w:after="100" w:afterAutospacing="1" w:line="360" w:lineRule="auto"/>
              <w:rPr>
                <w:rFonts w:hint="eastAsia" w:ascii="宋体" w:hAnsi="宋体" w:eastAsia="宋体" w:cs="宋体"/>
                <w:color w:val="auto"/>
                <w:szCs w:val="21"/>
                <w:highlight w:val="none"/>
              </w:rPr>
            </w:pPr>
          </w:p>
        </w:tc>
      </w:tr>
      <w:tr w14:paraId="1FB3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7923578">
            <w:pPr>
              <w:spacing w:after="100" w:afterAutospacing="1" w:line="360" w:lineRule="auto"/>
              <w:rPr>
                <w:rFonts w:hint="eastAsia" w:ascii="宋体" w:hAnsi="宋体" w:eastAsia="宋体" w:cs="宋体"/>
                <w:color w:val="auto"/>
                <w:szCs w:val="21"/>
                <w:highlight w:val="none"/>
              </w:rPr>
            </w:pPr>
          </w:p>
        </w:tc>
        <w:tc>
          <w:tcPr>
            <w:tcW w:w="2192" w:type="dxa"/>
            <w:tcBorders>
              <w:top w:val="single" w:color="auto" w:sz="4" w:space="0"/>
              <w:left w:val="single" w:color="auto" w:sz="4" w:space="0"/>
              <w:bottom w:val="single" w:color="auto" w:sz="4" w:space="0"/>
              <w:right w:val="single" w:color="auto" w:sz="4" w:space="0"/>
            </w:tcBorders>
            <w:vAlign w:val="center"/>
          </w:tcPr>
          <w:p w14:paraId="1BBA0EB1">
            <w:pPr>
              <w:spacing w:after="100" w:afterAutospacing="1" w:line="360" w:lineRule="auto"/>
              <w:rPr>
                <w:rFonts w:hint="eastAsia" w:ascii="宋体" w:hAnsi="宋体" w:eastAsia="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vAlign w:val="center"/>
          </w:tcPr>
          <w:p w14:paraId="6957E2AD">
            <w:pPr>
              <w:spacing w:after="100" w:afterAutospacing="1" w:line="360" w:lineRule="auto"/>
              <w:rPr>
                <w:rFonts w:hint="eastAsia" w:ascii="宋体" w:hAnsi="宋体" w:eastAsia="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5B19B853">
            <w:pPr>
              <w:spacing w:after="100" w:afterAutospacing="1" w:line="360" w:lineRule="auto"/>
              <w:rPr>
                <w:rFonts w:hint="eastAsia" w:ascii="宋体" w:hAnsi="宋体" w:eastAsia="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04A3CA12">
            <w:pPr>
              <w:spacing w:after="100" w:afterAutospacing="1" w:line="360" w:lineRule="auto"/>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AD4C86A">
            <w:pPr>
              <w:spacing w:after="100" w:afterAutospacing="1" w:line="360" w:lineRule="auto"/>
              <w:rPr>
                <w:rFonts w:hint="eastAsia" w:ascii="宋体" w:hAnsi="宋体" w:eastAsia="宋体" w:cs="宋体"/>
                <w:color w:val="auto"/>
                <w:szCs w:val="21"/>
                <w:highlight w:val="none"/>
              </w:rPr>
            </w:pPr>
          </w:p>
        </w:tc>
      </w:tr>
      <w:tr w14:paraId="1637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569BCC9">
            <w:pPr>
              <w:spacing w:after="100" w:afterAutospacing="1" w:line="360" w:lineRule="auto"/>
              <w:ind w:right="399" w:rightChars="190"/>
              <w:rPr>
                <w:rFonts w:hint="eastAsia" w:ascii="宋体" w:hAnsi="宋体" w:eastAsia="宋体" w:cs="宋体"/>
                <w:color w:val="auto"/>
                <w:szCs w:val="21"/>
                <w:highlight w:val="none"/>
              </w:rPr>
            </w:pPr>
          </w:p>
        </w:tc>
        <w:tc>
          <w:tcPr>
            <w:tcW w:w="2192" w:type="dxa"/>
            <w:tcBorders>
              <w:top w:val="single" w:color="auto" w:sz="4" w:space="0"/>
              <w:left w:val="single" w:color="auto" w:sz="4" w:space="0"/>
              <w:bottom w:val="single" w:color="auto" w:sz="4" w:space="0"/>
              <w:right w:val="single" w:color="auto" w:sz="4" w:space="0"/>
            </w:tcBorders>
            <w:vAlign w:val="center"/>
          </w:tcPr>
          <w:p w14:paraId="6BEFB033">
            <w:pPr>
              <w:spacing w:after="100" w:afterAutospacing="1" w:line="360" w:lineRule="auto"/>
              <w:ind w:right="399" w:rightChars="190"/>
              <w:rPr>
                <w:rFonts w:hint="eastAsia" w:ascii="宋体" w:hAnsi="宋体" w:eastAsia="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vAlign w:val="center"/>
          </w:tcPr>
          <w:p w14:paraId="139B4309">
            <w:pPr>
              <w:spacing w:after="100" w:afterAutospacing="1" w:line="360" w:lineRule="auto"/>
              <w:ind w:right="399" w:rightChars="190"/>
              <w:rPr>
                <w:rFonts w:hint="eastAsia" w:ascii="宋体" w:hAnsi="宋体" w:eastAsia="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16B34C5E">
            <w:pPr>
              <w:spacing w:after="100" w:afterAutospacing="1" w:line="360" w:lineRule="auto"/>
              <w:ind w:right="399" w:rightChars="190"/>
              <w:rPr>
                <w:rFonts w:hint="eastAsia" w:ascii="宋体" w:hAnsi="宋体" w:eastAsia="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2BD42358">
            <w:pPr>
              <w:spacing w:after="100" w:afterAutospacing="1" w:line="360" w:lineRule="auto"/>
              <w:ind w:right="399" w:rightChars="190"/>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9B74229">
            <w:pPr>
              <w:spacing w:after="100" w:afterAutospacing="1" w:line="360" w:lineRule="auto"/>
              <w:ind w:right="399" w:rightChars="190"/>
              <w:rPr>
                <w:rFonts w:hint="eastAsia" w:ascii="宋体" w:hAnsi="宋体" w:eastAsia="宋体" w:cs="宋体"/>
                <w:color w:val="auto"/>
                <w:szCs w:val="21"/>
                <w:highlight w:val="none"/>
              </w:rPr>
            </w:pPr>
          </w:p>
        </w:tc>
      </w:tr>
      <w:tr w14:paraId="770B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1896AE60">
            <w:pPr>
              <w:spacing w:after="100" w:afterAutospacing="1" w:line="360" w:lineRule="auto"/>
              <w:ind w:right="399" w:rightChars="190"/>
              <w:rPr>
                <w:rFonts w:hint="eastAsia" w:ascii="宋体" w:hAnsi="宋体" w:eastAsia="宋体" w:cs="宋体"/>
                <w:color w:val="auto"/>
                <w:szCs w:val="21"/>
                <w:highlight w:val="none"/>
              </w:rPr>
            </w:pPr>
          </w:p>
        </w:tc>
        <w:tc>
          <w:tcPr>
            <w:tcW w:w="2192" w:type="dxa"/>
            <w:tcBorders>
              <w:top w:val="single" w:color="auto" w:sz="4" w:space="0"/>
              <w:left w:val="single" w:color="auto" w:sz="4" w:space="0"/>
              <w:bottom w:val="single" w:color="auto" w:sz="4" w:space="0"/>
              <w:right w:val="single" w:color="auto" w:sz="4" w:space="0"/>
            </w:tcBorders>
            <w:vAlign w:val="center"/>
          </w:tcPr>
          <w:p w14:paraId="5FDDD373">
            <w:pPr>
              <w:spacing w:after="100" w:afterAutospacing="1" w:line="360" w:lineRule="auto"/>
              <w:ind w:right="399" w:rightChars="190"/>
              <w:rPr>
                <w:rFonts w:hint="eastAsia" w:ascii="宋体" w:hAnsi="宋体" w:eastAsia="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vAlign w:val="center"/>
          </w:tcPr>
          <w:p w14:paraId="4DE0ECBA">
            <w:pPr>
              <w:spacing w:after="100" w:afterAutospacing="1" w:line="360" w:lineRule="auto"/>
              <w:ind w:right="399" w:rightChars="190"/>
              <w:rPr>
                <w:rFonts w:hint="eastAsia" w:ascii="宋体" w:hAnsi="宋体" w:eastAsia="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29EE777D">
            <w:pPr>
              <w:spacing w:after="100" w:afterAutospacing="1" w:line="360" w:lineRule="auto"/>
              <w:ind w:right="399" w:rightChars="190"/>
              <w:rPr>
                <w:rFonts w:hint="eastAsia" w:ascii="宋体" w:hAnsi="宋体" w:eastAsia="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21E9E36">
            <w:pPr>
              <w:spacing w:after="100" w:afterAutospacing="1" w:line="360" w:lineRule="auto"/>
              <w:ind w:right="399" w:rightChars="190"/>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03E03D5F">
            <w:pPr>
              <w:spacing w:after="100" w:afterAutospacing="1" w:line="360" w:lineRule="auto"/>
              <w:ind w:right="399" w:rightChars="190"/>
              <w:rPr>
                <w:rFonts w:hint="eastAsia" w:ascii="宋体" w:hAnsi="宋体" w:eastAsia="宋体" w:cs="宋体"/>
                <w:color w:val="auto"/>
                <w:szCs w:val="21"/>
                <w:highlight w:val="none"/>
              </w:rPr>
            </w:pPr>
          </w:p>
        </w:tc>
      </w:tr>
      <w:tr w14:paraId="63C2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1260A9A">
            <w:pPr>
              <w:spacing w:after="100" w:afterAutospacing="1" w:line="360" w:lineRule="auto"/>
              <w:ind w:right="399" w:rightChars="190"/>
              <w:rPr>
                <w:rFonts w:hint="eastAsia" w:ascii="宋体" w:hAnsi="宋体" w:eastAsia="宋体" w:cs="宋体"/>
                <w:color w:val="auto"/>
                <w:szCs w:val="21"/>
                <w:highlight w:val="none"/>
              </w:rPr>
            </w:pPr>
          </w:p>
        </w:tc>
        <w:tc>
          <w:tcPr>
            <w:tcW w:w="2192" w:type="dxa"/>
            <w:tcBorders>
              <w:top w:val="single" w:color="auto" w:sz="4" w:space="0"/>
              <w:left w:val="single" w:color="auto" w:sz="4" w:space="0"/>
              <w:bottom w:val="single" w:color="auto" w:sz="4" w:space="0"/>
              <w:right w:val="single" w:color="auto" w:sz="4" w:space="0"/>
            </w:tcBorders>
            <w:vAlign w:val="center"/>
          </w:tcPr>
          <w:p w14:paraId="54D0B133">
            <w:pPr>
              <w:spacing w:after="100" w:afterAutospacing="1" w:line="360" w:lineRule="auto"/>
              <w:ind w:right="399" w:rightChars="190"/>
              <w:rPr>
                <w:rFonts w:hint="eastAsia" w:ascii="宋体" w:hAnsi="宋体" w:eastAsia="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vAlign w:val="center"/>
          </w:tcPr>
          <w:p w14:paraId="06EFB83B">
            <w:pPr>
              <w:spacing w:after="100" w:afterAutospacing="1" w:line="360" w:lineRule="auto"/>
              <w:ind w:right="399" w:rightChars="190"/>
              <w:rPr>
                <w:rFonts w:hint="eastAsia" w:ascii="宋体" w:hAnsi="宋体" w:eastAsia="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301AADCE">
            <w:pPr>
              <w:spacing w:after="100" w:afterAutospacing="1" w:line="360" w:lineRule="auto"/>
              <w:ind w:right="399" w:rightChars="190"/>
              <w:rPr>
                <w:rFonts w:hint="eastAsia" w:ascii="宋体" w:hAnsi="宋体" w:eastAsia="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3DF00922">
            <w:pPr>
              <w:spacing w:after="100" w:afterAutospacing="1" w:line="360" w:lineRule="auto"/>
              <w:ind w:right="399" w:rightChars="190"/>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52F79AF">
            <w:pPr>
              <w:spacing w:after="100" w:afterAutospacing="1" w:line="360" w:lineRule="auto"/>
              <w:ind w:right="399" w:rightChars="190"/>
              <w:rPr>
                <w:rFonts w:hint="eastAsia" w:ascii="宋体" w:hAnsi="宋体" w:eastAsia="宋体" w:cs="宋体"/>
                <w:color w:val="auto"/>
                <w:szCs w:val="21"/>
                <w:highlight w:val="none"/>
              </w:rPr>
            </w:pPr>
          </w:p>
        </w:tc>
      </w:tr>
      <w:tr w14:paraId="0AB8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71212D1">
            <w:pPr>
              <w:spacing w:after="100" w:afterAutospacing="1" w:line="360" w:lineRule="auto"/>
              <w:ind w:right="399" w:rightChars="190"/>
              <w:rPr>
                <w:rFonts w:hint="eastAsia" w:ascii="宋体" w:hAnsi="宋体" w:eastAsia="宋体" w:cs="宋体"/>
                <w:color w:val="auto"/>
                <w:szCs w:val="21"/>
                <w:highlight w:val="none"/>
              </w:rPr>
            </w:pPr>
          </w:p>
        </w:tc>
        <w:tc>
          <w:tcPr>
            <w:tcW w:w="2192" w:type="dxa"/>
            <w:tcBorders>
              <w:top w:val="single" w:color="auto" w:sz="4" w:space="0"/>
              <w:left w:val="single" w:color="auto" w:sz="4" w:space="0"/>
              <w:bottom w:val="single" w:color="auto" w:sz="4" w:space="0"/>
              <w:right w:val="single" w:color="auto" w:sz="4" w:space="0"/>
            </w:tcBorders>
            <w:vAlign w:val="center"/>
          </w:tcPr>
          <w:p w14:paraId="32E98A3B">
            <w:pPr>
              <w:spacing w:after="100" w:afterAutospacing="1" w:line="360" w:lineRule="auto"/>
              <w:ind w:right="399" w:rightChars="190"/>
              <w:rPr>
                <w:rFonts w:hint="eastAsia" w:ascii="宋体" w:hAnsi="宋体" w:eastAsia="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vAlign w:val="center"/>
          </w:tcPr>
          <w:p w14:paraId="56277346">
            <w:pPr>
              <w:spacing w:after="100" w:afterAutospacing="1" w:line="360" w:lineRule="auto"/>
              <w:ind w:right="399" w:rightChars="190"/>
              <w:rPr>
                <w:rFonts w:hint="eastAsia" w:ascii="宋体" w:hAnsi="宋体" w:eastAsia="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768E0BE5">
            <w:pPr>
              <w:spacing w:after="100" w:afterAutospacing="1" w:line="360" w:lineRule="auto"/>
              <w:ind w:right="399" w:rightChars="190"/>
              <w:rPr>
                <w:rFonts w:hint="eastAsia" w:ascii="宋体" w:hAnsi="宋体" w:eastAsia="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0BF369A0">
            <w:pPr>
              <w:spacing w:after="100" w:afterAutospacing="1" w:line="360" w:lineRule="auto"/>
              <w:ind w:right="399" w:rightChars="190"/>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15FE2C1">
            <w:pPr>
              <w:spacing w:after="100" w:afterAutospacing="1" w:line="360" w:lineRule="auto"/>
              <w:ind w:right="399" w:rightChars="190"/>
              <w:rPr>
                <w:rFonts w:hint="eastAsia" w:ascii="宋体" w:hAnsi="宋体" w:eastAsia="宋体" w:cs="宋体"/>
                <w:color w:val="auto"/>
                <w:szCs w:val="21"/>
                <w:highlight w:val="none"/>
              </w:rPr>
            </w:pPr>
          </w:p>
        </w:tc>
      </w:tr>
    </w:tbl>
    <w:p w14:paraId="7E2874B1">
      <w:pPr>
        <w:spacing w:line="360" w:lineRule="auto"/>
        <w:jc w:val="center"/>
        <w:rPr>
          <w:rFonts w:hint="eastAsia" w:ascii="宋体" w:hAnsi="宋体" w:eastAsia="宋体" w:cs="宋体"/>
          <w:b/>
          <w:color w:val="auto"/>
          <w:sz w:val="30"/>
          <w:szCs w:val="30"/>
          <w:highlight w:val="none"/>
          <w:lang w:eastAsia="zh-CN"/>
        </w:rPr>
      </w:pPr>
      <w:r>
        <w:rPr>
          <w:rFonts w:hint="eastAsia" w:ascii="宋体" w:hAnsi="宋体" w:eastAsia="宋体" w:cs="宋体"/>
          <w:color w:val="auto"/>
          <w:highlight w:val="none"/>
        </w:rPr>
        <w:t>【备注：附相关证明材料的复印件均须加盖投标人单位公章】</w:t>
      </w:r>
      <w:r>
        <w:rPr>
          <w:rFonts w:hint="eastAsia" w:ascii="宋体" w:hAnsi="宋体" w:eastAsia="宋体" w:cs="宋体"/>
          <w:color w:val="auto"/>
          <w:highlight w:val="none"/>
        </w:rPr>
        <w:br w:type="page"/>
      </w:r>
      <w:r>
        <w:rPr>
          <w:rFonts w:hint="eastAsia" w:ascii="宋体" w:hAnsi="宋体" w:eastAsia="宋体" w:cs="宋体"/>
          <w:color w:val="auto"/>
          <w:sz w:val="30"/>
          <w:szCs w:val="30"/>
          <w:highlight w:val="none"/>
          <w:lang w:val="en-US" w:eastAsia="zh-CN"/>
        </w:rPr>
        <w:t>附件：</w:t>
      </w:r>
      <w:r>
        <w:rPr>
          <w:rFonts w:hint="eastAsia" w:ascii="宋体" w:hAnsi="宋体" w:eastAsia="宋体" w:cs="宋体"/>
          <w:color w:val="auto"/>
          <w:sz w:val="30"/>
          <w:szCs w:val="30"/>
          <w:highlight w:val="none"/>
        </w:rPr>
        <w:t>已完成或在监工程监理类似项目情况表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3"/>
        <w:gridCol w:w="5492"/>
      </w:tblGrid>
      <w:tr w14:paraId="23951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3413" w:type="dxa"/>
            <w:tcBorders>
              <w:top w:val="single" w:color="auto" w:sz="4" w:space="0"/>
              <w:left w:val="single" w:color="auto" w:sz="4" w:space="0"/>
              <w:bottom w:val="single" w:color="auto" w:sz="4" w:space="0"/>
              <w:right w:val="single" w:color="auto" w:sz="4" w:space="0"/>
            </w:tcBorders>
            <w:vAlign w:val="center"/>
          </w:tcPr>
          <w:p w14:paraId="0951D0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5492" w:type="dxa"/>
            <w:tcBorders>
              <w:top w:val="single" w:color="auto" w:sz="4" w:space="0"/>
              <w:left w:val="single" w:color="auto" w:sz="4" w:space="0"/>
              <w:bottom w:val="single" w:color="auto" w:sz="4" w:space="0"/>
              <w:right w:val="single" w:color="auto" w:sz="4" w:space="0"/>
            </w:tcBorders>
            <w:vAlign w:val="center"/>
          </w:tcPr>
          <w:p w14:paraId="66DCA788">
            <w:pPr>
              <w:spacing w:line="360" w:lineRule="auto"/>
              <w:jc w:val="center"/>
              <w:rPr>
                <w:rFonts w:hint="eastAsia" w:ascii="宋体" w:hAnsi="宋体" w:eastAsia="宋体" w:cs="宋体"/>
                <w:color w:val="auto"/>
                <w:szCs w:val="21"/>
                <w:highlight w:val="none"/>
              </w:rPr>
            </w:pPr>
          </w:p>
        </w:tc>
      </w:tr>
      <w:tr w14:paraId="0055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413" w:type="dxa"/>
            <w:tcBorders>
              <w:top w:val="single" w:color="auto" w:sz="4" w:space="0"/>
              <w:left w:val="single" w:color="auto" w:sz="4" w:space="0"/>
              <w:bottom w:val="single" w:color="auto" w:sz="4" w:space="0"/>
              <w:right w:val="single" w:color="auto" w:sz="4" w:space="0"/>
            </w:tcBorders>
            <w:vAlign w:val="center"/>
          </w:tcPr>
          <w:p w14:paraId="4F85F15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项目所在地</w:t>
            </w:r>
          </w:p>
        </w:tc>
        <w:tc>
          <w:tcPr>
            <w:tcW w:w="5492" w:type="dxa"/>
            <w:tcBorders>
              <w:top w:val="single" w:color="auto" w:sz="4" w:space="0"/>
              <w:left w:val="single" w:color="auto" w:sz="4" w:space="0"/>
              <w:bottom w:val="single" w:color="auto" w:sz="4" w:space="0"/>
              <w:right w:val="single" w:color="auto" w:sz="4" w:space="0"/>
            </w:tcBorders>
            <w:vAlign w:val="center"/>
          </w:tcPr>
          <w:p w14:paraId="5DBE14A4">
            <w:pPr>
              <w:spacing w:line="360" w:lineRule="auto"/>
              <w:jc w:val="center"/>
              <w:rPr>
                <w:rFonts w:hint="eastAsia" w:ascii="宋体" w:hAnsi="宋体" w:eastAsia="宋体" w:cs="宋体"/>
                <w:color w:val="auto"/>
                <w:szCs w:val="21"/>
                <w:highlight w:val="none"/>
              </w:rPr>
            </w:pPr>
          </w:p>
        </w:tc>
      </w:tr>
      <w:tr w14:paraId="176A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3413" w:type="dxa"/>
            <w:tcBorders>
              <w:top w:val="single" w:color="auto" w:sz="4" w:space="0"/>
              <w:left w:val="single" w:color="auto" w:sz="4" w:space="0"/>
              <w:bottom w:val="single" w:color="auto" w:sz="4" w:space="0"/>
              <w:right w:val="single" w:color="auto" w:sz="4" w:space="0"/>
            </w:tcBorders>
            <w:vAlign w:val="center"/>
          </w:tcPr>
          <w:p w14:paraId="7A8919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委托人名称</w:t>
            </w:r>
          </w:p>
        </w:tc>
        <w:tc>
          <w:tcPr>
            <w:tcW w:w="5492" w:type="dxa"/>
            <w:tcBorders>
              <w:top w:val="single" w:color="auto" w:sz="4" w:space="0"/>
              <w:left w:val="single" w:color="auto" w:sz="4" w:space="0"/>
              <w:bottom w:val="single" w:color="auto" w:sz="4" w:space="0"/>
              <w:right w:val="single" w:color="auto" w:sz="4" w:space="0"/>
            </w:tcBorders>
            <w:vAlign w:val="center"/>
          </w:tcPr>
          <w:p w14:paraId="38C8C025">
            <w:pPr>
              <w:spacing w:line="360" w:lineRule="auto"/>
              <w:jc w:val="center"/>
              <w:rPr>
                <w:rFonts w:hint="eastAsia" w:ascii="宋体" w:hAnsi="宋体" w:eastAsia="宋体" w:cs="宋体"/>
                <w:color w:val="auto"/>
                <w:szCs w:val="21"/>
                <w:highlight w:val="none"/>
              </w:rPr>
            </w:pPr>
          </w:p>
        </w:tc>
      </w:tr>
      <w:tr w14:paraId="71EE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3413" w:type="dxa"/>
            <w:tcBorders>
              <w:top w:val="single" w:color="auto" w:sz="4" w:space="0"/>
              <w:left w:val="single" w:color="auto" w:sz="4" w:space="0"/>
              <w:bottom w:val="single" w:color="auto" w:sz="4" w:space="0"/>
              <w:right w:val="single" w:color="auto" w:sz="4" w:space="0"/>
            </w:tcBorders>
            <w:vAlign w:val="center"/>
          </w:tcPr>
          <w:p w14:paraId="366193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委托人电话</w:t>
            </w:r>
          </w:p>
        </w:tc>
        <w:tc>
          <w:tcPr>
            <w:tcW w:w="5492" w:type="dxa"/>
            <w:tcBorders>
              <w:top w:val="single" w:color="auto" w:sz="4" w:space="0"/>
              <w:left w:val="single" w:color="auto" w:sz="4" w:space="0"/>
              <w:bottom w:val="single" w:color="auto" w:sz="4" w:space="0"/>
              <w:right w:val="single" w:color="auto" w:sz="4" w:space="0"/>
            </w:tcBorders>
            <w:vAlign w:val="center"/>
          </w:tcPr>
          <w:p w14:paraId="22360F0D">
            <w:pPr>
              <w:spacing w:line="360" w:lineRule="auto"/>
              <w:jc w:val="center"/>
              <w:rPr>
                <w:rFonts w:hint="eastAsia" w:ascii="宋体" w:hAnsi="宋体" w:eastAsia="宋体" w:cs="宋体"/>
                <w:color w:val="auto"/>
                <w:szCs w:val="21"/>
                <w:highlight w:val="none"/>
              </w:rPr>
            </w:pPr>
          </w:p>
        </w:tc>
      </w:tr>
      <w:tr w14:paraId="7F431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413" w:type="dxa"/>
            <w:tcBorders>
              <w:top w:val="single" w:color="auto" w:sz="4" w:space="0"/>
              <w:left w:val="single" w:color="auto" w:sz="4" w:space="0"/>
              <w:bottom w:val="single" w:color="auto" w:sz="4" w:space="0"/>
              <w:right w:val="single" w:color="auto" w:sz="4" w:space="0"/>
            </w:tcBorders>
            <w:vAlign w:val="center"/>
          </w:tcPr>
          <w:p w14:paraId="4C5E08D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结构类型/建筑面积</w:t>
            </w:r>
          </w:p>
        </w:tc>
        <w:tc>
          <w:tcPr>
            <w:tcW w:w="5492" w:type="dxa"/>
            <w:tcBorders>
              <w:top w:val="single" w:color="auto" w:sz="4" w:space="0"/>
              <w:left w:val="single" w:color="auto" w:sz="4" w:space="0"/>
              <w:bottom w:val="single" w:color="auto" w:sz="4" w:space="0"/>
              <w:right w:val="single" w:color="auto" w:sz="4" w:space="0"/>
            </w:tcBorders>
            <w:vAlign w:val="center"/>
          </w:tcPr>
          <w:p w14:paraId="1B371BBC">
            <w:pPr>
              <w:spacing w:line="360" w:lineRule="auto"/>
              <w:jc w:val="center"/>
              <w:rPr>
                <w:rFonts w:hint="eastAsia" w:ascii="宋体" w:hAnsi="宋体" w:eastAsia="宋体" w:cs="宋体"/>
                <w:color w:val="auto"/>
                <w:szCs w:val="21"/>
                <w:highlight w:val="none"/>
              </w:rPr>
            </w:pPr>
          </w:p>
        </w:tc>
      </w:tr>
      <w:tr w14:paraId="4D81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413" w:type="dxa"/>
            <w:tcBorders>
              <w:top w:val="single" w:color="auto" w:sz="4" w:space="0"/>
              <w:left w:val="single" w:color="auto" w:sz="4" w:space="0"/>
              <w:bottom w:val="single" w:color="auto" w:sz="4" w:space="0"/>
              <w:right w:val="single" w:color="auto" w:sz="4" w:space="0"/>
            </w:tcBorders>
            <w:vAlign w:val="center"/>
          </w:tcPr>
          <w:p w14:paraId="12BFEA3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概算投资额（建筑安装工程费）</w:t>
            </w:r>
          </w:p>
        </w:tc>
        <w:tc>
          <w:tcPr>
            <w:tcW w:w="5492" w:type="dxa"/>
            <w:tcBorders>
              <w:top w:val="single" w:color="auto" w:sz="4" w:space="0"/>
              <w:left w:val="single" w:color="auto" w:sz="4" w:space="0"/>
              <w:bottom w:val="single" w:color="auto" w:sz="4" w:space="0"/>
              <w:right w:val="single" w:color="auto" w:sz="4" w:space="0"/>
            </w:tcBorders>
            <w:vAlign w:val="center"/>
          </w:tcPr>
          <w:p w14:paraId="512F7D75">
            <w:pPr>
              <w:spacing w:line="360" w:lineRule="auto"/>
              <w:jc w:val="center"/>
              <w:rPr>
                <w:rFonts w:hint="eastAsia" w:ascii="宋体" w:hAnsi="宋体" w:eastAsia="宋体" w:cs="宋体"/>
                <w:color w:val="auto"/>
                <w:szCs w:val="21"/>
                <w:highlight w:val="none"/>
              </w:rPr>
            </w:pPr>
          </w:p>
        </w:tc>
      </w:tr>
      <w:tr w14:paraId="70352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3413" w:type="dxa"/>
            <w:tcBorders>
              <w:top w:val="single" w:color="auto" w:sz="4" w:space="0"/>
              <w:left w:val="single" w:color="auto" w:sz="4" w:space="0"/>
              <w:bottom w:val="single" w:color="auto" w:sz="4" w:space="0"/>
              <w:right w:val="single" w:color="auto" w:sz="4" w:space="0"/>
            </w:tcBorders>
            <w:vAlign w:val="center"/>
          </w:tcPr>
          <w:p w14:paraId="5F707C9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合同价格（工程监理费）</w:t>
            </w:r>
          </w:p>
        </w:tc>
        <w:tc>
          <w:tcPr>
            <w:tcW w:w="5492" w:type="dxa"/>
            <w:tcBorders>
              <w:top w:val="single" w:color="auto" w:sz="4" w:space="0"/>
              <w:left w:val="single" w:color="auto" w:sz="4" w:space="0"/>
              <w:bottom w:val="single" w:color="auto" w:sz="4" w:space="0"/>
              <w:right w:val="single" w:color="auto" w:sz="4" w:space="0"/>
            </w:tcBorders>
            <w:vAlign w:val="center"/>
          </w:tcPr>
          <w:p w14:paraId="4D4F536D">
            <w:pPr>
              <w:spacing w:line="360" w:lineRule="auto"/>
              <w:jc w:val="center"/>
              <w:rPr>
                <w:rFonts w:hint="eastAsia" w:ascii="宋体" w:hAnsi="宋体" w:eastAsia="宋体" w:cs="宋体"/>
                <w:color w:val="auto"/>
                <w:szCs w:val="21"/>
                <w:highlight w:val="none"/>
              </w:rPr>
            </w:pPr>
          </w:p>
        </w:tc>
      </w:tr>
      <w:tr w14:paraId="1782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413" w:type="dxa"/>
            <w:tcBorders>
              <w:top w:val="single" w:color="auto" w:sz="4" w:space="0"/>
              <w:left w:val="single" w:color="auto" w:sz="4" w:space="0"/>
              <w:bottom w:val="single" w:color="auto" w:sz="4" w:space="0"/>
              <w:right w:val="single" w:color="auto" w:sz="4" w:space="0"/>
            </w:tcBorders>
            <w:vAlign w:val="center"/>
          </w:tcPr>
          <w:p w14:paraId="61E7F78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开工日期</w:t>
            </w:r>
          </w:p>
        </w:tc>
        <w:tc>
          <w:tcPr>
            <w:tcW w:w="5492" w:type="dxa"/>
            <w:tcBorders>
              <w:top w:val="single" w:color="auto" w:sz="4" w:space="0"/>
              <w:left w:val="single" w:color="auto" w:sz="4" w:space="0"/>
              <w:bottom w:val="single" w:color="auto" w:sz="4" w:space="0"/>
              <w:right w:val="single" w:color="auto" w:sz="4" w:space="0"/>
            </w:tcBorders>
            <w:vAlign w:val="center"/>
          </w:tcPr>
          <w:p w14:paraId="09C2A0F9">
            <w:pPr>
              <w:spacing w:line="360" w:lineRule="auto"/>
              <w:jc w:val="center"/>
              <w:rPr>
                <w:rFonts w:hint="eastAsia" w:ascii="宋体" w:hAnsi="宋体" w:eastAsia="宋体" w:cs="宋体"/>
                <w:color w:val="auto"/>
                <w:szCs w:val="21"/>
                <w:highlight w:val="none"/>
              </w:rPr>
            </w:pPr>
          </w:p>
        </w:tc>
      </w:tr>
      <w:tr w14:paraId="483BA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3413" w:type="dxa"/>
            <w:tcBorders>
              <w:top w:val="single" w:color="auto" w:sz="4" w:space="0"/>
              <w:left w:val="single" w:color="auto" w:sz="4" w:space="0"/>
              <w:bottom w:val="single" w:color="auto" w:sz="4" w:space="0"/>
              <w:right w:val="single" w:color="auto" w:sz="4" w:space="0"/>
            </w:tcBorders>
            <w:vAlign w:val="center"/>
          </w:tcPr>
          <w:p w14:paraId="0E84F04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（计划）竣工日期</w:t>
            </w:r>
          </w:p>
        </w:tc>
        <w:tc>
          <w:tcPr>
            <w:tcW w:w="5492" w:type="dxa"/>
            <w:tcBorders>
              <w:top w:val="single" w:color="auto" w:sz="4" w:space="0"/>
              <w:left w:val="single" w:color="auto" w:sz="4" w:space="0"/>
              <w:bottom w:val="single" w:color="auto" w:sz="4" w:space="0"/>
              <w:right w:val="single" w:color="auto" w:sz="4" w:space="0"/>
            </w:tcBorders>
            <w:vAlign w:val="center"/>
          </w:tcPr>
          <w:p w14:paraId="6B6ED6DF">
            <w:pPr>
              <w:spacing w:line="360" w:lineRule="auto"/>
              <w:jc w:val="center"/>
              <w:rPr>
                <w:rFonts w:hint="eastAsia" w:ascii="宋体" w:hAnsi="宋体" w:eastAsia="宋体" w:cs="宋体"/>
                <w:color w:val="auto"/>
                <w:szCs w:val="21"/>
                <w:highlight w:val="none"/>
              </w:rPr>
            </w:pPr>
          </w:p>
        </w:tc>
      </w:tr>
      <w:tr w14:paraId="226F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3413" w:type="dxa"/>
            <w:tcBorders>
              <w:top w:val="single" w:color="auto" w:sz="4" w:space="0"/>
              <w:left w:val="single" w:color="auto" w:sz="4" w:space="0"/>
              <w:bottom w:val="single" w:color="auto" w:sz="4" w:space="0"/>
              <w:right w:val="single" w:color="auto" w:sz="4" w:space="0"/>
            </w:tcBorders>
            <w:vAlign w:val="center"/>
          </w:tcPr>
          <w:p w14:paraId="6360DE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总监理工程师</w:t>
            </w:r>
          </w:p>
        </w:tc>
        <w:tc>
          <w:tcPr>
            <w:tcW w:w="5492" w:type="dxa"/>
            <w:tcBorders>
              <w:top w:val="single" w:color="auto" w:sz="4" w:space="0"/>
              <w:left w:val="single" w:color="auto" w:sz="4" w:space="0"/>
              <w:bottom w:val="single" w:color="auto" w:sz="4" w:space="0"/>
              <w:right w:val="single" w:color="auto" w:sz="4" w:space="0"/>
            </w:tcBorders>
            <w:vAlign w:val="center"/>
          </w:tcPr>
          <w:p w14:paraId="5778CCC8">
            <w:pPr>
              <w:spacing w:line="360" w:lineRule="auto"/>
              <w:jc w:val="center"/>
              <w:rPr>
                <w:rFonts w:hint="eastAsia" w:ascii="宋体" w:hAnsi="宋体" w:eastAsia="宋体" w:cs="宋体"/>
                <w:color w:val="auto"/>
                <w:szCs w:val="21"/>
                <w:highlight w:val="none"/>
              </w:rPr>
            </w:pPr>
          </w:p>
        </w:tc>
      </w:tr>
      <w:tr w14:paraId="51C6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2" w:hRule="atLeast"/>
          <w:jc w:val="center"/>
        </w:trPr>
        <w:tc>
          <w:tcPr>
            <w:tcW w:w="3413" w:type="dxa"/>
            <w:tcBorders>
              <w:top w:val="single" w:color="auto" w:sz="4" w:space="0"/>
              <w:left w:val="single" w:color="auto" w:sz="4" w:space="0"/>
              <w:bottom w:val="single" w:color="auto" w:sz="4" w:space="0"/>
              <w:right w:val="single" w:color="auto" w:sz="4" w:space="0"/>
            </w:tcBorders>
            <w:vAlign w:val="center"/>
          </w:tcPr>
          <w:p w14:paraId="4EEDBC0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项目描述</w:t>
            </w:r>
          </w:p>
        </w:tc>
        <w:tc>
          <w:tcPr>
            <w:tcW w:w="5492" w:type="dxa"/>
            <w:tcBorders>
              <w:top w:val="single" w:color="auto" w:sz="4" w:space="0"/>
              <w:left w:val="single" w:color="auto" w:sz="4" w:space="0"/>
              <w:bottom w:val="single" w:color="auto" w:sz="4" w:space="0"/>
              <w:right w:val="single" w:color="auto" w:sz="4" w:space="0"/>
            </w:tcBorders>
            <w:vAlign w:val="center"/>
          </w:tcPr>
          <w:p w14:paraId="623337FF">
            <w:pPr>
              <w:spacing w:line="360" w:lineRule="auto"/>
              <w:jc w:val="center"/>
              <w:rPr>
                <w:rFonts w:hint="eastAsia" w:ascii="宋体" w:hAnsi="宋体" w:eastAsia="宋体" w:cs="宋体"/>
                <w:color w:val="auto"/>
                <w:szCs w:val="21"/>
                <w:highlight w:val="none"/>
              </w:rPr>
            </w:pPr>
          </w:p>
        </w:tc>
      </w:tr>
      <w:tr w14:paraId="007F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3413" w:type="dxa"/>
            <w:tcBorders>
              <w:top w:val="single" w:color="auto" w:sz="4" w:space="0"/>
              <w:left w:val="single" w:color="auto" w:sz="4" w:space="0"/>
              <w:bottom w:val="single" w:color="auto" w:sz="4" w:space="0"/>
              <w:right w:val="single" w:color="auto" w:sz="4" w:space="0"/>
            </w:tcBorders>
            <w:vAlign w:val="center"/>
          </w:tcPr>
          <w:p w14:paraId="0DBA37B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5492" w:type="dxa"/>
            <w:tcBorders>
              <w:top w:val="single" w:color="auto" w:sz="4" w:space="0"/>
              <w:left w:val="single" w:color="auto" w:sz="4" w:space="0"/>
              <w:bottom w:val="single" w:color="auto" w:sz="4" w:space="0"/>
              <w:right w:val="single" w:color="auto" w:sz="4" w:space="0"/>
            </w:tcBorders>
            <w:vAlign w:val="center"/>
          </w:tcPr>
          <w:p w14:paraId="7C85A5CD">
            <w:pPr>
              <w:spacing w:line="360" w:lineRule="auto"/>
              <w:jc w:val="center"/>
              <w:rPr>
                <w:rFonts w:hint="eastAsia" w:ascii="宋体" w:hAnsi="宋体" w:eastAsia="宋体" w:cs="宋体"/>
                <w:color w:val="auto"/>
                <w:szCs w:val="21"/>
                <w:highlight w:val="none"/>
              </w:rPr>
            </w:pPr>
          </w:p>
        </w:tc>
      </w:tr>
    </w:tbl>
    <w:p w14:paraId="5879A9DA">
      <w:pPr>
        <w:spacing w:before="50" w:line="360" w:lineRule="auto"/>
        <w:jc w:val="left"/>
        <w:rPr>
          <w:rFonts w:hint="eastAsia" w:ascii="宋体" w:hAnsi="宋体" w:cs="宋体"/>
          <w:b/>
          <w:color w:val="auto"/>
          <w:sz w:val="24"/>
          <w:highlight w:val="none"/>
          <w:lang w:val="en-US" w:eastAsia="zh-CN"/>
        </w:rPr>
      </w:pPr>
    </w:p>
    <w:p w14:paraId="1B9E97D6">
      <w:pPr>
        <w:spacing w:before="50" w:line="360" w:lineRule="auto"/>
        <w:jc w:val="left"/>
        <w:rPr>
          <w:rFonts w:hint="eastAsia" w:ascii="宋体" w:hAnsi="宋体" w:cs="宋体"/>
          <w:b/>
          <w:color w:val="auto"/>
          <w:sz w:val="24"/>
          <w:highlight w:val="none"/>
          <w:lang w:val="en-US" w:eastAsia="zh-CN"/>
        </w:rPr>
      </w:pPr>
    </w:p>
    <w:p w14:paraId="098259EF">
      <w:pPr>
        <w:spacing w:before="50" w:line="360" w:lineRule="auto"/>
        <w:jc w:val="left"/>
        <w:rPr>
          <w:rFonts w:hint="eastAsia" w:ascii="宋体" w:hAnsi="宋体" w:cs="宋体"/>
          <w:b/>
          <w:color w:val="auto"/>
          <w:sz w:val="24"/>
          <w:highlight w:val="none"/>
          <w:lang w:val="en-US" w:eastAsia="zh-CN"/>
        </w:rPr>
      </w:pPr>
    </w:p>
    <w:p w14:paraId="48BE5060">
      <w:pPr>
        <w:spacing w:before="50" w:line="360" w:lineRule="auto"/>
        <w:jc w:val="left"/>
        <w:rPr>
          <w:rFonts w:hint="eastAsia" w:ascii="宋体" w:hAnsi="宋体" w:cs="宋体"/>
          <w:b/>
          <w:color w:val="auto"/>
          <w:sz w:val="24"/>
          <w:highlight w:val="none"/>
          <w:lang w:val="en-US" w:eastAsia="zh-CN"/>
        </w:rPr>
      </w:pPr>
    </w:p>
    <w:p w14:paraId="4FEF912C">
      <w:pPr>
        <w:spacing w:before="50" w:line="360" w:lineRule="auto"/>
        <w:jc w:val="left"/>
        <w:rPr>
          <w:rFonts w:hint="eastAsia" w:ascii="宋体" w:hAnsi="宋体" w:cs="宋体"/>
          <w:b/>
          <w:color w:val="auto"/>
          <w:sz w:val="24"/>
          <w:highlight w:val="none"/>
          <w:lang w:val="en-US" w:eastAsia="zh-CN"/>
        </w:rPr>
      </w:pPr>
    </w:p>
    <w:p w14:paraId="24F32185">
      <w:pPr>
        <w:spacing w:before="50" w:line="360" w:lineRule="auto"/>
        <w:jc w:val="left"/>
        <w:rPr>
          <w:rFonts w:hint="eastAsia" w:ascii="宋体" w:hAnsi="宋体" w:cs="宋体"/>
          <w:b/>
          <w:color w:val="auto"/>
          <w:sz w:val="24"/>
          <w:highlight w:val="none"/>
          <w:lang w:val="en-US" w:eastAsia="zh-CN"/>
        </w:rPr>
      </w:pPr>
    </w:p>
    <w:p w14:paraId="40B3C7CC">
      <w:pPr>
        <w:spacing w:before="50" w:line="360" w:lineRule="auto"/>
        <w:jc w:val="left"/>
        <w:rPr>
          <w:rFonts w:hint="eastAsia" w:ascii="宋体" w:hAnsi="宋体" w:cs="宋体"/>
          <w:b/>
          <w:color w:val="auto"/>
          <w:sz w:val="24"/>
          <w:highlight w:val="none"/>
          <w:lang w:val="en-US" w:eastAsia="zh-CN"/>
        </w:rPr>
      </w:pPr>
    </w:p>
    <w:p w14:paraId="4C2065F3">
      <w:pPr>
        <w:spacing w:before="50" w:line="360" w:lineRule="auto"/>
        <w:jc w:val="left"/>
        <w:rPr>
          <w:rFonts w:hint="eastAsia" w:ascii="宋体" w:hAnsi="宋体" w:cs="宋体"/>
          <w:b/>
          <w:color w:val="auto"/>
          <w:sz w:val="24"/>
          <w:highlight w:val="none"/>
          <w:lang w:val="en-US" w:eastAsia="zh-CN"/>
        </w:rPr>
      </w:pPr>
    </w:p>
    <w:p w14:paraId="57377083">
      <w:pPr>
        <w:spacing w:before="50" w:line="360" w:lineRule="auto"/>
        <w:jc w:val="left"/>
        <w:rPr>
          <w:rFonts w:hint="eastAsia" w:ascii="宋体" w:hAnsi="宋体" w:eastAsia="宋体" w:cs="宋体"/>
          <w:color w:val="auto"/>
          <w:szCs w:val="21"/>
          <w:highlight w:val="none"/>
          <w:u w:val="single"/>
          <w:lang w:eastAsia="zh-CN"/>
        </w:rPr>
      </w:pPr>
      <w:r>
        <w:rPr>
          <w:rFonts w:hint="eastAsia" w:ascii="宋体" w:hAnsi="宋体" w:cs="宋体"/>
          <w:b/>
          <w:color w:val="auto"/>
          <w:sz w:val="24"/>
          <w:highlight w:val="none"/>
          <w:lang w:val="en-US" w:eastAsia="zh-CN"/>
        </w:rPr>
        <w:t>附件：技术</w:t>
      </w:r>
      <w:r>
        <w:rPr>
          <w:rFonts w:hint="eastAsia" w:ascii="宋体" w:hAnsi="宋体" w:cs="宋体"/>
          <w:b/>
          <w:color w:val="auto"/>
          <w:sz w:val="24"/>
          <w:highlight w:val="none"/>
        </w:rPr>
        <w:t>条款偏离表格式</w:t>
      </w:r>
      <w:r>
        <w:rPr>
          <w:rFonts w:hint="eastAsia" w:ascii="宋体" w:hAnsi="宋体" w:cs="宋体"/>
          <w:b/>
          <w:color w:val="auto"/>
          <w:sz w:val="24"/>
          <w:highlight w:val="none"/>
          <w:lang w:eastAsia="zh-CN"/>
        </w:rPr>
        <w:t>（</w:t>
      </w:r>
      <w:r>
        <w:rPr>
          <w:rFonts w:hint="eastAsia" w:ascii="宋体" w:hAnsi="宋体" w:cs="宋体"/>
          <w:b/>
          <w:color w:val="auto"/>
          <w:sz w:val="24"/>
          <w:highlight w:val="none"/>
        </w:rPr>
        <w:t>注：按项目需求表具体项目修改</w:t>
      </w:r>
      <w:r>
        <w:rPr>
          <w:rFonts w:hint="eastAsia" w:ascii="宋体" w:hAnsi="宋体" w:cs="宋体"/>
          <w:b/>
          <w:color w:val="auto"/>
          <w:sz w:val="24"/>
          <w:highlight w:val="none"/>
          <w:lang w:eastAsia="zh-CN"/>
        </w:rPr>
        <w:t>）</w:t>
      </w:r>
    </w:p>
    <w:tbl>
      <w:tblPr>
        <w:tblStyle w:val="11"/>
        <w:tblW w:w="0" w:type="auto"/>
        <w:tblInd w:w="-2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591CE2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vAlign w:val="top"/>
          </w:tcPr>
          <w:p w14:paraId="4511C769">
            <w:pPr>
              <w:spacing w:before="12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3336" w:type="dxa"/>
            <w:tcBorders>
              <w:top w:val="single" w:color="auto" w:sz="4" w:space="0"/>
              <w:left w:val="single" w:color="auto" w:sz="4" w:space="0"/>
              <w:bottom w:val="single" w:color="auto" w:sz="4" w:space="0"/>
              <w:right w:val="single" w:color="auto" w:sz="4" w:space="0"/>
            </w:tcBorders>
            <w:vAlign w:val="top"/>
          </w:tcPr>
          <w:p w14:paraId="2BFE4A64">
            <w:pPr>
              <w:spacing w:before="12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招标文件</w:t>
            </w: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条款要求</w:t>
            </w:r>
          </w:p>
        </w:tc>
        <w:tc>
          <w:tcPr>
            <w:tcW w:w="1760" w:type="dxa"/>
            <w:tcBorders>
              <w:top w:val="single" w:color="auto" w:sz="4" w:space="0"/>
              <w:left w:val="single" w:color="auto" w:sz="4" w:space="0"/>
              <w:bottom w:val="single" w:color="auto" w:sz="4" w:space="0"/>
              <w:right w:val="single" w:color="auto" w:sz="4" w:space="0"/>
            </w:tcBorders>
            <w:vAlign w:val="top"/>
          </w:tcPr>
          <w:p w14:paraId="5A2CC300">
            <w:pPr>
              <w:spacing w:before="12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投标人的承诺</w:t>
            </w:r>
          </w:p>
        </w:tc>
        <w:tc>
          <w:tcPr>
            <w:tcW w:w="2035" w:type="dxa"/>
            <w:tcBorders>
              <w:top w:val="single" w:color="auto" w:sz="4" w:space="0"/>
              <w:left w:val="single" w:color="auto" w:sz="4" w:space="0"/>
              <w:bottom w:val="single" w:color="auto" w:sz="4" w:space="0"/>
              <w:right w:val="single" w:color="auto" w:sz="4" w:space="0"/>
            </w:tcBorders>
            <w:vAlign w:val="top"/>
          </w:tcPr>
          <w:p w14:paraId="1C4618FA">
            <w:pPr>
              <w:spacing w:before="12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66FE4F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top"/>
          </w:tcPr>
          <w:p w14:paraId="76DCC3FC">
            <w:pPr>
              <w:spacing w:before="120" w:line="360" w:lineRule="auto"/>
              <w:jc w:val="center"/>
              <w:rPr>
                <w:rFonts w:hint="eastAsia" w:ascii="宋体" w:hAnsi="宋体" w:cs="宋体"/>
                <w:color w:val="auto"/>
                <w:szCs w:val="21"/>
                <w:highlight w:val="none"/>
              </w:rPr>
            </w:pPr>
          </w:p>
        </w:tc>
        <w:tc>
          <w:tcPr>
            <w:tcW w:w="3336" w:type="dxa"/>
            <w:tcBorders>
              <w:top w:val="single" w:color="auto" w:sz="4" w:space="0"/>
              <w:left w:val="single" w:color="auto" w:sz="4" w:space="0"/>
              <w:bottom w:val="single" w:color="auto" w:sz="4" w:space="0"/>
              <w:right w:val="single" w:color="auto" w:sz="4" w:space="0"/>
            </w:tcBorders>
            <w:vAlign w:val="top"/>
          </w:tcPr>
          <w:p w14:paraId="563344E1">
            <w:pPr>
              <w:spacing w:before="120" w:line="360" w:lineRule="auto"/>
              <w:jc w:val="center"/>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vAlign w:val="top"/>
          </w:tcPr>
          <w:p w14:paraId="40157FF1">
            <w:pPr>
              <w:spacing w:before="120" w:line="360" w:lineRule="auto"/>
              <w:jc w:val="center"/>
              <w:rPr>
                <w:rFonts w:hint="eastAsia" w:ascii="宋体" w:hAnsi="宋体" w:cs="宋体"/>
                <w:color w:val="auto"/>
                <w:szCs w:val="21"/>
                <w:highlight w:val="none"/>
              </w:rPr>
            </w:pPr>
          </w:p>
        </w:tc>
        <w:tc>
          <w:tcPr>
            <w:tcW w:w="2035" w:type="dxa"/>
            <w:tcBorders>
              <w:top w:val="single" w:color="auto" w:sz="4" w:space="0"/>
              <w:left w:val="single" w:color="auto" w:sz="4" w:space="0"/>
              <w:bottom w:val="single" w:color="auto" w:sz="4" w:space="0"/>
              <w:right w:val="single" w:color="auto" w:sz="4" w:space="0"/>
            </w:tcBorders>
            <w:vAlign w:val="top"/>
          </w:tcPr>
          <w:p w14:paraId="33F881DA">
            <w:pPr>
              <w:spacing w:before="120" w:line="360" w:lineRule="auto"/>
              <w:jc w:val="center"/>
              <w:rPr>
                <w:rFonts w:hint="eastAsia" w:ascii="宋体" w:hAnsi="宋体" w:cs="宋体"/>
                <w:color w:val="auto"/>
                <w:szCs w:val="21"/>
                <w:highlight w:val="none"/>
              </w:rPr>
            </w:pPr>
          </w:p>
        </w:tc>
      </w:tr>
      <w:tr w14:paraId="0159D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top"/>
          </w:tcPr>
          <w:p w14:paraId="524A0416">
            <w:pPr>
              <w:spacing w:before="120" w:line="360" w:lineRule="auto"/>
              <w:ind w:left="43" w:leftChars="0"/>
              <w:jc w:val="center"/>
              <w:rPr>
                <w:rFonts w:hint="eastAsia" w:ascii="宋体" w:hAnsi="宋体" w:cs="宋体"/>
                <w:color w:val="auto"/>
                <w:szCs w:val="21"/>
                <w:highlight w:val="none"/>
              </w:rPr>
            </w:pPr>
          </w:p>
        </w:tc>
        <w:tc>
          <w:tcPr>
            <w:tcW w:w="3336" w:type="dxa"/>
            <w:tcBorders>
              <w:top w:val="single" w:color="auto" w:sz="4" w:space="0"/>
              <w:left w:val="single" w:color="auto" w:sz="4" w:space="0"/>
              <w:bottom w:val="single" w:color="auto" w:sz="4" w:space="0"/>
              <w:right w:val="single" w:color="auto" w:sz="4" w:space="0"/>
            </w:tcBorders>
            <w:vAlign w:val="top"/>
          </w:tcPr>
          <w:p w14:paraId="370524A1">
            <w:pPr>
              <w:spacing w:before="120" w:line="360" w:lineRule="auto"/>
              <w:ind w:left="43" w:leftChars="0"/>
              <w:jc w:val="center"/>
              <w:rPr>
                <w:rFonts w:hint="eastAsia" w:ascii="宋体" w:hAnsi="宋体" w:cs="宋体"/>
                <w:color w:val="auto"/>
                <w:szCs w:val="21"/>
                <w:highlight w:val="none"/>
                <w:u w:val="single"/>
              </w:rPr>
            </w:pPr>
          </w:p>
        </w:tc>
        <w:tc>
          <w:tcPr>
            <w:tcW w:w="1760" w:type="dxa"/>
            <w:tcBorders>
              <w:top w:val="single" w:color="auto" w:sz="4" w:space="0"/>
              <w:left w:val="single" w:color="auto" w:sz="4" w:space="0"/>
              <w:bottom w:val="single" w:color="auto" w:sz="4" w:space="0"/>
              <w:right w:val="single" w:color="auto" w:sz="4" w:space="0"/>
            </w:tcBorders>
            <w:vAlign w:val="top"/>
          </w:tcPr>
          <w:p w14:paraId="1920709E">
            <w:pPr>
              <w:spacing w:before="120" w:line="360" w:lineRule="auto"/>
              <w:ind w:left="43"/>
              <w:jc w:val="center"/>
              <w:rPr>
                <w:rFonts w:hint="eastAsia" w:ascii="宋体" w:hAnsi="宋体" w:cs="宋体"/>
                <w:color w:val="auto"/>
                <w:szCs w:val="21"/>
                <w:highlight w:val="none"/>
              </w:rPr>
            </w:pPr>
          </w:p>
        </w:tc>
        <w:tc>
          <w:tcPr>
            <w:tcW w:w="2035" w:type="dxa"/>
            <w:tcBorders>
              <w:top w:val="single" w:color="auto" w:sz="4" w:space="0"/>
              <w:left w:val="single" w:color="auto" w:sz="4" w:space="0"/>
              <w:bottom w:val="single" w:color="auto" w:sz="4" w:space="0"/>
              <w:right w:val="single" w:color="auto" w:sz="4" w:space="0"/>
            </w:tcBorders>
            <w:vAlign w:val="top"/>
          </w:tcPr>
          <w:p w14:paraId="108DCFC1">
            <w:pPr>
              <w:spacing w:before="120" w:line="360" w:lineRule="auto"/>
              <w:ind w:left="43"/>
              <w:jc w:val="center"/>
              <w:rPr>
                <w:rFonts w:hint="eastAsia" w:ascii="宋体" w:hAnsi="宋体" w:cs="宋体"/>
                <w:color w:val="auto"/>
                <w:szCs w:val="21"/>
                <w:highlight w:val="none"/>
              </w:rPr>
            </w:pPr>
          </w:p>
        </w:tc>
      </w:tr>
      <w:tr w14:paraId="3D7AB4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vAlign w:val="top"/>
          </w:tcPr>
          <w:p w14:paraId="5A2C5249">
            <w:pPr>
              <w:spacing w:before="120" w:line="360" w:lineRule="auto"/>
              <w:jc w:val="center"/>
              <w:rPr>
                <w:rFonts w:hint="eastAsia" w:ascii="宋体" w:hAnsi="宋体" w:cs="宋体"/>
                <w:color w:val="auto"/>
                <w:szCs w:val="21"/>
                <w:highlight w:val="none"/>
              </w:rPr>
            </w:pPr>
          </w:p>
        </w:tc>
        <w:tc>
          <w:tcPr>
            <w:tcW w:w="3336" w:type="dxa"/>
            <w:tcBorders>
              <w:top w:val="single" w:color="auto" w:sz="4" w:space="0"/>
              <w:left w:val="single" w:color="auto" w:sz="4" w:space="0"/>
              <w:bottom w:val="single" w:color="auto" w:sz="4" w:space="0"/>
              <w:right w:val="single" w:color="auto" w:sz="4" w:space="0"/>
            </w:tcBorders>
            <w:vAlign w:val="top"/>
          </w:tcPr>
          <w:p w14:paraId="55068359">
            <w:pPr>
              <w:spacing w:before="120" w:line="360" w:lineRule="auto"/>
              <w:jc w:val="center"/>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vAlign w:val="top"/>
          </w:tcPr>
          <w:p w14:paraId="55AC165F">
            <w:pPr>
              <w:spacing w:before="120" w:line="360" w:lineRule="auto"/>
              <w:jc w:val="center"/>
              <w:rPr>
                <w:rFonts w:hint="eastAsia" w:ascii="宋体" w:hAnsi="宋体" w:cs="宋体"/>
                <w:color w:val="auto"/>
                <w:szCs w:val="21"/>
                <w:highlight w:val="none"/>
              </w:rPr>
            </w:pPr>
          </w:p>
        </w:tc>
        <w:tc>
          <w:tcPr>
            <w:tcW w:w="2035" w:type="dxa"/>
            <w:tcBorders>
              <w:top w:val="single" w:color="auto" w:sz="4" w:space="0"/>
              <w:left w:val="single" w:color="auto" w:sz="4" w:space="0"/>
              <w:bottom w:val="single" w:color="auto" w:sz="4" w:space="0"/>
              <w:right w:val="single" w:color="auto" w:sz="4" w:space="0"/>
            </w:tcBorders>
            <w:vAlign w:val="top"/>
          </w:tcPr>
          <w:p w14:paraId="43DC0679">
            <w:pPr>
              <w:spacing w:before="120" w:line="360" w:lineRule="auto"/>
              <w:jc w:val="center"/>
              <w:rPr>
                <w:rFonts w:hint="eastAsia" w:ascii="宋体" w:hAnsi="宋体" w:cs="宋体"/>
                <w:color w:val="auto"/>
                <w:szCs w:val="21"/>
                <w:highlight w:val="none"/>
              </w:rPr>
            </w:pPr>
          </w:p>
        </w:tc>
      </w:tr>
      <w:tr w14:paraId="1F72EF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vAlign w:val="top"/>
          </w:tcPr>
          <w:p w14:paraId="2C43941D">
            <w:pPr>
              <w:spacing w:before="120" w:line="360" w:lineRule="auto"/>
              <w:ind w:left="43" w:leftChars="0"/>
              <w:jc w:val="center"/>
              <w:rPr>
                <w:rFonts w:hint="eastAsia" w:ascii="宋体" w:hAnsi="宋体" w:cs="宋体"/>
                <w:color w:val="auto"/>
                <w:szCs w:val="21"/>
                <w:highlight w:val="none"/>
              </w:rPr>
            </w:pPr>
          </w:p>
        </w:tc>
        <w:tc>
          <w:tcPr>
            <w:tcW w:w="3336" w:type="dxa"/>
            <w:tcBorders>
              <w:top w:val="single" w:color="auto" w:sz="4" w:space="0"/>
              <w:left w:val="single" w:color="auto" w:sz="4" w:space="0"/>
              <w:bottom w:val="single" w:color="auto" w:sz="4" w:space="0"/>
              <w:right w:val="single" w:color="auto" w:sz="4" w:space="0"/>
            </w:tcBorders>
            <w:vAlign w:val="top"/>
          </w:tcPr>
          <w:p w14:paraId="75A2A7D8">
            <w:pPr>
              <w:spacing w:before="120" w:line="360" w:lineRule="auto"/>
              <w:ind w:left="43" w:leftChars="0"/>
              <w:jc w:val="center"/>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vAlign w:val="top"/>
          </w:tcPr>
          <w:p w14:paraId="11DC8283">
            <w:pPr>
              <w:spacing w:before="120" w:line="360" w:lineRule="auto"/>
              <w:jc w:val="center"/>
              <w:rPr>
                <w:rFonts w:hint="eastAsia" w:ascii="宋体" w:hAnsi="宋体" w:cs="宋体"/>
                <w:color w:val="auto"/>
                <w:szCs w:val="21"/>
                <w:highlight w:val="none"/>
              </w:rPr>
            </w:pPr>
          </w:p>
        </w:tc>
        <w:tc>
          <w:tcPr>
            <w:tcW w:w="2035" w:type="dxa"/>
            <w:tcBorders>
              <w:top w:val="single" w:color="auto" w:sz="4" w:space="0"/>
              <w:left w:val="single" w:color="auto" w:sz="4" w:space="0"/>
              <w:bottom w:val="single" w:color="auto" w:sz="4" w:space="0"/>
              <w:right w:val="single" w:color="auto" w:sz="4" w:space="0"/>
            </w:tcBorders>
            <w:vAlign w:val="top"/>
          </w:tcPr>
          <w:p w14:paraId="2D42F6A6">
            <w:pPr>
              <w:spacing w:before="120" w:line="360" w:lineRule="auto"/>
              <w:jc w:val="center"/>
              <w:rPr>
                <w:rFonts w:hint="eastAsia" w:ascii="宋体" w:hAnsi="宋体" w:cs="宋体"/>
                <w:color w:val="auto"/>
                <w:szCs w:val="21"/>
                <w:highlight w:val="none"/>
              </w:rPr>
            </w:pPr>
          </w:p>
        </w:tc>
      </w:tr>
    </w:tbl>
    <w:p w14:paraId="7C5891C3">
      <w:pPr>
        <w:pStyle w:val="4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4D983D8F">
      <w:pPr>
        <w:pStyle w:val="44"/>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1.说明：应对照招标文件“第二章采购需求”中的</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条款逐条实质性响应，并作出偏离说明。</w:t>
      </w:r>
    </w:p>
    <w:p w14:paraId="1B083395">
      <w:pPr>
        <w:spacing w:before="50" w:after="50" w:line="360" w:lineRule="auto"/>
        <w:rPr>
          <w:rFonts w:hint="eastAsia" w:ascii="宋体" w:hAnsi="宋体" w:eastAsia="宋体" w:cs="宋体"/>
          <w:color w:val="auto"/>
          <w:szCs w:val="21"/>
          <w:highlight w:val="none"/>
          <w:lang w:eastAsia="zh-CN"/>
        </w:rPr>
      </w:pPr>
      <w:r>
        <w:rPr>
          <w:rFonts w:hint="eastAsia" w:ascii="宋体" w:hAnsi="宋体" w:cs="宋体"/>
          <w:b w:val="0"/>
          <w:bCs w:val="0"/>
          <w:color w:val="auto"/>
          <w:sz w:val="21"/>
          <w:szCs w:val="21"/>
          <w:highlight w:val="none"/>
        </w:rPr>
        <w:t>2.投标人可自行拓展，应根据自身的承诺，对照招标文件要求在“偏离说明”中注明“正偏离”、“负偏离”或者“无偏离”。既不属于“正偏离”也不属于“负偏离”即为“无偏离”。</w:t>
      </w:r>
    </w:p>
    <w:p w14:paraId="7A245A16">
      <w:pPr>
        <w:spacing w:before="50" w:after="50" w:line="360" w:lineRule="auto"/>
        <w:rPr>
          <w:rFonts w:hint="eastAsia" w:ascii="宋体" w:hAnsi="宋体" w:eastAsia="宋体" w:cs="宋体"/>
          <w:color w:val="auto"/>
          <w:spacing w:val="20"/>
          <w:szCs w:val="21"/>
          <w:highlight w:val="none"/>
          <w:u w:val="single"/>
          <w:lang w:eastAsia="zh-CN"/>
        </w:rPr>
      </w:pPr>
      <w:r>
        <w:rPr>
          <w:rFonts w:hint="eastAsia" w:ascii="宋体" w:hAnsi="宋体" w:cs="宋体"/>
          <w:color w:val="auto"/>
          <w:szCs w:val="21"/>
          <w:highlight w:val="none"/>
        </w:rPr>
        <w:t>法定代表人或者委托代理人签字</w:t>
      </w:r>
      <w:r>
        <w:rPr>
          <w:rFonts w:hint="eastAsia" w:ascii="宋体" w:hAnsi="宋体" w:cs="宋体"/>
          <w:color w:val="auto"/>
          <w:szCs w:val="21"/>
          <w:highlight w:val="none"/>
          <w:lang w:val="en-US" w:eastAsia="zh-CN"/>
        </w:rPr>
        <w:t>或盖章</w:t>
      </w:r>
      <w:r>
        <w:rPr>
          <w:rFonts w:hint="eastAsia" w:ascii="宋体" w:hAnsi="宋体" w:cs="宋体"/>
          <w:color w:val="auto"/>
          <w:spacing w:val="20"/>
          <w:szCs w:val="21"/>
          <w:highlight w:val="none"/>
        </w:rPr>
        <w:t>：</w:t>
      </w:r>
    </w:p>
    <w:p w14:paraId="5916D77A">
      <w:pPr>
        <w:spacing w:before="120" w:line="360" w:lineRule="auto"/>
        <w:rPr>
          <w:rFonts w:hint="eastAsia" w:ascii="宋体" w:hAnsi="宋体" w:eastAsia="宋体" w:cs="宋体"/>
          <w:color w:val="auto"/>
          <w:spacing w:val="20"/>
          <w:szCs w:val="21"/>
          <w:highlight w:val="none"/>
          <w:lang w:eastAsia="zh-CN"/>
        </w:rPr>
      </w:pPr>
      <w:r>
        <w:rPr>
          <w:rFonts w:hint="eastAsia" w:ascii="宋体" w:hAnsi="宋体" w:cs="宋体"/>
          <w:color w:val="auto"/>
          <w:spacing w:val="20"/>
          <w:szCs w:val="21"/>
          <w:highlight w:val="none"/>
        </w:rPr>
        <w:t>投标</w:t>
      </w:r>
      <w:r>
        <w:rPr>
          <w:rFonts w:hint="eastAsia" w:ascii="宋体" w:hAnsi="宋体" w:cs="宋体"/>
          <w:color w:val="auto"/>
          <w:spacing w:val="20"/>
          <w:szCs w:val="21"/>
          <w:highlight w:val="none"/>
          <w:lang w:eastAsia="zh-CN"/>
        </w:rPr>
        <w:t>人加</w:t>
      </w:r>
      <w:r>
        <w:rPr>
          <w:rFonts w:hint="eastAsia" w:ascii="宋体" w:hAnsi="宋体" w:cs="宋体"/>
          <w:color w:val="auto"/>
          <w:spacing w:val="20"/>
          <w:szCs w:val="21"/>
          <w:highlight w:val="none"/>
        </w:rPr>
        <w:t>盖公章：</w:t>
      </w:r>
    </w:p>
    <w:p w14:paraId="28A71883">
      <w:pPr>
        <w:pStyle w:val="2"/>
        <w:rPr>
          <w:rFonts w:hint="eastAsia"/>
          <w:color w:val="auto"/>
        </w:rPr>
      </w:pPr>
      <w:r>
        <w:rPr>
          <w:rFonts w:hint="eastAsia" w:ascii="宋体" w:hAnsi="宋体" w:cs="宋体"/>
          <w:color w:val="auto"/>
          <w:spacing w:val="20"/>
          <w:szCs w:val="21"/>
          <w:highlight w:val="none"/>
        </w:rPr>
        <w:t>日期：</w:t>
      </w:r>
    </w:p>
    <w:p w14:paraId="2BEB3723">
      <w:pPr>
        <w:spacing w:before="120" w:after="50" w:line="360" w:lineRule="auto"/>
        <w:ind w:left="142"/>
        <w:jc w:val="left"/>
        <w:rPr>
          <w:rFonts w:hint="eastAsia" w:ascii="宋体" w:hAnsi="宋体" w:eastAsia="宋体"/>
          <w:color w:val="auto"/>
          <w:highlight w:val="none"/>
        </w:rPr>
      </w:pPr>
    </w:p>
    <w:p w14:paraId="0DB44179">
      <w:pPr>
        <w:spacing w:before="120" w:after="50" w:line="360" w:lineRule="auto"/>
        <w:ind w:left="142"/>
        <w:jc w:val="left"/>
        <w:rPr>
          <w:rFonts w:hint="eastAsia" w:ascii="宋体" w:hAnsi="宋体" w:eastAsia="宋体"/>
          <w:color w:val="auto"/>
          <w:highlight w:val="none"/>
        </w:rPr>
      </w:pPr>
    </w:p>
    <w:p w14:paraId="6FE1E659">
      <w:pPr>
        <w:spacing w:before="120" w:after="50" w:line="360" w:lineRule="auto"/>
        <w:ind w:left="142"/>
        <w:jc w:val="left"/>
        <w:rPr>
          <w:rFonts w:hint="eastAsia" w:ascii="宋体" w:hAnsi="宋体" w:eastAsia="宋体"/>
          <w:color w:val="auto"/>
          <w:highlight w:val="none"/>
        </w:rPr>
      </w:pPr>
    </w:p>
    <w:p w14:paraId="3B0CF5F9">
      <w:pPr>
        <w:spacing w:before="120" w:after="50" w:line="360" w:lineRule="auto"/>
        <w:ind w:left="142"/>
        <w:jc w:val="left"/>
        <w:rPr>
          <w:rFonts w:hint="eastAsia" w:ascii="宋体" w:hAnsi="宋体" w:eastAsia="宋体"/>
          <w:color w:val="auto"/>
          <w:highlight w:val="none"/>
        </w:rPr>
      </w:pPr>
    </w:p>
    <w:p w14:paraId="460808C7">
      <w:pPr>
        <w:spacing w:before="120" w:after="50" w:line="360" w:lineRule="auto"/>
        <w:ind w:left="142"/>
        <w:jc w:val="left"/>
        <w:rPr>
          <w:rFonts w:hint="eastAsia" w:ascii="宋体" w:hAnsi="宋体" w:eastAsia="宋体"/>
          <w:color w:val="auto"/>
          <w:highlight w:val="none"/>
        </w:rPr>
      </w:pPr>
    </w:p>
    <w:p w14:paraId="0D01C693">
      <w:pPr>
        <w:spacing w:before="120" w:after="50" w:line="360" w:lineRule="auto"/>
        <w:ind w:left="142"/>
        <w:jc w:val="left"/>
        <w:rPr>
          <w:rFonts w:hint="eastAsia" w:ascii="宋体" w:hAnsi="宋体" w:eastAsia="宋体"/>
          <w:color w:val="auto"/>
          <w:highlight w:val="none"/>
        </w:rPr>
      </w:pPr>
    </w:p>
    <w:p w14:paraId="180C0E79">
      <w:pPr>
        <w:spacing w:before="120" w:after="50" w:line="360" w:lineRule="auto"/>
        <w:ind w:left="142"/>
        <w:jc w:val="left"/>
        <w:rPr>
          <w:rFonts w:hint="eastAsia" w:ascii="宋体" w:hAnsi="宋体" w:eastAsia="宋体"/>
          <w:color w:val="auto"/>
          <w:highlight w:val="none"/>
        </w:rPr>
      </w:pPr>
    </w:p>
    <w:p w14:paraId="68663017">
      <w:pPr>
        <w:spacing w:before="120" w:after="50" w:line="360" w:lineRule="auto"/>
        <w:ind w:left="142"/>
        <w:jc w:val="left"/>
        <w:rPr>
          <w:rFonts w:hint="eastAsia" w:ascii="宋体" w:hAnsi="宋体" w:eastAsia="宋体"/>
          <w:color w:val="auto"/>
          <w:highlight w:val="none"/>
        </w:rPr>
      </w:pPr>
    </w:p>
    <w:p w14:paraId="5E6E3C81">
      <w:pPr>
        <w:spacing w:before="120" w:after="50" w:line="360" w:lineRule="auto"/>
        <w:ind w:left="142"/>
        <w:jc w:val="left"/>
        <w:rPr>
          <w:rFonts w:hint="eastAsia" w:ascii="宋体" w:hAnsi="宋体" w:eastAsia="宋体"/>
          <w:color w:val="auto"/>
          <w:highlight w:val="none"/>
        </w:rPr>
      </w:pPr>
    </w:p>
    <w:p w14:paraId="1644B8CD">
      <w:pPr>
        <w:spacing w:before="120" w:after="50" w:line="360" w:lineRule="auto"/>
        <w:ind w:left="142"/>
        <w:jc w:val="left"/>
        <w:rPr>
          <w:rFonts w:hint="eastAsia" w:ascii="宋体" w:hAnsi="宋体" w:eastAsia="宋体"/>
          <w:color w:val="auto"/>
          <w:highlight w:val="none"/>
        </w:rPr>
      </w:pPr>
    </w:p>
    <w:p w14:paraId="51F47FE8">
      <w:pPr>
        <w:numPr>
          <w:ilvl w:val="0"/>
          <w:numId w:val="26"/>
        </w:numPr>
        <w:spacing w:before="120" w:after="50" w:line="360" w:lineRule="auto"/>
        <w:ind w:left="142"/>
        <w:jc w:val="left"/>
        <w:rPr>
          <w:rFonts w:hint="eastAsia" w:ascii="宋体" w:hAnsi="宋体" w:eastAsia="宋体"/>
          <w:color w:val="auto"/>
          <w:highlight w:val="none"/>
        </w:rPr>
      </w:pPr>
      <w:r>
        <w:rPr>
          <w:rFonts w:hint="eastAsia" w:ascii="宋体" w:hAnsi="宋体" w:eastAsia="宋体"/>
          <w:color w:val="auto"/>
          <w:highlight w:val="none"/>
        </w:rPr>
        <w:t>其他文书、文件格式</w:t>
      </w:r>
    </w:p>
    <w:p w14:paraId="6821D812">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24"/>
          <w:highlight w:val="none"/>
        </w:rPr>
        <w:t>中小企业声明函格式</w:t>
      </w:r>
      <w:r>
        <w:rPr>
          <w:rFonts w:hint="eastAsia" w:ascii="宋体" w:hAnsi="宋体" w:cs="宋体"/>
          <w:b/>
          <w:color w:val="auto"/>
          <w:sz w:val="32"/>
          <w:szCs w:val="32"/>
          <w:highlight w:val="none"/>
        </w:rPr>
        <w:t>中小企业声明函（货物）</w:t>
      </w:r>
    </w:p>
    <w:p w14:paraId="2B4011BD">
      <w:pPr>
        <w:widowControl/>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bidi="ar"/>
        </w:rPr>
        <w:t>本公司（联合体）郑重声明，根据《政府采购促进中小企业发展管理办法》（财库﹝2020﹞46号）的规定，本公司（联合体）参加的采购活动，提供的货物全部由符合政策要求的中小企业制造。相关企业（含联合体中的中小企业、签订分包意向协议的中小企业）的具体情况如下：</w:t>
      </w:r>
    </w:p>
    <w:p w14:paraId="5F6E10B6">
      <w:pPr>
        <w:widowControl/>
        <w:numPr>
          <w:ilvl w:val="0"/>
          <w:numId w:val="27"/>
        </w:num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u w:val="single"/>
          <w:lang w:bidi="ar"/>
        </w:rPr>
        <w:t>，</w:t>
      </w:r>
      <w:r>
        <w:rPr>
          <w:rFonts w:hint="eastAsia" w:ascii="宋体" w:hAnsi="宋体" w:cs="宋体"/>
          <w:color w:val="auto"/>
          <w:kern w:val="0"/>
          <w:szCs w:val="21"/>
          <w:highlight w:val="none"/>
          <w:lang w:bidi="ar"/>
        </w:rPr>
        <w:t>属于</w:t>
      </w:r>
      <w:r>
        <w:rPr>
          <w:rFonts w:hint="eastAsia" w:ascii="宋体" w:hAnsi="宋体" w:cs="宋体"/>
          <w:color w:val="auto"/>
          <w:kern w:val="0"/>
          <w:szCs w:val="21"/>
          <w:highlight w:val="none"/>
          <w:lang w:eastAsia="zh-CN" w:bidi="ar"/>
        </w:rPr>
        <w:t>未</w:t>
      </w:r>
      <w:r>
        <w:rPr>
          <w:rFonts w:hint="eastAsia" w:ascii="宋体" w:hAnsi="宋体" w:cs="宋体"/>
          <w:color w:val="auto"/>
          <w:kern w:val="0"/>
          <w:szCs w:val="21"/>
          <w:highlight w:val="none"/>
          <w:u w:val="single"/>
          <w:lang w:val="en-US" w:eastAsia="zh-CN" w:bidi="ar"/>
        </w:rPr>
        <w:t>列明行业</w:t>
      </w:r>
      <w:r>
        <w:rPr>
          <w:rFonts w:hint="eastAsia" w:ascii="宋体" w:hAnsi="宋体" w:cs="宋体"/>
          <w:color w:val="auto"/>
          <w:kern w:val="0"/>
          <w:szCs w:val="21"/>
          <w:highlight w:val="none"/>
          <w:lang w:bidi="ar"/>
        </w:rPr>
        <w:t>；制造商为（企业名称），从业人员人，营业收入为万元，资产总额为</w:t>
      </w:r>
    </w:p>
    <w:p w14:paraId="5A75FFD1">
      <w:pPr>
        <w:widowControl/>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bidi="ar"/>
        </w:rPr>
        <w:t>万元，属于（中型企业、小型企业、微型企业）；</w:t>
      </w:r>
    </w:p>
    <w:p w14:paraId="0322FB72">
      <w:pPr>
        <w:widowControl/>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bidi="ar"/>
        </w:rPr>
        <w:t>2.（标的名称），属于（采购文件中明确的所属行业）行业；制造商为（企业名称），从业人员人，营业收入为万元，资产总额为万元，属于（中型企业、小型企业、微型企业）；</w:t>
      </w:r>
    </w:p>
    <w:p w14:paraId="3A8FA3DE">
      <w:pPr>
        <w:widowControl/>
        <w:spacing w:line="360" w:lineRule="auto"/>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w:t>
      </w:r>
    </w:p>
    <w:p w14:paraId="29967A4A">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p w14:paraId="07942147">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以上企业，不属于大企业的分支机构，不存在控股股东为大企业的情形，也不存在与大企业的负责人为同一人的情形。</w:t>
      </w:r>
    </w:p>
    <w:p w14:paraId="4FA318A1">
      <w:pPr>
        <w:widowControl/>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bidi="ar"/>
        </w:rPr>
        <w:t>本企业对上述声明内容的真实性负责。如有虚假，将依法承担相应责任。企业名称（盖章）：</w:t>
      </w:r>
    </w:p>
    <w:p w14:paraId="1F5EDACA">
      <w:pPr>
        <w:widowControl/>
        <w:spacing w:line="360" w:lineRule="auto"/>
        <w:ind w:firstLine="630" w:firstLineChars="300"/>
        <w:jc w:val="left"/>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日期：</w:t>
      </w:r>
    </w:p>
    <w:p w14:paraId="2B1C2B93">
      <w:pPr>
        <w:pStyle w:val="61"/>
        <w:spacing w:line="360" w:lineRule="auto"/>
        <w:rPr>
          <w:rFonts w:hint="eastAsia" w:ascii="宋体" w:hAnsi="宋体" w:eastAsia="宋体" w:cs="宋体"/>
          <w:b/>
          <w:bCs/>
          <w:color w:val="auto"/>
          <w:sz w:val="28"/>
          <w:szCs w:val="28"/>
          <w:highlight w:val="none"/>
          <w:lang w:eastAsia="zh-CN" w:bidi="ar"/>
        </w:rPr>
      </w:pPr>
      <w:r>
        <w:rPr>
          <w:rFonts w:hint="eastAsia" w:ascii="宋体" w:hAnsi="宋体" w:cs="宋体"/>
          <w:b/>
          <w:bCs/>
          <w:color w:val="auto"/>
          <w:kern w:val="0"/>
          <w:szCs w:val="21"/>
          <w:highlight w:val="none"/>
          <w:lang w:bidi="ar"/>
        </w:rPr>
        <w:t>1从业人员、营业收入、资产总额填报上一年度数据，无上一年度数据的新成立企业可不填报。</w:t>
      </w:r>
    </w:p>
    <w:p w14:paraId="57393992">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中小企业声明函（工程、服务）</w:t>
      </w:r>
    </w:p>
    <w:p w14:paraId="6A58F0DA">
      <w:pPr>
        <w:widowControl/>
        <w:spacing w:line="360" w:lineRule="auto"/>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本公司（联合体）郑重声明，根据《政府采购促进中小企业发展管理办法》（财库﹝2020﹞46号）的规定，本公司（联合体）参加（单位名称）的（项目名称</w:t>
      </w:r>
      <w:r>
        <w:rPr>
          <w:rFonts w:hint="eastAsia" w:ascii="宋体" w:hAnsi="宋体" w:cs="宋体"/>
          <w:color w:val="auto"/>
          <w:kern w:val="0"/>
          <w:szCs w:val="21"/>
          <w:highlight w:val="none"/>
          <w:lang w:val="en-US" w:eastAsia="zh-CN" w:bidi="ar"/>
        </w:rPr>
        <w:t>和标段</w:t>
      </w:r>
      <w:r>
        <w:rPr>
          <w:rFonts w:hint="eastAsia" w:ascii="宋体" w:hAnsi="宋体" w:cs="宋体"/>
          <w:color w:val="auto"/>
          <w:kern w:val="0"/>
          <w:szCs w:val="21"/>
          <w:highlight w:val="none"/>
          <w:lang w:bidi="ar"/>
        </w:rPr>
        <w:t>）采购活动，工程的施工单位全部为符合政策要求的中小企业（或者：服务全部由符合政策要求的中小企业承接）。相关企业（含联合体中的中小企业、签订分包意向协议的中小企业）的具体情况如下：</w:t>
      </w:r>
    </w:p>
    <w:p w14:paraId="43F3F110">
      <w:pPr>
        <w:widowControl/>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bidi="ar"/>
        </w:rPr>
        <w:t>1.（标的名称），属于（采购文件中明确的所属行业）；承建（承接）企业为（企业名称），从业人员人，营业收入为万元，资产总额为</w:t>
      </w:r>
    </w:p>
    <w:p w14:paraId="494A3097">
      <w:pPr>
        <w:widowControl/>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bidi="ar"/>
        </w:rPr>
        <w:t>万元，属于（中型企业、小型企业、微型企业）；</w:t>
      </w:r>
    </w:p>
    <w:p w14:paraId="2AFB01A5">
      <w:pPr>
        <w:widowControl/>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bidi="ar"/>
        </w:rPr>
        <w:t>2.（标的名称），属于（采购文件中明确的所属行业）；承建（承接）企业为（企业名称），从业人员人，营业收入为万元，资产总额为</w:t>
      </w:r>
    </w:p>
    <w:p w14:paraId="72A6F529">
      <w:pPr>
        <w:widowControl/>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bidi="ar"/>
        </w:rPr>
        <w:t>万元，属于（中型企业、小型企业、微型企业）；</w:t>
      </w:r>
    </w:p>
    <w:p w14:paraId="535A5F79">
      <w:pPr>
        <w:widowControl/>
        <w:spacing w:line="360" w:lineRule="auto"/>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w:t>
      </w:r>
    </w:p>
    <w:p w14:paraId="6AE8EA2D">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p w14:paraId="5BB4DB16">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以上企业，不属于大企业的分支机构，不存在控股股东为大企业的情形，也不存在与大企业的负责人为同一人的情形。</w:t>
      </w:r>
    </w:p>
    <w:p w14:paraId="54C86B20">
      <w:pPr>
        <w:widowControl/>
        <w:spacing w:line="360" w:lineRule="auto"/>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本企业对上述声明内容的真实性负责。如有虚假，将依法承担相应责任。</w:t>
      </w:r>
    </w:p>
    <w:p w14:paraId="45484DD9">
      <w:pPr>
        <w:widowControl/>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bidi="ar"/>
        </w:rPr>
        <w:t>企业名称（盖章）：</w:t>
      </w:r>
    </w:p>
    <w:p w14:paraId="2D7AED1D">
      <w:pPr>
        <w:widowControl/>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bidi="ar"/>
        </w:rPr>
        <w:t>日期：</w:t>
      </w:r>
    </w:p>
    <w:p w14:paraId="026E9A8E">
      <w:pPr>
        <w:spacing w:line="360" w:lineRule="auto"/>
        <w:rPr>
          <w:rFonts w:hint="eastAsia" w:ascii="宋体" w:hAnsi="宋体" w:eastAsia="宋体" w:cs="宋体"/>
          <w:color w:val="auto"/>
          <w:szCs w:val="21"/>
          <w:highlight w:val="none"/>
          <w:lang w:eastAsia="zh-CN"/>
        </w:rPr>
      </w:pPr>
      <w:r>
        <w:rPr>
          <w:rFonts w:hint="eastAsia" w:ascii="宋体" w:hAnsi="宋体" w:cs="宋体"/>
          <w:b/>
          <w:bCs/>
          <w:color w:val="auto"/>
          <w:kern w:val="0"/>
          <w:szCs w:val="21"/>
          <w:highlight w:val="none"/>
          <w:lang w:bidi="ar"/>
        </w:rPr>
        <w:t>1.从业人员、营业收入、资产总额填报上一年度数据，无上一年度数据的新成立企业可不填报。</w:t>
      </w:r>
    </w:p>
    <w:p w14:paraId="746BF8D5">
      <w:pPr>
        <w:spacing w:line="360" w:lineRule="auto"/>
        <w:rPr>
          <w:rFonts w:hint="eastAsia" w:ascii="宋体" w:hAnsi="宋体" w:cs="宋体"/>
          <w:color w:val="auto"/>
          <w:sz w:val="24"/>
          <w:highlight w:val="none"/>
        </w:rPr>
      </w:pPr>
      <w:r>
        <w:rPr>
          <w:rFonts w:hint="eastAsia" w:ascii="宋体" w:hAnsi="宋体" w:cs="宋体"/>
          <w:color w:val="auto"/>
          <w:szCs w:val="21"/>
          <w:highlight w:val="none"/>
        </w:rPr>
        <w:t>注：请根据自己的真实情况出具《中小企业声明函》。依法享受中小企业优惠政策的，采购人或者采购代理机构在公告中标结果时，同时公告其《中小企业声明函》，接受社会监督。</w:t>
      </w:r>
    </w:p>
    <w:p w14:paraId="36FE5EAA">
      <w:pPr>
        <w:spacing w:line="360" w:lineRule="auto"/>
        <w:ind w:firstLine="420" w:firstLineChars="200"/>
        <w:jc w:val="center"/>
        <w:rPr>
          <w:rFonts w:hint="eastAsia" w:ascii="宋体" w:hAnsi="宋体" w:cs="宋体"/>
          <w:b/>
          <w:bCs/>
          <w:color w:val="auto"/>
          <w:sz w:val="32"/>
          <w:szCs w:val="32"/>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残疾人福利性单位声明函</w:t>
      </w:r>
    </w:p>
    <w:p w14:paraId="6BA573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E9A1E7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77E0FEB1">
      <w:pPr>
        <w:spacing w:line="360" w:lineRule="auto"/>
        <w:ind w:firstLine="2100" w:firstLineChars="1000"/>
        <w:rPr>
          <w:rFonts w:hint="eastAsia" w:ascii="宋体" w:hAnsi="宋体" w:cs="宋体"/>
          <w:color w:val="auto"/>
          <w:szCs w:val="21"/>
          <w:highlight w:val="none"/>
        </w:rPr>
      </w:pPr>
    </w:p>
    <w:p w14:paraId="53D18625">
      <w:pPr>
        <w:spacing w:line="360" w:lineRule="auto"/>
        <w:ind w:firstLine="2100" w:firstLineChars="1000"/>
        <w:rPr>
          <w:rFonts w:hint="eastAsia" w:ascii="宋体" w:hAnsi="宋体" w:cs="宋体"/>
          <w:color w:val="auto"/>
          <w:szCs w:val="21"/>
          <w:highlight w:val="none"/>
        </w:rPr>
      </w:pPr>
      <w:r>
        <w:rPr>
          <w:rFonts w:hint="eastAsia" w:ascii="宋体" w:hAnsi="宋体" w:cs="宋体"/>
          <w:color w:val="auto"/>
          <w:szCs w:val="21"/>
          <w:highlight w:val="none"/>
        </w:rPr>
        <w:t>单位名称（盖章）：</w:t>
      </w:r>
    </w:p>
    <w:p w14:paraId="5E50206E">
      <w:pPr>
        <w:spacing w:line="360" w:lineRule="auto"/>
        <w:ind w:firstLine="2100" w:firstLineChars="1000"/>
        <w:jc w:val="left"/>
        <w:rPr>
          <w:rFonts w:hint="eastAsia" w:ascii="宋体" w:hAnsi="宋体" w:cs="宋体"/>
          <w:color w:val="auto"/>
          <w:szCs w:val="21"/>
          <w:highlight w:val="none"/>
        </w:rPr>
      </w:pPr>
      <w:r>
        <w:rPr>
          <w:rFonts w:hint="eastAsia" w:ascii="宋体" w:hAnsi="宋体" w:cs="宋体"/>
          <w:color w:val="auto"/>
          <w:szCs w:val="21"/>
          <w:highlight w:val="none"/>
        </w:rPr>
        <w:t>日期：</w:t>
      </w:r>
    </w:p>
    <w:p w14:paraId="1A97F7E5">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26F6D695">
      <w:pPr>
        <w:spacing w:line="360" w:lineRule="auto"/>
        <w:jc w:val="center"/>
        <w:rPr>
          <w:rFonts w:hint="eastAsia" w:ascii="宋体" w:hAnsi="宋体" w:cs="宋体"/>
          <w:b/>
          <w:bCs/>
          <w:color w:val="auto"/>
          <w:sz w:val="32"/>
          <w:szCs w:val="32"/>
          <w:highlight w:val="none"/>
        </w:rPr>
      </w:pPr>
    </w:p>
    <w:p w14:paraId="42CDE9FF">
      <w:pPr>
        <w:spacing w:line="360" w:lineRule="auto"/>
        <w:jc w:val="center"/>
        <w:rPr>
          <w:rFonts w:hint="eastAsia" w:ascii="宋体" w:hAnsi="宋体" w:cs="宋体"/>
          <w:b/>
          <w:bCs/>
          <w:color w:val="auto"/>
          <w:sz w:val="32"/>
          <w:szCs w:val="32"/>
          <w:highlight w:val="none"/>
        </w:rPr>
      </w:pPr>
    </w:p>
    <w:p w14:paraId="62B20507">
      <w:pPr>
        <w:spacing w:line="360" w:lineRule="auto"/>
        <w:jc w:val="center"/>
        <w:rPr>
          <w:rFonts w:hint="eastAsia" w:ascii="宋体" w:hAnsi="宋体" w:cs="宋体"/>
          <w:b/>
          <w:bCs/>
          <w:color w:val="auto"/>
          <w:sz w:val="32"/>
          <w:szCs w:val="32"/>
          <w:highlight w:val="none"/>
        </w:rPr>
      </w:pPr>
    </w:p>
    <w:p w14:paraId="17F572AE">
      <w:pPr>
        <w:spacing w:line="360" w:lineRule="auto"/>
        <w:jc w:val="center"/>
        <w:rPr>
          <w:rFonts w:hint="eastAsia" w:ascii="宋体" w:hAnsi="宋体" w:cs="宋体"/>
          <w:b/>
          <w:bCs/>
          <w:color w:val="auto"/>
          <w:sz w:val="32"/>
          <w:szCs w:val="32"/>
          <w:highlight w:val="none"/>
        </w:rPr>
      </w:pPr>
    </w:p>
    <w:p w14:paraId="1C4DEA63">
      <w:pPr>
        <w:spacing w:line="360" w:lineRule="auto"/>
        <w:jc w:val="center"/>
        <w:rPr>
          <w:rFonts w:hint="eastAsia" w:ascii="宋体" w:hAnsi="宋体" w:cs="宋体"/>
          <w:b/>
          <w:bCs/>
          <w:color w:val="auto"/>
          <w:sz w:val="32"/>
          <w:szCs w:val="32"/>
          <w:highlight w:val="none"/>
        </w:rPr>
      </w:pPr>
    </w:p>
    <w:p w14:paraId="1C006DBA">
      <w:pPr>
        <w:spacing w:line="360" w:lineRule="auto"/>
        <w:jc w:val="center"/>
        <w:rPr>
          <w:rFonts w:hint="eastAsia" w:ascii="宋体" w:hAnsi="宋体" w:cs="宋体"/>
          <w:b/>
          <w:bCs/>
          <w:color w:val="auto"/>
          <w:sz w:val="32"/>
          <w:szCs w:val="32"/>
          <w:highlight w:val="none"/>
        </w:rPr>
      </w:pPr>
    </w:p>
    <w:p w14:paraId="1B51AD90">
      <w:pPr>
        <w:spacing w:line="360" w:lineRule="auto"/>
        <w:jc w:val="center"/>
        <w:rPr>
          <w:rFonts w:hint="eastAsia" w:ascii="宋体" w:hAnsi="宋体" w:cs="宋体"/>
          <w:b/>
          <w:bCs/>
          <w:color w:val="auto"/>
          <w:sz w:val="32"/>
          <w:szCs w:val="32"/>
          <w:highlight w:val="none"/>
        </w:rPr>
      </w:pPr>
    </w:p>
    <w:p w14:paraId="7B89D9A7">
      <w:pPr>
        <w:spacing w:line="360" w:lineRule="auto"/>
        <w:jc w:val="center"/>
        <w:rPr>
          <w:rFonts w:hint="eastAsia" w:ascii="宋体" w:hAnsi="宋体" w:cs="宋体"/>
          <w:b/>
          <w:bCs/>
          <w:color w:val="auto"/>
          <w:sz w:val="32"/>
          <w:szCs w:val="32"/>
          <w:highlight w:val="none"/>
        </w:rPr>
      </w:pPr>
    </w:p>
    <w:p w14:paraId="618BE1F2">
      <w:pPr>
        <w:spacing w:line="360" w:lineRule="auto"/>
        <w:jc w:val="center"/>
        <w:rPr>
          <w:rFonts w:hint="eastAsia" w:ascii="宋体" w:hAnsi="宋体" w:cs="宋体"/>
          <w:b/>
          <w:bCs/>
          <w:color w:val="auto"/>
          <w:sz w:val="32"/>
          <w:szCs w:val="32"/>
          <w:highlight w:val="none"/>
        </w:rPr>
      </w:pPr>
    </w:p>
    <w:p w14:paraId="40314F5E">
      <w:pPr>
        <w:spacing w:line="360" w:lineRule="auto"/>
        <w:jc w:val="center"/>
        <w:rPr>
          <w:rFonts w:hint="eastAsia" w:ascii="宋体" w:hAnsi="宋体" w:cs="宋体"/>
          <w:b/>
          <w:bCs/>
          <w:color w:val="auto"/>
          <w:sz w:val="32"/>
          <w:szCs w:val="32"/>
          <w:highlight w:val="none"/>
        </w:rPr>
      </w:pPr>
    </w:p>
    <w:p w14:paraId="07FC248C">
      <w:pPr>
        <w:spacing w:line="360" w:lineRule="auto"/>
        <w:jc w:val="center"/>
        <w:rPr>
          <w:rFonts w:hint="eastAsia" w:ascii="宋体" w:hAnsi="宋体" w:cs="宋体"/>
          <w:b/>
          <w:bCs/>
          <w:color w:val="auto"/>
          <w:sz w:val="32"/>
          <w:szCs w:val="32"/>
          <w:highlight w:val="none"/>
        </w:rPr>
      </w:pPr>
    </w:p>
    <w:p w14:paraId="4B5F1328">
      <w:pPr>
        <w:spacing w:line="360" w:lineRule="auto"/>
        <w:jc w:val="center"/>
        <w:rPr>
          <w:rFonts w:hint="eastAsia" w:ascii="宋体" w:hAnsi="宋体" w:cs="宋体"/>
          <w:b/>
          <w:bCs/>
          <w:color w:val="auto"/>
          <w:sz w:val="32"/>
          <w:szCs w:val="32"/>
          <w:highlight w:val="none"/>
        </w:rPr>
      </w:pPr>
    </w:p>
    <w:p w14:paraId="38F39A54">
      <w:pPr>
        <w:spacing w:line="360" w:lineRule="auto"/>
        <w:jc w:val="center"/>
        <w:rPr>
          <w:rFonts w:hint="eastAsia" w:ascii="宋体" w:hAnsi="宋体" w:cs="宋体"/>
          <w:b/>
          <w:bCs/>
          <w:color w:val="auto"/>
          <w:sz w:val="32"/>
          <w:szCs w:val="32"/>
          <w:highlight w:val="none"/>
        </w:rPr>
      </w:pPr>
    </w:p>
    <w:p w14:paraId="1B80876D">
      <w:pPr>
        <w:spacing w:line="360" w:lineRule="auto"/>
        <w:jc w:val="center"/>
        <w:rPr>
          <w:rFonts w:hint="eastAsia" w:ascii="宋体" w:hAnsi="宋体" w:cs="宋体"/>
          <w:b/>
          <w:bCs/>
          <w:color w:val="auto"/>
          <w:sz w:val="32"/>
          <w:szCs w:val="32"/>
          <w:highlight w:val="none"/>
        </w:rPr>
      </w:pPr>
    </w:p>
    <w:p w14:paraId="27748F2A">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376D6324">
      <w:pPr>
        <w:pStyle w:val="50"/>
        <w:spacing w:line="360" w:lineRule="auto"/>
        <w:ind w:firstLine="422" w:firstLineChars="200"/>
        <w:rPr>
          <w:rFonts w:hint="eastAsia" w:hAnsi="宋体" w:cs="宋体"/>
          <w:b/>
          <w:bCs/>
          <w:color w:val="auto"/>
          <w:sz w:val="21"/>
          <w:highlight w:val="none"/>
        </w:rPr>
      </w:pPr>
      <w:r>
        <w:rPr>
          <w:rFonts w:hint="eastAsia" w:hAnsi="宋体" w:cs="宋体"/>
          <w:b/>
          <w:bCs/>
          <w:color w:val="auto"/>
          <w:sz w:val="21"/>
          <w:highlight w:val="none"/>
        </w:rPr>
        <w:t>一、质疑供应商基本信息：</w:t>
      </w:r>
    </w:p>
    <w:p w14:paraId="346EB5DF">
      <w:pPr>
        <w:pStyle w:val="50"/>
        <w:spacing w:line="360" w:lineRule="auto"/>
        <w:ind w:firstLine="420" w:firstLineChars="200"/>
        <w:rPr>
          <w:rFonts w:hint="eastAsia" w:hAnsi="宋体" w:eastAsia="宋体" w:cs="宋体"/>
          <w:bCs/>
          <w:color w:val="auto"/>
          <w:sz w:val="21"/>
          <w:highlight w:val="none"/>
          <w:u w:val="single"/>
          <w:lang w:eastAsia="zh-CN"/>
        </w:rPr>
      </w:pPr>
      <w:r>
        <w:rPr>
          <w:rFonts w:hint="eastAsia" w:hAnsi="宋体" w:cs="宋体"/>
          <w:bCs/>
          <w:color w:val="auto"/>
          <w:sz w:val="21"/>
          <w:highlight w:val="none"/>
        </w:rPr>
        <w:t>质疑供应商：</w:t>
      </w:r>
    </w:p>
    <w:p w14:paraId="450B231D">
      <w:pPr>
        <w:pStyle w:val="50"/>
        <w:spacing w:line="360" w:lineRule="auto"/>
        <w:ind w:firstLine="420" w:firstLineChars="200"/>
        <w:rPr>
          <w:rFonts w:hint="eastAsia" w:hAnsi="宋体" w:eastAsia="宋体" w:cs="宋体"/>
          <w:bCs/>
          <w:color w:val="auto"/>
          <w:sz w:val="21"/>
          <w:highlight w:val="none"/>
          <w:lang w:eastAsia="zh-CN"/>
        </w:rPr>
      </w:pPr>
      <w:r>
        <w:rPr>
          <w:rFonts w:hint="eastAsia" w:hAnsi="宋体" w:cs="宋体"/>
          <w:bCs/>
          <w:color w:val="auto"/>
          <w:sz w:val="21"/>
          <w:highlight w:val="none"/>
        </w:rPr>
        <w:t>地址：邮编：</w:t>
      </w:r>
    </w:p>
    <w:p w14:paraId="361CB166">
      <w:pPr>
        <w:pStyle w:val="50"/>
        <w:spacing w:line="360" w:lineRule="auto"/>
        <w:ind w:firstLine="420" w:firstLineChars="200"/>
        <w:rPr>
          <w:rFonts w:hint="eastAsia" w:hAnsi="宋体" w:eastAsia="宋体" w:cs="宋体"/>
          <w:bCs/>
          <w:color w:val="auto"/>
          <w:sz w:val="21"/>
          <w:highlight w:val="none"/>
          <w:lang w:eastAsia="zh-CN"/>
        </w:rPr>
      </w:pPr>
      <w:r>
        <w:rPr>
          <w:rFonts w:hint="eastAsia" w:hAnsi="宋体" w:cs="宋体"/>
          <w:bCs/>
          <w:color w:val="auto"/>
          <w:sz w:val="21"/>
          <w:highlight w:val="none"/>
        </w:rPr>
        <w:t>联系人：联系电话：</w:t>
      </w:r>
    </w:p>
    <w:p w14:paraId="21120A94">
      <w:pPr>
        <w:pStyle w:val="50"/>
        <w:spacing w:line="360" w:lineRule="auto"/>
        <w:ind w:firstLine="420" w:firstLineChars="200"/>
        <w:rPr>
          <w:rFonts w:hint="eastAsia" w:hAnsi="宋体" w:eastAsia="宋体" w:cs="宋体"/>
          <w:bCs/>
          <w:color w:val="auto"/>
          <w:sz w:val="21"/>
          <w:highlight w:val="none"/>
          <w:lang w:eastAsia="zh-CN"/>
        </w:rPr>
      </w:pPr>
      <w:r>
        <w:rPr>
          <w:rFonts w:hint="eastAsia" w:hAnsi="宋体" w:cs="宋体"/>
          <w:bCs/>
          <w:color w:val="auto"/>
          <w:sz w:val="21"/>
          <w:highlight w:val="none"/>
        </w:rPr>
        <w:t>授权代表：</w:t>
      </w:r>
    </w:p>
    <w:p w14:paraId="42FDF500">
      <w:pPr>
        <w:pStyle w:val="50"/>
        <w:spacing w:line="360" w:lineRule="auto"/>
        <w:ind w:firstLine="420" w:firstLineChars="200"/>
        <w:rPr>
          <w:rFonts w:hint="eastAsia" w:hAnsi="宋体" w:eastAsia="宋体" w:cs="宋体"/>
          <w:bCs/>
          <w:color w:val="auto"/>
          <w:sz w:val="21"/>
          <w:highlight w:val="none"/>
          <w:u w:val="single"/>
          <w:lang w:eastAsia="zh-CN"/>
        </w:rPr>
      </w:pPr>
      <w:r>
        <w:rPr>
          <w:rFonts w:hint="eastAsia" w:hAnsi="宋体" w:cs="宋体"/>
          <w:bCs/>
          <w:color w:val="auto"/>
          <w:sz w:val="21"/>
          <w:highlight w:val="none"/>
        </w:rPr>
        <w:t>联系电话：</w:t>
      </w:r>
    </w:p>
    <w:p w14:paraId="01103F1C">
      <w:pPr>
        <w:pStyle w:val="50"/>
        <w:spacing w:line="360" w:lineRule="auto"/>
        <w:ind w:firstLine="420" w:firstLineChars="200"/>
        <w:rPr>
          <w:rFonts w:hint="eastAsia" w:hAnsi="宋体" w:eastAsia="宋体" w:cs="宋体"/>
          <w:bCs/>
          <w:color w:val="auto"/>
          <w:sz w:val="21"/>
          <w:highlight w:val="none"/>
          <w:lang w:eastAsia="zh-CN"/>
        </w:rPr>
      </w:pPr>
      <w:r>
        <w:rPr>
          <w:rFonts w:hint="eastAsia" w:hAnsi="宋体" w:cs="宋体"/>
          <w:bCs/>
          <w:color w:val="auto"/>
          <w:sz w:val="21"/>
          <w:highlight w:val="none"/>
        </w:rPr>
        <w:t>地址：邮编：</w:t>
      </w:r>
    </w:p>
    <w:p w14:paraId="13391821">
      <w:pPr>
        <w:pStyle w:val="50"/>
        <w:spacing w:line="360" w:lineRule="auto"/>
        <w:ind w:firstLine="422" w:firstLineChars="200"/>
        <w:rPr>
          <w:rFonts w:hint="eastAsia" w:hAnsi="宋体" w:cs="宋体"/>
          <w:b/>
          <w:bCs/>
          <w:color w:val="auto"/>
          <w:sz w:val="21"/>
          <w:highlight w:val="none"/>
        </w:rPr>
      </w:pPr>
      <w:r>
        <w:rPr>
          <w:rFonts w:hint="eastAsia" w:hAnsi="宋体" w:cs="宋体"/>
          <w:b/>
          <w:bCs/>
          <w:color w:val="auto"/>
          <w:sz w:val="21"/>
          <w:highlight w:val="none"/>
        </w:rPr>
        <w:t>二、质疑项目基本情况：</w:t>
      </w:r>
    </w:p>
    <w:p w14:paraId="6C282999">
      <w:pPr>
        <w:pStyle w:val="50"/>
        <w:spacing w:line="360" w:lineRule="auto"/>
        <w:ind w:left="25" w:leftChars="12" w:firstLine="413" w:firstLineChars="197"/>
        <w:rPr>
          <w:rFonts w:hint="eastAsia" w:hAnsi="宋体" w:eastAsia="宋体" w:cs="宋体"/>
          <w:color w:val="auto"/>
          <w:sz w:val="21"/>
          <w:highlight w:val="none"/>
          <w:lang w:eastAsia="zh-CN"/>
        </w:rPr>
      </w:pPr>
      <w:r>
        <w:rPr>
          <w:rFonts w:hint="eastAsia" w:hAnsi="宋体" w:cs="宋体"/>
          <w:bCs/>
          <w:color w:val="auto"/>
          <w:sz w:val="21"/>
          <w:highlight w:val="none"/>
        </w:rPr>
        <w:t>质疑</w:t>
      </w:r>
      <w:r>
        <w:rPr>
          <w:rFonts w:hint="eastAsia" w:hAnsi="宋体" w:cs="宋体"/>
          <w:color w:val="auto"/>
          <w:sz w:val="21"/>
          <w:highlight w:val="none"/>
        </w:rPr>
        <w:t>项目的名称：</w:t>
      </w:r>
    </w:p>
    <w:p w14:paraId="64755DE4">
      <w:pPr>
        <w:pStyle w:val="50"/>
        <w:spacing w:line="360" w:lineRule="auto"/>
        <w:ind w:left="25" w:leftChars="12" w:firstLine="413" w:firstLineChars="197"/>
        <w:rPr>
          <w:rFonts w:hint="eastAsia" w:hAnsi="宋体" w:eastAsia="宋体" w:cs="宋体"/>
          <w:color w:val="auto"/>
          <w:sz w:val="21"/>
          <w:highlight w:val="none"/>
          <w:lang w:eastAsia="zh-CN"/>
        </w:rPr>
      </w:pPr>
      <w:r>
        <w:rPr>
          <w:rFonts w:hint="eastAsia" w:hAnsi="宋体" w:cs="宋体"/>
          <w:bCs/>
          <w:color w:val="auto"/>
          <w:sz w:val="21"/>
          <w:highlight w:val="none"/>
        </w:rPr>
        <w:t>质疑</w:t>
      </w:r>
      <w:r>
        <w:rPr>
          <w:rFonts w:hint="eastAsia" w:hAnsi="宋体" w:cs="宋体"/>
          <w:color w:val="auto"/>
          <w:sz w:val="21"/>
          <w:highlight w:val="none"/>
        </w:rPr>
        <w:t>项目的编号：</w:t>
      </w:r>
    </w:p>
    <w:p w14:paraId="7D75FDE6">
      <w:pPr>
        <w:pStyle w:val="50"/>
        <w:spacing w:line="360" w:lineRule="auto"/>
        <w:ind w:left="25" w:leftChars="12" w:firstLine="413" w:firstLineChars="197"/>
        <w:rPr>
          <w:rFonts w:hint="eastAsia" w:hAnsi="宋体" w:eastAsia="宋体" w:cs="宋体"/>
          <w:color w:val="auto"/>
          <w:sz w:val="21"/>
          <w:highlight w:val="none"/>
          <w:lang w:eastAsia="zh-CN"/>
        </w:rPr>
      </w:pPr>
      <w:r>
        <w:rPr>
          <w:rFonts w:hint="eastAsia" w:hAnsi="宋体" w:cs="宋体"/>
          <w:color w:val="auto"/>
          <w:sz w:val="21"/>
          <w:highlight w:val="none"/>
        </w:rPr>
        <w:t>采购人名称：</w:t>
      </w:r>
    </w:p>
    <w:p w14:paraId="66D331D1">
      <w:pPr>
        <w:pStyle w:val="50"/>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质疑事项：</w:t>
      </w:r>
    </w:p>
    <w:p w14:paraId="7FCC37B5">
      <w:pPr>
        <w:pStyle w:val="50"/>
        <w:spacing w:line="360" w:lineRule="auto"/>
        <w:ind w:left="25" w:leftChars="12" w:firstLine="308" w:firstLineChars="147"/>
        <w:rPr>
          <w:rFonts w:hint="eastAsia" w:hAnsi="宋体" w:eastAsia="宋体" w:cs="宋体"/>
          <w:color w:val="auto"/>
          <w:sz w:val="21"/>
          <w:highlight w:val="none"/>
          <w:lang w:eastAsia="zh-CN"/>
        </w:rPr>
      </w:pPr>
      <w:r>
        <w:rPr>
          <w:rFonts w:hint="eastAsia" w:hAnsi="宋体" w:cs="宋体"/>
          <w:color w:val="auto"/>
          <w:sz w:val="21"/>
          <w:highlight w:val="none"/>
        </w:rPr>
        <w:t>□招标文件招标文件获取日期：</w:t>
      </w:r>
    </w:p>
    <w:p w14:paraId="4E876555">
      <w:pPr>
        <w:pStyle w:val="50"/>
        <w:spacing w:line="360" w:lineRule="auto"/>
        <w:ind w:left="25" w:leftChars="12" w:firstLine="308" w:firstLineChars="147"/>
        <w:rPr>
          <w:rFonts w:hint="eastAsia" w:hAnsi="宋体" w:eastAsia="宋体" w:cs="宋体"/>
          <w:color w:val="auto"/>
          <w:sz w:val="21"/>
          <w:highlight w:val="none"/>
          <w:lang w:eastAsia="zh-CN"/>
        </w:rPr>
      </w:pPr>
      <w:r>
        <w:rPr>
          <w:rFonts w:hint="eastAsia" w:hAnsi="宋体" w:cs="宋体"/>
          <w:color w:val="auto"/>
          <w:sz w:val="21"/>
          <w:highlight w:val="none"/>
        </w:rPr>
        <w:t>□采购过程</w:t>
      </w:r>
    </w:p>
    <w:p w14:paraId="4CF4B683">
      <w:pPr>
        <w:pStyle w:val="50"/>
        <w:spacing w:line="360" w:lineRule="auto"/>
        <w:ind w:left="25" w:leftChars="12" w:firstLine="308" w:firstLineChars="147"/>
        <w:rPr>
          <w:rFonts w:hint="eastAsia" w:hAnsi="宋体" w:eastAsia="宋体" w:cs="宋体"/>
          <w:bCs/>
          <w:color w:val="auto"/>
          <w:sz w:val="21"/>
          <w:highlight w:val="none"/>
          <w:u w:val="single"/>
          <w:lang w:eastAsia="zh-CN"/>
        </w:rPr>
      </w:pPr>
      <w:r>
        <w:rPr>
          <w:rFonts w:hint="eastAsia" w:hAnsi="宋体" w:cs="宋体"/>
          <w:color w:val="auto"/>
          <w:sz w:val="21"/>
          <w:highlight w:val="none"/>
        </w:rPr>
        <w:t>□中标结果</w:t>
      </w:r>
    </w:p>
    <w:p w14:paraId="65B76791">
      <w:pPr>
        <w:pStyle w:val="50"/>
        <w:spacing w:line="360" w:lineRule="auto"/>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三、质疑事项具体内容</w:t>
      </w:r>
    </w:p>
    <w:p w14:paraId="264DFF8E">
      <w:pPr>
        <w:pStyle w:val="50"/>
        <w:spacing w:line="360" w:lineRule="auto"/>
        <w:ind w:left="25" w:leftChars="12" w:firstLine="413" w:firstLineChars="197"/>
        <w:rPr>
          <w:rFonts w:hint="eastAsia" w:hAnsi="宋体" w:eastAsia="宋体" w:cs="宋体"/>
          <w:color w:val="auto"/>
          <w:sz w:val="21"/>
          <w:highlight w:val="none"/>
          <w:lang w:eastAsia="zh-CN"/>
        </w:rPr>
      </w:pPr>
      <w:r>
        <w:rPr>
          <w:rFonts w:hint="eastAsia" w:hAnsi="宋体" w:cs="宋体"/>
          <w:color w:val="auto"/>
          <w:sz w:val="21"/>
          <w:highlight w:val="none"/>
        </w:rPr>
        <w:t>质疑事项1：</w:t>
      </w:r>
    </w:p>
    <w:p w14:paraId="1818EA4C">
      <w:pPr>
        <w:pStyle w:val="50"/>
        <w:spacing w:line="360" w:lineRule="auto"/>
        <w:ind w:left="25" w:leftChars="12" w:firstLine="413" w:firstLineChars="197"/>
        <w:rPr>
          <w:rFonts w:hint="eastAsia" w:hAnsi="宋体" w:eastAsia="宋体" w:cs="宋体"/>
          <w:color w:val="auto"/>
          <w:sz w:val="21"/>
          <w:highlight w:val="none"/>
          <w:lang w:eastAsia="zh-CN"/>
        </w:rPr>
      </w:pPr>
      <w:r>
        <w:rPr>
          <w:rFonts w:hint="eastAsia" w:hAnsi="宋体" w:cs="宋体"/>
          <w:color w:val="auto"/>
          <w:sz w:val="21"/>
          <w:highlight w:val="none"/>
        </w:rPr>
        <w:t>事实依据：</w:t>
      </w:r>
    </w:p>
    <w:p w14:paraId="0D4647AA">
      <w:pPr>
        <w:pStyle w:val="50"/>
        <w:spacing w:line="360" w:lineRule="auto"/>
        <w:ind w:left="25" w:leftChars="12" w:firstLine="413" w:firstLineChars="197"/>
        <w:rPr>
          <w:rFonts w:hint="eastAsia" w:hAnsi="宋体" w:eastAsia="宋体" w:cs="宋体"/>
          <w:color w:val="auto"/>
          <w:sz w:val="21"/>
          <w:highlight w:val="none"/>
          <w:lang w:eastAsia="zh-CN"/>
        </w:rPr>
      </w:pPr>
      <w:r>
        <w:rPr>
          <w:rFonts w:hint="eastAsia" w:hAnsi="宋体" w:cs="宋体"/>
          <w:color w:val="auto"/>
          <w:sz w:val="21"/>
          <w:highlight w:val="none"/>
        </w:rPr>
        <w:t>法律依据：</w:t>
      </w:r>
    </w:p>
    <w:p w14:paraId="30F0D558">
      <w:pPr>
        <w:pStyle w:val="50"/>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质疑事项2</w:t>
      </w:r>
    </w:p>
    <w:p w14:paraId="36751A78">
      <w:pPr>
        <w:pStyle w:val="50"/>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w:t>
      </w:r>
    </w:p>
    <w:p w14:paraId="1365A17C">
      <w:pPr>
        <w:pStyle w:val="50"/>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四、与质疑事项相关的质疑请求：</w:t>
      </w:r>
    </w:p>
    <w:p w14:paraId="72B57DE0">
      <w:pPr>
        <w:pStyle w:val="50"/>
        <w:spacing w:line="360" w:lineRule="auto"/>
        <w:rPr>
          <w:rFonts w:hint="eastAsia" w:hAnsi="宋体" w:cs="宋体"/>
          <w:b/>
          <w:color w:val="auto"/>
          <w:sz w:val="21"/>
          <w:highlight w:val="none"/>
        </w:rPr>
      </w:pPr>
      <w:r>
        <w:rPr>
          <w:rFonts w:hint="eastAsia" w:hAnsi="宋体" w:cs="宋体"/>
          <w:color w:val="auto"/>
          <w:sz w:val="21"/>
          <w:highlight w:val="none"/>
        </w:rPr>
        <w:t>请求：</w:t>
      </w:r>
      <w:r>
        <w:rPr>
          <w:rFonts w:hint="eastAsia" w:ascii="宋体" w:hAnsi="宋体" w:eastAsia="宋体" w:cs="宋体"/>
          <w:color w:val="auto"/>
          <w:sz w:val="21"/>
          <w:highlight w:val="none"/>
        </w:rPr>
        <w:t>签字</w:t>
      </w:r>
      <w:r>
        <w:rPr>
          <w:rFonts w:hint="eastAsia" w:ascii="宋体" w:hAnsi="宋体" w:eastAsia="宋体" w:cs="宋体"/>
          <w:color w:val="auto"/>
          <w:sz w:val="21"/>
          <w:highlight w:val="none"/>
          <w:lang w:val="en-US" w:eastAsia="zh-CN"/>
        </w:rPr>
        <w:t>或盖章</w:t>
      </w:r>
      <w:r>
        <w:rPr>
          <w:rFonts w:hint="eastAsia" w:ascii="宋体" w:hAnsi="宋体" w:eastAsia="宋体" w:cs="宋体"/>
          <w:color w:val="auto"/>
          <w:sz w:val="21"/>
          <w:highlight w:val="none"/>
        </w:rPr>
        <w:t>：</w:t>
      </w:r>
      <w:r>
        <w:rPr>
          <w:rFonts w:hint="eastAsia" w:hAnsi="宋体" w:cs="宋体"/>
          <w:color w:val="auto"/>
          <w:sz w:val="21"/>
          <w:highlight w:val="none"/>
        </w:rPr>
        <w:t>公章：日期：</w:t>
      </w:r>
      <w:r>
        <w:rPr>
          <w:rFonts w:hint="eastAsia" w:hAnsi="宋体" w:cs="宋体"/>
          <w:b/>
          <w:color w:val="auto"/>
          <w:sz w:val="21"/>
          <w:highlight w:val="none"/>
        </w:rPr>
        <w:t>说明：</w:t>
      </w:r>
    </w:p>
    <w:p w14:paraId="6FD40114">
      <w:pPr>
        <w:pStyle w:val="50"/>
        <w:spacing w:line="360" w:lineRule="auto"/>
        <w:ind w:left="25" w:leftChars="12" w:firstLine="310" w:firstLineChars="147"/>
        <w:rPr>
          <w:rFonts w:hint="eastAsia" w:hAnsi="宋体" w:cs="宋体"/>
          <w:b/>
          <w:bCs/>
          <w:color w:val="auto"/>
          <w:sz w:val="21"/>
          <w:highlight w:val="none"/>
        </w:rPr>
      </w:pPr>
      <w:r>
        <w:rPr>
          <w:rFonts w:hint="eastAsia" w:hAnsi="宋体" w:cs="宋体"/>
          <w:b/>
          <w:color w:val="auto"/>
          <w:sz w:val="21"/>
          <w:highlight w:val="none"/>
        </w:rPr>
        <w:t>1.供应商提出质疑时，应提交质疑函和必要的证明材料</w:t>
      </w:r>
      <w:r>
        <w:rPr>
          <w:rFonts w:hint="eastAsia" w:hAnsi="宋体" w:cs="宋体"/>
          <w:b/>
          <w:bCs/>
          <w:color w:val="auto"/>
          <w:sz w:val="21"/>
          <w:highlight w:val="none"/>
        </w:rPr>
        <w:t>。</w:t>
      </w:r>
    </w:p>
    <w:p w14:paraId="546AC9B4">
      <w:pPr>
        <w:pStyle w:val="50"/>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9202F8">
      <w:pPr>
        <w:pStyle w:val="50"/>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3.质疑函的质疑事项应具体、明确，并有必要的事实依据和法律依据。</w:t>
      </w:r>
    </w:p>
    <w:p w14:paraId="756AE781">
      <w:pPr>
        <w:pStyle w:val="50"/>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4.质疑函的质疑请求应与质疑事项相关。</w:t>
      </w:r>
    </w:p>
    <w:p w14:paraId="7D458DF6">
      <w:pPr>
        <w:pStyle w:val="50"/>
        <w:spacing w:line="360" w:lineRule="auto"/>
        <w:ind w:left="25" w:leftChars="12" w:firstLine="310" w:firstLineChars="147"/>
        <w:rPr>
          <w:rFonts w:hAnsi="宋体" w:cs="宋体"/>
          <w:b/>
          <w:color w:val="auto"/>
          <w:sz w:val="21"/>
          <w:highlight w:val="none"/>
        </w:rPr>
        <w:sectPr>
          <w:pgSz w:w="11906" w:h="16838"/>
          <w:pgMar w:top="1440" w:right="1797" w:bottom="1440" w:left="1797" w:header="851" w:footer="992" w:gutter="0"/>
          <w:cols w:space="720" w:num="1"/>
          <w:docGrid w:linePitch="312" w:charSpace="0"/>
        </w:sectPr>
      </w:pPr>
      <w:r>
        <w:rPr>
          <w:rFonts w:hint="eastAsia" w:hAnsi="宋体" w:cs="宋体"/>
          <w:b/>
          <w:color w:val="auto"/>
          <w:sz w:val="21"/>
          <w:highlight w:val="none"/>
        </w:rPr>
        <w:t>5.质疑供应商为法人或者其他组织的，质疑函应由法定代表人、主要负责人，或者其授权代表签字或者盖章，并加盖公章。</w:t>
      </w:r>
    </w:p>
    <w:p w14:paraId="12AC0686">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695A4B0F">
      <w:pPr>
        <w:pStyle w:val="50"/>
        <w:spacing w:line="360" w:lineRule="auto"/>
        <w:ind w:firstLine="422" w:firstLineChars="200"/>
        <w:rPr>
          <w:rFonts w:hint="eastAsia" w:hAnsi="宋体" w:cs="宋体"/>
          <w:b/>
          <w:bCs/>
          <w:color w:val="auto"/>
          <w:sz w:val="21"/>
          <w:highlight w:val="none"/>
        </w:rPr>
      </w:pPr>
      <w:r>
        <w:rPr>
          <w:rFonts w:hint="eastAsia" w:hAnsi="宋体" w:cs="宋体"/>
          <w:b/>
          <w:bCs/>
          <w:color w:val="auto"/>
          <w:sz w:val="21"/>
          <w:highlight w:val="none"/>
        </w:rPr>
        <w:t>一、投诉相关主体基本情况：</w:t>
      </w:r>
    </w:p>
    <w:p w14:paraId="6DB3F8CD">
      <w:pPr>
        <w:pStyle w:val="50"/>
        <w:spacing w:line="360" w:lineRule="auto"/>
        <w:ind w:firstLine="420" w:firstLineChars="200"/>
        <w:rPr>
          <w:rFonts w:hint="eastAsia" w:hAnsi="宋体" w:eastAsia="宋体" w:cs="宋体"/>
          <w:bCs/>
          <w:color w:val="auto"/>
          <w:sz w:val="21"/>
          <w:highlight w:val="none"/>
          <w:u w:val="single"/>
          <w:lang w:eastAsia="zh-CN"/>
        </w:rPr>
      </w:pPr>
      <w:r>
        <w:rPr>
          <w:rFonts w:hint="eastAsia" w:hAnsi="宋体" w:cs="宋体"/>
          <w:bCs/>
          <w:color w:val="auto"/>
          <w:sz w:val="21"/>
          <w:highlight w:val="none"/>
        </w:rPr>
        <w:t>投标人：</w:t>
      </w:r>
    </w:p>
    <w:p w14:paraId="6FB3EE78">
      <w:pPr>
        <w:pStyle w:val="50"/>
        <w:spacing w:line="360" w:lineRule="auto"/>
        <w:ind w:firstLine="420" w:firstLineChars="200"/>
        <w:rPr>
          <w:rFonts w:hint="eastAsia" w:hAnsi="宋体" w:eastAsia="宋体" w:cs="宋体"/>
          <w:bCs/>
          <w:color w:val="auto"/>
          <w:sz w:val="21"/>
          <w:highlight w:val="none"/>
          <w:u w:val="single"/>
          <w:lang w:eastAsia="zh-CN"/>
        </w:rPr>
      </w:pPr>
      <w:r>
        <w:rPr>
          <w:rFonts w:hint="eastAsia" w:hAnsi="宋体" w:cs="宋体"/>
          <w:bCs/>
          <w:color w:val="auto"/>
          <w:sz w:val="21"/>
          <w:highlight w:val="none"/>
        </w:rPr>
        <w:t>地址：</w:t>
      </w:r>
    </w:p>
    <w:p w14:paraId="5B87C320">
      <w:pPr>
        <w:pStyle w:val="50"/>
        <w:spacing w:line="360" w:lineRule="auto"/>
        <w:ind w:firstLine="420" w:firstLineChars="200"/>
        <w:rPr>
          <w:rFonts w:hint="eastAsia" w:hAnsi="宋体" w:eastAsia="宋体" w:cs="宋体"/>
          <w:bCs/>
          <w:color w:val="auto"/>
          <w:sz w:val="21"/>
          <w:highlight w:val="none"/>
          <w:lang w:eastAsia="zh-CN"/>
        </w:rPr>
      </w:pPr>
      <w:r>
        <w:rPr>
          <w:rFonts w:hint="eastAsia" w:hAnsi="宋体" w:cs="宋体"/>
          <w:bCs/>
          <w:color w:val="auto"/>
          <w:sz w:val="21"/>
          <w:highlight w:val="none"/>
        </w:rPr>
        <w:t>邮编：</w:t>
      </w:r>
    </w:p>
    <w:p w14:paraId="687BEFAB">
      <w:pPr>
        <w:pStyle w:val="50"/>
        <w:spacing w:line="360" w:lineRule="auto"/>
        <w:ind w:firstLine="420" w:firstLineChars="200"/>
        <w:rPr>
          <w:rFonts w:hint="eastAsia" w:hAnsi="宋体" w:eastAsia="宋体" w:cs="宋体"/>
          <w:bCs/>
          <w:color w:val="auto"/>
          <w:sz w:val="21"/>
          <w:highlight w:val="none"/>
          <w:u w:val="single"/>
          <w:lang w:eastAsia="zh-CN"/>
        </w:rPr>
      </w:pPr>
      <w:r>
        <w:rPr>
          <w:rFonts w:hint="eastAsia" w:hAnsi="宋体" w:cs="宋体"/>
          <w:bCs/>
          <w:color w:val="auto"/>
          <w:sz w:val="21"/>
          <w:highlight w:val="none"/>
        </w:rPr>
        <w:t>法定代表人/主要负责人：</w:t>
      </w:r>
    </w:p>
    <w:p w14:paraId="7AD1BBB6">
      <w:pPr>
        <w:pStyle w:val="50"/>
        <w:spacing w:line="360" w:lineRule="auto"/>
        <w:ind w:firstLine="420" w:firstLineChars="200"/>
        <w:rPr>
          <w:rFonts w:hint="eastAsia" w:hAnsi="宋体" w:eastAsia="宋体" w:cs="宋体"/>
          <w:bCs/>
          <w:color w:val="auto"/>
          <w:sz w:val="21"/>
          <w:highlight w:val="none"/>
          <w:lang w:eastAsia="zh-CN"/>
        </w:rPr>
      </w:pPr>
      <w:r>
        <w:rPr>
          <w:rFonts w:hint="eastAsia" w:hAnsi="宋体" w:cs="宋体"/>
          <w:bCs/>
          <w:color w:val="auto"/>
          <w:sz w:val="21"/>
          <w:highlight w:val="none"/>
        </w:rPr>
        <w:t>联系电话：</w:t>
      </w:r>
    </w:p>
    <w:p w14:paraId="257A44A1">
      <w:pPr>
        <w:pStyle w:val="50"/>
        <w:spacing w:line="360" w:lineRule="auto"/>
        <w:ind w:firstLine="420" w:firstLineChars="200"/>
        <w:rPr>
          <w:rFonts w:hint="eastAsia" w:hAnsi="宋体" w:eastAsia="宋体" w:cs="宋体"/>
          <w:bCs/>
          <w:color w:val="auto"/>
          <w:sz w:val="21"/>
          <w:highlight w:val="none"/>
          <w:u w:val="single"/>
          <w:lang w:eastAsia="zh-CN"/>
        </w:rPr>
      </w:pPr>
      <w:r>
        <w:rPr>
          <w:rFonts w:hint="eastAsia" w:hAnsi="宋体" w:cs="宋体"/>
          <w:bCs/>
          <w:color w:val="auto"/>
          <w:sz w:val="21"/>
          <w:highlight w:val="none"/>
        </w:rPr>
        <w:t>授权代表：</w:t>
      </w:r>
    </w:p>
    <w:p w14:paraId="51627504">
      <w:pPr>
        <w:pStyle w:val="50"/>
        <w:spacing w:line="360" w:lineRule="auto"/>
        <w:ind w:firstLine="420" w:firstLineChars="200"/>
        <w:rPr>
          <w:rFonts w:hint="eastAsia" w:hAnsi="宋体" w:eastAsia="宋体" w:cs="宋体"/>
          <w:bCs/>
          <w:color w:val="auto"/>
          <w:sz w:val="21"/>
          <w:highlight w:val="none"/>
          <w:u w:val="single"/>
          <w:lang w:eastAsia="zh-CN"/>
        </w:rPr>
      </w:pPr>
      <w:r>
        <w:rPr>
          <w:rFonts w:hint="eastAsia" w:hAnsi="宋体" w:cs="宋体"/>
          <w:bCs/>
          <w:color w:val="auto"/>
          <w:sz w:val="21"/>
          <w:highlight w:val="none"/>
        </w:rPr>
        <w:t>联系电话：</w:t>
      </w:r>
    </w:p>
    <w:p w14:paraId="5DABCFC6">
      <w:pPr>
        <w:pStyle w:val="50"/>
        <w:spacing w:line="360" w:lineRule="auto"/>
        <w:ind w:firstLine="420" w:firstLineChars="200"/>
        <w:rPr>
          <w:rFonts w:hint="eastAsia" w:hAnsi="宋体" w:eastAsia="宋体" w:cs="宋体"/>
          <w:bCs/>
          <w:color w:val="auto"/>
          <w:sz w:val="21"/>
          <w:highlight w:val="none"/>
          <w:u w:val="single"/>
          <w:lang w:eastAsia="zh-CN"/>
        </w:rPr>
      </w:pPr>
      <w:r>
        <w:rPr>
          <w:rFonts w:hint="eastAsia" w:hAnsi="宋体" w:cs="宋体"/>
          <w:bCs/>
          <w:color w:val="auto"/>
          <w:sz w:val="21"/>
          <w:highlight w:val="none"/>
        </w:rPr>
        <w:t>地址：</w:t>
      </w:r>
    </w:p>
    <w:p w14:paraId="26B64B14">
      <w:pPr>
        <w:pStyle w:val="50"/>
        <w:spacing w:line="360" w:lineRule="auto"/>
        <w:ind w:firstLine="420" w:firstLineChars="200"/>
        <w:rPr>
          <w:rFonts w:hint="eastAsia" w:hAnsi="宋体" w:eastAsia="宋体" w:cs="宋体"/>
          <w:bCs/>
          <w:color w:val="auto"/>
          <w:sz w:val="21"/>
          <w:highlight w:val="none"/>
          <w:lang w:eastAsia="zh-CN"/>
        </w:rPr>
      </w:pPr>
      <w:r>
        <w:rPr>
          <w:rFonts w:hint="eastAsia" w:hAnsi="宋体" w:cs="宋体"/>
          <w:bCs/>
          <w:color w:val="auto"/>
          <w:sz w:val="21"/>
          <w:highlight w:val="none"/>
        </w:rPr>
        <w:t>邮编：</w:t>
      </w:r>
    </w:p>
    <w:p w14:paraId="40FF3B32">
      <w:pPr>
        <w:pStyle w:val="5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被投诉人1：</w:t>
      </w:r>
    </w:p>
    <w:p w14:paraId="0FFB7EEE">
      <w:pPr>
        <w:pStyle w:val="50"/>
        <w:spacing w:line="360" w:lineRule="auto"/>
        <w:ind w:firstLine="420" w:firstLineChars="200"/>
        <w:rPr>
          <w:rFonts w:hint="eastAsia" w:hAnsi="宋体" w:eastAsia="宋体" w:cs="宋体"/>
          <w:bCs/>
          <w:color w:val="auto"/>
          <w:sz w:val="21"/>
          <w:highlight w:val="none"/>
          <w:u w:val="single"/>
          <w:lang w:eastAsia="zh-CN"/>
        </w:rPr>
      </w:pPr>
      <w:r>
        <w:rPr>
          <w:rFonts w:hint="eastAsia" w:hAnsi="宋体" w:cs="宋体"/>
          <w:bCs/>
          <w:color w:val="auto"/>
          <w:sz w:val="21"/>
          <w:highlight w:val="none"/>
        </w:rPr>
        <w:t>地址：</w:t>
      </w:r>
    </w:p>
    <w:p w14:paraId="38D624D2">
      <w:pPr>
        <w:pStyle w:val="50"/>
        <w:spacing w:line="360" w:lineRule="auto"/>
        <w:ind w:firstLine="420" w:firstLineChars="200"/>
        <w:rPr>
          <w:rFonts w:hint="eastAsia" w:hAnsi="宋体" w:eastAsia="宋体" w:cs="宋体"/>
          <w:bCs/>
          <w:color w:val="auto"/>
          <w:sz w:val="21"/>
          <w:highlight w:val="none"/>
          <w:lang w:eastAsia="zh-CN"/>
        </w:rPr>
      </w:pPr>
      <w:r>
        <w:rPr>
          <w:rFonts w:hint="eastAsia" w:hAnsi="宋体" w:cs="宋体"/>
          <w:bCs/>
          <w:color w:val="auto"/>
          <w:sz w:val="21"/>
          <w:highlight w:val="none"/>
        </w:rPr>
        <w:t>邮编：</w:t>
      </w:r>
    </w:p>
    <w:p w14:paraId="4FC79D05">
      <w:pPr>
        <w:pStyle w:val="50"/>
        <w:spacing w:line="360" w:lineRule="auto"/>
        <w:ind w:firstLine="420" w:firstLineChars="200"/>
        <w:rPr>
          <w:rFonts w:hint="eastAsia" w:hAnsi="宋体" w:eastAsia="宋体" w:cs="宋体"/>
          <w:bCs/>
          <w:color w:val="auto"/>
          <w:sz w:val="21"/>
          <w:highlight w:val="none"/>
          <w:u w:val="single"/>
          <w:lang w:eastAsia="zh-CN"/>
        </w:rPr>
      </w:pPr>
      <w:r>
        <w:rPr>
          <w:rFonts w:hint="eastAsia" w:hAnsi="宋体" w:cs="宋体"/>
          <w:bCs/>
          <w:color w:val="auto"/>
          <w:sz w:val="21"/>
          <w:highlight w:val="none"/>
        </w:rPr>
        <w:t>联系人：</w:t>
      </w:r>
    </w:p>
    <w:p w14:paraId="2D0C82A9">
      <w:pPr>
        <w:pStyle w:val="50"/>
        <w:spacing w:line="360" w:lineRule="auto"/>
        <w:ind w:firstLine="420" w:firstLineChars="200"/>
        <w:rPr>
          <w:rFonts w:hint="eastAsia" w:hAnsi="宋体" w:eastAsia="宋体" w:cs="宋体"/>
          <w:bCs/>
          <w:color w:val="auto"/>
          <w:sz w:val="21"/>
          <w:highlight w:val="none"/>
          <w:u w:val="single"/>
          <w:lang w:eastAsia="zh-CN"/>
        </w:rPr>
      </w:pPr>
      <w:r>
        <w:rPr>
          <w:rFonts w:hint="eastAsia" w:hAnsi="宋体" w:cs="宋体"/>
          <w:bCs/>
          <w:color w:val="auto"/>
          <w:sz w:val="21"/>
          <w:highlight w:val="none"/>
        </w:rPr>
        <w:t>联系电话：</w:t>
      </w:r>
    </w:p>
    <w:p w14:paraId="4FA8BC89">
      <w:pPr>
        <w:pStyle w:val="5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被投诉人2：</w:t>
      </w:r>
    </w:p>
    <w:p w14:paraId="74AC8E08">
      <w:pPr>
        <w:pStyle w:val="5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w:t>
      </w:r>
    </w:p>
    <w:p w14:paraId="7CB1E7B5">
      <w:pPr>
        <w:pStyle w:val="50"/>
        <w:spacing w:line="360" w:lineRule="auto"/>
        <w:ind w:firstLine="420" w:firstLineChars="200"/>
        <w:rPr>
          <w:rFonts w:hint="eastAsia" w:hAnsi="宋体" w:eastAsia="宋体" w:cs="宋体"/>
          <w:bCs/>
          <w:color w:val="auto"/>
          <w:sz w:val="21"/>
          <w:highlight w:val="none"/>
          <w:u w:val="single"/>
          <w:lang w:eastAsia="zh-CN"/>
        </w:rPr>
      </w:pPr>
      <w:r>
        <w:rPr>
          <w:rFonts w:hint="eastAsia" w:hAnsi="宋体" w:cs="宋体"/>
          <w:bCs/>
          <w:color w:val="auto"/>
          <w:sz w:val="21"/>
          <w:highlight w:val="none"/>
        </w:rPr>
        <w:t>相关供应商：</w:t>
      </w:r>
    </w:p>
    <w:p w14:paraId="72B88475">
      <w:pPr>
        <w:pStyle w:val="50"/>
        <w:spacing w:line="360" w:lineRule="auto"/>
        <w:ind w:firstLine="420" w:firstLineChars="200"/>
        <w:rPr>
          <w:rFonts w:hint="eastAsia" w:hAnsi="宋体" w:eastAsia="宋体" w:cs="宋体"/>
          <w:bCs/>
          <w:color w:val="auto"/>
          <w:sz w:val="21"/>
          <w:highlight w:val="none"/>
          <w:u w:val="single"/>
          <w:lang w:eastAsia="zh-CN"/>
        </w:rPr>
      </w:pPr>
      <w:r>
        <w:rPr>
          <w:rFonts w:hint="eastAsia" w:hAnsi="宋体" w:cs="宋体"/>
          <w:bCs/>
          <w:color w:val="auto"/>
          <w:sz w:val="21"/>
          <w:highlight w:val="none"/>
        </w:rPr>
        <w:t>地址：</w:t>
      </w:r>
    </w:p>
    <w:p w14:paraId="3CC4E71E">
      <w:pPr>
        <w:pStyle w:val="50"/>
        <w:spacing w:line="360" w:lineRule="auto"/>
        <w:ind w:firstLine="420" w:firstLineChars="200"/>
        <w:rPr>
          <w:rFonts w:hint="eastAsia" w:hAnsi="宋体" w:eastAsia="宋体" w:cs="宋体"/>
          <w:bCs/>
          <w:color w:val="auto"/>
          <w:sz w:val="21"/>
          <w:highlight w:val="none"/>
          <w:u w:val="single"/>
          <w:lang w:eastAsia="zh-CN"/>
        </w:rPr>
      </w:pPr>
      <w:r>
        <w:rPr>
          <w:rFonts w:hint="eastAsia" w:hAnsi="宋体" w:cs="宋体"/>
          <w:bCs/>
          <w:color w:val="auto"/>
          <w:sz w:val="21"/>
          <w:highlight w:val="none"/>
        </w:rPr>
        <w:t>邮编：</w:t>
      </w:r>
    </w:p>
    <w:p w14:paraId="5DBA7236">
      <w:pPr>
        <w:pStyle w:val="50"/>
        <w:spacing w:line="360" w:lineRule="auto"/>
        <w:ind w:firstLine="420" w:firstLineChars="200"/>
        <w:rPr>
          <w:rFonts w:hint="eastAsia" w:hAnsi="宋体" w:eastAsia="宋体" w:cs="宋体"/>
          <w:bCs/>
          <w:color w:val="auto"/>
          <w:sz w:val="21"/>
          <w:highlight w:val="none"/>
          <w:u w:val="single"/>
          <w:lang w:eastAsia="zh-CN"/>
        </w:rPr>
      </w:pPr>
      <w:r>
        <w:rPr>
          <w:rFonts w:hint="eastAsia" w:hAnsi="宋体" w:cs="宋体"/>
          <w:bCs/>
          <w:color w:val="auto"/>
          <w:sz w:val="21"/>
          <w:highlight w:val="none"/>
        </w:rPr>
        <w:t>联系人：</w:t>
      </w:r>
    </w:p>
    <w:p w14:paraId="7D8F5A41">
      <w:pPr>
        <w:pStyle w:val="50"/>
        <w:spacing w:line="360" w:lineRule="auto"/>
        <w:ind w:firstLine="420" w:firstLineChars="200"/>
        <w:rPr>
          <w:rFonts w:hint="eastAsia" w:hAnsi="宋体" w:eastAsia="宋体" w:cs="宋体"/>
          <w:bCs/>
          <w:color w:val="auto"/>
          <w:sz w:val="21"/>
          <w:highlight w:val="none"/>
          <w:lang w:eastAsia="zh-CN"/>
        </w:rPr>
      </w:pPr>
      <w:r>
        <w:rPr>
          <w:rFonts w:hint="eastAsia" w:hAnsi="宋体" w:cs="宋体"/>
          <w:bCs/>
          <w:color w:val="auto"/>
          <w:sz w:val="21"/>
          <w:highlight w:val="none"/>
        </w:rPr>
        <w:t>联系电话：</w:t>
      </w:r>
    </w:p>
    <w:p w14:paraId="1110FA14">
      <w:pPr>
        <w:pStyle w:val="50"/>
        <w:spacing w:line="360" w:lineRule="auto"/>
        <w:ind w:firstLine="422" w:firstLineChars="200"/>
        <w:rPr>
          <w:rFonts w:hint="eastAsia" w:hAnsi="宋体" w:cs="宋体"/>
          <w:b/>
          <w:bCs/>
          <w:color w:val="auto"/>
          <w:sz w:val="21"/>
          <w:highlight w:val="none"/>
        </w:rPr>
      </w:pPr>
      <w:r>
        <w:rPr>
          <w:rFonts w:hint="eastAsia" w:hAnsi="宋体" w:cs="宋体"/>
          <w:b/>
          <w:bCs/>
          <w:color w:val="auto"/>
          <w:sz w:val="21"/>
          <w:highlight w:val="none"/>
        </w:rPr>
        <w:t>二、投诉项目基本情况：</w:t>
      </w:r>
    </w:p>
    <w:p w14:paraId="0206A44D">
      <w:pPr>
        <w:pStyle w:val="50"/>
        <w:spacing w:line="360" w:lineRule="auto"/>
        <w:ind w:left="25" w:leftChars="12" w:firstLine="413" w:firstLineChars="197"/>
        <w:rPr>
          <w:rFonts w:hint="eastAsia" w:hAnsi="宋体" w:eastAsia="宋体" w:cs="宋体"/>
          <w:color w:val="auto"/>
          <w:sz w:val="21"/>
          <w:highlight w:val="none"/>
          <w:lang w:eastAsia="zh-CN"/>
        </w:rPr>
      </w:pPr>
      <w:r>
        <w:rPr>
          <w:rFonts w:hint="eastAsia" w:hAnsi="宋体" w:cs="宋体"/>
          <w:bCs/>
          <w:color w:val="auto"/>
          <w:sz w:val="21"/>
          <w:highlight w:val="none"/>
        </w:rPr>
        <w:t>采购</w:t>
      </w:r>
      <w:r>
        <w:rPr>
          <w:rFonts w:hint="eastAsia" w:hAnsi="宋体" w:cs="宋体"/>
          <w:color w:val="auto"/>
          <w:sz w:val="21"/>
          <w:highlight w:val="none"/>
        </w:rPr>
        <w:t>项目的名称：</w:t>
      </w:r>
    </w:p>
    <w:p w14:paraId="5283E513">
      <w:pPr>
        <w:pStyle w:val="50"/>
        <w:spacing w:line="360" w:lineRule="auto"/>
        <w:ind w:left="25" w:leftChars="12" w:firstLine="413" w:firstLineChars="197"/>
        <w:rPr>
          <w:rFonts w:hint="eastAsia" w:hAnsi="宋体" w:eastAsia="宋体" w:cs="宋体"/>
          <w:color w:val="auto"/>
          <w:sz w:val="21"/>
          <w:highlight w:val="none"/>
          <w:lang w:eastAsia="zh-CN"/>
        </w:rPr>
      </w:pPr>
      <w:r>
        <w:rPr>
          <w:rFonts w:hint="eastAsia" w:hAnsi="宋体" w:cs="宋体"/>
          <w:bCs/>
          <w:color w:val="auto"/>
          <w:sz w:val="21"/>
          <w:highlight w:val="none"/>
        </w:rPr>
        <w:t>采购</w:t>
      </w:r>
      <w:r>
        <w:rPr>
          <w:rFonts w:hint="eastAsia" w:hAnsi="宋体" w:cs="宋体"/>
          <w:color w:val="auto"/>
          <w:sz w:val="21"/>
          <w:highlight w:val="none"/>
        </w:rPr>
        <w:t>项目的编号：</w:t>
      </w:r>
    </w:p>
    <w:p w14:paraId="2440DB41">
      <w:pPr>
        <w:pStyle w:val="50"/>
        <w:spacing w:line="360" w:lineRule="auto"/>
        <w:ind w:left="25" w:leftChars="12" w:firstLine="413" w:firstLineChars="197"/>
        <w:rPr>
          <w:rFonts w:hint="eastAsia" w:hAnsi="宋体" w:eastAsia="宋体" w:cs="宋体"/>
          <w:bCs/>
          <w:color w:val="auto"/>
          <w:sz w:val="21"/>
          <w:highlight w:val="none"/>
          <w:u w:val="single"/>
          <w:lang w:eastAsia="zh-CN"/>
        </w:rPr>
      </w:pPr>
      <w:r>
        <w:rPr>
          <w:rFonts w:hint="eastAsia" w:hAnsi="宋体" w:cs="宋体"/>
          <w:color w:val="auto"/>
          <w:sz w:val="21"/>
          <w:highlight w:val="none"/>
        </w:rPr>
        <w:t>采购人名称：</w:t>
      </w:r>
    </w:p>
    <w:p w14:paraId="05A9B36D">
      <w:pPr>
        <w:pStyle w:val="50"/>
        <w:spacing w:line="360" w:lineRule="auto"/>
        <w:ind w:left="25" w:leftChars="12" w:firstLine="413" w:firstLineChars="197"/>
        <w:rPr>
          <w:rFonts w:hint="eastAsia" w:hAnsi="宋体" w:eastAsia="宋体" w:cs="宋体"/>
          <w:bCs/>
          <w:color w:val="auto"/>
          <w:sz w:val="21"/>
          <w:highlight w:val="none"/>
          <w:u w:val="single"/>
          <w:lang w:eastAsia="zh-CN"/>
        </w:rPr>
      </w:pPr>
      <w:r>
        <w:rPr>
          <w:rFonts w:hint="eastAsia" w:hAnsi="宋体" w:cs="宋体"/>
          <w:color w:val="auto"/>
          <w:sz w:val="21"/>
          <w:highlight w:val="none"/>
        </w:rPr>
        <w:t>代理机构名称：</w:t>
      </w:r>
    </w:p>
    <w:p w14:paraId="6E0003F6">
      <w:pPr>
        <w:pStyle w:val="50"/>
        <w:spacing w:line="360" w:lineRule="auto"/>
        <w:ind w:left="25" w:leftChars="12" w:firstLine="413" w:firstLineChars="197"/>
        <w:rPr>
          <w:rFonts w:hint="eastAsia" w:hAnsi="宋体" w:eastAsia="宋体" w:cs="宋体"/>
          <w:bCs/>
          <w:color w:val="auto"/>
          <w:sz w:val="21"/>
          <w:highlight w:val="none"/>
          <w:u w:val="single"/>
          <w:lang w:eastAsia="zh-CN"/>
        </w:rPr>
      </w:pPr>
      <w:r>
        <w:rPr>
          <w:rFonts w:hint="eastAsia" w:hAnsi="宋体" w:cs="宋体"/>
          <w:bCs/>
          <w:color w:val="auto"/>
          <w:sz w:val="21"/>
          <w:highlight w:val="none"/>
        </w:rPr>
        <w:t>招标文件公告：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p>
    <w:p w14:paraId="2B0665F0">
      <w:pPr>
        <w:pStyle w:val="50"/>
        <w:spacing w:line="360" w:lineRule="auto"/>
        <w:ind w:left="25" w:leftChars="12" w:firstLine="413" w:firstLineChars="197"/>
        <w:rPr>
          <w:rFonts w:hint="eastAsia" w:hAnsi="宋体" w:eastAsia="宋体" w:cs="宋体"/>
          <w:b/>
          <w:color w:val="auto"/>
          <w:sz w:val="21"/>
          <w:highlight w:val="none"/>
          <w:lang w:eastAsia="zh-CN"/>
        </w:rPr>
      </w:pPr>
      <w:r>
        <w:rPr>
          <w:rFonts w:hint="eastAsia" w:hAnsi="宋体" w:cs="宋体"/>
          <w:bCs/>
          <w:color w:val="auto"/>
          <w:sz w:val="21"/>
          <w:highlight w:val="none"/>
        </w:rPr>
        <w:t>采购结果公告：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p>
    <w:p w14:paraId="29E852BE">
      <w:pPr>
        <w:pStyle w:val="50"/>
        <w:spacing w:line="360" w:lineRule="auto"/>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三、质疑基本情况</w:t>
      </w:r>
    </w:p>
    <w:p w14:paraId="6BC99B97">
      <w:pPr>
        <w:pStyle w:val="50"/>
        <w:spacing w:line="360" w:lineRule="auto"/>
        <w:ind w:left="25" w:leftChars="12" w:firstLine="413" w:firstLineChars="197"/>
        <w:rPr>
          <w:rFonts w:hint="eastAsia" w:hAnsi="宋体" w:eastAsia="宋体" w:cs="宋体"/>
          <w:bCs/>
          <w:color w:val="auto"/>
          <w:sz w:val="21"/>
          <w:highlight w:val="none"/>
          <w:u w:val="single"/>
          <w:lang w:eastAsia="zh-CN"/>
        </w:rPr>
      </w:pPr>
      <w:r>
        <w:rPr>
          <w:rFonts w:hint="eastAsia" w:hAnsi="宋体" w:cs="宋体"/>
          <w:color w:val="auto"/>
          <w:sz w:val="21"/>
          <w:highlight w:val="none"/>
        </w:rPr>
        <w:t>投诉人于年月日，向提出质疑，质疑事项为：</w:t>
      </w:r>
    </w:p>
    <w:p w14:paraId="3DFEFEE3">
      <w:pPr>
        <w:pStyle w:val="50"/>
        <w:spacing w:line="360" w:lineRule="auto"/>
        <w:ind w:left="25" w:leftChars="12" w:firstLine="413" w:firstLineChars="197"/>
        <w:rPr>
          <w:rFonts w:hint="eastAsia" w:hAnsi="宋体" w:eastAsia="宋体" w:cs="宋体"/>
          <w:color w:val="auto"/>
          <w:sz w:val="21"/>
          <w:highlight w:val="none"/>
          <w:lang w:eastAsia="zh-CN"/>
        </w:rPr>
      </w:pPr>
      <w:r>
        <w:rPr>
          <w:rFonts w:hint="eastAsia" w:hAnsi="宋体" w:cs="宋体"/>
          <w:bCs/>
          <w:color w:val="auto"/>
          <w:sz w:val="21"/>
          <w:highlight w:val="none"/>
          <w:u w:val="single"/>
        </w:rPr>
        <w:t>采购人/代理机构</w:t>
      </w:r>
      <w:r>
        <w:rPr>
          <w:rFonts w:hint="eastAsia" w:hAnsi="宋体" w:cs="宋体"/>
          <w:bCs/>
          <w:color w:val="auto"/>
          <w:sz w:val="21"/>
          <w:highlight w:val="none"/>
        </w:rPr>
        <w:t>于</w:t>
      </w:r>
      <w:r>
        <w:rPr>
          <w:rFonts w:hint="eastAsia" w:hAnsi="宋体" w:cs="宋体"/>
          <w:color w:val="auto"/>
          <w:sz w:val="21"/>
          <w:highlight w:val="none"/>
        </w:rPr>
        <w:t>年月日，</w:t>
      </w:r>
      <w:r>
        <w:rPr>
          <w:rFonts w:hint="eastAsia" w:hAnsi="宋体" w:cs="宋体"/>
          <w:bCs/>
          <w:color w:val="auto"/>
          <w:sz w:val="21"/>
          <w:highlight w:val="none"/>
        </w:rPr>
        <w:t>就质疑事项作出了答复/没有在法定期限内作出答复。</w:t>
      </w:r>
    </w:p>
    <w:p w14:paraId="614AC1AB">
      <w:pPr>
        <w:pStyle w:val="50"/>
        <w:spacing w:line="360" w:lineRule="auto"/>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四、投诉事项具体内容</w:t>
      </w:r>
    </w:p>
    <w:p w14:paraId="7AD6D504">
      <w:pPr>
        <w:pStyle w:val="50"/>
        <w:spacing w:line="360" w:lineRule="auto"/>
        <w:ind w:left="25" w:leftChars="12" w:firstLine="413" w:firstLineChars="197"/>
        <w:rPr>
          <w:rFonts w:hint="eastAsia" w:hAnsi="宋体" w:eastAsia="宋体" w:cs="宋体"/>
          <w:bCs/>
          <w:color w:val="auto"/>
          <w:sz w:val="21"/>
          <w:highlight w:val="none"/>
          <w:u w:val="single"/>
          <w:lang w:eastAsia="zh-CN"/>
        </w:rPr>
      </w:pPr>
      <w:r>
        <w:rPr>
          <w:rFonts w:hint="eastAsia" w:hAnsi="宋体" w:cs="宋体"/>
          <w:color w:val="auto"/>
          <w:sz w:val="21"/>
          <w:highlight w:val="none"/>
        </w:rPr>
        <w:t>投诉事项1：</w:t>
      </w:r>
    </w:p>
    <w:p w14:paraId="3422903E">
      <w:pPr>
        <w:pStyle w:val="50"/>
        <w:spacing w:line="360" w:lineRule="auto"/>
        <w:ind w:left="25" w:leftChars="12" w:firstLine="413" w:firstLineChars="197"/>
        <w:rPr>
          <w:rFonts w:hint="eastAsia" w:hAnsi="宋体" w:eastAsia="宋体" w:cs="宋体"/>
          <w:bCs/>
          <w:color w:val="auto"/>
          <w:sz w:val="21"/>
          <w:highlight w:val="none"/>
          <w:lang w:eastAsia="zh-CN"/>
        </w:rPr>
      </w:pPr>
      <w:r>
        <w:rPr>
          <w:rFonts w:hint="eastAsia" w:hAnsi="宋体" w:cs="宋体"/>
          <w:bCs/>
          <w:color w:val="auto"/>
          <w:sz w:val="21"/>
          <w:highlight w:val="none"/>
        </w:rPr>
        <w:t>事实依据：法律依据：</w:t>
      </w:r>
      <w:r>
        <w:rPr>
          <w:rFonts w:hint="eastAsia" w:hAnsi="宋体" w:cs="宋体"/>
          <w:color w:val="auto"/>
          <w:sz w:val="21"/>
          <w:highlight w:val="none"/>
        </w:rPr>
        <w:t>投诉事项2</w:t>
      </w:r>
    </w:p>
    <w:p w14:paraId="5432BC35">
      <w:pPr>
        <w:pStyle w:val="50"/>
        <w:spacing w:line="360" w:lineRule="auto"/>
        <w:ind w:left="25" w:leftChars="12" w:firstLine="413" w:firstLineChars="197"/>
        <w:rPr>
          <w:rFonts w:hint="eastAsia" w:hAnsi="宋体" w:cs="宋体"/>
          <w:bCs/>
          <w:color w:val="auto"/>
          <w:sz w:val="21"/>
          <w:highlight w:val="none"/>
        </w:rPr>
      </w:pPr>
      <w:r>
        <w:rPr>
          <w:rFonts w:hint="eastAsia" w:hAnsi="宋体" w:cs="宋体"/>
          <w:bCs/>
          <w:color w:val="auto"/>
          <w:sz w:val="21"/>
          <w:highlight w:val="none"/>
        </w:rPr>
        <w:t>……</w:t>
      </w:r>
    </w:p>
    <w:p w14:paraId="100C90CE">
      <w:pPr>
        <w:pStyle w:val="50"/>
        <w:spacing w:line="360" w:lineRule="auto"/>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五、与投诉事项相关的投诉请求：</w:t>
      </w:r>
    </w:p>
    <w:p w14:paraId="25D492BA">
      <w:pPr>
        <w:pStyle w:val="50"/>
        <w:spacing w:line="360" w:lineRule="auto"/>
        <w:ind w:left="25" w:leftChars="12" w:firstLine="413" w:firstLineChars="197"/>
        <w:rPr>
          <w:rFonts w:hint="eastAsia" w:hAnsi="宋体" w:eastAsia="宋体" w:cs="宋体"/>
          <w:b/>
          <w:color w:val="auto"/>
          <w:sz w:val="21"/>
          <w:highlight w:val="none"/>
          <w:lang w:eastAsia="zh-CN"/>
        </w:rPr>
      </w:pPr>
      <w:r>
        <w:rPr>
          <w:rFonts w:hint="eastAsia" w:hAnsi="宋体" w:cs="宋体"/>
          <w:color w:val="auto"/>
          <w:sz w:val="21"/>
          <w:highlight w:val="none"/>
        </w:rPr>
        <w:t>请求：</w:t>
      </w:r>
      <w:r>
        <w:rPr>
          <w:rFonts w:hint="eastAsia" w:ascii="宋体" w:hAnsi="宋体" w:cs="宋体"/>
          <w:color w:val="auto"/>
          <w:szCs w:val="21"/>
          <w:highlight w:val="none"/>
        </w:rPr>
        <w:t>签字</w:t>
      </w:r>
      <w:r>
        <w:rPr>
          <w:rFonts w:hint="eastAsia" w:ascii="宋体" w:hAnsi="宋体" w:cs="宋体"/>
          <w:color w:val="auto"/>
          <w:szCs w:val="21"/>
          <w:highlight w:val="none"/>
          <w:lang w:val="en-US" w:eastAsia="zh-CN"/>
        </w:rPr>
        <w:t>或盖章</w:t>
      </w:r>
      <w:r>
        <w:rPr>
          <w:rFonts w:hint="eastAsia" w:hAnsi="宋体" w:cs="宋体"/>
          <w:color w:val="auto"/>
          <w:sz w:val="21"/>
          <w:highlight w:val="none"/>
        </w:rPr>
        <w:t>：公章：日期：</w:t>
      </w:r>
    </w:p>
    <w:p w14:paraId="577159EF">
      <w:pPr>
        <w:pStyle w:val="50"/>
        <w:spacing w:line="360" w:lineRule="auto"/>
        <w:ind w:firstLine="422" w:firstLineChars="200"/>
        <w:rPr>
          <w:rFonts w:hint="eastAsia" w:hAnsi="宋体" w:cs="宋体"/>
          <w:b/>
          <w:color w:val="auto"/>
          <w:sz w:val="21"/>
          <w:highlight w:val="none"/>
        </w:rPr>
      </w:pPr>
      <w:r>
        <w:rPr>
          <w:rFonts w:hint="eastAsia" w:hAnsi="宋体" w:cs="宋体"/>
          <w:b/>
          <w:color w:val="auto"/>
          <w:sz w:val="21"/>
          <w:highlight w:val="none"/>
        </w:rPr>
        <w:t>说明：</w:t>
      </w:r>
    </w:p>
    <w:p w14:paraId="0707DFC9">
      <w:pPr>
        <w:pStyle w:val="50"/>
        <w:spacing w:line="360" w:lineRule="auto"/>
        <w:ind w:firstLine="422" w:firstLineChars="200"/>
        <w:rPr>
          <w:rFonts w:hint="eastAsia" w:hAnsi="宋体" w:cs="宋体"/>
          <w:b/>
          <w:bCs/>
          <w:color w:val="auto"/>
          <w:sz w:val="21"/>
          <w:highlight w:val="none"/>
        </w:rPr>
      </w:pPr>
      <w:r>
        <w:rPr>
          <w:rFonts w:hint="eastAsia" w:hAnsi="宋体" w:cs="宋体"/>
          <w:b/>
          <w:color w:val="auto"/>
          <w:sz w:val="21"/>
          <w:highlight w:val="none"/>
        </w:rPr>
        <w:t>1.投诉人提起投诉时，应当提交投诉书和必要的证明材料，并按照被投诉人和与投诉事项有关的供应商数量提供投诉书副本</w:t>
      </w:r>
      <w:r>
        <w:rPr>
          <w:rFonts w:hint="eastAsia" w:hAnsi="宋体" w:cs="宋体"/>
          <w:b/>
          <w:bCs/>
          <w:color w:val="auto"/>
          <w:sz w:val="21"/>
          <w:highlight w:val="none"/>
        </w:rPr>
        <w:t>。</w:t>
      </w:r>
    </w:p>
    <w:p w14:paraId="0C6EBCDF">
      <w:pPr>
        <w:pStyle w:val="50"/>
        <w:spacing w:line="360" w:lineRule="auto"/>
        <w:ind w:firstLine="422" w:firstLineChars="200"/>
        <w:rPr>
          <w:rFonts w:hint="eastAsia" w:hAnsi="宋体" w:cs="宋体"/>
          <w:b/>
          <w:color w:val="auto"/>
          <w:sz w:val="21"/>
          <w:highlight w:val="none"/>
        </w:rPr>
      </w:pPr>
      <w:r>
        <w:rPr>
          <w:rFonts w:hint="eastAsia" w:hAnsi="宋体" w:cs="宋体"/>
          <w:b/>
          <w:color w:val="auto"/>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9AC05DB">
      <w:pPr>
        <w:pStyle w:val="50"/>
        <w:spacing w:line="360" w:lineRule="auto"/>
        <w:ind w:firstLine="422" w:firstLineChars="200"/>
        <w:rPr>
          <w:rFonts w:hint="eastAsia" w:hAnsi="宋体" w:cs="宋体"/>
          <w:b/>
          <w:color w:val="auto"/>
          <w:sz w:val="21"/>
          <w:highlight w:val="none"/>
        </w:rPr>
      </w:pPr>
      <w:r>
        <w:rPr>
          <w:rFonts w:hint="eastAsia" w:hAnsi="宋体" w:cs="宋体"/>
          <w:b/>
          <w:color w:val="auto"/>
          <w:sz w:val="21"/>
          <w:highlight w:val="none"/>
        </w:rPr>
        <w:t>3.投诉书应简要列明质疑事项，质疑函、质疑答复等作为附件材料提供。</w:t>
      </w:r>
    </w:p>
    <w:p w14:paraId="02F4DEA8">
      <w:pPr>
        <w:pStyle w:val="50"/>
        <w:spacing w:line="360" w:lineRule="auto"/>
        <w:ind w:firstLine="422" w:firstLineChars="200"/>
        <w:rPr>
          <w:rFonts w:hint="eastAsia" w:hAnsi="宋体" w:cs="宋体"/>
          <w:b/>
          <w:color w:val="auto"/>
          <w:sz w:val="21"/>
          <w:highlight w:val="none"/>
        </w:rPr>
      </w:pPr>
      <w:r>
        <w:rPr>
          <w:rFonts w:hint="eastAsia" w:hAnsi="宋体" w:cs="宋体"/>
          <w:b/>
          <w:color w:val="auto"/>
          <w:sz w:val="21"/>
          <w:highlight w:val="none"/>
        </w:rPr>
        <w:t>4.投诉书的投诉事项应具体、明确，并有必要的事实依据和法律依据。</w:t>
      </w:r>
    </w:p>
    <w:p w14:paraId="453425FA">
      <w:pPr>
        <w:pStyle w:val="50"/>
        <w:spacing w:line="360" w:lineRule="auto"/>
        <w:ind w:firstLine="422" w:firstLineChars="200"/>
        <w:rPr>
          <w:rFonts w:hint="eastAsia" w:hAnsi="宋体" w:cs="宋体"/>
          <w:b/>
          <w:color w:val="auto"/>
          <w:sz w:val="21"/>
          <w:highlight w:val="none"/>
        </w:rPr>
      </w:pPr>
      <w:r>
        <w:rPr>
          <w:rFonts w:hint="eastAsia" w:hAnsi="宋体" w:cs="宋体"/>
          <w:b/>
          <w:color w:val="auto"/>
          <w:sz w:val="21"/>
          <w:highlight w:val="none"/>
        </w:rPr>
        <w:t>5.投诉书的投诉请求应与投诉事项相关。</w:t>
      </w:r>
    </w:p>
    <w:p w14:paraId="468D6643">
      <w:pPr>
        <w:spacing w:line="360" w:lineRule="auto"/>
        <w:rPr>
          <w:rFonts w:hint="eastAsia" w:hAnsi="宋体" w:cs="宋体"/>
          <w:b/>
          <w:color w:val="auto"/>
          <w:sz w:val="21"/>
          <w:highlight w:val="none"/>
        </w:rPr>
      </w:pPr>
      <w:r>
        <w:rPr>
          <w:rFonts w:hint="eastAsia" w:hAnsi="宋体" w:cs="宋体"/>
          <w:b/>
          <w:color w:val="auto"/>
          <w:sz w:val="21"/>
          <w:highlight w:val="none"/>
        </w:rPr>
        <w:t>6.投诉人为法人或者其他组织的，投诉书应由法定代表人、主要负责人，或者其授权代表签字或者盖章，并加盖公章。</w:t>
      </w: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AF5F4BB-3870-4E2F-9011-CD9062CCFA1B}"/>
  </w:font>
  <w:font w:name="Arial">
    <w:panose1 w:val="020B0604020202020204"/>
    <w:charset w:val="01"/>
    <w:family w:val="swiss"/>
    <w:pitch w:val="default"/>
    <w:sig w:usb0="E0002EFF" w:usb1="C000785B" w:usb2="00000009" w:usb3="00000000" w:csb0="400001FF" w:csb1="FFFF0000"/>
    <w:embedRegular r:id="rId2" w:fontKey="{0C6B9138-9039-40B0-B48F-25F276C14ED8}"/>
  </w:font>
  <w:font w:name="黑体">
    <w:panose1 w:val="02010609060101010101"/>
    <w:charset w:val="86"/>
    <w:family w:val="auto"/>
    <w:pitch w:val="default"/>
    <w:sig w:usb0="800002BF" w:usb1="38CF7CFA" w:usb2="00000016" w:usb3="00000000" w:csb0="00040001" w:csb1="00000000"/>
    <w:embedRegular r:id="rId3" w:fontKey="{5E3E369D-ECAC-4C16-B640-F681400A34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15825AB3-62C9-41C6-AFCD-6AC358715DDA}"/>
  </w:font>
  <w:font w:name="Century">
    <w:panose1 w:val="02040604050505020304"/>
    <w:charset w:val="00"/>
    <w:family w:val="roman"/>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2000000000000000000"/>
    <w:charset w:val="86"/>
    <w:family w:val="script"/>
    <w:pitch w:val="default"/>
    <w:sig w:usb0="00000000" w:usb1="00000000" w:usb2="00082016" w:usb3="00000000" w:csb0="00040001" w:csb1="0000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金山简黑体">
    <w:altName w:val="黑体"/>
    <w:panose1 w:val="00000000000000000000"/>
    <w:charset w:val="86"/>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embedRegular r:id="rId5" w:fontKey="{F060C246-5F14-482F-8B41-F9BDFF0BD9DE}"/>
  </w:font>
  <w:font w:name="Segoe UI">
    <w:panose1 w:val="020B0502040204020203"/>
    <w:charset w:val="00"/>
    <w:family w:val="auto"/>
    <w:pitch w:val="default"/>
    <w:sig w:usb0="E4002EFF" w:usb1="C000E47F" w:usb2="00000009" w:usb3="00000000" w:csb0="200001FF" w:csb1="00000000"/>
    <w:embedRegular r:id="rId6" w:fontKey="{D7DC1FF3-2F94-4043-A5A2-6FED539F0B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C30C">
    <w:pPr>
      <w:pStyle w:val="61"/>
      <w:jc w:val="center"/>
      <w:rPr>
        <w:rFonts w:hint="eastAsia" w:eastAsia="宋体"/>
        <w:lang w:eastAsia="zh-CN"/>
      </w:rPr>
    </w:pPr>
    <w:r>
      <w:fldChar w:fldCharType="begin"/>
    </w:r>
    <w:r>
      <w:instrText xml:space="preserve"> PAGE   \* MERGEFORMAT </w:instrText>
    </w:r>
    <w:r>
      <w:fldChar w:fldCharType="separate"/>
    </w:r>
    <w:r>
      <w:rPr>
        <w:lang w:val="zh-CN"/>
      </w:rPr>
      <w:t>1</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144C1">
    <w:pPr>
      <w:pStyle w:val="61"/>
      <w:framePr w:wrap="around" w:vAnchor="text" w:hAnchor="margin" w:xAlign="right" w:y="1"/>
      <w:rPr>
        <w:rStyle w:val="88"/>
      </w:rPr>
    </w:pPr>
    <w:r>
      <w:fldChar w:fldCharType="begin"/>
    </w:r>
    <w:r>
      <w:rPr>
        <w:rStyle w:val="88"/>
      </w:rPr>
      <w:instrText xml:space="preserve">PAGE  </w:instrText>
    </w:r>
    <w:r>
      <w:fldChar w:fldCharType="separate"/>
    </w:r>
    <w:r>
      <w:rPr>
        <w:rStyle w:val="88"/>
      </w:rPr>
      <w:t>122</w:t>
    </w:r>
    <w:r>
      <w:fldChar w:fldCharType="end"/>
    </w:r>
  </w:p>
  <w:p w14:paraId="297B7EEA">
    <w:pPr>
      <w:pStyle w:val="61"/>
      <w:ind w:right="360"/>
      <w:jc w:val="both"/>
      <w:rPr>
        <w:rFonts w:hint="eastAsia"/>
      </w:rPr>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DA0E3">
    <w:pPr>
      <w:pStyle w:val="61"/>
      <w:ind w:right="360"/>
      <w:jc w:val="both"/>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56FB8">
    <w:pPr>
      <w:pStyle w:val="61"/>
      <w:rPr>
        <w:rFonts w:hint="eastAsia" w:eastAsia="宋体"/>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0E0E2">
    <w:pPr>
      <w:pStyle w:val="61"/>
      <w:ind w:right="360"/>
      <w:jc w:val="both"/>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9F60F">
    <w:pPr>
      <w:pStyle w:val="6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A99C1F">
                          <w:pPr>
                            <w:pStyle w:val="61"/>
                            <w:jc w:val="center"/>
                          </w:pPr>
                          <w:r>
                            <w:fldChar w:fldCharType="begin"/>
                          </w:r>
                          <w:r>
                            <w:instrText xml:space="preserve"> PAGE   \* MERGEFORMAT </w:instrText>
                          </w:r>
                          <w:r>
                            <w:fldChar w:fldCharType="separate"/>
                          </w:r>
                          <w:r>
                            <w:rPr>
                              <w:lang w:val="zh-CN"/>
                            </w:rPr>
                            <w:t>34</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3Sr8sBAACc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Pt0q/LAQAAnAMAAA4AAAAAAAAAAQAgAAAAHgEAAGRycy9lMm9E&#10;b2MueG1sUEsFBgAAAAAGAAYAWQEAAFsFAAAAAA==&#10;">
              <v:fill on="f" focussize="0,0"/>
              <v:stroke on="f"/>
              <v:imagedata o:title=""/>
              <o:lock v:ext="edit" aspectratio="f"/>
              <v:textbox inset="0mm,0mm,0mm,0mm" style="mso-fit-shape-to-text:t;">
                <w:txbxContent>
                  <w:p w14:paraId="28A99C1F">
                    <w:pPr>
                      <w:pStyle w:val="61"/>
                      <w:jc w:val="center"/>
                    </w:pPr>
                    <w:r>
                      <w:fldChar w:fldCharType="begin"/>
                    </w:r>
                    <w:r>
                      <w:instrText xml:space="preserve"> PAGE   \* MERGEFORMAT </w:instrText>
                    </w:r>
                    <w:r>
                      <w:fldChar w:fldCharType="separate"/>
                    </w:r>
                    <w:r>
                      <w:rPr>
                        <w:lang w:val="zh-CN"/>
                      </w:rP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182B">
    <w:pPr>
      <w:pStyle w:val="61"/>
      <w:ind w:right="360"/>
      <w:jc w:val="both"/>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7D6901">
                          <w:pPr>
                            <w:pStyle w:val="61"/>
                          </w:pPr>
                          <w:r>
                            <w:fldChar w:fldCharType="begin"/>
                          </w:r>
                          <w:r>
                            <w:instrText xml:space="preserve"> PAGE  \* MERGEFORMAT </w:instrText>
                          </w:r>
                          <w:r>
                            <w:fldChar w:fldCharType="separate"/>
                          </w:r>
                          <w:r>
                            <w:t>29</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8dcsBAACc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PUvHXLAQAAnAMAAA4AAAAAAAAAAQAgAAAAHgEAAGRycy9lMm9E&#10;b2MueG1sUEsFBgAAAAAGAAYAWQEAAFsFAAAAAA==&#10;">
              <v:fill on="f" focussize="0,0"/>
              <v:stroke on="f"/>
              <v:imagedata o:title=""/>
              <o:lock v:ext="edit" aspectratio="f"/>
              <v:textbox inset="0mm,0mm,0mm,0mm" style="mso-fit-shape-to-text:t;">
                <w:txbxContent>
                  <w:p w14:paraId="3D7D6901">
                    <w:pPr>
                      <w:pStyle w:val="61"/>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23DC0">
    <w:pPr>
      <w:pStyle w:val="4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3612515</wp:posOffset>
              </wp:positionH>
              <wp:positionV relativeFrom="page">
                <wp:posOffset>9912350</wp:posOffset>
              </wp:positionV>
              <wp:extent cx="219075" cy="145415"/>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219075" cy="145415"/>
                      </a:xfrm>
                      <a:prstGeom prst="rect">
                        <a:avLst/>
                      </a:prstGeom>
                      <a:noFill/>
                      <a:ln>
                        <a:noFill/>
                      </a:ln>
                    </wps:spPr>
                    <wps:txbx>
                      <w:txbxContent>
                        <w:p w14:paraId="06F6BF3B">
                          <w:pPr>
                            <w:spacing w:before="12"/>
                            <w:ind w:left="40"/>
                            <w:rPr>
                              <w:sz w:val="17"/>
                            </w:rPr>
                          </w:pPr>
                          <w:r>
                            <w:fldChar w:fldCharType="begin"/>
                          </w:r>
                          <w:r>
                            <w:rPr>
                              <w:sz w:val="17"/>
                            </w:rPr>
                            <w:instrText xml:space="preserve"> PAGE </w:instrText>
                          </w:r>
                          <w:r>
                            <w:fldChar w:fldCharType="separate"/>
                          </w:r>
                          <w:r>
                            <w:rPr>
                              <w:sz w:val="17"/>
                            </w:rPr>
                            <w:t>60</w:t>
                          </w:r>
                          <w:r>
                            <w:fldChar w:fldCharType="end"/>
                          </w:r>
                        </w:p>
                      </w:txbxContent>
                    </wps:txbx>
                    <wps:bodyPr lIns="0" tIns="0" rIns="0" bIns="0" upright="1"/>
                  </wps:wsp>
                </a:graphicData>
              </a:graphic>
            </wp:anchor>
          </w:drawing>
        </mc:Choice>
        <mc:Fallback>
          <w:pict>
            <v:shape id="文本框 1028" o:spid="_x0000_s1026" o:spt="202" type="#_x0000_t202" style="position:absolute;left:0pt;margin-left:284.45pt;margin-top:780.5pt;height:11.45pt;width:17.25pt;mso-position-horizontal-relative:page;mso-position-vertical-relative:page;z-index:-251656192;mso-width-relative:page;mso-height-relative:page;" filled="f" stroked="f" coordsize="21600,21600" o:gfxdata="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jr9079oAAAANAQAADwAAAAAAAAABACAAAAAiAAAAZHJzL2Rvd25yZXYueG1s&#10;UEsBAhQAFAAAAAgAh07iQLfNDji9AQAAdAMAAA4AAAAAAAAAAQAgAAAAKQEAAGRycy9lMm9Eb2Mu&#10;eG1sUEsFBgAAAAAGAAYAWQEAAFgFAAAAAA==&#10;">
              <v:fill on="f" focussize="0,0"/>
              <v:stroke on="f"/>
              <v:imagedata o:title=""/>
              <o:lock v:ext="edit" aspectratio="f"/>
              <v:textbox inset="0mm,0mm,0mm,0mm">
                <w:txbxContent>
                  <w:p w14:paraId="06F6BF3B">
                    <w:pPr>
                      <w:spacing w:before="12"/>
                      <w:ind w:left="40"/>
                      <w:rPr>
                        <w:sz w:val="17"/>
                      </w:rPr>
                    </w:pPr>
                    <w:r>
                      <w:fldChar w:fldCharType="begin"/>
                    </w:r>
                    <w:r>
                      <w:rPr>
                        <w:sz w:val="17"/>
                      </w:rPr>
                      <w:instrText xml:space="preserve"> PAGE </w:instrText>
                    </w:r>
                    <w:r>
                      <w:fldChar w:fldCharType="separate"/>
                    </w:r>
                    <w:r>
                      <w:rPr>
                        <w:sz w:val="17"/>
                      </w:rPr>
                      <w:t>60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604E1">
    <w:pPr>
      <w:pStyle w:val="61"/>
      <w:jc w:val="center"/>
      <w:rPr>
        <w:rFonts w:hint="eastAsia" w:eastAsia="宋体"/>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73C63D">
                          <w:pPr>
                            <w:pStyle w:val="61"/>
                            <w:jc w:val="center"/>
                          </w:pPr>
                          <w:r>
                            <w:fldChar w:fldCharType="begin"/>
                          </w:r>
                          <w:r>
                            <w:instrText xml:space="preserve"> PAGE   \* MERGEFORMAT </w:instrText>
                          </w:r>
                          <w:r>
                            <w:fldChar w:fldCharType="separate"/>
                          </w:r>
                          <w:r>
                            <w:rPr>
                              <w:lang w:val="zh-CN"/>
                            </w:rPr>
                            <w:t>80</w:t>
                          </w:r>
                          <w: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1Y4mMsBAACcAwAADgAAAGRycy9lMm9Eb2MueG1srVPNjtMwEL4j8Q6W&#10;79RpJ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dWOJjLAQAAnAMAAA4AAAAAAAAAAQAgAAAAHgEAAGRycy9lMm9E&#10;b2MueG1sUEsFBgAAAAAGAAYAWQEAAFsFAAAAAA==&#10;">
              <v:fill on="f" focussize="0,0"/>
              <v:stroke on="f"/>
              <v:imagedata o:title=""/>
              <o:lock v:ext="edit" aspectratio="f"/>
              <v:textbox inset="0mm,0mm,0mm,0mm" style="mso-fit-shape-to-text:t;">
                <w:txbxContent>
                  <w:p w14:paraId="5B73C63D">
                    <w:pPr>
                      <w:pStyle w:val="61"/>
                      <w:jc w:val="center"/>
                    </w:pPr>
                    <w:r>
                      <w:fldChar w:fldCharType="begin"/>
                    </w:r>
                    <w:r>
                      <w:instrText xml:space="preserve"> PAGE   \* MERGEFORMAT </w:instrText>
                    </w:r>
                    <w:r>
                      <w:fldChar w:fldCharType="separate"/>
                    </w:r>
                    <w:r>
                      <w:rPr>
                        <w:lang w:val="zh-CN"/>
                      </w:rPr>
                      <w:t>80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FFA59">
    <w:pPr>
      <w:pStyle w:val="61"/>
      <w:framePr w:wrap="around" w:vAnchor="text" w:hAnchor="margin" w:xAlign="center" w:y="1"/>
      <w:rPr>
        <w:rFonts w:hint="eastAsia" w:eastAsia="宋体"/>
        <w:lang w:eastAsia="zh-CN"/>
      </w:rPr>
    </w:pPr>
    <w:r>
      <w:fldChar w:fldCharType="begin"/>
    </w:r>
    <w:r>
      <w:rPr>
        <w:rStyle w:val="88"/>
      </w:rPr>
      <w:instrText xml:space="preserve">PAGE  </w:instrTex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7193E">
    <w:pPr>
      <w:pStyle w:val="6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8308F">
    <w:pPr>
      <w:pStyle w:val="42"/>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914400</wp:posOffset>
              </wp:positionH>
              <wp:positionV relativeFrom="page">
                <wp:posOffset>718820</wp:posOffset>
              </wp:positionV>
              <wp:extent cx="5720715" cy="0"/>
              <wp:effectExtent l="0" t="4445" r="0" b="5080"/>
              <wp:wrapNone/>
              <wp:docPr id="7" name="直线 1027"/>
              <wp:cNvGraphicFramePr/>
              <a:graphic xmlns:a="http://schemas.openxmlformats.org/drawingml/2006/main">
                <a:graphicData uri="http://schemas.microsoft.com/office/word/2010/wordprocessingShape">
                  <wps:wsp>
                    <wps:cNvCnPr/>
                    <wps:spPr>
                      <a:xfrm>
                        <a:off x="0" y="0"/>
                        <a:ext cx="572071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027" o:spid="_x0000_s1026" o:spt="20" style="position:absolute;left:0pt;margin-left:72pt;margin-top:56.6pt;height:0pt;width:450.45pt;mso-position-horizontal-relative:page;mso-position-vertical-relative:page;z-index:-251655168;mso-width-relative:page;mso-height-relative:page;" filled="f" stroked="t" coordsize="21600,21600" o:gfxdata="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LQtGtkAAAAMAQAADwAAAAAAAAABACAAAAAiAAAAZHJzL2Rvd25yZXYueG1sUEsBAhQAFAAAAAgA&#10;h07iQKEAstbrAQAA3gMAAA4AAAAAAAAAAQAgAAAAKAEAAGRycy9lMm9Eb2MueG1sUEsFBgAAAAAG&#10;AAYAWQEAAIUFAAAAAA==&#10;">
              <v:fill on="f" focussize="0,0"/>
              <v:stroke weight="0.48pt" color="#000000" joinstyle="round"/>
              <v:imagedata o:title=""/>
              <o:lock v:ext="edit" aspectratio="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92BAC">
    <w:pPr>
      <w:pStyle w:val="6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4673B"/>
    <w:multiLevelType w:val="singleLevel"/>
    <w:tmpl w:val="8C34673B"/>
    <w:lvl w:ilvl="0" w:tentative="0">
      <w:start w:val="1"/>
      <w:numFmt w:val="decimal"/>
      <w:suff w:val="nothing"/>
      <w:lvlText w:val="%1．"/>
      <w:lvlJc w:val="left"/>
      <w:pPr>
        <w:ind w:left="0" w:firstLine="400"/>
      </w:pPr>
    </w:lvl>
  </w:abstractNum>
  <w:abstractNum w:abstractNumId="1">
    <w:nsid w:val="91F8B863"/>
    <w:multiLevelType w:val="singleLevel"/>
    <w:tmpl w:val="91F8B863"/>
    <w:lvl w:ilvl="0" w:tentative="0">
      <w:start w:val="1"/>
      <w:numFmt w:val="decimal"/>
      <w:suff w:val="nothing"/>
      <w:lvlText w:val="%1．"/>
      <w:lvlJc w:val="left"/>
      <w:pPr>
        <w:ind w:left="0" w:firstLine="400"/>
      </w:pPr>
    </w:lvl>
  </w:abstractNum>
  <w:abstractNum w:abstractNumId="2">
    <w:nsid w:val="9AA95AF3"/>
    <w:multiLevelType w:val="singleLevel"/>
    <w:tmpl w:val="9AA95AF3"/>
    <w:lvl w:ilvl="0" w:tentative="0">
      <w:start w:val="2"/>
      <w:numFmt w:val="chineseCounting"/>
      <w:suff w:val="space"/>
      <w:lvlText w:val="第%1章"/>
      <w:lvlJc w:val="left"/>
      <w:rPr>
        <w:rFonts w:hint="eastAsia"/>
      </w:rPr>
    </w:lvl>
  </w:abstractNum>
  <w:abstractNum w:abstractNumId="3">
    <w:nsid w:val="A18DB3BC"/>
    <w:multiLevelType w:val="singleLevel"/>
    <w:tmpl w:val="A18DB3BC"/>
    <w:lvl w:ilvl="0" w:tentative="0">
      <w:start w:val="1"/>
      <w:numFmt w:val="decimal"/>
      <w:suff w:val="nothing"/>
      <w:lvlText w:val="（%1）"/>
      <w:lvlJc w:val="left"/>
    </w:lvl>
  </w:abstractNum>
  <w:abstractNum w:abstractNumId="4">
    <w:nsid w:val="BE45FCA2"/>
    <w:multiLevelType w:val="singleLevel"/>
    <w:tmpl w:val="BE45FCA2"/>
    <w:lvl w:ilvl="0" w:tentative="0">
      <w:start w:val="1"/>
      <w:numFmt w:val="decimal"/>
      <w:lvlText w:val="%1."/>
      <w:lvlJc w:val="left"/>
      <w:pPr>
        <w:tabs>
          <w:tab w:val="left" w:pos="312"/>
        </w:tabs>
      </w:pPr>
    </w:lvl>
  </w:abstractNum>
  <w:abstractNum w:abstractNumId="5">
    <w:nsid w:val="BED119E6"/>
    <w:multiLevelType w:val="multilevel"/>
    <w:tmpl w:val="BED119E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D073D35C"/>
    <w:multiLevelType w:val="singleLevel"/>
    <w:tmpl w:val="D073D35C"/>
    <w:lvl w:ilvl="0" w:tentative="0">
      <w:start w:val="1"/>
      <w:numFmt w:val="decimal"/>
      <w:suff w:val="nothing"/>
      <w:lvlText w:val="（%1）"/>
      <w:lvlJc w:val="left"/>
    </w:lvl>
  </w:abstractNum>
  <w:abstractNum w:abstractNumId="7">
    <w:nsid w:val="D9A3E912"/>
    <w:multiLevelType w:val="singleLevel"/>
    <w:tmpl w:val="D9A3E912"/>
    <w:lvl w:ilvl="0" w:tentative="0">
      <w:start w:val="5"/>
      <w:numFmt w:val="chineseCounting"/>
      <w:suff w:val="space"/>
      <w:lvlText w:val="第%1章"/>
      <w:lvlJc w:val="left"/>
      <w:rPr>
        <w:rFonts w:hint="eastAsia"/>
      </w:rPr>
    </w:lvl>
  </w:abstractNum>
  <w:abstractNum w:abstractNumId="8">
    <w:nsid w:val="EB449C39"/>
    <w:multiLevelType w:val="singleLevel"/>
    <w:tmpl w:val="EB449C39"/>
    <w:lvl w:ilvl="0" w:tentative="0">
      <w:start w:val="6"/>
      <w:numFmt w:val="chineseCounting"/>
      <w:suff w:val="nothing"/>
      <w:lvlText w:val="%1、"/>
      <w:lvlJc w:val="left"/>
      <w:rPr>
        <w:rFonts w:hint="eastAsia"/>
      </w:rPr>
    </w:lvl>
  </w:abstractNum>
  <w:abstractNum w:abstractNumId="9">
    <w:nsid w:val="F9657ED7"/>
    <w:multiLevelType w:val="singleLevel"/>
    <w:tmpl w:val="F9657ED7"/>
    <w:lvl w:ilvl="0" w:tentative="0">
      <w:start w:val="10"/>
      <w:numFmt w:val="chineseCounting"/>
      <w:suff w:val="nothing"/>
      <w:lvlText w:val="%1、"/>
      <w:lvlJc w:val="left"/>
      <w:rPr>
        <w:rFonts w:hint="eastAsia"/>
      </w:rPr>
    </w:lvl>
  </w:abstractNum>
  <w:abstractNum w:abstractNumId="10">
    <w:nsid w:val="FA863892"/>
    <w:multiLevelType w:val="singleLevel"/>
    <w:tmpl w:val="FA863892"/>
    <w:lvl w:ilvl="0" w:tentative="0">
      <w:start w:val="1"/>
      <w:numFmt w:val="decimal"/>
      <w:suff w:val="nothing"/>
      <w:lvlText w:val="（%1）"/>
      <w:lvlJc w:val="left"/>
    </w:lvl>
  </w:abstractNum>
  <w:abstractNum w:abstractNumId="11">
    <w:nsid w:val="FFFFFF7E"/>
    <w:multiLevelType w:val="singleLevel"/>
    <w:tmpl w:val="FFFFFF7E"/>
    <w:lvl w:ilvl="0" w:tentative="0">
      <w:start w:val="1"/>
      <w:numFmt w:val="decimal"/>
      <w:pStyle w:val="46"/>
      <w:lvlText w:val="%1."/>
      <w:lvlJc w:val="left"/>
      <w:pPr>
        <w:tabs>
          <w:tab w:val="left" w:pos="1200"/>
        </w:tabs>
        <w:ind w:left="1200" w:hanging="360"/>
      </w:pPr>
    </w:lvl>
  </w:abstractNum>
  <w:abstractNum w:abstractNumId="12">
    <w:nsid w:val="089B668C"/>
    <w:multiLevelType w:val="singleLevel"/>
    <w:tmpl w:val="089B668C"/>
    <w:lvl w:ilvl="0" w:tentative="0">
      <w:start w:val="1"/>
      <w:numFmt w:val="decimalEnclosedCircleChinese"/>
      <w:suff w:val="space"/>
      <w:lvlText w:val="%1"/>
      <w:lvlJc w:val="left"/>
      <w:rPr>
        <w:rFonts w:hint="eastAsia"/>
      </w:rPr>
    </w:lvl>
  </w:abstractNum>
  <w:abstractNum w:abstractNumId="13">
    <w:nsid w:val="1EC8471B"/>
    <w:multiLevelType w:val="singleLevel"/>
    <w:tmpl w:val="1EC8471B"/>
    <w:lvl w:ilvl="0" w:tentative="0">
      <w:start w:val="1"/>
      <w:numFmt w:val="decimal"/>
      <w:suff w:val="space"/>
      <w:lvlText w:val="%1."/>
      <w:lvlJc w:val="left"/>
    </w:lvl>
  </w:abstractNum>
  <w:abstractNum w:abstractNumId="14">
    <w:nsid w:val="2702AD3F"/>
    <w:multiLevelType w:val="singleLevel"/>
    <w:tmpl w:val="2702AD3F"/>
    <w:lvl w:ilvl="0" w:tentative="0">
      <w:start w:val="1"/>
      <w:numFmt w:val="decimal"/>
      <w:suff w:val="nothing"/>
      <w:lvlText w:val="%1．"/>
      <w:lvlJc w:val="left"/>
      <w:pPr>
        <w:ind w:left="0" w:firstLine="400"/>
      </w:pPr>
    </w:lvl>
  </w:abstractNum>
  <w:abstractNum w:abstractNumId="15">
    <w:nsid w:val="2CE7D7A3"/>
    <w:multiLevelType w:val="singleLevel"/>
    <w:tmpl w:val="2CE7D7A3"/>
    <w:lvl w:ilvl="0" w:tentative="0">
      <w:start w:val="1"/>
      <w:numFmt w:val="decimal"/>
      <w:suff w:val="space"/>
      <w:lvlText w:val="（%1）"/>
      <w:lvlJc w:val="left"/>
    </w:lvl>
  </w:abstractNum>
  <w:abstractNum w:abstractNumId="16">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decimal"/>
      <w:suff w:val="nothing"/>
      <w:lvlText w:val=""/>
      <w:lvlJc w:val="left"/>
      <w:pPr>
        <w:ind w:left="0" w:firstLine="0"/>
      </w:pPr>
      <w:rPr>
        <w:rFonts w:hint="eastAsia"/>
      </w:rPr>
    </w:lvl>
    <w:lvl w:ilvl="2" w:tentative="0">
      <w:start w:val="1"/>
      <w:numFmt w:val="decimal"/>
      <w:suff w:val="nothing"/>
      <w:lvlText w:val=""/>
      <w:lvlJc w:val="left"/>
      <w:pPr>
        <w:ind w:left="0" w:firstLine="0"/>
      </w:pPr>
      <w:rPr>
        <w:rFonts w:hint="eastAsia"/>
      </w:rPr>
    </w:lvl>
    <w:lvl w:ilvl="3" w:tentative="0">
      <w:start w:val="1"/>
      <w:numFmt w:val="decimal"/>
      <w:suff w:val="nothing"/>
      <w:lvlText w:val=""/>
      <w:lvlJc w:val="left"/>
      <w:pPr>
        <w:ind w:left="0" w:firstLine="0"/>
      </w:pPr>
      <w:rPr>
        <w:rFonts w:hint="eastAsia"/>
      </w:rPr>
    </w:lvl>
    <w:lvl w:ilvl="4" w:tentative="0">
      <w:start w:val="1"/>
      <w:numFmt w:val="decimal"/>
      <w:pStyle w:val="19"/>
      <w:suff w:val="nothing"/>
      <w:lvlText w:val=""/>
      <w:lvlJc w:val="left"/>
      <w:pPr>
        <w:ind w:left="0" w:firstLine="0"/>
      </w:pPr>
      <w:rPr>
        <w:rFonts w:hint="eastAsia"/>
      </w:rPr>
    </w:lvl>
    <w:lvl w:ilvl="5" w:tentative="0">
      <w:start w:val="1"/>
      <w:numFmt w:val="decimal"/>
      <w:pStyle w:val="2"/>
      <w:suff w:val="nothing"/>
      <w:lvlText w:val=""/>
      <w:lvlJc w:val="left"/>
      <w:pPr>
        <w:ind w:left="0" w:firstLine="0"/>
      </w:pPr>
      <w:rPr>
        <w:rFonts w:hint="eastAsia"/>
      </w:rPr>
    </w:lvl>
    <w:lvl w:ilvl="6" w:tentative="0">
      <w:start w:val="1"/>
      <w:numFmt w:val="decimal"/>
      <w:pStyle w:val="20"/>
      <w:suff w:val="nothing"/>
      <w:lvlText w:val=""/>
      <w:lvlJc w:val="left"/>
      <w:pPr>
        <w:ind w:left="0" w:firstLine="0"/>
      </w:pPr>
      <w:rPr>
        <w:rFonts w:hint="eastAsia"/>
      </w:rPr>
    </w:lvl>
    <w:lvl w:ilvl="7" w:tentative="0">
      <w:start w:val="1"/>
      <w:numFmt w:val="decimal"/>
      <w:pStyle w:val="22"/>
      <w:suff w:val="nothing"/>
      <w:lvlText w:val=""/>
      <w:lvlJc w:val="left"/>
      <w:pPr>
        <w:ind w:left="0" w:firstLine="0"/>
      </w:pPr>
      <w:rPr>
        <w:rFonts w:hint="eastAsia"/>
      </w:rPr>
    </w:lvl>
    <w:lvl w:ilvl="8" w:tentative="0">
      <w:start w:val="1"/>
      <w:numFmt w:val="decimal"/>
      <w:pStyle w:val="23"/>
      <w:suff w:val="nothing"/>
      <w:lvlText w:val=""/>
      <w:lvlJc w:val="left"/>
      <w:pPr>
        <w:ind w:left="0" w:firstLine="0"/>
      </w:pPr>
      <w:rPr>
        <w:rFonts w:hint="eastAsia"/>
      </w:rPr>
    </w:lvl>
  </w:abstractNum>
  <w:abstractNum w:abstractNumId="17">
    <w:nsid w:val="34508937"/>
    <w:multiLevelType w:val="singleLevel"/>
    <w:tmpl w:val="34508937"/>
    <w:lvl w:ilvl="0" w:tentative="0">
      <w:start w:val="1"/>
      <w:numFmt w:val="chineseCounting"/>
      <w:suff w:val="nothing"/>
      <w:lvlText w:val="%1、"/>
      <w:lvlJc w:val="left"/>
      <w:rPr>
        <w:rFonts w:hint="eastAsia"/>
      </w:rPr>
    </w:lvl>
  </w:abstractNum>
  <w:abstractNum w:abstractNumId="18">
    <w:nsid w:val="44134FF2"/>
    <w:multiLevelType w:val="multilevel"/>
    <w:tmpl w:val="44134FF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9">
    <w:nsid w:val="47542398"/>
    <w:multiLevelType w:val="singleLevel"/>
    <w:tmpl w:val="47542398"/>
    <w:lvl w:ilvl="0" w:tentative="0">
      <w:start w:val="1"/>
      <w:numFmt w:val="decimal"/>
      <w:suff w:val="space"/>
      <w:lvlText w:val="(%1)"/>
      <w:lvlJc w:val="left"/>
      <w:pPr>
        <w:ind w:left="545" w:firstLine="0"/>
      </w:pPr>
    </w:lvl>
  </w:abstractNum>
  <w:abstractNum w:abstractNumId="20">
    <w:nsid w:val="66C883B5"/>
    <w:multiLevelType w:val="singleLevel"/>
    <w:tmpl w:val="66C883B5"/>
    <w:lvl w:ilvl="0" w:tentative="0">
      <w:start w:val="22"/>
      <w:numFmt w:val="decimal"/>
      <w:lvlText w:val="%1."/>
      <w:lvlJc w:val="left"/>
      <w:pPr>
        <w:tabs>
          <w:tab w:val="left" w:pos="312"/>
        </w:tabs>
      </w:pPr>
    </w:lvl>
  </w:abstractNum>
  <w:abstractNum w:abstractNumId="21">
    <w:nsid w:val="6A8F35D0"/>
    <w:multiLevelType w:val="multilevel"/>
    <w:tmpl w:val="6A8F35D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2">
    <w:nsid w:val="6C4EAA0A"/>
    <w:multiLevelType w:val="multilevel"/>
    <w:tmpl w:val="6C4EAA0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3">
    <w:nsid w:val="6DDB69BB"/>
    <w:multiLevelType w:val="singleLevel"/>
    <w:tmpl w:val="6DDB69BB"/>
    <w:lvl w:ilvl="0" w:tentative="0">
      <w:start w:val="1"/>
      <w:numFmt w:val="decimal"/>
      <w:suff w:val="nothing"/>
      <w:lvlText w:val="%1、"/>
      <w:lvlJc w:val="left"/>
    </w:lvl>
  </w:abstractNum>
  <w:abstractNum w:abstractNumId="24">
    <w:nsid w:val="6F473759"/>
    <w:multiLevelType w:val="singleLevel"/>
    <w:tmpl w:val="6F473759"/>
    <w:lvl w:ilvl="0" w:tentative="0">
      <w:start w:val="2"/>
      <w:numFmt w:val="decimal"/>
      <w:suff w:val="nothing"/>
      <w:lvlText w:val="（%1）"/>
      <w:lvlJc w:val="left"/>
    </w:lvl>
  </w:abstractNum>
  <w:abstractNum w:abstractNumId="25">
    <w:nsid w:val="7772F92D"/>
    <w:multiLevelType w:val="singleLevel"/>
    <w:tmpl w:val="7772F92D"/>
    <w:lvl w:ilvl="0" w:tentative="0">
      <w:start w:val="1"/>
      <w:numFmt w:val="decimal"/>
      <w:suff w:val="nothing"/>
      <w:lvlText w:val="%1、"/>
      <w:lvlJc w:val="left"/>
    </w:lvl>
  </w:abstractNum>
  <w:abstractNum w:abstractNumId="26">
    <w:nsid w:val="78CE3AA4"/>
    <w:multiLevelType w:val="singleLevel"/>
    <w:tmpl w:val="78CE3AA4"/>
    <w:lvl w:ilvl="0" w:tentative="0">
      <w:start w:val="1"/>
      <w:numFmt w:val="decimalEnclosedCircleChinese"/>
      <w:suff w:val="space"/>
      <w:lvlText w:val="%1"/>
      <w:lvlJc w:val="left"/>
      <w:pPr>
        <w:ind w:left="120" w:firstLine="0"/>
      </w:pPr>
      <w:rPr>
        <w:rFonts w:hint="eastAsia"/>
      </w:rPr>
    </w:lvl>
  </w:abstractNum>
  <w:num w:numId="1">
    <w:abstractNumId w:val="16"/>
  </w:num>
  <w:num w:numId="2">
    <w:abstractNumId w:val="11"/>
  </w:num>
  <w:num w:numId="3">
    <w:abstractNumId w:val="2"/>
  </w:num>
  <w:num w:numId="4">
    <w:abstractNumId w:val="4"/>
  </w:num>
  <w:num w:numId="5">
    <w:abstractNumId w:val="17"/>
  </w:num>
  <w:num w:numId="6">
    <w:abstractNumId w:val="23"/>
  </w:num>
  <w:num w:numId="7">
    <w:abstractNumId w:val="0"/>
  </w:num>
  <w:num w:numId="8">
    <w:abstractNumId w:val="25"/>
  </w:num>
  <w:num w:numId="9">
    <w:abstractNumId w:val="15"/>
  </w:num>
  <w:num w:numId="10">
    <w:abstractNumId w:val="6"/>
  </w:num>
  <w:num w:numId="11">
    <w:abstractNumId w:val="18"/>
  </w:num>
  <w:num w:numId="12">
    <w:abstractNumId w:val="22"/>
  </w:num>
  <w:num w:numId="13">
    <w:abstractNumId w:val="21"/>
  </w:num>
  <w:num w:numId="14">
    <w:abstractNumId w:val="5"/>
  </w:num>
  <w:num w:numId="15">
    <w:abstractNumId w:val="20"/>
  </w:num>
  <w:num w:numId="16">
    <w:abstractNumId w:val="3"/>
  </w:num>
  <w:num w:numId="17">
    <w:abstractNumId w:val="24"/>
  </w:num>
  <w:num w:numId="18">
    <w:abstractNumId w:val="26"/>
  </w:num>
  <w:num w:numId="19">
    <w:abstractNumId w:val="12"/>
  </w:num>
  <w:num w:numId="20">
    <w:abstractNumId w:val="7"/>
  </w:num>
  <w:num w:numId="21">
    <w:abstractNumId w:val="14"/>
  </w:num>
  <w:num w:numId="22">
    <w:abstractNumId w:val="10"/>
  </w:num>
  <w:num w:numId="23">
    <w:abstractNumId w:val="9"/>
  </w:num>
  <w:num w:numId="24">
    <w:abstractNumId w:val="19"/>
  </w:num>
  <w:num w:numId="25">
    <w:abstractNumId w:val="1"/>
  </w:num>
  <w:num w:numId="26">
    <w:abstractNumId w:val="8"/>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dit="readOnly" w:enforcement="1" w:cryptProviderType="rsaFull" w:cryptAlgorithmClass="hash" w:cryptAlgorithmType="typeAny" w:cryptAlgorithmSid="4" w:cryptSpinCount="0" w:hash="5XCtwHoJLXj0J1JTTbr6VsFCdFY=" w:salt="ukbRJmv8MzE4Q+YU6QUBAw=="/>
  <w:defaultTabStop w:val="420"/>
  <w:displayHorizontalDrawingGridEvery w:val="1"/>
  <w:displayVerticalDrawingGridEvery w:val="1"/>
  <w:noPunctuationKerning w:val="1"/>
  <w:hdrShapeDefaults>
    <o:shapelayout v:ext="edit">
      <o:idmap v:ext="edit" data="3,4"/>
    </o:shapelayout>
  </w:hdrShapeDefault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84A51"/>
    <w:rsid w:val="07727404"/>
    <w:rsid w:val="07CF7715"/>
    <w:rsid w:val="0DF1614E"/>
    <w:rsid w:val="0F7C5D76"/>
    <w:rsid w:val="105F7F23"/>
    <w:rsid w:val="11D97709"/>
    <w:rsid w:val="135406F2"/>
    <w:rsid w:val="17DF606D"/>
    <w:rsid w:val="1CD04AD7"/>
    <w:rsid w:val="24817F87"/>
    <w:rsid w:val="29A806F8"/>
    <w:rsid w:val="2AFE6C4E"/>
    <w:rsid w:val="31A44824"/>
    <w:rsid w:val="33E20A0D"/>
    <w:rsid w:val="36362BA5"/>
    <w:rsid w:val="3A824DB6"/>
    <w:rsid w:val="3C974886"/>
    <w:rsid w:val="3F5D71D2"/>
    <w:rsid w:val="41A526BD"/>
    <w:rsid w:val="469C7200"/>
    <w:rsid w:val="48C91F70"/>
    <w:rsid w:val="4DEE5DF2"/>
    <w:rsid w:val="4F81349B"/>
    <w:rsid w:val="52171E30"/>
    <w:rsid w:val="57F02BCE"/>
    <w:rsid w:val="612158E8"/>
    <w:rsid w:val="63DA2CBD"/>
    <w:rsid w:val="6A060FE2"/>
    <w:rsid w:val="736C3B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ocked="1"/>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标题 61"/>
    <w:basedOn w:val="1"/>
    <w:next w:val="1"/>
    <w:link w:val="26"/>
    <w:qFormat/>
    <w:locked/>
    <w:uiPriority w:val="0"/>
    <w:pPr>
      <w:keepNext/>
      <w:keepLines/>
      <w:numPr>
        <w:ilvl w:val="5"/>
        <w:numId w:val="1"/>
      </w:numPr>
      <w:spacing w:before="240" w:after="64" w:line="320" w:lineRule="auto"/>
      <w:outlineLvl w:val="5"/>
    </w:pPr>
    <w:rPr>
      <w:rFonts w:ascii="Arial" w:hAnsi="Arial" w:eastAsia="黑体"/>
      <w:b/>
      <w:sz w:val="24"/>
    </w:rPr>
  </w:style>
  <w:style w:type="paragraph" w:styleId="6">
    <w:name w:val="Plain Text"/>
    <w:basedOn w:val="1"/>
    <w:qFormat/>
    <w:locked/>
    <w:uiPriority w:val="0"/>
    <w:rPr>
      <w:rFonts w:ascii="宋体" w:hAnsi="Courier New" w:cs="Century"/>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标题 11"/>
    <w:basedOn w:val="1"/>
    <w:next w:val="1"/>
    <w:link w:val="27"/>
    <w:qFormat/>
    <w:locked/>
    <w:uiPriority w:val="0"/>
    <w:pPr>
      <w:keepNext/>
      <w:keepLines/>
      <w:spacing w:before="340" w:after="330" w:line="578" w:lineRule="auto"/>
      <w:outlineLvl w:val="0"/>
    </w:pPr>
    <w:rPr>
      <w:b/>
      <w:bCs/>
      <w:kern w:val="44"/>
      <w:sz w:val="30"/>
      <w:szCs w:val="44"/>
    </w:rPr>
  </w:style>
  <w:style w:type="paragraph" w:customStyle="1" w:styleId="16">
    <w:name w:val="标题 21"/>
    <w:basedOn w:val="1"/>
    <w:next w:val="1"/>
    <w:link w:val="28"/>
    <w:qFormat/>
    <w:locked/>
    <w:uiPriority w:val="0"/>
    <w:pPr>
      <w:keepNext/>
      <w:keepLines/>
      <w:spacing w:before="260" w:after="260" w:line="416" w:lineRule="auto"/>
      <w:outlineLvl w:val="1"/>
    </w:pPr>
    <w:rPr>
      <w:rFonts w:ascii="Arial" w:hAnsi="Arial" w:eastAsia="黑体"/>
      <w:b/>
      <w:bCs/>
      <w:kern w:val="0"/>
      <w:sz w:val="32"/>
      <w:szCs w:val="32"/>
    </w:rPr>
  </w:style>
  <w:style w:type="paragraph" w:customStyle="1" w:styleId="17">
    <w:name w:val="标题 31"/>
    <w:basedOn w:val="1"/>
    <w:next w:val="1"/>
    <w:link w:val="29"/>
    <w:qFormat/>
    <w:locked/>
    <w:uiPriority w:val="0"/>
    <w:pPr>
      <w:keepNext/>
      <w:keepLines/>
      <w:spacing w:before="260" w:after="260" w:line="416" w:lineRule="auto"/>
      <w:outlineLvl w:val="2"/>
    </w:pPr>
    <w:rPr>
      <w:b/>
      <w:bCs/>
      <w:kern w:val="0"/>
      <w:sz w:val="32"/>
      <w:szCs w:val="32"/>
    </w:rPr>
  </w:style>
  <w:style w:type="paragraph" w:customStyle="1" w:styleId="18">
    <w:name w:val="标题 41"/>
    <w:basedOn w:val="1"/>
    <w:next w:val="1"/>
    <w:qFormat/>
    <w:locked/>
    <w:uiPriority w:val="9"/>
    <w:pPr>
      <w:ind w:firstLine="680"/>
      <w:outlineLvl w:val="3"/>
    </w:pPr>
    <w:rPr>
      <w:rFonts w:ascii="宋体"/>
      <w:sz w:val="28"/>
      <w:szCs w:val="20"/>
    </w:rPr>
  </w:style>
  <w:style w:type="paragraph" w:customStyle="1" w:styleId="19">
    <w:name w:val="标题 51"/>
    <w:basedOn w:val="1"/>
    <w:next w:val="1"/>
    <w:link w:val="30"/>
    <w:qFormat/>
    <w:locked/>
    <w:uiPriority w:val="0"/>
    <w:pPr>
      <w:keepNext/>
      <w:keepLines/>
      <w:numPr>
        <w:ilvl w:val="4"/>
        <w:numId w:val="1"/>
      </w:numPr>
      <w:spacing w:before="280" w:after="290" w:line="376" w:lineRule="auto"/>
      <w:outlineLvl w:val="4"/>
    </w:pPr>
    <w:rPr>
      <w:b/>
      <w:sz w:val="28"/>
    </w:rPr>
  </w:style>
  <w:style w:type="paragraph" w:customStyle="1" w:styleId="20">
    <w:name w:val="标题 71"/>
    <w:basedOn w:val="1"/>
    <w:next w:val="21"/>
    <w:link w:val="31"/>
    <w:qFormat/>
    <w:locked/>
    <w:uiPriority w:val="0"/>
    <w:pPr>
      <w:keepNext/>
      <w:keepLines/>
      <w:numPr>
        <w:ilvl w:val="6"/>
        <w:numId w:val="1"/>
      </w:numPr>
      <w:spacing w:before="240" w:after="64" w:line="320" w:lineRule="auto"/>
      <w:outlineLvl w:val="6"/>
    </w:pPr>
    <w:rPr>
      <w:b/>
      <w:sz w:val="24"/>
    </w:rPr>
  </w:style>
  <w:style w:type="paragraph" w:customStyle="1" w:styleId="21">
    <w:name w:val="正文缩进1"/>
    <w:basedOn w:val="1"/>
    <w:qFormat/>
    <w:locked/>
    <w:uiPriority w:val="0"/>
    <w:pPr>
      <w:ind w:firstLine="420"/>
    </w:pPr>
    <w:rPr>
      <w:szCs w:val="20"/>
    </w:rPr>
  </w:style>
  <w:style w:type="paragraph" w:customStyle="1" w:styleId="22">
    <w:name w:val="标题 81"/>
    <w:basedOn w:val="1"/>
    <w:next w:val="21"/>
    <w:link w:val="32"/>
    <w:qFormat/>
    <w:locked/>
    <w:uiPriority w:val="0"/>
    <w:pPr>
      <w:keepNext/>
      <w:keepLines/>
      <w:numPr>
        <w:ilvl w:val="7"/>
        <w:numId w:val="1"/>
      </w:numPr>
      <w:spacing w:before="240" w:after="64" w:line="320" w:lineRule="auto"/>
      <w:outlineLvl w:val="7"/>
    </w:pPr>
    <w:rPr>
      <w:rFonts w:ascii="Arial" w:hAnsi="Arial" w:eastAsia="黑体"/>
      <w:sz w:val="24"/>
    </w:rPr>
  </w:style>
  <w:style w:type="paragraph" w:customStyle="1" w:styleId="23">
    <w:name w:val="标题 91"/>
    <w:basedOn w:val="1"/>
    <w:next w:val="21"/>
    <w:link w:val="33"/>
    <w:qFormat/>
    <w:locked/>
    <w:uiPriority w:val="0"/>
    <w:pPr>
      <w:keepNext/>
      <w:keepLines/>
      <w:numPr>
        <w:ilvl w:val="8"/>
        <w:numId w:val="1"/>
      </w:numPr>
      <w:spacing w:before="240" w:after="64" w:line="320" w:lineRule="auto"/>
      <w:outlineLvl w:val="8"/>
    </w:pPr>
    <w:rPr>
      <w:rFonts w:ascii="Arial" w:hAnsi="Arial" w:eastAsia="黑体"/>
    </w:rPr>
  </w:style>
  <w:style w:type="character" w:customStyle="1" w:styleId="24">
    <w:name w:val="默认段落字体1"/>
    <w:link w:val="1"/>
    <w:unhideWhenUsed/>
    <w:qFormat/>
    <w:uiPriority w:val="1"/>
  </w:style>
  <w:style w:type="table" w:customStyle="1" w:styleId="25">
    <w:name w:val="普通表格1"/>
    <w:unhideWhenUsed/>
    <w:qFormat/>
    <w:uiPriority w:val="99"/>
    <w:pPr>
      <w:keepNext w:val="0"/>
      <w:keepLines w:val="0"/>
      <w:widowControl/>
      <w:suppressLineNumbers w:val="0"/>
      <w:spacing w:before="0" w:beforeAutospacing="0" w:after="0" w:afterAutospacing="0"/>
      <w:ind w:left="0" w:right="0"/>
    </w:pPr>
    <w:rPr>
      <w:rFonts w:ascii="Times New Roman" w:hAnsi="Times New Roman" w:cs="Times New Roman"/>
      <w:sz w:val="20"/>
      <w:szCs w:val="20"/>
    </w:rPr>
    <w:tblPr>
      <w:tblCellMar>
        <w:top w:w="0" w:type="dxa"/>
        <w:left w:w="108" w:type="dxa"/>
        <w:bottom w:w="0" w:type="dxa"/>
        <w:right w:w="108" w:type="dxa"/>
      </w:tblCellMar>
    </w:tblPr>
  </w:style>
  <w:style w:type="character" w:customStyle="1" w:styleId="26">
    <w:name w:val="标题 6 Char"/>
    <w:link w:val="2"/>
    <w:qFormat/>
    <w:uiPriority w:val="0"/>
    <w:rPr>
      <w:rFonts w:ascii="Arial" w:hAnsi="Arial" w:eastAsia="黑体"/>
      <w:b/>
      <w:kern w:val="2"/>
      <w:sz w:val="24"/>
      <w:szCs w:val="24"/>
    </w:rPr>
  </w:style>
  <w:style w:type="character" w:customStyle="1" w:styleId="27">
    <w:name w:val="标题 1 Char"/>
    <w:link w:val="15"/>
    <w:qFormat/>
    <w:uiPriority w:val="0"/>
    <w:rPr>
      <w:rFonts w:ascii="Times New Roman" w:hAnsi="Times New Roman" w:eastAsia="宋体" w:cs="Times New Roman"/>
      <w:b/>
      <w:bCs/>
      <w:kern w:val="44"/>
      <w:sz w:val="30"/>
      <w:szCs w:val="44"/>
    </w:rPr>
  </w:style>
  <w:style w:type="character" w:customStyle="1" w:styleId="28">
    <w:name w:val="标题 2 Char"/>
    <w:link w:val="16"/>
    <w:qFormat/>
    <w:uiPriority w:val="0"/>
    <w:rPr>
      <w:rFonts w:ascii="Arial" w:hAnsi="Arial" w:eastAsia="黑体" w:cs="Times New Roman"/>
      <w:b/>
      <w:bCs/>
      <w:sz w:val="32"/>
      <w:szCs w:val="32"/>
    </w:rPr>
  </w:style>
  <w:style w:type="character" w:customStyle="1" w:styleId="29">
    <w:name w:val="标题 3 Char"/>
    <w:link w:val="17"/>
    <w:qFormat/>
    <w:uiPriority w:val="0"/>
    <w:rPr>
      <w:rFonts w:ascii="Times New Roman" w:hAnsi="Times New Roman" w:eastAsia="宋体" w:cs="Times New Roman"/>
      <w:b/>
      <w:bCs/>
      <w:sz w:val="32"/>
      <w:szCs w:val="32"/>
    </w:rPr>
  </w:style>
  <w:style w:type="character" w:customStyle="1" w:styleId="30">
    <w:name w:val="标题 5 Char"/>
    <w:link w:val="19"/>
    <w:qFormat/>
    <w:uiPriority w:val="0"/>
    <w:rPr>
      <w:rFonts w:ascii="Times New Roman" w:hAnsi="Times New Roman"/>
      <w:b/>
      <w:kern w:val="2"/>
      <w:sz w:val="28"/>
      <w:szCs w:val="24"/>
    </w:rPr>
  </w:style>
  <w:style w:type="character" w:customStyle="1" w:styleId="31">
    <w:name w:val="标题 7 Char"/>
    <w:link w:val="20"/>
    <w:qFormat/>
    <w:uiPriority w:val="0"/>
    <w:rPr>
      <w:rFonts w:ascii="Times New Roman" w:hAnsi="Times New Roman"/>
      <w:b/>
      <w:kern w:val="2"/>
      <w:sz w:val="24"/>
      <w:szCs w:val="24"/>
    </w:rPr>
  </w:style>
  <w:style w:type="character" w:customStyle="1" w:styleId="32">
    <w:name w:val="标题 8 Char"/>
    <w:link w:val="22"/>
    <w:qFormat/>
    <w:uiPriority w:val="0"/>
    <w:rPr>
      <w:rFonts w:ascii="Arial" w:hAnsi="Arial" w:eastAsia="黑体"/>
      <w:kern w:val="2"/>
      <w:sz w:val="24"/>
      <w:szCs w:val="24"/>
    </w:rPr>
  </w:style>
  <w:style w:type="character" w:customStyle="1" w:styleId="33">
    <w:name w:val="标题 9 Char"/>
    <w:link w:val="23"/>
    <w:qFormat/>
    <w:uiPriority w:val="0"/>
    <w:rPr>
      <w:rFonts w:ascii="Arial" w:hAnsi="Arial" w:eastAsia="黑体"/>
      <w:kern w:val="2"/>
      <w:sz w:val="21"/>
      <w:szCs w:val="24"/>
    </w:rPr>
  </w:style>
  <w:style w:type="paragraph" w:customStyle="1" w:styleId="34">
    <w:name w:val="目录 71"/>
    <w:basedOn w:val="1"/>
    <w:next w:val="1"/>
    <w:unhideWhenUsed/>
    <w:qFormat/>
    <w:locked/>
    <w:uiPriority w:val="39"/>
    <w:pPr>
      <w:ind w:left="2520" w:leftChars="1200"/>
    </w:pPr>
    <w:rPr>
      <w:rFonts w:ascii="Calibri" w:hAnsi="Calibri" w:eastAsia="宋体" w:cs="Times New Roman"/>
      <w:szCs w:val="22"/>
    </w:rPr>
  </w:style>
  <w:style w:type="paragraph" w:customStyle="1" w:styleId="35">
    <w:name w:val="索引 81"/>
    <w:basedOn w:val="1"/>
    <w:next w:val="1"/>
    <w:qFormat/>
    <w:locked/>
    <w:uiPriority w:val="0"/>
    <w:pPr>
      <w:ind w:left="2940"/>
    </w:pPr>
  </w:style>
  <w:style w:type="paragraph" w:customStyle="1" w:styleId="36">
    <w:name w:val="列表编号1"/>
    <w:basedOn w:val="1"/>
    <w:qFormat/>
    <w:locked/>
    <w:uiPriority w:val="0"/>
    <w:pPr>
      <w:widowControl/>
      <w:tabs>
        <w:tab w:val="left" w:pos="454"/>
        <w:tab w:val="left" w:pos="720"/>
        <w:tab w:val="left" w:pos="840"/>
      </w:tabs>
      <w:spacing w:after="50"/>
      <w:ind w:left="454" w:hanging="284"/>
      <w:jc w:val="left"/>
    </w:pPr>
    <w:rPr>
      <w:kern w:val="0"/>
      <w:sz w:val="24"/>
      <w:szCs w:val="20"/>
    </w:rPr>
  </w:style>
  <w:style w:type="paragraph" w:customStyle="1" w:styleId="37">
    <w:name w:val="题注1"/>
    <w:basedOn w:val="1"/>
    <w:next w:val="1"/>
    <w:qFormat/>
    <w:locked/>
    <w:uiPriority w:val="0"/>
    <w:pPr>
      <w:spacing w:before="152" w:after="160"/>
    </w:pPr>
    <w:rPr>
      <w:rFonts w:ascii="Arial" w:hAnsi="Arial" w:eastAsia="黑体" w:cs="Arial"/>
      <w:sz w:val="20"/>
      <w:szCs w:val="20"/>
    </w:rPr>
  </w:style>
  <w:style w:type="paragraph" w:customStyle="1" w:styleId="38">
    <w:name w:val="批注文字1"/>
    <w:basedOn w:val="1"/>
    <w:link w:val="39"/>
    <w:unhideWhenUsed/>
    <w:qFormat/>
    <w:locked/>
    <w:uiPriority w:val="0"/>
    <w:pPr>
      <w:jc w:val="left"/>
    </w:pPr>
  </w:style>
  <w:style w:type="character" w:customStyle="1" w:styleId="39">
    <w:name w:val="批注文字 Char"/>
    <w:link w:val="38"/>
    <w:qFormat/>
    <w:uiPriority w:val="0"/>
    <w:rPr>
      <w:rFonts w:ascii="Times New Roman" w:hAnsi="Times New Roman"/>
      <w:kern w:val="2"/>
      <w:sz w:val="21"/>
      <w:szCs w:val="24"/>
    </w:rPr>
  </w:style>
  <w:style w:type="paragraph" w:customStyle="1" w:styleId="40">
    <w:name w:val="正文文本 31"/>
    <w:basedOn w:val="1"/>
    <w:link w:val="41"/>
    <w:qFormat/>
    <w:locked/>
    <w:uiPriority w:val="0"/>
    <w:pPr>
      <w:spacing w:line="500" w:lineRule="exact"/>
    </w:pPr>
    <w:rPr>
      <w:b/>
      <w:bCs/>
      <w:kern w:val="0"/>
      <w:sz w:val="24"/>
    </w:rPr>
  </w:style>
  <w:style w:type="character" w:customStyle="1" w:styleId="41">
    <w:name w:val="正文文本 3 Char"/>
    <w:link w:val="40"/>
    <w:qFormat/>
    <w:uiPriority w:val="0"/>
    <w:rPr>
      <w:rFonts w:ascii="Times New Roman" w:hAnsi="Times New Roman" w:eastAsia="宋体" w:cs="Times New Roman"/>
      <w:b/>
      <w:bCs/>
      <w:sz w:val="24"/>
      <w:szCs w:val="24"/>
    </w:rPr>
  </w:style>
  <w:style w:type="paragraph" w:customStyle="1" w:styleId="42">
    <w:name w:val="正文文本11"/>
    <w:basedOn w:val="1"/>
    <w:next w:val="1"/>
    <w:link w:val="43"/>
    <w:qFormat/>
    <w:locked/>
    <w:uiPriority w:val="99"/>
    <w:pPr>
      <w:spacing w:line="380" w:lineRule="exact"/>
    </w:pPr>
    <w:rPr>
      <w:kern w:val="0"/>
      <w:sz w:val="24"/>
    </w:rPr>
  </w:style>
  <w:style w:type="character" w:customStyle="1" w:styleId="43">
    <w:name w:val="正文文本 Char"/>
    <w:link w:val="42"/>
    <w:qFormat/>
    <w:uiPriority w:val="99"/>
    <w:rPr>
      <w:rFonts w:ascii="Times New Roman" w:hAnsi="Times New Roman" w:eastAsia="宋体" w:cs="Times New Roman"/>
      <w:sz w:val="24"/>
      <w:szCs w:val="24"/>
    </w:rPr>
  </w:style>
  <w:style w:type="paragraph" w:customStyle="1" w:styleId="44">
    <w:name w:val="正文文本缩进1"/>
    <w:basedOn w:val="1"/>
    <w:link w:val="45"/>
    <w:qFormat/>
    <w:locked/>
    <w:uiPriority w:val="0"/>
    <w:pPr>
      <w:ind w:firstLine="830" w:firstLineChars="352"/>
    </w:pPr>
    <w:rPr>
      <w:rFonts w:ascii="仿宋_GB2312" w:eastAsia="仿宋_GB2312"/>
      <w:kern w:val="0"/>
      <w:sz w:val="32"/>
      <w:szCs w:val="20"/>
    </w:rPr>
  </w:style>
  <w:style w:type="character" w:customStyle="1" w:styleId="45">
    <w:name w:val="正文文本缩进 Char"/>
    <w:link w:val="44"/>
    <w:qFormat/>
    <w:uiPriority w:val="0"/>
    <w:rPr>
      <w:rFonts w:ascii="仿宋_GB2312" w:hAnsi="Times New Roman" w:eastAsia="仿宋_GB2312" w:cs="Times New Roman"/>
      <w:sz w:val="32"/>
      <w:szCs w:val="20"/>
    </w:rPr>
  </w:style>
  <w:style w:type="paragraph" w:customStyle="1" w:styleId="46">
    <w:name w:val="列表编号 31"/>
    <w:basedOn w:val="1"/>
    <w:qFormat/>
    <w:locked/>
    <w:uiPriority w:val="0"/>
    <w:pPr>
      <w:numPr>
        <w:ilvl w:val="0"/>
        <w:numId w:val="2"/>
      </w:numPr>
    </w:pPr>
  </w:style>
  <w:style w:type="paragraph" w:customStyle="1" w:styleId="47">
    <w:name w:val="列表 21"/>
    <w:basedOn w:val="1"/>
    <w:qFormat/>
    <w:locked/>
    <w:uiPriority w:val="0"/>
    <w:pPr>
      <w:ind w:left="100" w:leftChars="200" w:hanging="200" w:hangingChars="200"/>
    </w:pPr>
    <w:rPr>
      <w:sz w:val="28"/>
    </w:rPr>
  </w:style>
  <w:style w:type="paragraph" w:customStyle="1" w:styleId="48">
    <w:name w:val="目录 51"/>
    <w:basedOn w:val="1"/>
    <w:next w:val="1"/>
    <w:unhideWhenUsed/>
    <w:qFormat/>
    <w:locked/>
    <w:uiPriority w:val="39"/>
    <w:pPr>
      <w:ind w:left="1680" w:leftChars="800"/>
    </w:pPr>
    <w:rPr>
      <w:rFonts w:ascii="Calibri" w:hAnsi="Calibri" w:eastAsia="宋体" w:cs="Times New Roman"/>
      <w:szCs w:val="22"/>
    </w:rPr>
  </w:style>
  <w:style w:type="paragraph" w:customStyle="1" w:styleId="49">
    <w:name w:val="目录 31"/>
    <w:basedOn w:val="1"/>
    <w:next w:val="1"/>
    <w:unhideWhenUsed/>
    <w:qFormat/>
    <w:locked/>
    <w:uiPriority w:val="39"/>
    <w:pPr>
      <w:ind w:left="840" w:leftChars="400"/>
    </w:pPr>
    <w:rPr>
      <w:rFonts w:ascii="Calibri" w:hAnsi="Calibri" w:eastAsia="宋体" w:cs="Times New Roman"/>
      <w:szCs w:val="22"/>
    </w:rPr>
  </w:style>
  <w:style w:type="paragraph" w:customStyle="1" w:styleId="50">
    <w:name w:val="纯文本11"/>
    <w:basedOn w:val="1"/>
    <w:next w:val="51"/>
    <w:link w:val="52"/>
    <w:qFormat/>
    <w:locked/>
    <w:uiPriority w:val="0"/>
    <w:rPr>
      <w:rFonts w:ascii="宋体" w:hAnsi="Courier New"/>
      <w:kern w:val="0"/>
      <w:sz w:val="20"/>
      <w:szCs w:val="21"/>
    </w:rPr>
  </w:style>
  <w:style w:type="paragraph" w:customStyle="1" w:styleId="51">
    <w:name w:val="日期1"/>
    <w:basedOn w:val="1"/>
    <w:next w:val="1"/>
    <w:link w:val="53"/>
    <w:qFormat/>
    <w:locked/>
    <w:uiPriority w:val="0"/>
    <w:pPr>
      <w:ind w:left="100" w:leftChars="2500"/>
    </w:pPr>
    <w:rPr>
      <w:rFonts w:ascii="宋体" w:hAnsi="Courier New"/>
      <w:kern w:val="0"/>
      <w:sz w:val="20"/>
      <w:szCs w:val="21"/>
    </w:rPr>
  </w:style>
  <w:style w:type="character" w:customStyle="1" w:styleId="52">
    <w:name w:val="纯文本 Char"/>
    <w:link w:val="50"/>
    <w:qFormat/>
    <w:uiPriority w:val="0"/>
    <w:rPr>
      <w:rFonts w:ascii="宋体" w:hAnsi="Courier New" w:eastAsia="宋体" w:cs="Courier New"/>
      <w:szCs w:val="21"/>
    </w:rPr>
  </w:style>
  <w:style w:type="character" w:customStyle="1" w:styleId="53">
    <w:name w:val="日期 Char"/>
    <w:link w:val="51"/>
    <w:qFormat/>
    <w:uiPriority w:val="0"/>
    <w:rPr>
      <w:rFonts w:ascii="宋体" w:hAnsi="Courier New" w:eastAsia="宋体" w:cs="Courier New"/>
      <w:szCs w:val="21"/>
    </w:rPr>
  </w:style>
  <w:style w:type="paragraph" w:customStyle="1" w:styleId="54">
    <w:name w:val="目录 81"/>
    <w:basedOn w:val="1"/>
    <w:next w:val="1"/>
    <w:unhideWhenUsed/>
    <w:qFormat/>
    <w:locked/>
    <w:uiPriority w:val="39"/>
    <w:pPr>
      <w:ind w:left="2940" w:leftChars="1400"/>
    </w:pPr>
    <w:rPr>
      <w:rFonts w:ascii="Calibri" w:hAnsi="Calibri" w:eastAsia="宋体" w:cs="Times New Roman"/>
      <w:szCs w:val="22"/>
    </w:rPr>
  </w:style>
  <w:style w:type="paragraph" w:customStyle="1" w:styleId="55">
    <w:name w:val="正文文本缩进 21"/>
    <w:basedOn w:val="1"/>
    <w:link w:val="56"/>
    <w:qFormat/>
    <w:locked/>
    <w:uiPriority w:val="0"/>
    <w:pPr>
      <w:ind w:firstLine="630"/>
    </w:pPr>
    <w:rPr>
      <w:kern w:val="0"/>
      <w:sz w:val="32"/>
      <w:szCs w:val="20"/>
    </w:rPr>
  </w:style>
  <w:style w:type="character" w:customStyle="1" w:styleId="56">
    <w:name w:val="正文文本缩进 2 Char"/>
    <w:link w:val="55"/>
    <w:qFormat/>
    <w:uiPriority w:val="0"/>
    <w:rPr>
      <w:rFonts w:ascii="Times New Roman" w:hAnsi="Times New Roman" w:eastAsia="宋体" w:cs="Times New Roman"/>
      <w:sz w:val="32"/>
      <w:szCs w:val="20"/>
    </w:rPr>
  </w:style>
  <w:style w:type="paragraph" w:customStyle="1" w:styleId="57">
    <w:name w:val="尾注文本1"/>
    <w:basedOn w:val="1"/>
    <w:link w:val="58"/>
    <w:unhideWhenUsed/>
    <w:qFormat/>
    <w:locked/>
    <w:uiPriority w:val="99"/>
    <w:pPr>
      <w:jc w:val="left"/>
    </w:pPr>
  </w:style>
  <w:style w:type="character" w:customStyle="1" w:styleId="58">
    <w:name w:val="尾注文本 Char"/>
    <w:link w:val="57"/>
    <w:semiHidden/>
    <w:qFormat/>
    <w:uiPriority w:val="99"/>
    <w:rPr>
      <w:rFonts w:ascii="Times New Roman" w:hAnsi="Times New Roman"/>
      <w:kern w:val="2"/>
      <w:sz w:val="21"/>
      <w:szCs w:val="24"/>
    </w:rPr>
  </w:style>
  <w:style w:type="paragraph" w:customStyle="1" w:styleId="59">
    <w:name w:val="批注框文本1"/>
    <w:basedOn w:val="1"/>
    <w:link w:val="60"/>
    <w:semiHidden/>
    <w:qFormat/>
    <w:locked/>
    <w:uiPriority w:val="0"/>
    <w:rPr>
      <w:kern w:val="0"/>
      <w:sz w:val="18"/>
      <w:szCs w:val="18"/>
    </w:rPr>
  </w:style>
  <w:style w:type="character" w:customStyle="1" w:styleId="60">
    <w:name w:val="批注框文本 Char"/>
    <w:link w:val="59"/>
    <w:semiHidden/>
    <w:qFormat/>
    <w:uiPriority w:val="0"/>
    <w:rPr>
      <w:rFonts w:ascii="Times New Roman" w:hAnsi="Times New Roman" w:eastAsia="宋体" w:cs="Times New Roman"/>
      <w:sz w:val="18"/>
      <w:szCs w:val="18"/>
    </w:rPr>
  </w:style>
  <w:style w:type="paragraph" w:customStyle="1" w:styleId="61">
    <w:name w:val="页脚1"/>
    <w:basedOn w:val="1"/>
    <w:link w:val="62"/>
    <w:unhideWhenUsed/>
    <w:qFormat/>
    <w:locked/>
    <w:uiPriority w:val="99"/>
    <w:pPr>
      <w:tabs>
        <w:tab w:val="center" w:pos="4153"/>
        <w:tab w:val="right" w:pos="8306"/>
      </w:tabs>
      <w:jc w:val="left"/>
    </w:pPr>
    <w:rPr>
      <w:kern w:val="0"/>
      <w:sz w:val="18"/>
      <w:szCs w:val="18"/>
    </w:rPr>
  </w:style>
  <w:style w:type="character" w:customStyle="1" w:styleId="62">
    <w:name w:val="页脚 Char"/>
    <w:link w:val="61"/>
    <w:qFormat/>
    <w:uiPriority w:val="99"/>
    <w:rPr>
      <w:sz w:val="18"/>
      <w:szCs w:val="18"/>
    </w:rPr>
  </w:style>
  <w:style w:type="paragraph" w:customStyle="1" w:styleId="63">
    <w:name w:val="页眉1"/>
    <w:basedOn w:val="1"/>
    <w:link w:val="64"/>
    <w:unhideWhenUsed/>
    <w:qFormat/>
    <w:locked/>
    <w:uiPriority w:val="99"/>
    <w:pPr>
      <w:pBdr>
        <w:bottom w:val="single" w:color="auto" w:sz="6" w:space="1"/>
      </w:pBdr>
      <w:tabs>
        <w:tab w:val="center" w:pos="0"/>
        <w:tab w:val="left" w:pos="8306"/>
      </w:tabs>
      <w:jc w:val="center"/>
    </w:pPr>
    <w:rPr>
      <w:sz w:val="18"/>
      <w:szCs w:val="18"/>
    </w:rPr>
  </w:style>
  <w:style w:type="character" w:customStyle="1" w:styleId="64">
    <w:name w:val="页眉 Char"/>
    <w:link w:val="63"/>
    <w:qFormat/>
    <w:uiPriority w:val="99"/>
    <w:rPr>
      <w:rFonts w:ascii="Times New Roman" w:hAnsi="Times New Roman"/>
      <w:kern w:val="2"/>
      <w:sz w:val="18"/>
      <w:szCs w:val="18"/>
    </w:rPr>
  </w:style>
  <w:style w:type="paragraph" w:customStyle="1" w:styleId="65">
    <w:name w:val="目录 11"/>
    <w:basedOn w:val="1"/>
    <w:next w:val="1"/>
    <w:qFormat/>
    <w:locked/>
    <w:uiPriority w:val="39"/>
    <w:pPr>
      <w:tabs>
        <w:tab w:val="right" w:leader="dot" w:pos="8398"/>
      </w:tabs>
      <w:spacing w:before="120" w:after="120"/>
      <w:ind w:firstLine="240" w:firstLineChars="100"/>
      <w:jc w:val="left"/>
    </w:pPr>
    <w:rPr>
      <w:rFonts w:ascii="宋体" w:hAnsi="宋体"/>
      <w:b/>
      <w:bCs/>
      <w:caps/>
      <w:sz w:val="24"/>
    </w:rPr>
  </w:style>
  <w:style w:type="paragraph" w:customStyle="1" w:styleId="66">
    <w:name w:val="目录 41"/>
    <w:basedOn w:val="1"/>
    <w:next w:val="1"/>
    <w:unhideWhenUsed/>
    <w:qFormat/>
    <w:locked/>
    <w:uiPriority w:val="39"/>
    <w:pPr>
      <w:ind w:left="1260" w:leftChars="600"/>
    </w:pPr>
    <w:rPr>
      <w:rFonts w:ascii="Calibri" w:hAnsi="Calibri" w:eastAsia="宋体" w:cs="Times New Roman"/>
      <w:szCs w:val="22"/>
    </w:rPr>
  </w:style>
  <w:style w:type="paragraph" w:customStyle="1" w:styleId="67">
    <w:name w:val="列表1"/>
    <w:basedOn w:val="1"/>
    <w:qFormat/>
    <w:locked/>
    <w:uiPriority w:val="0"/>
    <w:pPr>
      <w:ind w:left="200" w:hanging="200" w:hangingChars="200"/>
    </w:pPr>
    <w:rPr>
      <w:sz w:val="28"/>
    </w:rPr>
  </w:style>
  <w:style w:type="paragraph" w:customStyle="1" w:styleId="68">
    <w:name w:val="脚注文本1"/>
    <w:basedOn w:val="1"/>
    <w:link w:val="69"/>
    <w:unhideWhenUsed/>
    <w:qFormat/>
    <w:locked/>
    <w:uiPriority w:val="99"/>
    <w:pPr>
      <w:jc w:val="left"/>
    </w:pPr>
    <w:rPr>
      <w:sz w:val="18"/>
      <w:szCs w:val="18"/>
    </w:rPr>
  </w:style>
  <w:style w:type="character" w:customStyle="1" w:styleId="69">
    <w:name w:val="脚注文本 Char"/>
    <w:link w:val="68"/>
    <w:semiHidden/>
    <w:qFormat/>
    <w:uiPriority w:val="99"/>
    <w:rPr>
      <w:rFonts w:ascii="Times New Roman" w:hAnsi="Times New Roman"/>
      <w:kern w:val="2"/>
      <w:sz w:val="18"/>
      <w:szCs w:val="18"/>
    </w:rPr>
  </w:style>
  <w:style w:type="paragraph" w:customStyle="1" w:styleId="70">
    <w:name w:val="目录 61"/>
    <w:basedOn w:val="1"/>
    <w:next w:val="1"/>
    <w:unhideWhenUsed/>
    <w:qFormat/>
    <w:locked/>
    <w:uiPriority w:val="39"/>
    <w:pPr>
      <w:ind w:left="2100" w:leftChars="1000"/>
    </w:pPr>
    <w:rPr>
      <w:rFonts w:ascii="Calibri" w:hAnsi="Calibri" w:eastAsia="宋体" w:cs="Times New Roman"/>
      <w:szCs w:val="22"/>
    </w:rPr>
  </w:style>
  <w:style w:type="paragraph" w:customStyle="1" w:styleId="71">
    <w:name w:val="正文文本缩进 31"/>
    <w:basedOn w:val="1"/>
    <w:link w:val="72"/>
    <w:qFormat/>
    <w:locked/>
    <w:uiPriority w:val="0"/>
    <w:pPr>
      <w:spacing w:after="120"/>
      <w:ind w:left="420" w:leftChars="200"/>
    </w:pPr>
    <w:rPr>
      <w:kern w:val="0"/>
      <w:sz w:val="16"/>
      <w:szCs w:val="16"/>
    </w:rPr>
  </w:style>
  <w:style w:type="character" w:customStyle="1" w:styleId="72">
    <w:name w:val="正文文本缩进 3 Char"/>
    <w:link w:val="71"/>
    <w:qFormat/>
    <w:uiPriority w:val="0"/>
    <w:rPr>
      <w:rFonts w:ascii="Times New Roman" w:hAnsi="Times New Roman" w:eastAsia="宋体" w:cs="Times New Roman"/>
      <w:sz w:val="16"/>
      <w:szCs w:val="16"/>
    </w:rPr>
  </w:style>
  <w:style w:type="paragraph" w:customStyle="1" w:styleId="73">
    <w:name w:val="目录 21"/>
    <w:basedOn w:val="1"/>
    <w:next w:val="1"/>
    <w:unhideWhenUsed/>
    <w:qFormat/>
    <w:locked/>
    <w:uiPriority w:val="39"/>
    <w:pPr>
      <w:ind w:left="420" w:leftChars="200"/>
    </w:pPr>
  </w:style>
  <w:style w:type="paragraph" w:customStyle="1" w:styleId="74">
    <w:name w:val="目录 91"/>
    <w:basedOn w:val="1"/>
    <w:next w:val="1"/>
    <w:unhideWhenUsed/>
    <w:qFormat/>
    <w:locked/>
    <w:uiPriority w:val="39"/>
    <w:pPr>
      <w:ind w:left="3360" w:leftChars="1600"/>
    </w:pPr>
    <w:rPr>
      <w:rFonts w:ascii="Calibri" w:hAnsi="Calibri" w:eastAsia="宋体" w:cs="Times New Roman"/>
      <w:szCs w:val="22"/>
    </w:rPr>
  </w:style>
  <w:style w:type="paragraph" w:customStyle="1" w:styleId="75">
    <w:name w:val="正文文本 21"/>
    <w:basedOn w:val="1"/>
    <w:link w:val="76"/>
    <w:qFormat/>
    <w:locked/>
    <w:uiPriority w:val="0"/>
    <w:pPr>
      <w:spacing w:after="120" w:line="480" w:lineRule="auto"/>
    </w:pPr>
    <w:rPr>
      <w:kern w:val="0"/>
      <w:sz w:val="20"/>
    </w:rPr>
  </w:style>
  <w:style w:type="character" w:customStyle="1" w:styleId="76">
    <w:name w:val="正文文本 2 Char"/>
    <w:link w:val="75"/>
    <w:qFormat/>
    <w:uiPriority w:val="0"/>
    <w:rPr>
      <w:rFonts w:ascii="Times New Roman" w:hAnsi="Times New Roman" w:eastAsia="宋体" w:cs="Times New Roman"/>
      <w:szCs w:val="24"/>
    </w:rPr>
  </w:style>
  <w:style w:type="paragraph" w:customStyle="1" w:styleId="77">
    <w:name w:val="普通(网站)1"/>
    <w:basedOn w:val="1"/>
    <w:qFormat/>
    <w:locked/>
    <w:uiPriority w:val="99"/>
    <w:pPr>
      <w:widowControl/>
      <w:spacing w:before="100" w:beforeAutospacing="1" w:after="100" w:afterAutospacing="1"/>
      <w:jc w:val="left"/>
    </w:pPr>
    <w:rPr>
      <w:rFonts w:ascii="宋体" w:hAnsi="宋体"/>
      <w:kern w:val="0"/>
      <w:sz w:val="24"/>
    </w:rPr>
  </w:style>
  <w:style w:type="paragraph" w:customStyle="1" w:styleId="78">
    <w:name w:val="索引 11"/>
    <w:basedOn w:val="1"/>
    <w:next w:val="1"/>
    <w:semiHidden/>
    <w:qFormat/>
    <w:locked/>
    <w:uiPriority w:val="0"/>
    <w:pPr>
      <w:spacing w:line="400" w:lineRule="exact"/>
      <w:ind w:firstLine="420" w:firstLineChars="200"/>
    </w:pPr>
    <w:rPr>
      <w:rFonts w:ascii="宋体" w:hAnsi="Courier New"/>
      <w:b/>
      <w:szCs w:val="20"/>
    </w:rPr>
  </w:style>
  <w:style w:type="paragraph" w:customStyle="1" w:styleId="79">
    <w:name w:val="标题1"/>
    <w:basedOn w:val="1"/>
    <w:next w:val="1"/>
    <w:link w:val="80"/>
    <w:qFormat/>
    <w:locked/>
    <w:uiPriority w:val="10"/>
    <w:pPr>
      <w:spacing w:before="240" w:after="60"/>
      <w:jc w:val="center"/>
      <w:outlineLvl w:val="0"/>
    </w:pPr>
    <w:rPr>
      <w:rFonts w:ascii="Cambria" w:hAnsi="Cambria"/>
      <w:b/>
      <w:bCs/>
      <w:sz w:val="32"/>
      <w:szCs w:val="32"/>
    </w:rPr>
  </w:style>
  <w:style w:type="character" w:customStyle="1" w:styleId="80">
    <w:name w:val="标题 Char"/>
    <w:link w:val="79"/>
    <w:qFormat/>
    <w:uiPriority w:val="10"/>
    <w:rPr>
      <w:rFonts w:ascii="Cambria" w:hAnsi="Cambria" w:cs="Times New Roman"/>
      <w:b/>
      <w:bCs/>
      <w:kern w:val="2"/>
      <w:sz w:val="32"/>
      <w:szCs w:val="32"/>
    </w:rPr>
  </w:style>
  <w:style w:type="paragraph" w:customStyle="1" w:styleId="81">
    <w:name w:val="批注主题1"/>
    <w:basedOn w:val="38"/>
    <w:next w:val="38"/>
    <w:link w:val="82"/>
    <w:unhideWhenUsed/>
    <w:qFormat/>
    <w:locked/>
    <w:uiPriority w:val="99"/>
    <w:rPr>
      <w:b/>
      <w:bCs/>
    </w:rPr>
  </w:style>
  <w:style w:type="character" w:customStyle="1" w:styleId="82">
    <w:name w:val="批注主题 Char"/>
    <w:link w:val="81"/>
    <w:semiHidden/>
    <w:qFormat/>
    <w:uiPriority w:val="99"/>
    <w:rPr>
      <w:rFonts w:ascii="Times New Roman" w:hAnsi="Times New Roman"/>
      <w:b/>
      <w:bCs/>
      <w:kern w:val="2"/>
      <w:sz w:val="21"/>
      <w:szCs w:val="24"/>
    </w:rPr>
  </w:style>
  <w:style w:type="paragraph" w:customStyle="1" w:styleId="83">
    <w:name w:val="正文首行缩进1"/>
    <w:basedOn w:val="42"/>
    <w:unhideWhenUsed/>
    <w:qFormat/>
    <w:locked/>
    <w:uiPriority w:val="99"/>
    <w:pPr>
      <w:spacing w:after="120" w:line="240" w:lineRule="auto"/>
      <w:ind w:firstLine="420" w:firstLineChars="100"/>
    </w:pPr>
    <w:rPr>
      <w:kern w:val="2"/>
      <w:sz w:val="21"/>
    </w:rPr>
  </w:style>
  <w:style w:type="paragraph" w:customStyle="1" w:styleId="84">
    <w:name w:val="正文首行缩进 21"/>
    <w:basedOn w:val="1"/>
    <w:qFormat/>
    <w:locked/>
    <w:uiPriority w:val="0"/>
    <w:pPr>
      <w:spacing w:after="120"/>
      <w:ind w:left="420" w:leftChars="200" w:firstLine="420" w:firstLineChars="200"/>
    </w:pPr>
  </w:style>
  <w:style w:type="table" w:customStyle="1" w:styleId="85">
    <w:name w:val="网格型1"/>
    <w:basedOn w:val="2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6">
    <w:name w:val="要点1"/>
    <w:basedOn w:val="24"/>
    <w:link w:val="1"/>
    <w:qFormat/>
    <w:locked/>
    <w:uiPriority w:val="22"/>
    <w:rPr>
      <w:b/>
    </w:rPr>
  </w:style>
  <w:style w:type="character" w:customStyle="1" w:styleId="87">
    <w:name w:val="尾注引用1"/>
    <w:link w:val="1"/>
    <w:unhideWhenUsed/>
    <w:qFormat/>
    <w:locked/>
    <w:uiPriority w:val="99"/>
    <w:rPr>
      <w:vertAlign w:val="superscript"/>
    </w:rPr>
  </w:style>
  <w:style w:type="character" w:customStyle="1" w:styleId="88">
    <w:name w:val="页码1"/>
    <w:link w:val="1"/>
    <w:qFormat/>
    <w:locked/>
    <w:uiPriority w:val="0"/>
  </w:style>
  <w:style w:type="character" w:customStyle="1" w:styleId="89">
    <w:name w:val="已访问的超链接1"/>
    <w:basedOn w:val="24"/>
    <w:link w:val="1"/>
    <w:qFormat/>
    <w:locked/>
    <w:uiPriority w:val="0"/>
    <w:rPr>
      <w:color w:val="800080"/>
      <w:u w:val="single"/>
    </w:rPr>
  </w:style>
  <w:style w:type="character" w:customStyle="1" w:styleId="90">
    <w:name w:val="超链接1"/>
    <w:link w:val="1"/>
    <w:qFormat/>
    <w:locked/>
    <w:uiPriority w:val="99"/>
    <w:rPr>
      <w:color w:val="0000FF"/>
      <w:u w:val="single"/>
    </w:rPr>
  </w:style>
  <w:style w:type="character" w:customStyle="1" w:styleId="91">
    <w:name w:val="批注引用1"/>
    <w:link w:val="1"/>
    <w:unhideWhenUsed/>
    <w:qFormat/>
    <w:locked/>
    <w:uiPriority w:val="0"/>
    <w:rPr>
      <w:sz w:val="21"/>
      <w:szCs w:val="21"/>
    </w:rPr>
  </w:style>
  <w:style w:type="character" w:customStyle="1" w:styleId="92">
    <w:name w:val="脚注引用1"/>
    <w:link w:val="1"/>
    <w:unhideWhenUsed/>
    <w:qFormat/>
    <w:locked/>
    <w:uiPriority w:val="99"/>
    <w:rPr>
      <w:vertAlign w:val="superscript"/>
    </w:rPr>
  </w:style>
  <w:style w:type="character" w:customStyle="1" w:styleId="93">
    <w:name w:val="HTML 样本1"/>
    <w:basedOn w:val="24"/>
    <w:link w:val="1"/>
    <w:unhideWhenUsed/>
    <w:qFormat/>
    <w:locked/>
    <w:uiPriority w:val="99"/>
    <w:rPr>
      <w:rFonts w:ascii="Courier New" w:hAnsi="Courier New"/>
    </w:rPr>
  </w:style>
  <w:style w:type="paragraph" w:customStyle="1" w:styleId="94">
    <w:name w:val="Default"/>
    <w:unhideWhenUsed/>
    <w:qFormat/>
    <w:locked/>
    <w:uiPriority w:val="0"/>
    <w:pPr>
      <w:widowControl w:val="0"/>
      <w:autoSpaceDE w:val="0"/>
      <w:autoSpaceDN w:val="0"/>
    </w:pPr>
    <w:rPr>
      <w:rFonts w:hint="eastAsia" w:ascii="方正小标宋_GBK" w:hAnsi="方正小标宋_GBK" w:eastAsia="方正小标宋_GBK" w:cs="Times New Roman"/>
      <w:color w:val="000000"/>
      <w:sz w:val="24"/>
      <w:szCs w:val="22"/>
      <w:lang w:val="en-US" w:eastAsia="zh-CN" w:bidi="ar-SA"/>
    </w:rPr>
  </w:style>
  <w:style w:type="paragraph" w:customStyle="1" w:styleId="95">
    <w:name w:val="Normal Indent1"/>
    <w:basedOn w:val="1"/>
    <w:qFormat/>
    <w:uiPriority w:val="0"/>
    <w:pPr>
      <w:spacing w:line="660" w:lineRule="exact"/>
      <w:ind w:firstLine="720"/>
    </w:pPr>
    <w:rPr>
      <w:rFonts w:eastAsia="Cambria Math"/>
      <w:sz w:val="36"/>
      <w:szCs w:val="36"/>
    </w:rPr>
  </w:style>
  <w:style w:type="paragraph" w:customStyle="1" w:styleId="96">
    <w:name w:val="正文2"/>
    <w:basedOn w:val="1"/>
    <w:next w:val="1"/>
    <w:qFormat/>
    <w:uiPriority w:val="0"/>
    <w:pPr>
      <w:spacing w:before="156" w:line="360" w:lineRule="auto"/>
      <w:ind w:firstLine="510" w:firstLineChars="200"/>
    </w:pPr>
    <w:rPr>
      <w:kern w:val="0"/>
      <w:sz w:val="24"/>
      <w:szCs w:val="20"/>
    </w:rPr>
  </w:style>
  <w:style w:type="paragraph" w:customStyle="1" w:styleId="97">
    <w:name w:val="表格文字"/>
    <w:basedOn w:val="1"/>
    <w:qFormat/>
    <w:locked/>
    <w:uiPriority w:val="0"/>
    <w:rPr>
      <w:bCs/>
      <w:spacing w:val="10"/>
      <w:sz w:val="24"/>
    </w:rPr>
  </w:style>
  <w:style w:type="character" w:customStyle="1" w:styleId="98">
    <w:name w:val="纯文本 字符"/>
    <w:link w:val="1"/>
    <w:qFormat/>
    <w:locked/>
    <w:uiPriority w:val="0"/>
    <w:rPr>
      <w:rFonts w:ascii="宋体" w:hAnsi="Courier New" w:eastAsia="宋体" w:cs="Courier New"/>
      <w:szCs w:val="21"/>
    </w:rPr>
  </w:style>
  <w:style w:type="character" w:customStyle="1" w:styleId="99">
    <w:name w:val="textcontents"/>
    <w:link w:val="1"/>
    <w:qFormat/>
    <w:locked/>
    <w:uiPriority w:val="0"/>
  </w:style>
  <w:style w:type="character" w:customStyle="1" w:styleId="100">
    <w:name w:val="headline-content4"/>
    <w:link w:val="1"/>
    <w:qFormat/>
    <w:locked/>
    <w:uiPriority w:val="0"/>
  </w:style>
  <w:style w:type="character" w:customStyle="1" w:styleId="101">
    <w:name w:val="正文文本缩进 字符"/>
    <w:link w:val="1"/>
    <w:qFormat/>
    <w:locked/>
    <w:uiPriority w:val="0"/>
    <w:rPr>
      <w:rFonts w:ascii="仿宋_GB2312" w:hAnsi="Times New Roman" w:eastAsia="仿宋_GB2312" w:cs="Times New Roman"/>
      <w:sz w:val="32"/>
      <w:szCs w:val="20"/>
    </w:rPr>
  </w:style>
  <w:style w:type="character" w:customStyle="1" w:styleId="102">
    <w:name w:val="标题 1 字符"/>
    <w:link w:val="1"/>
    <w:qFormat/>
    <w:locked/>
    <w:uiPriority w:val="9"/>
    <w:rPr>
      <w:rFonts w:ascii="Times New Roman" w:hAnsi="Times New Roman" w:eastAsia="宋体" w:cs="Times New Roman"/>
      <w:b/>
      <w:bCs/>
      <w:kern w:val="44"/>
      <w:sz w:val="44"/>
      <w:szCs w:val="44"/>
    </w:rPr>
  </w:style>
  <w:style w:type="character" w:customStyle="1" w:styleId="103">
    <w:name w:val="apple-style-span"/>
    <w:link w:val="1"/>
    <w:qFormat/>
    <w:locked/>
    <w:uiPriority w:val="0"/>
  </w:style>
  <w:style w:type="character" w:customStyle="1" w:styleId="104">
    <w:name w:val="纯文本 字符1"/>
    <w:link w:val="1"/>
    <w:qFormat/>
    <w:locked/>
    <w:uiPriority w:val="0"/>
    <w:rPr>
      <w:rFonts w:ascii="宋体" w:hAnsi="Courier New"/>
    </w:rPr>
  </w:style>
  <w:style w:type="character" w:customStyle="1" w:styleId="105">
    <w:name w:val="case31"/>
    <w:link w:val="1"/>
    <w:qFormat/>
    <w:locked/>
    <w:uiPriority w:val="0"/>
    <w:rPr>
      <w:sz w:val="21"/>
      <w:szCs w:val="21"/>
    </w:rPr>
  </w:style>
  <w:style w:type="character" w:customStyle="1" w:styleId="106">
    <w:name w:val="正文文本 (26) + 间距 0 pt"/>
    <w:link w:val="1"/>
    <w:qFormat/>
    <w:locked/>
    <w:uiPriority w:val="0"/>
    <w:rPr>
      <w:rFonts w:ascii="宋体" w:hAnsi="宋体" w:eastAsia="宋体" w:cs="宋体"/>
      <w:color w:val="000000"/>
      <w:spacing w:val="0"/>
      <w:w w:val="100"/>
      <w:position w:val="0"/>
      <w:sz w:val="22"/>
      <w:szCs w:val="22"/>
      <w:u w:val="none"/>
      <w:lang w:val="zh-CN" w:eastAsia="zh-CN" w:bidi="zh-CN"/>
    </w:rPr>
  </w:style>
  <w:style w:type="character" w:customStyle="1" w:styleId="107">
    <w:name w:val="批注文字 字符"/>
    <w:link w:val="1"/>
    <w:qFormat/>
    <w:locked/>
    <w:uiPriority w:val="0"/>
    <w:rPr>
      <w:rFonts w:ascii="Times New Roman" w:hAnsi="Times New Roman"/>
      <w:kern w:val="2"/>
      <w:sz w:val="21"/>
      <w:szCs w:val="24"/>
    </w:rPr>
  </w:style>
  <w:style w:type="character" w:customStyle="1" w:styleId="108">
    <w:name w:val="批注文字 Char1"/>
    <w:link w:val="1"/>
    <w:semiHidden/>
    <w:qFormat/>
    <w:locked/>
    <w:uiPriority w:val="0"/>
    <w:rPr>
      <w:rFonts w:ascii="Times New Roman" w:hAnsi="Times New Roman"/>
      <w:kern w:val="2"/>
      <w:sz w:val="21"/>
      <w:szCs w:val="24"/>
    </w:rPr>
  </w:style>
  <w:style w:type="character" w:customStyle="1" w:styleId="109">
    <w:name w:val="普通文字 Char Char2"/>
    <w:link w:val="1"/>
    <w:qFormat/>
    <w:locked/>
    <w:uiPriority w:val="0"/>
    <w:rPr>
      <w:rFonts w:ascii="宋体" w:hAnsi="Courier New" w:eastAsia="宋体"/>
      <w:kern w:val="2"/>
      <w:sz w:val="21"/>
      <w:lang w:val="en-US" w:eastAsia="zh-CN" w:bidi="ar-SA"/>
    </w:rPr>
  </w:style>
  <w:style w:type="paragraph" w:customStyle="1" w:styleId="110">
    <w:name w:val="正文首行缩进两字符"/>
    <w:basedOn w:val="1"/>
    <w:qFormat/>
    <w:locked/>
    <w:uiPriority w:val="0"/>
    <w:pPr>
      <w:spacing w:line="360" w:lineRule="auto"/>
      <w:ind w:firstLine="200" w:firstLineChars="200"/>
    </w:pPr>
  </w:style>
  <w:style w:type="paragraph" w:customStyle="1" w:styleId="111">
    <w:name w:val="样式"/>
    <w:qFormat/>
    <w:locked/>
    <w:uiPriority w:val="0"/>
    <w:pPr>
      <w:widowControl w:val="0"/>
      <w:autoSpaceDE w:val="0"/>
      <w:autoSpaceDN w:val="0"/>
      <w:jc w:val="center"/>
    </w:pPr>
    <w:rPr>
      <w:rFonts w:ascii="宋体" w:hAnsi="宋体" w:eastAsia="宋体" w:cs="宋体"/>
      <w:sz w:val="24"/>
      <w:szCs w:val="24"/>
      <w:lang w:val="en-US" w:eastAsia="zh-CN" w:bidi="ar-SA"/>
    </w:rPr>
  </w:style>
  <w:style w:type="paragraph" w:customStyle="1" w:styleId="112">
    <w:name w:val="Table Paragraph"/>
    <w:basedOn w:val="1"/>
    <w:qFormat/>
    <w:locked/>
    <w:uiPriority w:val="1"/>
    <w:pPr>
      <w:autoSpaceDE w:val="0"/>
      <w:autoSpaceDN w:val="0"/>
      <w:jc w:val="left"/>
    </w:pPr>
    <w:rPr>
      <w:rFonts w:ascii="宋体" w:hAnsi="宋体" w:cs="宋体"/>
      <w:kern w:val="0"/>
      <w:sz w:val="22"/>
      <w:szCs w:val="22"/>
      <w:lang w:val="zh-CN" w:bidi="zh-CN"/>
    </w:rPr>
  </w:style>
  <w:style w:type="paragraph" w:customStyle="1" w:styleId="113">
    <w:name w:val="表内文字"/>
    <w:basedOn w:val="1"/>
    <w:qFormat/>
    <w:locked/>
    <w:uiPriority w:val="0"/>
    <w:pPr>
      <w:spacing w:before="50" w:after="50"/>
      <w:jc w:val="center"/>
    </w:pPr>
    <w:rPr>
      <w:rFonts w:ascii="仿宋_GB2312" w:hAnsi="宋体" w:eastAsia="仿宋_GB2312"/>
      <w:b/>
      <w:color w:val="000000"/>
      <w:sz w:val="32"/>
      <w:szCs w:val="32"/>
    </w:rPr>
  </w:style>
  <w:style w:type="paragraph" w:customStyle="1" w:styleId="114">
    <w:name w:val="样式 首行缩进:  2 字符"/>
    <w:basedOn w:val="1"/>
    <w:qFormat/>
    <w:locked/>
    <w:uiPriority w:val="0"/>
    <w:pPr>
      <w:spacing w:line="400" w:lineRule="exact"/>
      <w:ind w:firstLine="200" w:firstLineChars="200"/>
    </w:pPr>
    <w:rPr>
      <w:rFonts w:cs="宋体"/>
      <w:sz w:val="24"/>
    </w:rPr>
  </w:style>
  <w:style w:type="paragraph" w:customStyle="1" w:styleId="115">
    <w:name w:val="xl22"/>
    <w:basedOn w:val="1"/>
    <w:qFormat/>
    <w:locked/>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6">
    <w:name w:val="列出段落"/>
    <w:basedOn w:val="1"/>
    <w:qFormat/>
    <w:locked/>
    <w:uiPriority w:val="1"/>
    <w:pPr>
      <w:ind w:firstLine="420" w:firstLineChars="200"/>
    </w:pPr>
  </w:style>
  <w:style w:type="paragraph" w:customStyle="1" w:styleId="117">
    <w:name w:val="表格"/>
    <w:basedOn w:val="1"/>
    <w:qFormat/>
    <w:locked/>
    <w:uiPriority w:val="0"/>
    <w:pPr>
      <w:spacing w:line="400" w:lineRule="exact"/>
    </w:pPr>
    <w:rPr>
      <w:sz w:val="24"/>
    </w:rPr>
  </w:style>
  <w:style w:type="paragraph" w:customStyle="1" w:styleId="118">
    <w:name w:val="样式 标题 2 + Times New Roman 四号 非加粗 段前: 5 磅 段后: 0 磅 行距: 固定值 20..."/>
    <w:basedOn w:val="16"/>
    <w:qFormat/>
    <w:locked/>
    <w:uiPriority w:val="0"/>
    <w:pPr>
      <w:spacing w:before="100" w:after="0" w:line="400" w:lineRule="exact"/>
    </w:pPr>
    <w:rPr>
      <w:rFonts w:ascii="Times New Roman" w:hAnsi="Times New Roman" w:cs="宋体"/>
      <w:b w:val="0"/>
      <w:bCs w:val="0"/>
      <w:sz w:val="28"/>
      <w:szCs w:val="20"/>
    </w:rPr>
  </w:style>
  <w:style w:type="paragraph" w:customStyle="1" w:styleId="119">
    <w:name w:val="默认段落字体 Para Char Char Char Char Char Char Char Char Char1 Char Char Char Char"/>
    <w:basedOn w:val="1"/>
    <w:qFormat/>
    <w:locked/>
    <w:uiPriority w:val="0"/>
    <w:rPr>
      <w:rFonts w:ascii="Tahoma" w:hAnsi="Tahoma"/>
      <w:sz w:val="24"/>
      <w:szCs w:val="20"/>
    </w:rPr>
  </w:style>
  <w:style w:type="paragraph" w:customStyle="1" w:styleId="120">
    <w:name w:val="Char1"/>
    <w:basedOn w:val="1"/>
    <w:qFormat/>
    <w:locked/>
    <w:uiPriority w:val="0"/>
    <w:rPr>
      <w:szCs w:val="21"/>
    </w:rPr>
  </w:style>
  <w:style w:type="paragraph" w:customStyle="1" w:styleId="121">
    <w:name w:val="样式 标题 3 + (中文) 黑体 小四 非加粗 段前: 7.8 磅 段后: 0 磅 行距: 固定值 20 磅"/>
    <w:basedOn w:val="17"/>
    <w:qFormat/>
    <w:locked/>
    <w:uiPriority w:val="0"/>
    <w:pPr>
      <w:spacing w:before="0" w:after="0" w:line="400" w:lineRule="exact"/>
    </w:pPr>
    <w:rPr>
      <w:rFonts w:eastAsia="黑体" w:cs="宋体"/>
      <w:b w:val="0"/>
      <w:bCs w:val="0"/>
      <w:sz w:val="24"/>
      <w:szCs w:val="20"/>
    </w:rPr>
  </w:style>
  <w:style w:type="paragraph" w:customStyle="1" w:styleId="122">
    <w:name w:val="正文段"/>
    <w:basedOn w:val="1"/>
    <w:qFormat/>
    <w:locked/>
    <w:uiPriority w:val="0"/>
    <w:pPr>
      <w:widowControl/>
      <w:spacing w:after="50"/>
      <w:ind w:firstLine="200" w:firstLineChars="200"/>
    </w:pPr>
    <w:rPr>
      <w:kern w:val="0"/>
      <w:sz w:val="24"/>
      <w:szCs w:val="20"/>
    </w:rPr>
  </w:style>
  <w:style w:type="paragraph" w:customStyle="1" w:styleId="123">
    <w:name w:val="修订"/>
    <w:unhideWhenUsed/>
    <w:qFormat/>
    <w:locked/>
    <w:uiPriority w:val="99"/>
    <w:rPr>
      <w:rFonts w:ascii="Times New Roman" w:hAnsi="Times New Roman" w:eastAsia="宋体" w:cs="Times New Roman"/>
      <w:kern w:val="2"/>
      <w:sz w:val="21"/>
      <w:szCs w:val="24"/>
      <w:lang w:val="en-US" w:eastAsia="zh-CN" w:bidi="ar-SA"/>
    </w:rPr>
  </w:style>
  <w:style w:type="character" w:customStyle="1" w:styleId="124">
    <w:name w:val="批注文字 字符1"/>
    <w:link w:val="1"/>
    <w:qFormat/>
    <w:locked/>
    <w:uiPriority w:val="0"/>
    <w:rPr>
      <w:rFonts w:ascii="Times New Roman" w:hAnsi="Times New Roman"/>
      <w:kern w:val="2"/>
      <w:sz w:val="21"/>
      <w:szCs w:val="24"/>
    </w:rPr>
  </w:style>
  <w:style w:type="character" w:customStyle="1" w:styleId="125">
    <w:name w:val="NormalCharacter1"/>
    <w:link w:val="1"/>
    <w:qFormat/>
    <w:uiPriority w:val="0"/>
  </w:style>
  <w:style w:type="paragraph" w:customStyle="1" w:styleId="126">
    <w:name w:val="纯文本1"/>
    <w:basedOn w:val="1"/>
    <w:next w:val="1"/>
    <w:qFormat/>
    <w:uiPriority w:val="99"/>
    <w:rPr>
      <w:rFonts w:ascii="宋体" w:hAnsi="宋体"/>
      <w:sz w:val="20"/>
      <w:szCs w:val="21"/>
    </w:rPr>
  </w:style>
  <w:style w:type="paragraph" w:customStyle="1" w:styleId="127">
    <w:name w:val="6 仿宋_GB2312"/>
    <w:basedOn w:val="1"/>
    <w:qFormat/>
    <w:uiPriority w:val="0"/>
    <w:pPr>
      <w:spacing w:line="560" w:lineRule="exact"/>
      <w:ind w:firstLine="420" w:firstLineChars="200"/>
    </w:pPr>
    <w:rPr>
      <w:rFonts w:ascii="Times New Roman" w:hAnsi="Times New Roman" w:eastAsia="仿宋_GB2312" w:cs="Times New Roman"/>
      <w:sz w:val="32"/>
      <w:szCs w:val="32"/>
    </w:rPr>
  </w:style>
  <w:style w:type="paragraph" w:customStyle="1" w:styleId="128">
    <w:name w:val="2 黑体"/>
    <w:basedOn w:val="127"/>
    <w:next w:val="127"/>
    <w:qFormat/>
    <w:uiPriority w:val="0"/>
    <w:rPr>
      <w:rFonts w:ascii="Times New Roman" w:hAnsi="Times New Roman" w:eastAsia="黑体"/>
    </w:rPr>
  </w:style>
  <w:style w:type="paragraph" w:customStyle="1" w:styleId="129">
    <w:name w:val="正文1"/>
    <w:next w:val="1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
    <w:name w:val="正文文本1"/>
    <w:basedOn w:val="129"/>
    <w:next w:val="129"/>
    <w:qFormat/>
    <w:uiPriority w:val="0"/>
    <w:rPr>
      <w:rFonts w:ascii="金山简黑体" w:hAnsi="金山简黑体" w:eastAsia="金山简黑体"/>
      <w:b/>
      <w:spacing w:val="-8"/>
      <w:sz w:val="44"/>
      <w:szCs w:val="20"/>
    </w:rPr>
  </w:style>
  <w:style w:type="character" w:customStyle="1" w:styleId="131">
    <w:name w:val="15"/>
    <w:basedOn w:val="24"/>
    <w:link w:val="1"/>
    <w:qFormat/>
    <w:uiPriority w:val="0"/>
    <w:rPr>
      <w:rFonts w:ascii="Times New Roman" w:hAnsi="Times New Roman" w:cs="Times New Roman"/>
    </w:rPr>
  </w:style>
  <w:style w:type="paragraph" w:styleId="132">
    <w:name w:val="List Paragraph"/>
    <w:basedOn w:val="1"/>
    <w:qFormat/>
    <w:uiPriority w:val="0"/>
    <w:pPr>
      <w:ind w:firstLine="420" w:firstLineChars="200"/>
    </w:pPr>
  </w:style>
  <w:style w:type="paragraph" w:customStyle="1" w:styleId="133">
    <w:name w:val="Normal1"/>
    <w:qFormat/>
    <w:uiPriority w:val="0"/>
    <w:pPr>
      <w:jc w:val="both"/>
    </w:pPr>
    <w:rPr>
      <w:rFonts w:ascii="Calibri" w:hAnsi="Calibri" w:eastAsia="宋体" w:cs="Calibri"/>
      <w:kern w:val="2"/>
      <w:sz w:val="21"/>
      <w:szCs w:val="21"/>
      <w:lang w:val="en-US" w:eastAsia="zh-CN" w:bidi="ar-SA"/>
    </w:rPr>
  </w:style>
  <w:style w:type="paragraph" w:styleId="134">
    <w:name w:val="No Spacing"/>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P R</Company>
  <Pages>98</Pages>
  <Words>149</Words>
  <Characters>184</Characters>
  <Lines>378</Lines>
  <Paragraphs>106</Paragraphs>
  <TotalTime>174</TotalTime>
  <ScaleCrop>false</ScaleCrop>
  <LinksUpToDate>false</LinksUpToDate>
  <CharactersWithSpaces>190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2021-08-04T02:31:00Z</dcterms:created>
  <dc:creator>番茄</dc:creator>
  <cp:lastModifiedBy>WPS_1602497377</cp:lastModifiedBy>
  <dcterms:modified xsi:type="dcterms:W3CDTF">2026-03-24T03:32:44Z</dcterms:modified>
  <dc:title>公开招标采</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eyJoZGlkIjoiOTBmMjdiOTExOTZiZGQxYWM0Y2ZlNWFjZmEyZTRjYTUiLCJ1c2VySWQiOiIxMTMwNTMyMTQ1In0=</vt:lpwstr>
  </property>
  <property fmtid="{D5CDD505-2E9C-101B-9397-08002B2CF9AE}" pid="3" name="KSOProductBuildVer">
    <vt:lpwstr>2052-12.1.0.24657</vt:lpwstr>
  </property>
  <property fmtid="{D5CDD505-2E9C-101B-9397-08002B2CF9AE}" pid="4" name="ICV">
    <vt:lpwstr>12B84FDB121C454E99A08379823CA34F_13</vt:lpwstr>
  </property>
</Properties>
</file>