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关于天等县东平镇江龙村龙江屯甘蔗产业路项目（项目编号：CZZC2026-C2-250015-GXCS）成交结果公告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CZZC2026-C2-250015-GXCS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天等县东平镇江龙村龙江屯甘蔗产业路项目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西利盛通建设工程有限公司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（统一社会信用代码：91450100MAC51RAN4T）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供应商地址：广西壮族自治区崇左市天等县天等镇天宝南路320号凯晟大地9号楼05号房。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成交金额：人民币陆拾玖万叁仟伍佰元整（¥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693800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zh-CN" w:eastAsia="zh-CN"/>
              </w:rPr>
              <w:t>天等县东平镇江龙村龙江屯甘蔗产业路项目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0EC27C59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天等县东平镇江龙村龙江屯甘蔗产业路项目包含有灌溉与排水工程、道路工程及其他附属工程。新建拦水坝1座，护岸挡墙62m，修复渠肩塌方段总长84米，改建为3米宽水泥混凝土硬化路产业路3条，总长1387m。配套附属设施新建管涵6座，错车台2处，项目公示牌1，竣工牌1个；具体以工程量清单和施工图上的内容为准。</w:t>
            </w:r>
          </w:p>
          <w:p w14:paraId="67D029F2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合同履行期限：120日历天。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经理：农永林  执业证书信息：桂245151652486。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sz w:val="24"/>
          <w:szCs w:val="24"/>
          <w:highlight w:val="none"/>
          <w:lang w:val="en-US" w:eastAsia="zh-CN" w:bidi="ar-SA"/>
        </w:rPr>
        <w:t>李荣福（组长）、覃冬萍、李兵林（采购人代表）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，金额：6938.00元。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  <w:bookmarkStart w:id="3" w:name="_GoBack"/>
      <w:bookmarkEnd w:id="3"/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成交供应商评审得分：93.33分。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称：天等县农业农村局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址：天等县天等镇和平路9号县人民政府大院会议楼1楼乡村建设组办公室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联系人及电话：李志燕 0771-3533625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采购单位：天等县农业农村局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日期：2026年4月10日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UgxXxPvM5dfsbTYz8eoAIPlKD4o=" w:salt="GzcP2Z0ybvSX+5XRUjf4jQ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641C95"/>
    <w:rsid w:val="11707DA9"/>
    <w:rsid w:val="118B6A83"/>
    <w:rsid w:val="11C17A90"/>
    <w:rsid w:val="121D3E65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68E1A7B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42AF1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EF4699"/>
    <w:rsid w:val="39F96B54"/>
    <w:rsid w:val="3A7252D2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6F5763F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0049A6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6FE70C3C"/>
    <w:rsid w:val="700A1DC2"/>
    <w:rsid w:val="701B7BAE"/>
    <w:rsid w:val="70371352"/>
    <w:rsid w:val="70763D6E"/>
    <w:rsid w:val="70CD3EDD"/>
    <w:rsid w:val="71463740"/>
    <w:rsid w:val="71731202"/>
    <w:rsid w:val="71732AFC"/>
    <w:rsid w:val="719E17CE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7C4677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C2326B"/>
    <w:rsid w:val="7DED353A"/>
    <w:rsid w:val="7E2768C4"/>
    <w:rsid w:val="7E52335B"/>
    <w:rsid w:val="7E7217E4"/>
    <w:rsid w:val="7E774693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1017</Characters>
  <Lines>9</Lines>
  <Paragraphs>2</Paragraphs>
  <TotalTime>4</TotalTime>
  <ScaleCrop>false</ScaleCrop>
  <LinksUpToDate>false</LinksUpToDate>
  <CharactersWithSpaces>1140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2026-04-09T07:53:00Z</cp:lastPrinted>
  <dcterms:modified xsi:type="dcterms:W3CDTF">2026-04-10T02:45:04Z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