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0"/>
        <w:rPr>
          <w:rFonts w:hint="eastAsia" w:hAnsi="宋体" w:cs="宋体"/>
          <w:b/>
          <w:sz w:val="36"/>
          <w:highlight w:val="none"/>
        </w:rPr>
      </w:pPr>
      <w:r>
        <w:rPr>
          <w:rFonts w:hint="eastAsia" w:hAnsi="宋体" w:cs="宋体"/>
          <w:b/>
          <w:sz w:val="36"/>
          <w:highlight w:val="none"/>
        </w:rPr>
        <w:t>采购需求</w:t>
      </w:r>
    </w:p>
    <w:p>
      <w:pPr>
        <w:adjustRightInd w:val="0"/>
        <w:spacing w:line="340" w:lineRule="exact"/>
        <w:rPr>
          <w:rFonts w:hint="eastAsia" w:ascii="宋体" w:hAnsi="宋体" w:eastAsia="宋体" w:cs="宋体"/>
          <w:b/>
          <w:szCs w:val="21"/>
          <w:highlight w:val="none"/>
        </w:rPr>
      </w:pPr>
      <w:r>
        <w:rPr>
          <w:rFonts w:hint="eastAsia" w:ascii="宋体" w:hAnsi="宋体" w:eastAsia="宋体" w:cs="宋体"/>
          <w:b/>
          <w:szCs w:val="21"/>
          <w:highlight w:val="none"/>
        </w:rPr>
        <w:t>说明：</w:t>
      </w:r>
    </w:p>
    <w:p>
      <w:pPr>
        <w:spacing w:line="360" w:lineRule="auto"/>
        <w:ind w:firstLine="420" w:firstLineChars="200"/>
        <w:jc w:val="left"/>
        <w:rPr>
          <w:rFonts w:ascii="宋体" w:hAnsi="宋体" w:eastAsia="宋体" w:cs="宋体"/>
          <w:i/>
          <w:iCs/>
          <w:szCs w:val="21"/>
          <w:highlight w:val="none"/>
        </w:rPr>
      </w:pPr>
      <w:r>
        <w:rPr>
          <w:rFonts w:hint="eastAsia" w:ascii="宋体" w:hAnsi="宋体" w:eastAsia="宋体" w:cs="宋体"/>
          <w:highlight w:val="none"/>
        </w:rPr>
        <w:t>1. 为落实政府采购政策需满足的要求</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（1）本招标文件所称中小企业必须符合《政府采购促进中小企业发展管理办法》（财库〔2020〕46号）的规定。</w:t>
      </w:r>
    </w:p>
    <w:p>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详见本章附件1</w:t>
      </w:r>
      <w:r>
        <w:rPr>
          <w:rFonts w:hint="eastAsia" w:ascii="宋体" w:hAnsi="宋体" w:eastAsia="宋体" w:cs="宋体"/>
          <w:szCs w:val="21"/>
          <w:highlight w:val="none"/>
          <w:lang w:eastAsia="zh-CN"/>
        </w:rPr>
        <w:t>）</w:t>
      </w:r>
      <w:r>
        <w:rPr>
          <w:rFonts w:hint="eastAsia" w:ascii="宋体" w:hAnsi="宋体" w:eastAsia="宋体" w:cs="宋体"/>
          <w:szCs w:val="21"/>
          <w:highlight w:val="none"/>
        </w:rPr>
        <w:t>，</w:t>
      </w:r>
      <w:r>
        <w:rPr>
          <w:rFonts w:hint="eastAsia" w:ascii="宋体" w:hAnsi="宋体" w:eastAsia="宋体" w:cs="宋体"/>
          <w:b/>
          <w:bCs/>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eastAsia="宋体" w:cs="宋体"/>
          <w:szCs w:val="21"/>
          <w:highlight w:val="none"/>
        </w:rPr>
        <w:t>。如本项目包含的货物属于品目清单内非标注“★”的产品时，应优先采购，具体详见“第四章 评标方法和评标标准”。</w:t>
      </w:r>
    </w:p>
    <w:p>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2.采购需求中带“▲”的条款为实质性条款，不满足作无效响应处理。</w:t>
      </w:r>
    </w:p>
    <w:p>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采购需求中出现的品牌、型号或者制造商仅起参考作用，不属于指定品牌、型号或者制造商的情形。投标人可参照或者选用其他相当的品牌、型号或者制造商替代，但选用的投标产品技术参数及配置必须满足采购要求。</w:t>
      </w:r>
    </w:p>
    <w:p>
      <w:pPr>
        <w:spacing w:line="360" w:lineRule="auto"/>
        <w:ind w:firstLine="424" w:firstLineChars="202"/>
        <w:jc w:val="left"/>
        <w:rPr>
          <w:rFonts w:hint="eastAsia" w:ascii="宋体" w:hAnsi="宋体" w:eastAsia="宋体" w:cs="宋体"/>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.投标人必须对投标文件中提供的证明材料和资质文件真实性负责，如出现虚假应标情况，投标人除了应接受有关部门的处罚外，还应依据《中华人民共和国民法典》的相关条款来进行赔偿。</w:t>
      </w:r>
    </w:p>
    <w:p>
      <w:pPr>
        <w:tabs>
          <w:tab w:val="left" w:pos="180"/>
          <w:tab w:val="left" w:pos="1620"/>
        </w:tabs>
        <w:spacing w:line="46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.投标人应对投标内容所涉及的专利承担法律责任，并负责保护采购人的利益不受任何损害。一切由于文字、商标、技术和软件专利授权引起的法律裁决、诉讼和赔偿费用均由中标人负责。</w:t>
      </w:r>
    </w:p>
    <w:p>
      <w:pPr>
        <w:tabs>
          <w:tab w:val="left" w:pos="180"/>
          <w:tab w:val="left" w:pos="1620"/>
        </w:tabs>
        <w:spacing w:line="46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.本项目所有分标的所有采购标的对应的中小企业划分标准所属行业：工业</w:t>
      </w:r>
    </w:p>
    <w:p>
      <w:pPr>
        <w:spacing w:line="360" w:lineRule="auto"/>
        <w:ind w:firstLine="424" w:firstLineChars="202"/>
        <w:jc w:val="left"/>
        <w:rPr>
          <w:rFonts w:hint="eastAsia" w:ascii="宋体" w:hAnsi="宋体" w:eastAsia="宋体" w:cs="宋体"/>
          <w:highlight w:val="none"/>
        </w:rPr>
      </w:pPr>
    </w:p>
    <w:p>
      <w:pPr>
        <w:tabs>
          <w:tab w:val="left" w:pos="5614"/>
        </w:tabs>
        <w:spacing w:line="460" w:lineRule="exact"/>
        <w:outlineLvl w:val="0"/>
        <w:rPr>
          <w:rFonts w:hint="eastAsia" w:ascii="宋体" w:hAnsi="宋体" w:eastAsia="宋体" w:cs="宋体"/>
          <w:b/>
          <w:bCs/>
          <w:sz w:val="24"/>
          <w:highlight w:val="none"/>
        </w:rPr>
      </w:pPr>
      <w:r>
        <w:rPr>
          <w:rFonts w:hint="eastAsia" w:ascii="宋体" w:hAnsi="宋体" w:eastAsia="宋体" w:cs="宋体"/>
          <w:b/>
          <w:bCs/>
          <w:sz w:val="24"/>
          <w:highlight w:val="none"/>
        </w:rPr>
        <w:br w:type="page"/>
      </w:r>
      <w:bookmarkStart w:id="0" w:name="_Toc10335"/>
      <w:bookmarkStart w:id="1" w:name="_Toc3305"/>
      <w:bookmarkStart w:id="2" w:name="_Toc21810"/>
      <w:r>
        <w:rPr>
          <w:rFonts w:hint="eastAsia" w:ascii="宋体" w:hAnsi="宋体" w:eastAsia="宋体" w:cs="宋体"/>
          <w:b/>
          <w:bCs/>
          <w:sz w:val="24"/>
          <w:highlight w:val="none"/>
        </w:rPr>
        <w:t>1分标：</w:t>
      </w:r>
      <w:bookmarkStart w:id="3" w:name="OLE_LINK1"/>
      <w:r>
        <w:rPr>
          <w:rFonts w:hint="eastAsia" w:ascii="宋体" w:hAnsi="宋体" w:eastAsia="宋体" w:cs="宋体"/>
          <w:b/>
          <w:bCs/>
          <w:sz w:val="24"/>
          <w:highlight w:val="none"/>
        </w:rPr>
        <w:t>光谱色谱及配套材料类</w:t>
      </w:r>
      <w:bookmarkEnd w:id="0"/>
      <w:bookmarkEnd w:id="1"/>
      <w:bookmarkEnd w:id="2"/>
      <w:bookmarkEnd w:id="3"/>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500"/>
        <w:gridCol w:w="831"/>
        <w:gridCol w:w="902"/>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31" w:type="dxa"/>
            <w:noWrap w:val="0"/>
            <w:vAlign w:val="center"/>
          </w:tcPr>
          <w:p>
            <w:pPr>
              <w:spacing w:line="36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序号</w:t>
            </w:r>
          </w:p>
        </w:tc>
        <w:tc>
          <w:tcPr>
            <w:tcW w:w="1500" w:type="dxa"/>
            <w:noWrap w:val="0"/>
            <w:vAlign w:val="center"/>
          </w:tcPr>
          <w:p>
            <w:pPr>
              <w:spacing w:line="36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采购内容</w:t>
            </w:r>
          </w:p>
        </w:tc>
        <w:tc>
          <w:tcPr>
            <w:tcW w:w="831" w:type="dxa"/>
            <w:noWrap w:val="0"/>
            <w:vAlign w:val="center"/>
          </w:tcPr>
          <w:p>
            <w:pPr>
              <w:spacing w:line="36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数量</w:t>
            </w:r>
          </w:p>
        </w:tc>
        <w:tc>
          <w:tcPr>
            <w:tcW w:w="902" w:type="dxa"/>
            <w:noWrap w:val="0"/>
            <w:vAlign w:val="center"/>
          </w:tcPr>
          <w:p>
            <w:pPr>
              <w:spacing w:line="36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单位</w:t>
            </w:r>
          </w:p>
        </w:tc>
        <w:tc>
          <w:tcPr>
            <w:tcW w:w="5728" w:type="dxa"/>
            <w:noWrap w:val="0"/>
            <w:vAlign w:val="center"/>
          </w:tcPr>
          <w:p>
            <w:pPr>
              <w:spacing w:line="36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1" w:type="dxa"/>
            <w:noWrap w:val="0"/>
            <w:vAlign w:val="center"/>
          </w:tcPr>
          <w:p>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1</w:t>
            </w:r>
          </w:p>
        </w:tc>
        <w:tc>
          <w:tcPr>
            <w:tcW w:w="1500" w:type="dxa"/>
            <w:noWrap w:val="0"/>
            <w:vAlign w:val="center"/>
          </w:tcPr>
          <w:p>
            <w:pPr>
              <w:spacing w:line="360" w:lineRule="exact"/>
              <w:jc w:val="center"/>
              <w:rPr>
                <w:rFonts w:hint="eastAsia" w:ascii="宋体" w:hAnsi="宋体" w:eastAsia="宋体" w:cs="Times New Roman"/>
                <w:szCs w:val="21"/>
                <w:highlight w:val="none"/>
              </w:rPr>
            </w:pPr>
            <w:r>
              <w:rPr>
                <w:rFonts w:hint="eastAsia" w:ascii="宋体" w:hAnsi="宋体" w:eastAsia="宋体" w:cs="宋体"/>
                <w:kern w:val="0"/>
                <w:szCs w:val="21"/>
                <w:highlight w:val="none"/>
              </w:rPr>
              <w:t>光谱色谱及配套材料类耗材</w:t>
            </w:r>
          </w:p>
        </w:tc>
        <w:tc>
          <w:tcPr>
            <w:tcW w:w="831" w:type="dxa"/>
            <w:noWrap w:val="0"/>
            <w:vAlign w:val="center"/>
          </w:tcPr>
          <w:p>
            <w:pPr>
              <w:spacing w:line="36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1</w:t>
            </w:r>
          </w:p>
        </w:tc>
        <w:tc>
          <w:tcPr>
            <w:tcW w:w="902" w:type="dxa"/>
            <w:noWrap w:val="0"/>
            <w:vAlign w:val="center"/>
          </w:tcPr>
          <w:p>
            <w:pPr>
              <w:spacing w:line="36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批</w:t>
            </w:r>
          </w:p>
        </w:tc>
        <w:tc>
          <w:tcPr>
            <w:tcW w:w="5728" w:type="dxa"/>
            <w:noWrap w:val="0"/>
            <w:vAlign w:val="center"/>
          </w:tcPr>
          <w:p>
            <w:pPr>
              <w:spacing w:line="360" w:lineRule="exact"/>
              <w:rPr>
                <w:rFonts w:hint="eastAsia" w:ascii="宋体" w:hAnsi="宋体" w:eastAsia="宋体" w:cs="Times New Roman"/>
                <w:szCs w:val="21"/>
                <w:highlight w:val="none"/>
              </w:rPr>
            </w:pPr>
            <w:r>
              <w:rPr>
                <w:rFonts w:hint="eastAsia" w:ascii="宋体" w:hAnsi="宋体" w:eastAsia="宋体" w:cs="宋体"/>
                <w:szCs w:val="21"/>
                <w:highlight w:val="none"/>
              </w:rPr>
              <w:pict>
                <v:shape id="Object 76" o:spid="_x0000_s1026" o:spt="75" type="#_x0000_t75" style="position:absolute;left:0pt;margin-left:203pt;margin-top:2.5pt;height:65.4pt;width:72.6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v:imagedata r:id="rId5" o:title=""/>
                  <o:lock v:ext="edit" aspectratio="t"/>
                  <w10:wrap type="tight"/>
                </v:shape>
                <o:OLEObject Type="Embed" ProgID="Excel.Sheet.12" ShapeID="Object 76" DrawAspect="Icon" ObjectID="_1468075725" r:id="rId4">
                  <o:LockedField>false</o:LockedField>
                </o:OLEObject>
              </w:pict>
            </w:r>
            <w:r>
              <w:rPr>
                <w:rFonts w:hint="eastAsia" w:ascii="宋体" w:hAnsi="宋体" w:eastAsia="宋体" w:cs="宋体"/>
                <w:szCs w:val="21"/>
                <w:highlight w:val="none"/>
              </w:rPr>
              <w:t>包括各种规格型号的气相色谱柱、液相色谱柱、</w:t>
            </w:r>
            <w:r>
              <w:rPr>
                <w:rFonts w:hint="eastAsia" w:ascii="Times New Roman" w:hAnsi="Times New Roman" w:eastAsia="宋体" w:cs="宋体"/>
                <w:szCs w:val="21"/>
                <w:highlight w:val="none"/>
              </w:rPr>
              <w:t>针式滤器</w:t>
            </w:r>
            <w:r>
              <w:rPr>
                <w:rFonts w:hint="eastAsia" w:ascii="宋体" w:hAnsi="宋体" w:eastAsia="宋体" w:cs="宋体"/>
                <w:szCs w:val="21"/>
                <w:highlight w:val="none"/>
              </w:rPr>
              <w:t>等</w:t>
            </w:r>
            <w:r>
              <w:rPr>
                <w:rFonts w:hint="eastAsia" w:ascii="宋体" w:hAnsi="宋体" w:eastAsia="宋体" w:cs="Times New Roman"/>
                <w:szCs w:val="21"/>
                <w:highlight w:val="none"/>
              </w:rPr>
              <w:t>，由于采购条目过多，具体清单双击右侧图标打开附件工作表。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31" w:type="dxa"/>
            <w:noWrap w:val="0"/>
            <w:vAlign w:val="center"/>
          </w:tcPr>
          <w:p>
            <w:p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商务条款</w:t>
            </w:r>
          </w:p>
        </w:tc>
        <w:tc>
          <w:tcPr>
            <w:tcW w:w="8961" w:type="dxa"/>
            <w:gridSpan w:val="4"/>
            <w:noWrap w:val="0"/>
            <w:vAlign w:val="center"/>
          </w:tcPr>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1.质保期及有效期：按产品的国家及行业有关标准执行，交货验收合格之日起不少于一年。</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售中及售后服务要求：提供送货上门（或邮寄）服务、安装及调试服务（如有需要）；产品发生质量或故障问题时接到采购人通知后12小时内响应，36小时内到达现场处理或维修，无法处理或维修的须更换，且不能再另收取任何费用；定期回访；采购人的</w:t>
            </w:r>
            <w:r>
              <w:rPr>
                <w:rFonts w:hint="eastAsia" w:ascii="宋体" w:hAnsi="宋体" w:eastAsia="宋体" w:cs="宋体"/>
                <w:highlight w:val="none"/>
              </w:rPr>
              <w:t>检验人员对产品有使用或者技术问题，中标人能在30分钟内进行回复答疑或者到达实验室现场进行技术指导。</w:t>
            </w:r>
            <w:r>
              <w:rPr>
                <w:rFonts w:hint="eastAsia" w:ascii="宋体" w:hAnsi="宋体" w:eastAsia="宋体" w:cs="Times New Roman"/>
                <w:szCs w:val="21"/>
                <w:highlight w:val="none"/>
              </w:rPr>
              <w:t>其余按投标人承诺进行；</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w:t>
            </w:r>
            <w:r>
              <w:rPr>
                <w:rFonts w:hint="eastAsia" w:ascii="宋体" w:hAnsi="宋体" w:eastAsia="宋体" w:cs="宋体"/>
                <w:highlight w:val="none"/>
              </w:rPr>
              <w:t>交货时间：对检验检测常见的各类色谱柱、固相萃取小柱、免疫亲和柱、元素灯、衬管、进样瓶、针式滤器能有充足库存能保证下单后5个工作日内完成供货，有充足的货车或者通过快递保证每周至少2次对高新区和集聚区实验室送货，遇到临时任务或急样能在3个工作日内完成供货，检验人员对产品有使用或者技术问题能在30分钟内进行回复答疑或者来实验室现场进行技术指导。交货地点：广西南宁市市区内采购人指定地点。</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4.付款条件：耗材供货并经验收合格后的次月30日前支付上一个月耗材款。采购人付款前，中标人应将同等金额的合法、有效增值税专用发票开具给采购人，否则，采购人可以顺延付款。</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5.投标人保证若中标后向采购人提供的产品是全新、完整、未使用过的。</w:t>
            </w:r>
          </w:p>
          <w:p>
            <w:pPr>
              <w:spacing w:line="360" w:lineRule="auto"/>
              <w:rPr>
                <w:rFonts w:hint="eastAsia" w:ascii="宋体" w:hAnsi="宋体" w:eastAsia="宋体" w:cs="Times New Roman"/>
                <w:spacing w:val="-6"/>
                <w:szCs w:val="21"/>
                <w:highlight w:val="none"/>
              </w:rPr>
            </w:pPr>
            <w:r>
              <w:rPr>
                <w:rFonts w:hint="eastAsia" w:ascii="宋体" w:hAnsi="宋体" w:eastAsia="宋体" w:cs="Times New Roman"/>
                <w:spacing w:val="-6"/>
                <w:szCs w:val="21"/>
                <w:highlight w:val="none"/>
              </w:rPr>
              <w:t>6.报价要求：本分标要求投标人投标时按采购需求中“光谱色谱及配套材料类产品清单”中的单价最高限价进行整体下浮率报价，若投标人中标，其供货价格为：某配套材料单价最高限价*（1-下浮率）</w:t>
            </w:r>
            <w:r>
              <w:rPr>
                <w:rFonts w:hint="eastAsia" w:ascii="宋体" w:hAnsi="宋体" w:eastAsia="宋体" w:cs="Times New Roman"/>
                <w:b/>
                <w:bCs/>
                <w:spacing w:val="-6"/>
                <w:szCs w:val="21"/>
                <w:highlight w:val="none"/>
              </w:rPr>
              <w:t>。</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7.本项目服务期内，附件工作表中所列产品为可能购买的品种，只有在采购人需要时才购买；附件工作表未列入的检验检测所需的实验耗材等也有可能购买（采购人在所有中标供应商中选择3家进行询价采购或采用其他合法合规的采购方式），以采购人发出的实际采购清单为准。</w:t>
            </w:r>
          </w:p>
          <w:p>
            <w:pPr>
              <w:spacing w:line="360" w:lineRule="auto"/>
              <w:rPr>
                <w:rFonts w:hint="eastAsia" w:ascii="宋体" w:hAnsi="宋体" w:eastAsia="宋体" w:cs="Times New Roman"/>
                <w:szCs w:val="21"/>
                <w:highlight w:val="none"/>
              </w:rPr>
            </w:pPr>
            <w:r>
              <w:rPr>
                <w:rFonts w:hint="eastAsia" w:ascii="宋体" w:hAnsi="宋体" w:eastAsia="宋体" w:cs="Times New Roman"/>
                <w:spacing w:val="-6"/>
                <w:szCs w:val="21"/>
                <w:highlight w:val="none"/>
              </w:rPr>
              <w:t>8.供货的产品质量和所引用标准必须符合采购人实验需求，如不满足需求，中标人必须无条件更换；供货的产品当出现2次不满足采购人实验需求时，中标人必须更换品质更好的产品，价格不变</w:t>
            </w:r>
            <w:r>
              <w:rPr>
                <w:rFonts w:hint="eastAsia" w:ascii="宋体" w:hAnsi="宋体" w:eastAsia="宋体" w:cs="Times New Roman"/>
                <w:szCs w:val="21"/>
                <w:highlight w:val="none"/>
              </w:rPr>
              <w:t>。</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9.中标人应配备符合产品存放条件的库房，对常用产品拥有一定库存量。投标人投入本项目的储存仓库面积至少100㎡。</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10.</w:t>
            </w:r>
            <w:r>
              <w:rPr>
                <w:rFonts w:hint="eastAsia" w:ascii="宋体" w:hAnsi="宋体" w:eastAsia="宋体" w:cs="宋体"/>
                <w:highlight w:val="none"/>
              </w:rPr>
              <w:t>本项目服务期自合同签订之日起一年内，服务期满合同自行终止。服务期内如本分标预算用完则合同自行终止。本项目自中标通知书发出后25日内签订合同。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1" w:type="dxa"/>
            <w:noWrap w:val="0"/>
            <w:vAlign w:val="center"/>
          </w:tcPr>
          <w:p>
            <w:pPr>
              <w:spacing w:line="360" w:lineRule="exact"/>
              <w:rPr>
                <w:rFonts w:ascii="宋体" w:hAnsi="宋体" w:eastAsia="宋体" w:cs="Times New Roman"/>
                <w:szCs w:val="21"/>
                <w:highlight w:val="none"/>
              </w:rPr>
            </w:pPr>
            <w:r>
              <w:rPr>
                <w:rFonts w:hint="eastAsia" w:ascii="宋体" w:hAnsi="宋体" w:eastAsia="宋体" w:cs="宋体"/>
                <w:szCs w:val="21"/>
                <w:highlight w:val="none"/>
              </w:rPr>
              <w:t>其他说明</w:t>
            </w:r>
          </w:p>
        </w:tc>
        <w:tc>
          <w:tcPr>
            <w:tcW w:w="8961" w:type="dxa"/>
            <w:gridSpan w:val="4"/>
            <w:noWrap w:val="0"/>
            <w:vAlign w:val="center"/>
          </w:tcPr>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一、进口产品说明：</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附件工作表中“是否已办理采购进口产品审批手续”一列：</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标记“是”的产品已办理采购进口产品审批手续，投标人可选用进口产品（即通过中国海关报关验放进入中国境内且产自关境外的产品）参与报价。</w:t>
            </w:r>
          </w:p>
          <w:p>
            <w:pPr>
              <w:spacing w:line="360" w:lineRule="auto"/>
              <w:rPr>
                <w:rFonts w:hint="eastAsia" w:ascii="宋体" w:hAnsi="宋体" w:eastAsia="宋体" w:cs="宋体"/>
                <w:szCs w:val="21"/>
                <w:highlight w:val="none"/>
              </w:rPr>
            </w:pPr>
            <w:r>
              <w:rPr>
                <w:rFonts w:hint="eastAsia" w:ascii="宋体" w:hAnsi="宋体" w:eastAsia="宋体" w:cs="Times New Roman"/>
                <w:szCs w:val="21"/>
                <w:highlight w:val="none"/>
              </w:rPr>
              <w:t>标记“否”产品</w:t>
            </w:r>
            <w:r>
              <w:rPr>
                <w:rFonts w:hint="eastAsia" w:ascii="宋体" w:hAnsi="宋体" w:eastAsia="宋体" w:cs="宋体"/>
                <w:szCs w:val="21"/>
                <w:highlight w:val="none"/>
              </w:rPr>
              <w:t>不接受进口产品（即通过中国海关报关验放进入中国境内且产自关境外的产品）参与投标，</w:t>
            </w:r>
            <w:r>
              <w:rPr>
                <w:rFonts w:hint="eastAsia" w:ascii="宋体" w:hAnsi="宋体" w:eastAsia="宋体" w:cs="宋体"/>
                <w:b/>
                <w:szCs w:val="21"/>
                <w:highlight w:val="none"/>
              </w:rPr>
              <w:t>如有进口产品参与投标的作无效标处理</w:t>
            </w:r>
            <w:r>
              <w:rPr>
                <w:rFonts w:hint="eastAsia" w:ascii="宋体" w:hAnsi="宋体" w:eastAsia="宋体" w:cs="宋体"/>
                <w:szCs w:val="21"/>
                <w:highlight w:val="none"/>
              </w:rPr>
              <w:t>。</w:t>
            </w:r>
          </w:p>
          <w:p>
            <w:pPr>
              <w:spacing w:line="36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二、关于本国产品标准的规定：</w:t>
            </w:r>
          </w:p>
          <w:p>
            <w:pPr>
              <w:spacing w:line="36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根据 《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评标方法和评标标准”。产品在中国境内生产的组件成本，按照《中国境内生产的组件成本核算基本规则》（见附件3）计算。</w:t>
            </w:r>
          </w:p>
          <w:p>
            <w:pPr>
              <w:tabs>
                <w:tab w:val="left" w:pos="180"/>
                <w:tab w:val="left" w:pos="1620"/>
              </w:tabs>
              <w:spacing w:line="360" w:lineRule="auto"/>
              <w:rPr>
                <w:rFonts w:hint="eastAsia" w:ascii="宋体" w:hAnsi="宋体" w:eastAsia="宋体" w:cs="宋体"/>
                <w:bCs/>
                <w:szCs w:val="21"/>
                <w:highlight w:val="none"/>
              </w:rPr>
            </w:pPr>
            <w:r>
              <w:rPr>
                <w:rFonts w:hint="eastAsia" w:ascii="宋体" w:hAnsi="宋体" w:eastAsia="宋体" w:cs="宋体"/>
                <w:b/>
                <w:szCs w:val="21"/>
                <w:highlight w:val="none"/>
              </w:rPr>
              <w:t>三、与本项目有关的设计图纸、技术规范、文件等附件资料及其获取方式：</w:t>
            </w:r>
          </w:p>
          <w:p>
            <w:pPr>
              <w:tabs>
                <w:tab w:val="left" w:pos="180"/>
                <w:tab w:val="left" w:pos="1620"/>
              </w:tabs>
              <w:spacing w:line="360" w:lineRule="auto"/>
              <w:rPr>
                <w:rFonts w:hint="eastAsia" w:ascii="宋体" w:hAnsi="宋体" w:eastAsia="宋体" w:cs="宋体"/>
                <w:szCs w:val="21"/>
                <w:highlight w:val="none"/>
                <w:u w:val="single"/>
                <w:lang w:eastAsia="zh-CN"/>
              </w:rPr>
            </w:pPr>
            <w:r>
              <w:rPr>
                <w:rFonts w:hint="eastAsia" w:ascii="宋体" w:hAnsi="宋体" w:eastAsia="宋体" w:cs="宋体"/>
                <w:szCs w:val="21"/>
                <w:highlight w:val="none"/>
              </w:rPr>
              <w:t>文件或者资料名称：</w:t>
            </w:r>
            <w:r>
              <w:rPr>
                <w:rFonts w:hint="eastAsia" w:ascii="宋体" w:hAnsi="宋体" w:eastAsia="宋体" w:cs="宋体"/>
                <w:szCs w:val="21"/>
                <w:highlight w:val="none"/>
                <w:u w:val="single"/>
                <w:lang w:val="en-US" w:eastAsia="zh-CN"/>
              </w:rPr>
              <w:t>无</w:t>
            </w:r>
            <w:r>
              <w:rPr>
                <w:rFonts w:hint="eastAsia" w:ascii="宋体" w:hAnsi="宋体" w:eastAsia="宋体" w:cs="宋体"/>
                <w:szCs w:val="21"/>
                <w:highlight w:val="none"/>
                <w:lang w:val="en-US" w:eastAsia="zh-CN"/>
              </w:rPr>
              <w:t xml:space="preserve"> </w:t>
            </w:r>
          </w:p>
          <w:p>
            <w:pPr>
              <w:tabs>
                <w:tab w:val="left" w:pos="180"/>
                <w:tab w:val="left" w:pos="1620"/>
              </w:tabs>
              <w:spacing w:line="360" w:lineRule="auto"/>
              <w:rPr>
                <w:rFonts w:hint="eastAsia" w:ascii="Times New Roman" w:hAnsi="Times New Roman" w:eastAsia="宋体" w:cs="Times New Roman"/>
                <w:highlight w:val="none"/>
                <w:lang w:eastAsia="zh-CN"/>
              </w:rPr>
            </w:pPr>
            <w:r>
              <w:rPr>
                <w:rFonts w:hint="eastAsia" w:ascii="宋体" w:hAnsi="宋体" w:eastAsia="宋体" w:cs="宋体"/>
                <w:szCs w:val="21"/>
                <w:highlight w:val="none"/>
              </w:rPr>
              <w:t>公布渠道或者获取方式：</w:t>
            </w:r>
            <w:r>
              <w:rPr>
                <w:rFonts w:hint="eastAsia" w:ascii="宋体" w:hAnsi="宋体" w:eastAsia="宋体" w:cs="宋体"/>
                <w:szCs w:val="21"/>
                <w:highlight w:val="none"/>
                <w:u w:val="single"/>
                <w:lang w:val="en-US" w:eastAsia="zh-CN"/>
              </w:rPr>
              <w:t xml:space="preserve">无 </w:t>
            </w:r>
          </w:p>
          <w:p>
            <w:pPr>
              <w:spacing w:line="360" w:lineRule="auto"/>
              <w:rPr>
                <w:rFonts w:ascii="Times New Roman" w:hAnsi="Times New Roman" w:eastAsia="宋体" w:cs="Times New Roman"/>
                <w:highlight w:val="none"/>
              </w:rPr>
            </w:pPr>
            <w:r>
              <w:rPr>
                <w:rFonts w:hint="eastAsia" w:ascii="Times New Roman" w:hAnsi="Times New Roman" w:eastAsia="宋体" w:cs="Times New Roman"/>
                <w:highlight w:val="none"/>
              </w:rPr>
              <w:t>▲四、核心产品：</w:t>
            </w:r>
          </w:p>
          <w:p>
            <w:pPr>
              <w:spacing w:line="360" w:lineRule="auto"/>
              <w:rPr>
                <w:rFonts w:ascii="Times New Roman" w:hAnsi="Times New Roman" w:eastAsia="宋体" w:cs="Times New Roman"/>
                <w:highlight w:val="none"/>
              </w:rPr>
            </w:pPr>
            <w:r>
              <w:rPr>
                <w:rFonts w:hint="eastAsia" w:ascii="Times New Roman" w:hAnsi="Times New Roman" w:eastAsia="宋体" w:cs="Times New Roman"/>
                <w:highlight w:val="none"/>
              </w:rPr>
              <w:t>本分标核心产品：序号第468项“C8反相色谱柱”。</w:t>
            </w:r>
          </w:p>
        </w:tc>
      </w:tr>
    </w:tbl>
    <w:p>
      <w:bookmarkStart w:id="4" w:name="_GoBack"/>
      <w:bookmarkEnd w:id="4"/>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OWMyZjYyMjJhZDI1YWVjYzkwNmNmNmVmNDVhNjAifQ=="/>
  </w:docVars>
  <w:rsids>
    <w:rsidRoot w:val="7B074C14"/>
    <w:rsid w:val="7B074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3">
    <w:name w:val="Plain Text"/>
    <w:next w:val="2"/>
    <w:unhideWhenUsed/>
    <w:qFormat/>
    <w:uiPriority w:val="0"/>
    <w:pPr>
      <w:widowControl w:val="0"/>
      <w:jc w:val="both"/>
    </w:pPr>
    <w:rPr>
      <w:rFonts w:ascii="宋体" w:hAnsi="Courier New"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2026-02-06T03:31:00Z</dcterms:created>
  <dc:creator>欧明聪</dc:creator>
  <cp:lastModifiedBy>欧明聪</cp:lastModifiedBy>
  <dcterms:modified xsi:type="dcterms:W3CDTF">2026-02-06T03:31:53Z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86EB91D823AE4DC2B4CCB66FF685E0EA_11</vt:lpwstr>
  </property>
</Properties>
</file>