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9DEB">
      <w:pPr>
        <w:pStyle w:val="2"/>
        <w:jc w:val="center"/>
        <w:rPr>
          <w:rFonts w:hint="eastAsia" w:ascii="Cambria" w:hAnsi="Cambria" w:eastAsia="宋体" w:cs="Times New Roman"/>
          <w:bCs w:val="0"/>
          <w:color w:val="auto"/>
          <w:sz w:val="32"/>
          <w:szCs w:val="32"/>
          <w:highlight w:val="none"/>
        </w:rPr>
      </w:pPr>
      <w:r>
        <w:rPr>
          <w:rFonts w:hint="eastAsia" w:ascii="Cambria" w:hAnsi="Cambria" w:eastAsia="宋体" w:cs="Times New Roman"/>
          <w:bCs w:val="0"/>
          <w:color w:val="auto"/>
          <w:sz w:val="32"/>
          <w:szCs w:val="32"/>
          <w:highlight w:val="none"/>
        </w:rPr>
        <w:t>采购</w:t>
      </w:r>
      <w:bookmarkStart w:id="3" w:name="_GoBack"/>
      <w:bookmarkEnd w:id="3"/>
      <w:r>
        <w:rPr>
          <w:rFonts w:hint="eastAsia" w:ascii="Cambria" w:hAnsi="Cambria" w:eastAsia="宋体" w:cs="Times New Roman"/>
          <w:bCs w:val="0"/>
          <w:color w:val="auto"/>
          <w:sz w:val="32"/>
          <w:szCs w:val="32"/>
          <w:highlight w:val="none"/>
        </w:rPr>
        <w:t>需求</w:t>
      </w:r>
    </w:p>
    <w:p w14:paraId="0CB97D6F">
      <w:pPr>
        <w:spacing w:line="420" w:lineRule="exact"/>
        <w:jc w:val="left"/>
        <w:rPr>
          <w:rFonts w:hint="eastAsia" w:ascii="Times New Roman" w:hAnsi="Times New Roman" w:eastAsia="宋体" w:cs="宋体"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Cs w:val="21"/>
          <w:highlight w:val="none"/>
        </w:rPr>
        <w:t>说明：</w:t>
      </w:r>
    </w:p>
    <w:p w14:paraId="0AE4C190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1. 为落实政府采购政策需满足的要求：</w:t>
      </w:r>
    </w:p>
    <w:p w14:paraId="7D391D03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（1）本竞争性磋商文件所称中小企业必须符合《政府采购促进中小企业发展管理办法》（财库〔2020〕46号）的规定。</w:t>
      </w:r>
    </w:p>
    <w:p w14:paraId="31E71F11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（2）服务项目中包含货物的，根据《财政部 发展改革委 生态环境部 市场监管总局关于调整优化节能产品、环境标志产品政府采购执行机制的通知》（财库〔2019〕9号）和《关于印发节能产品政府采购品目清单的通知》（财库〔2019〕19号）的规定，采购需求中的产品属于节能产品政府采购品目清单内标注“★”的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详见本章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供应商必须在响应文件中提供所竞标产品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有效期内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的节能产品认证证书复印件（加盖供应商公章），否则响应文件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按无效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处理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。如本项目包含的配套货物属于品目清单内非标注“★”的产品时，应优先采购，具体详见“第四章 </w:t>
      </w:r>
      <w:r>
        <w:rPr>
          <w:rStyle w:val="6"/>
          <w:rFonts w:hint="eastAsia" w:ascii="宋体" w:hAnsi="宋体" w:eastAsia="宋体" w:cs="宋体"/>
          <w:color w:val="auto"/>
          <w:highlight w:val="none"/>
        </w:rPr>
        <w:t>评审程序、评审方法和评审标准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”。</w:t>
      </w:r>
    </w:p>
    <w:p w14:paraId="5F4CFD86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采购需求中带“▲”的条款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为实质性条款，不满足作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无效响应处理。</w:t>
      </w:r>
    </w:p>
    <w:p w14:paraId="607AE9A8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服务项目中伴随货物的，采购需求中出现的品牌、型号或者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制造商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仅起参考作用，不属于指定品牌、型号或者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制造商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的情形。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竞标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人可参照或者选用其他相当的品牌、型号或者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制造商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替代，但选用的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竞标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产品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参数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及配置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必须满足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要求。</w:t>
      </w:r>
    </w:p>
    <w:p w14:paraId="5F073E79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必须对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中提供的证明材料和资质文件真实性负责，如出现虚假应标情况，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除了应接受有关部门的处罚外，还应依据《中华人民共</w:t>
      </w:r>
      <w:r>
        <w:rPr>
          <w:rFonts w:hint="eastAsia" w:ascii="宋体" w:hAnsi="宋体" w:eastAsia="宋体" w:cs="宋体"/>
          <w:color w:val="auto"/>
          <w:szCs w:val="21"/>
        </w:rPr>
        <w:t>和国民法典》的相关条款来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Cs w:val="21"/>
        </w:rPr>
        <w:t>赔偿。</w:t>
      </w:r>
    </w:p>
    <w:p w14:paraId="3519A954">
      <w:pPr>
        <w:pStyle w:val="3"/>
        <w:spacing w:line="420" w:lineRule="exact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</w:rPr>
        <w:t>应对</w:t>
      </w:r>
      <w:r>
        <w:rPr>
          <w:rFonts w:hint="eastAsia" w:ascii="宋体" w:hAnsi="宋体" w:eastAsia="宋体" w:cs="宋体"/>
          <w:color w:val="auto"/>
          <w:lang w:eastAsia="zh-CN"/>
        </w:rPr>
        <w:t>竞标</w:t>
      </w:r>
      <w:r>
        <w:rPr>
          <w:rFonts w:hint="eastAsia" w:ascii="宋体" w:hAnsi="宋体" w:eastAsia="宋体" w:cs="宋体"/>
          <w:color w:val="auto"/>
        </w:rPr>
        <w:t>内容所涉及的专利承担法律责任，并负责保护</w:t>
      </w:r>
      <w:r>
        <w:rPr>
          <w:rFonts w:hint="eastAsia" w:ascii="宋体" w:hAnsi="宋体" w:eastAsia="宋体" w:cs="宋体"/>
          <w:color w:va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</w:rPr>
        <w:t>的利益不受任何损害。一切由于文字、商标、技术和软件专利授权引起的法律裁决、诉讼和赔偿费用均由</w:t>
      </w:r>
      <w:r>
        <w:rPr>
          <w:rFonts w:hint="eastAsia" w:ascii="宋体" w:hAnsi="宋体" w:eastAsia="宋体" w:cs="宋体"/>
          <w:color w:val="auto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</w:rPr>
        <w:t>负责。</w:t>
      </w:r>
    </w:p>
    <w:p w14:paraId="27E9B2B1">
      <w:pPr>
        <w:tabs>
          <w:tab w:val="left" w:pos="180"/>
          <w:tab w:val="left" w:pos="1620"/>
        </w:tabs>
        <w:spacing w:line="42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6.采购标的对应的中小企业划分标准所属行业名称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highlight w:val="none"/>
          <w:u w:val="single"/>
          <w:lang w:val="en-US" w:eastAsia="zh-CN"/>
        </w:rPr>
        <w:t>详见各标项采购需求一览表</w:t>
      </w:r>
    </w:p>
    <w:p w14:paraId="3BDBA40C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7.本项目三个分标成交规则：</w:t>
      </w:r>
    </w:p>
    <w:p w14:paraId="18463832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1）本项目磋商供应商只能成为一个分标的成交供应商。</w:t>
      </w:r>
    </w:p>
    <w:p w14:paraId="3597CAE8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2）如某磋商供应商在2个或3个分标均综合评分排名第一，则按1-2-3分标排序推荐为成交候选人，即：如1分标和2分标综合评分均排名第一，则按前述规则顺序推荐为1分标的成交候选人。原2分标综合评分排名第二的磋商供应商顶替为排名第一，推荐为2分标的成交候选人，以此类推。</w:t>
      </w:r>
    </w:p>
    <w:p w14:paraId="3A1D1FF4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3）采购人按磋商小组推荐顺序依法确认成交供应商。</w:t>
      </w:r>
    </w:p>
    <w:p w14:paraId="19B3CB67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default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4）磋商供应商应对上述成交规则认真研读，并按磋商文件第六章的格式在响应文件中提供《关于本项目成交规则的承诺函》扫描件（加盖供应商公章）。</w:t>
      </w:r>
    </w:p>
    <w:tbl>
      <w:tblPr>
        <w:tblStyle w:val="4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596"/>
        <w:gridCol w:w="675"/>
        <w:gridCol w:w="22"/>
        <w:gridCol w:w="731"/>
        <w:gridCol w:w="6382"/>
        <w:gridCol w:w="1276"/>
      </w:tblGrid>
      <w:tr w14:paraId="7B69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B1AA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lang w:val="en-US"/>
              </w:rPr>
            </w:pPr>
            <w:bookmarkStart w:id="0" w:name="OLE_LINK1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标项一：</w:t>
            </w:r>
          </w:p>
        </w:tc>
      </w:tr>
      <w:tr w14:paraId="1F89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101BC9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需求一览表</w:t>
            </w:r>
          </w:p>
        </w:tc>
        <w:tc>
          <w:tcPr>
            <w:tcW w:w="596" w:type="dxa"/>
            <w:tcBorders>
              <w:top w:val="single" w:color="auto" w:sz="4" w:space="0"/>
            </w:tcBorders>
            <w:noWrap w:val="0"/>
            <w:vAlign w:val="center"/>
          </w:tcPr>
          <w:p w14:paraId="2E6BE32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 w:val="0"/>
            <w:vAlign w:val="center"/>
          </w:tcPr>
          <w:p w14:paraId="43995BF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59BE2A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数量及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5720DAA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</w:tcBorders>
            <w:noWrap w:val="0"/>
            <w:vAlign w:val="center"/>
          </w:tcPr>
          <w:p w14:paraId="64287EA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要求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5EEFBC7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中小企业划分标准所属行业名称（行业名称及划分见本章附件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</w:tr>
      <w:tr w14:paraId="6548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 w14:paraId="0F1E6C2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6" w:type="dxa"/>
            <w:noWrap w:val="0"/>
            <w:vAlign w:val="center"/>
          </w:tcPr>
          <w:p w14:paraId="7CF9EDB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2C8BC5A4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2026-2027年度抽样车租赁服务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59DE4802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6382" w:type="dxa"/>
            <w:noWrap w:val="0"/>
            <w:vAlign w:val="center"/>
          </w:tcPr>
          <w:p w14:paraId="28D7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（一）供应商及车辆要求</w:t>
            </w:r>
          </w:p>
          <w:p w14:paraId="6E49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1.抽样车辆技术性能要求：</w:t>
            </w:r>
          </w:p>
          <w:p w14:paraId="3CD5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①要求为2023年3月以后首次上牌的车辆。</w:t>
            </w:r>
          </w:p>
          <w:p w14:paraId="3C01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车型：5门5座至7座、后排座椅能放平的乘用车（或便于运货车辆车型），长（mm）×宽（mm)×高（mm）：约4750×1750×1700，轴距（mm）：约2700，最大功率105kW及以上；最大扭矩220牛米及以上，自动档，电动助力转向系统（EPS）、制动系统：前通风盘式制动/后盘式制动、铝合金车轮。</w:t>
            </w:r>
          </w:p>
          <w:p w14:paraId="75D3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2.保证车况良好、非事故车辆，设备齐全、无安全隐患、保险、证件手续齐全有效。</w:t>
            </w:r>
          </w:p>
          <w:p w14:paraId="2504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3.成交供应商承担租赁车辆年度各项税费、杂费、保险费、年检相关费用、市内路桥年费、正常维修和保养费用。</w:t>
            </w:r>
          </w:p>
          <w:p w14:paraId="4BBA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4.按国家有关现行法律规定为租赁车辆投保以下险种：交通强制险、车辆盗抢险、车辆损失险、车上责任险（保额大于 10 万元/位，包括驾驶员和乘客，总共购买 5 位）、第三者责任险（保额大于等于200 万元）、不计免赔险。</w:t>
            </w:r>
          </w:p>
          <w:p w14:paraId="6BA9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（二）服务要求</w:t>
            </w:r>
          </w:p>
          <w:p w14:paraId="641A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1.车辆租赁期间，接到采购人关于车辆故障或事故的通知后，应在 5 小时内提出有效解决方案。</w:t>
            </w:r>
          </w:p>
          <w:p w14:paraId="5BAD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2.车辆租赁期间，车辆根据《交通运输部关于修改&lt;机动车维修管理规定&gt; 的决定》（交通运输部令 2016 年第 37 号），按照规定的行驶里程或者时间进行例行保养，并提供专业汽车维修公司出具的保养记录。</w:t>
            </w:r>
          </w:p>
          <w:p w14:paraId="33D1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车辆租赁期间，如发生事故，要积极应对处理，并联系厂家及时维修，如事故由租赁车辆质量问题引起，成交供应商应承担相关责任，维修时间超过24小时的，应免费提供与所租车辆同档次及以上车型的替代车辆，保证采购方工作正常运转，直至所租车辆正常交付使用；如因采购方的过失或过错造成交通事故的，保险公司免赔部分由采购人承担。</w:t>
            </w:r>
          </w:p>
          <w:p w14:paraId="4E1C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车辆配备：全车贴防爆隔热膜、配置脚垫、灭火器、随车备用工具、行车记录仪、ETC（电子不停车收费系统）、GPS车辆监控系统（每月月底将每辆车当月1日至月底的所有GPS位置信息或行程轨迹等信息汇总给采购人）等。</w:t>
            </w:r>
          </w:p>
          <w:p w14:paraId="535A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5.车辆使用不限公里数。采购人在租赁期间相对固定地自主管理和使用，成交供应商按月提供采购人所需车数量至采购人指定地点，由采购人负责支配、使用、管理。按月计算租赁费用。</w:t>
            </w:r>
          </w:p>
          <w:p w14:paraId="0437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 不计租车费用时间：（1）法定节假日，（2）节假日调休时间长超过5天（含5天）以上的,(3）车辆退租时间段。</w:t>
            </w:r>
          </w:p>
        </w:tc>
        <w:tc>
          <w:tcPr>
            <w:tcW w:w="1276" w:type="dxa"/>
            <w:noWrap w:val="0"/>
            <w:vAlign w:val="center"/>
          </w:tcPr>
          <w:p w14:paraId="7C2A5C83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租赁和商务服务业</w:t>
            </w:r>
          </w:p>
        </w:tc>
      </w:tr>
      <w:tr w14:paraId="0F00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noWrap w:val="0"/>
            <w:vAlign w:val="center"/>
          </w:tcPr>
          <w:p w14:paraId="2F1F335E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商务条款</w:t>
            </w:r>
          </w:p>
        </w:tc>
      </w:tr>
      <w:tr w14:paraId="50F7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3E29DD8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4027D8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bookmarkStart w:id="1" w:name="OLE_LINK17"/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自签订合同之日起12个月。服务期满后，合同自动终止；或服务期内，预算使用完毕，合同自行终止。</w:t>
            </w:r>
            <w:bookmarkEnd w:id="1"/>
          </w:p>
        </w:tc>
      </w:tr>
      <w:tr w14:paraId="7E56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148674A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交付时间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036EE413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1.合同签订后，接到采购人提出所需车数量之日起3天内提供符合租赁和使用条件的车辆和数量至采购人指定地点。</w:t>
            </w:r>
          </w:p>
          <w:p w14:paraId="5F0D9016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2.新增车辆交付时间要求：接到采购人新增用车通知2小时内，成交供应商须提供具备出租条件的车辆供采购人租赁使用。</w:t>
            </w:r>
          </w:p>
        </w:tc>
      </w:tr>
      <w:tr w14:paraId="1C4B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5D951502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付款方式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103C63C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同签订并生效，成交供应商提供采购人所需车数量至采购人指定地点。1、当月没有不计租车费用时间的，每月按（上月实际租赁车辆数量×成交单价）进行结算，2、当月有不计租车费用时间的，每月按（上月实际租赁车辆数量×成交单价÷当月自然天数×实际租用天数）进行结算。成交供应商应在每次申请支付租赁费时提供请款函和发票给采购人。</w:t>
            </w:r>
          </w:p>
        </w:tc>
      </w:tr>
      <w:tr w14:paraId="6783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2EBA0B5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验收要求及标准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4D71663A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采购人依据采购文件、及合同要求对成交供应商提供的租赁服务进行验收。</w:t>
            </w:r>
          </w:p>
        </w:tc>
      </w:tr>
      <w:tr w14:paraId="5869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3BF1A08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其他要求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0F950E27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报价要求：抽样车辆按5门5座至7座、后排座椅能放平的乘用车，（如凯捷、佳辰或同档次其它便于运货车辆车型）租赁租金进行报价，按每辆车每月报单价。使用车辆期间的燃油费、路桥通行费、停车费、洗车费等不含在本报价中，按实际发生额另行结算。报价单价超过本项目公告中单价最高限价的，响应文件无效。</w:t>
            </w:r>
          </w:p>
          <w:p w14:paraId="408A440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请在响应文件中对采购人的需求提供汽车租赁服务方案，包括可供使用汽车的车型品牌、数量、配置等信息；详细的服务措施及流程；应急方案以及车辆管理平台方案等，未提供以上方案的影响评审得分，不作磋商无效处理。 </w:t>
            </w:r>
          </w:p>
          <w:p w14:paraId="5F9B3D74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3.对采购文件的项目要求应完全响应，如果存在虚假响应或者是虚假承诺，由此造成的一切后果由磋商供应商承担。 </w:t>
            </w:r>
          </w:p>
          <w:p w14:paraId="58782C02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4.服务地点：国内各地（采购人指定地点）。</w:t>
            </w:r>
          </w:p>
          <w:p w14:paraId="3B32BBE3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5.服务能力：能同时提供15辆抽样车以上。</w:t>
            </w:r>
          </w:p>
          <w:p w14:paraId="6FEBBC7E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6.本项目于自合同签订之日起生效，服务期满后，合同自动终止；或服务期内，预算（¥510000.00）使用完毕，合同自行终止</w:t>
            </w:r>
          </w:p>
        </w:tc>
      </w:tr>
      <w:bookmarkEnd w:id="0"/>
    </w:tbl>
    <w:p w14:paraId="6A226076">
      <w:pPr>
        <w:spacing w:line="428" w:lineRule="exact"/>
        <w:ind w:left="119"/>
        <w:rPr>
          <w:rFonts w:hint="eastAsia" w:ascii="Arial Unicode MS" w:hAnsi="Arial Unicode MS" w:eastAsia="Arial Unicode MS" w:cs="Arial Unicode MS"/>
          <w:color w:val="auto"/>
          <w:sz w:val="32"/>
          <w:szCs w:val="32"/>
          <w:highlight w:val="none"/>
        </w:rPr>
      </w:pPr>
    </w:p>
    <w:p w14:paraId="5A6A465E">
      <w:pPr>
        <w:spacing w:line="528" w:lineRule="exact"/>
        <w:jc w:val="left"/>
        <w:rPr>
          <w:rFonts w:hint="eastAsia" w:ascii="Arial Unicode MS" w:hAnsi="Arial Unicode MS" w:eastAsia="Arial Unicode MS" w:cs="Arial Unicode MS"/>
          <w:color w:val="auto"/>
          <w:sz w:val="32"/>
          <w:szCs w:val="32"/>
          <w:highlight w:val="none"/>
        </w:rPr>
      </w:pPr>
      <w:r>
        <w:rPr>
          <w:rFonts w:hint="eastAsia" w:ascii="Arial Unicode MS" w:hAnsi="Arial Unicode MS" w:eastAsia="Arial Unicode MS" w:cs="Arial Unicode MS"/>
          <w:color w:val="auto"/>
          <w:sz w:val="32"/>
          <w:szCs w:val="32"/>
          <w:highlight w:val="none"/>
        </w:rPr>
        <w:br w:type="page"/>
      </w:r>
    </w:p>
    <w:tbl>
      <w:tblPr>
        <w:tblStyle w:val="4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596"/>
        <w:gridCol w:w="675"/>
        <w:gridCol w:w="22"/>
        <w:gridCol w:w="731"/>
        <w:gridCol w:w="6382"/>
        <w:gridCol w:w="1276"/>
      </w:tblGrid>
      <w:tr w14:paraId="1536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38DA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lang w:val="en-US"/>
              </w:rPr>
            </w:pPr>
            <w:bookmarkStart w:id="2" w:name="OLE_LINK1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标项二：</w:t>
            </w:r>
          </w:p>
        </w:tc>
      </w:tr>
      <w:tr w14:paraId="4954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001F24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需求一览表</w:t>
            </w:r>
          </w:p>
        </w:tc>
        <w:tc>
          <w:tcPr>
            <w:tcW w:w="596" w:type="dxa"/>
            <w:tcBorders>
              <w:top w:val="single" w:color="auto" w:sz="4" w:space="0"/>
            </w:tcBorders>
            <w:noWrap w:val="0"/>
            <w:vAlign w:val="center"/>
          </w:tcPr>
          <w:p w14:paraId="52E2D2A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 w:val="0"/>
            <w:vAlign w:val="center"/>
          </w:tcPr>
          <w:p w14:paraId="523D47D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ED598D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数量及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138A43A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</w:tcBorders>
            <w:noWrap w:val="0"/>
            <w:vAlign w:val="center"/>
          </w:tcPr>
          <w:p w14:paraId="490DD19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要求</w:t>
            </w:r>
          </w:p>
          <w:p w14:paraId="13481DD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5D9AC80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1D6F375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中小企业划分标准所属行业名称（行业名称及划分见本章附件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</w:tr>
      <w:tr w14:paraId="7C6A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 w14:paraId="19B91AD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6" w:type="dxa"/>
            <w:noWrap w:val="0"/>
            <w:vAlign w:val="center"/>
          </w:tcPr>
          <w:p w14:paraId="3CBB7CC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3E418CA7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2026-2027年度抽样车租赁服务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45B2CCF8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6382" w:type="dxa"/>
            <w:noWrap w:val="0"/>
            <w:vAlign w:val="center"/>
          </w:tcPr>
          <w:p w14:paraId="0C1E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（一）供应商及车辆要求</w:t>
            </w:r>
          </w:p>
          <w:p w14:paraId="720C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1.抽样车辆技术性能要求：</w:t>
            </w:r>
          </w:p>
          <w:p w14:paraId="5EFE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①要求为2023年2月以后首次上牌的车辆。</w:t>
            </w:r>
          </w:p>
          <w:p w14:paraId="5F6F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车型：5门5座至7座、后排座椅能放平的乘用车（或便于运货车辆车型），长（mm）×宽（mm)×高（mm）：约4750×1750×1700，轴距（mm）：约2700，最大功率105kW及以上；最大扭矩220牛米及以上，自动档，电动助力转向系统（EPS）、制动系统：前通风盘式制动/后盘式制动、铝合金车轮。</w:t>
            </w:r>
          </w:p>
          <w:p w14:paraId="2CFF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2.保证车况良好、非事故车辆，设备齐全、无安全隐患、保险、证件手续齐全有效。</w:t>
            </w:r>
          </w:p>
          <w:p w14:paraId="6FCD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3.成交供应商承担租赁车辆年度各项税费、杂费、保险费、年检相关费用、市内路桥年费、正常维修和保养费用。</w:t>
            </w:r>
          </w:p>
          <w:p w14:paraId="5E3E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4.按国家有关现行法律规定为租赁车辆投保以下险种：交通强制险、车辆盗抢险、车辆损失险、车上责任险（保额大于 10 万元/位，包括驾驶员和乘客，总共购买 5 位）、第三者责任险（保额大于等于200 万元）、不计免赔险。</w:t>
            </w:r>
          </w:p>
          <w:p w14:paraId="74D7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（二）服务要求</w:t>
            </w:r>
          </w:p>
          <w:p w14:paraId="5767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1.车辆租赁期间，接到采购人关于车辆故障或事故的通知后，应在 5 小时内提出有效解决方案。</w:t>
            </w:r>
          </w:p>
          <w:p w14:paraId="547D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2.车辆租赁期间，车辆根据《交通运输部关于修改&lt;机动车维修管理规定&gt; 的决定》（交通运输部令 2016 年第 37 号），按照规定的行驶里程或者时间进行例行保养，并提供专业汽车维修公司出具的保养记录。</w:t>
            </w:r>
          </w:p>
          <w:p w14:paraId="6A03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车辆租赁期间，如发生事故，要积极应对处理，并联系厂家及时维修，如事故由租赁车辆质量问题引起，成交供应商应承担相关责任，维修时间超过24小时的，应免费提供与所租车辆同档次及以上车型的替代车辆，保证采购方工作正常运转，直至所租车辆正常交付使用；如因采购方的过失或过错造成交通事故的，保险公司免赔部分由采购人承担。</w:t>
            </w:r>
          </w:p>
          <w:p w14:paraId="4A6E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车辆配备：全车贴防爆隔热膜、配置脚垫、灭火器、随车备用工具、行车记录仪、ETC（电子不停车收费系统）、GPS车辆监控系统（每月月底将每辆车当月1日至月底的所有GPS位置信息或行程轨迹等信息汇总给采购人）等。</w:t>
            </w:r>
          </w:p>
          <w:p w14:paraId="58BA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5.车辆使用不限公里数。采购人在租赁期间相对固定地自主管理和使用，成交供应商按月提供采购人所需车数量至采购人指定地点，由采购人负责支配、使用、管理。按月计算租赁费用。</w:t>
            </w:r>
          </w:p>
          <w:p w14:paraId="088E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 不计租车费用时间：（1）法定节假日，（2）节假日调休时间长超过5天（含5天）以上的,(3）车辆退租时间段。</w:t>
            </w:r>
          </w:p>
        </w:tc>
        <w:tc>
          <w:tcPr>
            <w:tcW w:w="1276" w:type="dxa"/>
            <w:noWrap w:val="0"/>
            <w:vAlign w:val="center"/>
          </w:tcPr>
          <w:p w14:paraId="119D2BBB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租赁和商务服务业</w:t>
            </w:r>
          </w:p>
        </w:tc>
      </w:tr>
      <w:tr w14:paraId="7809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noWrap w:val="0"/>
            <w:vAlign w:val="center"/>
          </w:tcPr>
          <w:p w14:paraId="0DAAB708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商务条款</w:t>
            </w:r>
          </w:p>
        </w:tc>
      </w:tr>
      <w:tr w14:paraId="0FCA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692F92B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0AB2F03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 xml:space="preserve">自签订合同之日起12个月。服务期满后，合同自动终止；或服务期内，预算使用完毕，合同自行终止。 </w:t>
            </w:r>
          </w:p>
        </w:tc>
      </w:tr>
      <w:tr w14:paraId="52AC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65556A4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交付时间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1F96F3EA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1.合同签订后，接到采购人提出所需车数量之日起3天内提供符合租赁和使用条件的车辆和数量至采购人指定地点。</w:t>
            </w:r>
          </w:p>
          <w:p w14:paraId="364C1F2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2.新增车辆交付时间要求：接到采购人新增用车通知2小时内，成交供应商须提供具备出租条件的车辆供采购人租赁使用。</w:t>
            </w:r>
          </w:p>
        </w:tc>
      </w:tr>
      <w:tr w14:paraId="2644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646385B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付款方式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0DD26999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同签订并生效，成交供应商提供采购人所需车数量至采购人指定地点。1、当月没有不计租车费用时间的，每月按（上月实际租赁车辆数量×成交单价）进行结算，2、当月有不计租车费用时间的，每月按（上月实际租赁车辆数量×成交单价÷当月自然天数×实际租用天数）进行结算。成交供应商应在每次申请支付租赁费时提供请款函和发票给采购人。</w:t>
            </w:r>
          </w:p>
        </w:tc>
      </w:tr>
      <w:tr w14:paraId="10EF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1896CF3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验收要求及标准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3C1DB21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采购人依据采购文件、及合同要求对成交供应商提供的租赁服务进行验收。</w:t>
            </w:r>
          </w:p>
        </w:tc>
      </w:tr>
      <w:tr w14:paraId="3350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7A0E04F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其他要求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7B0D5FEA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报价要求：抽样车辆按5门5座至7座、后排座椅能放平的乘用车，（如凯捷、佳辰或同档次其它便于运货车辆车型）租赁租金进行报价，按每辆车每月报单价。使用车辆期间的燃油费、路桥通行费、停车费、洗车费等不含在本报价中，按实际发生额另行结算。报价单价超过本项目公告中单价最高限价的，响应文件无效。</w:t>
            </w:r>
          </w:p>
          <w:p w14:paraId="1B387228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请在响应文件中对采购人的需求提供汽车租赁服务方案，包括可供使用汽车的车型品牌、数量、配置等信息；详细的服务措施及流程；应急方案以及车辆管理平台方案等，未提供以上方案的影响评审得分，不作磋商无效处理。 </w:t>
            </w:r>
          </w:p>
          <w:p w14:paraId="4130BF8A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3.对采购文件的项目要求应完全响应，如果存在虚假响应或者是虚假承诺，由此造成的一切后果由磋商供应商承担。 </w:t>
            </w:r>
          </w:p>
          <w:p w14:paraId="698EBEFC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4.服务地点：国内各地（采购人指定地点）。</w:t>
            </w:r>
          </w:p>
          <w:p w14:paraId="00AC382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5.服务能力：能同时提供15辆抽样车以上。</w:t>
            </w:r>
          </w:p>
          <w:p w14:paraId="496AB76F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6.本项目于自合同签订之日起生效，服务期满后，合同自动终止；或服务期内，预算（¥510000.00）使用完毕，合同自行终止</w:t>
            </w:r>
          </w:p>
        </w:tc>
      </w:tr>
      <w:bookmarkEnd w:id="2"/>
      <w:tr w14:paraId="2A92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87A2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标项三：</w:t>
            </w:r>
          </w:p>
        </w:tc>
      </w:tr>
      <w:tr w14:paraId="7002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030CEE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需求一览表</w:t>
            </w:r>
          </w:p>
        </w:tc>
        <w:tc>
          <w:tcPr>
            <w:tcW w:w="596" w:type="dxa"/>
            <w:tcBorders>
              <w:top w:val="single" w:color="auto" w:sz="4" w:space="0"/>
            </w:tcBorders>
            <w:noWrap w:val="0"/>
            <w:vAlign w:val="center"/>
          </w:tcPr>
          <w:p w14:paraId="5EC9D9D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 w:val="0"/>
            <w:vAlign w:val="center"/>
          </w:tcPr>
          <w:p w14:paraId="2A027D9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9745D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数量及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761F9BE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</w:tcBorders>
            <w:noWrap w:val="0"/>
            <w:vAlign w:val="center"/>
          </w:tcPr>
          <w:p w14:paraId="1E1959B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要求</w:t>
            </w:r>
          </w:p>
          <w:p w14:paraId="0229A3E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0FFA9DC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3BCC935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中小企业划分标准所属行业名称（行业名称及划分见本章附件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</w:tr>
      <w:tr w14:paraId="1AA8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 w14:paraId="43920D1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6" w:type="dxa"/>
            <w:noWrap w:val="0"/>
            <w:vAlign w:val="center"/>
          </w:tcPr>
          <w:p w14:paraId="6BBBC76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3A6D25E4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2026-2027年度抽样车租赁服务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59A52342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6382" w:type="dxa"/>
            <w:noWrap w:val="0"/>
            <w:vAlign w:val="center"/>
          </w:tcPr>
          <w:p w14:paraId="5647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（一）供应商及车辆要求</w:t>
            </w:r>
          </w:p>
          <w:p w14:paraId="5D61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1.抽样车辆技术性能要求：</w:t>
            </w:r>
          </w:p>
          <w:p w14:paraId="7D11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①要求为2023年1月以后首次上牌的车辆。</w:t>
            </w:r>
          </w:p>
          <w:p w14:paraId="55DB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车型：5门5座至7座、后排座椅能放平的乘用车（或便于运货车辆车型），长（mm）×宽（mm)×高（mm）：约4750×1750×1700，轴距（mm）：约2700，最大功率105kW及以上；最大扭矩220牛米及以上，自动档，电动助力转向系统（EPS）、制动系统：前通风盘式制动/后盘式制动、铝合金车轮。</w:t>
            </w:r>
          </w:p>
          <w:p w14:paraId="60A3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2.保证车况良好、非事故车辆，设备齐全、无安全隐患、保险、证件手续齐全有效。</w:t>
            </w:r>
          </w:p>
          <w:p w14:paraId="4C7D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3.成交供应商承担租赁车辆年度各项税费、杂费、保险费、年检相关费用、市内路桥年费、正常维修和保养费用。</w:t>
            </w:r>
          </w:p>
          <w:p w14:paraId="4AA0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4.按国家有关现行法律规定为租赁车辆投保以下险种：交通强制险、车辆盗抢险、车辆损失险、车上责任险（保额大于 10 万元/位，包括驾驶员和乘客，总共购买 5 位）、第三者责任险（保额大于等于200 万元）、不计免赔险。</w:t>
            </w:r>
          </w:p>
          <w:p w14:paraId="23EB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（二）服务要求</w:t>
            </w:r>
          </w:p>
          <w:p w14:paraId="3557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1.车辆租赁期间，接到采购人关于车辆故障或事故的通知后，应在 5 小时内提出有效解决方案。</w:t>
            </w:r>
          </w:p>
          <w:p w14:paraId="49C8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2.车辆租赁期间，车辆根据《交通运输部关于修改&lt;机动车维修管理规定&gt; 的决定》（交通运输部令 2016 年第 37 号），按照规定的行驶里程或者时间进行例行保养，并提供专业汽车维修公司出具的保养记录。</w:t>
            </w:r>
          </w:p>
          <w:p w14:paraId="4FE6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车辆租赁期间，如发生事故，要积极应对处理，并联系厂家及时维修，如事故由租赁车辆质量问题引起，成交供应商应承担相关责任，维修时间超过24小时的，应免费提供与所租车辆同档次及以上车型的替代车辆，保证采购方工作正常运转，直至所租车辆正常交付使用；如因采购方的过失或过错造成交通事故的，保险公司免赔部分由采购人承担。</w:t>
            </w:r>
          </w:p>
          <w:p w14:paraId="5541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车辆配备：全车贴防爆隔热膜、配置脚垫、灭火器、随车备用工具、行车记录仪、ETC（电子不停车收费系统）、GPS车辆监控系统（每月月底将每辆车当月1日至月底的所有GPS位置信息或行程轨迹等信息汇总给采购人）等。</w:t>
            </w:r>
          </w:p>
          <w:p w14:paraId="2F38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5.车辆使用不限公里数。采购人在租赁期间相对固定地自主管理和使用，成交供应商按月提供采购人所需车数量至采购人指定地点，由采购人负责支配、使用、管理。按月计算租赁费用。</w:t>
            </w:r>
          </w:p>
          <w:p w14:paraId="6BF6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 不计租车费用时间：（1）法定节假日，（2）节假日调休时间长超过5天（含5天）以上的,(3）车辆退租时间段。</w:t>
            </w:r>
          </w:p>
        </w:tc>
        <w:tc>
          <w:tcPr>
            <w:tcW w:w="1276" w:type="dxa"/>
            <w:noWrap w:val="0"/>
            <w:vAlign w:val="center"/>
          </w:tcPr>
          <w:p w14:paraId="390D50AF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租赁和商务服务业</w:t>
            </w:r>
          </w:p>
        </w:tc>
      </w:tr>
      <w:tr w14:paraId="03E6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noWrap w:val="0"/>
            <w:vAlign w:val="center"/>
          </w:tcPr>
          <w:p w14:paraId="30450BFC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商务条款</w:t>
            </w:r>
          </w:p>
        </w:tc>
      </w:tr>
      <w:tr w14:paraId="6FC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39D1FF71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6B1A9889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自签订合同之日起12个月。服务期满后，合同自动终止；或服务期内，预算使用完毕，合同自行终止。</w:t>
            </w:r>
          </w:p>
        </w:tc>
      </w:tr>
      <w:tr w14:paraId="13CC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21D70ED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交付时间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183A0D07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1.合同签订后，接到采购人提出所需车数量之日起3天内提供符合租赁和使用条件的车辆和数量至采购人指定地点。</w:t>
            </w:r>
          </w:p>
          <w:p w14:paraId="2B156224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2.新增车辆交付时间要求：接到采购人新增用车通知2小时内，成交供应商须提供具备出租条件的车辆供采购人租赁使用。</w:t>
            </w:r>
          </w:p>
        </w:tc>
      </w:tr>
      <w:tr w14:paraId="353F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140B1F7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付款方式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4DF928B5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同签订并生效，成交供应商提供采购人所需车数量至采购人指定地点。1、当月没有不计租车费用时间的，每月按（上月实际租赁车辆数量×成交单价）进行结算，2、当月有不计租车费用时间的，每月按（上月实际租赁车辆数量×成交单价÷当月自然天数×实际租用天数）进行结算。成交供应商应在每次申请支付租赁费时提供请款函和发票给采购人。</w:t>
            </w:r>
          </w:p>
        </w:tc>
      </w:tr>
      <w:tr w14:paraId="6ABC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77DA3D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验收要求及标准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6D62DF3F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采购人依据采购文件、及合同要求对成交供应商提供的租赁服务进行验收。</w:t>
            </w:r>
          </w:p>
        </w:tc>
      </w:tr>
      <w:tr w14:paraId="0BB6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464E9D2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其他要求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F8D5C2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报价要求：抽样车辆按5门5座至7座、后排座椅能放平的乘用车，（如凯捷、佳辰或同档次其它便于运货车辆车型）租赁租金进行报价，按每辆车每月报单价。使用车辆期间的燃油费、路桥通行费、停车费、洗车费等不含在本报价中，按实际发生额另行结算。报价单价超过本项目公告中单价最高限价的，响应文件无效。</w:t>
            </w:r>
          </w:p>
          <w:p w14:paraId="5E58718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请在响应文件中对采购人的需求提供汽车租赁服务方案，包括可供使用汽车的车型品牌、数量、配置等信息；详细的服务措施及流程；应急方案以及车辆管理平台方案等，未提供以上方案的影响评审得分，不作磋商无效处理。 </w:t>
            </w:r>
          </w:p>
          <w:p w14:paraId="43FEEF22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3.对采购文件的项目要求应完全响应，如果存在虚假响应或者是虚假承诺，由此造成的一切后果由磋商供应商承担。 </w:t>
            </w:r>
          </w:p>
          <w:p w14:paraId="368B271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4.服务地点：国内各地（采购人指定地点）。</w:t>
            </w:r>
          </w:p>
          <w:p w14:paraId="64FA50D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5.服务能力：能同时提供15辆抽样车以上。</w:t>
            </w:r>
          </w:p>
          <w:p w14:paraId="4446176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6.本项目于自合同签订之日起生效，服务期满后，合同自动终止；或服务期内，预算（¥510000.00）使用完毕，合同自行终止</w:t>
            </w:r>
          </w:p>
        </w:tc>
      </w:tr>
    </w:tbl>
    <w:p w14:paraId="022082EE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70E84"/>
    <w:rsid w:val="2DF7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2026-03-02T07:41:00Z</dcterms:created>
  <dc:creator>欧明聪</dc:creator>
  <cp:lastModifiedBy>欧明聪</cp:lastModifiedBy>
  <dcterms:modified xsi:type="dcterms:W3CDTF">2026-03-02T07:42:10Z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2D2F81E5F0464A2DA8F8C89748B668BE_11</vt:lpwstr>
  </property>
  <property fmtid="{D5CDD505-2E9C-101B-9397-08002B2CF9AE}" pid="4" name="KSOTemplateDocerSaveRecord">
    <vt:lpwstr>eyJoZGlkIjoiZjU5NTE4Y2EwNGUwNTA5ZTk0ODVmYmYwNWU3YjQyYWUiLCJ1c2VySWQiOiIxNTkyNDk1NTU5In0=</vt:lpwstr>
  </property>
</Properties>
</file>