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FEA3">
      <w:pPr>
        <w:pStyle w:val="3"/>
        <w:jc w:val="center"/>
        <w:outlineLvl w:val="0"/>
        <w:rPr>
          <w:rFonts w:hint="eastAsia" w:hAnsi="宋体" w:cs="宋体"/>
          <w:b/>
          <w:sz w:val="36"/>
          <w:highlight w:val="none"/>
        </w:rPr>
      </w:pPr>
      <w:r>
        <w:rPr>
          <w:rFonts w:hint="eastAsia" w:hAnsi="宋体" w:cs="宋体"/>
          <w:b/>
          <w:sz w:val="36"/>
          <w:highlight w:val="none"/>
        </w:rPr>
        <w:t xml:space="preserve"> </w:t>
      </w:r>
      <w:bookmarkStart w:id="0" w:name="OLE_LINK36"/>
      <w:r>
        <w:rPr>
          <w:rFonts w:hint="eastAsia" w:hAnsi="宋体" w:cs="宋体"/>
          <w:b/>
          <w:sz w:val="36"/>
          <w:highlight w:val="none"/>
        </w:rPr>
        <w:t>采购需求</w:t>
      </w:r>
    </w:p>
    <w:p w14:paraId="7290C607">
      <w:pPr>
        <w:adjustRightInd w:val="0"/>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说明：</w:t>
      </w:r>
    </w:p>
    <w:p w14:paraId="4C562C3D">
      <w:pPr>
        <w:spacing w:line="360" w:lineRule="auto"/>
        <w:ind w:firstLine="420" w:firstLineChars="200"/>
        <w:jc w:val="left"/>
        <w:rPr>
          <w:rFonts w:ascii="宋体" w:hAnsi="宋体" w:eastAsia="宋体" w:cs="宋体"/>
          <w:i/>
          <w:iCs/>
          <w:szCs w:val="21"/>
          <w:highlight w:val="none"/>
        </w:rPr>
      </w:pPr>
      <w:r>
        <w:rPr>
          <w:rFonts w:hint="eastAsia" w:ascii="宋体" w:hAnsi="宋体" w:eastAsia="宋体" w:cs="宋体"/>
          <w:highlight w:val="none"/>
        </w:rPr>
        <w:t>1. 为落实政府采购政策需满足的要求</w:t>
      </w:r>
    </w:p>
    <w:p w14:paraId="14927217">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（1）本招标文件所称中小企业必须符合《政府采购促进中小企业发展管理办法》（财库〔2020〕46号）的规定。</w:t>
      </w:r>
    </w:p>
    <w:p w14:paraId="4850EDD0">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eastAsia="宋体" w:cs="宋体"/>
          <w:b/>
          <w:bCs/>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eastAsia="宋体" w:cs="宋体"/>
          <w:szCs w:val="21"/>
          <w:highlight w:val="none"/>
        </w:rPr>
        <w:t>。如本项目包含的货物属于品目清单内非标注“★”的产品时，应优先采购，具体详见“第四章 评标方法和评标标准”。</w:t>
      </w:r>
    </w:p>
    <w:p w14:paraId="544311DA">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2.采购需求中带“</w:t>
      </w:r>
      <w:bookmarkStart w:id="1" w:name="OLE_LINK21"/>
      <w:r>
        <w:rPr>
          <w:rFonts w:hint="eastAsia" w:ascii="宋体" w:hAnsi="宋体" w:eastAsia="宋体" w:cs="宋体"/>
          <w:szCs w:val="21"/>
          <w:highlight w:val="none"/>
        </w:rPr>
        <w:t>▲</w:t>
      </w:r>
      <w:bookmarkEnd w:id="1"/>
      <w:r>
        <w:rPr>
          <w:rFonts w:hint="eastAsia" w:ascii="宋体" w:hAnsi="宋体" w:eastAsia="宋体" w:cs="宋体"/>
          <w:szCs w:val="21"/>
          <w:highlight w:val="none"/>
        </w:rPr>
        <w:t>”的条款为实质性条款，不满足作无效响应处理。</w:t>
      </w:r>
    </w:p>
    <w:p w14:paraId="57F986D4">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3.采购需求中出现的品牌、型号或者制造商仅起参考作用，不属于指定品牌、型号或者制造商的情形。投标人可参照或者选用其他相当的品牌、型号或者制造商替代，但选用的投标产品技术参数及配置必须满足采购要求。</w:t>
      </w:r>
    </w:p>
    <w:p w14:paraId="000A5E9C">
      <w:pPr>
        <w:spacing w:line="360" w:lineRule="auto"/>
        <w:ind w:firstLine="424" w:firstLineChars="202"/>
        <w:jc w:val="left"/>
        <w:rPr>
          <w:rFonts w:hint="eastAsia" w:ascii="宋体" w:hAnsi="宋体" w:eastAsia="宋体" w:cs="宋体"/>
          <w:highlight w:val="none"/>
        </w:rPr>
      </w:pPr>
      <w:r>
        <w:rPr>
          <w:rFonts w:hint="eastAsia" w:ascii="宋体" w:hAnsi="宋体" w:eastAsia="宋体" w:cs="宋体"/>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1888CD0E">
      <w:pPr>
        <w:tabs>
          <w:tab w:val="left" w:pos="180"/>
          <w:tab w:val="left" w:pos="1620"/>
        </w:tabs>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5.投标人应对投标内容所涉及的专利承担法律责任，并负责保护采购人的利益不受任何损害。一切由于文字、商标、技术和软件专利授权引起的法律裁决、诉讼和赔偿费用均由中标供应商负责。</w:t>
      </w:r>
    </w:p>
    <w:p w14:paraId="188D3D21">
      <w:pPr>
        <w:tabs>
          <w:tab w:val="left" w:pos="180"/>
          <w:tab w:val="left" w:pos="1620"/>
        </w:tabs>
        <w:spacing w:line="460" w:lineRule="exact"/>
        <w:ind w:firstLine="420" w:firstLineChars="200"/>
        <w:jc w:val="left"/>
        <w:rPr>
          <w:rFonts w:ascii="宋体" w:hAnsi="宋体" w:eastAsia="宋体" w:cs="宋体"/>
          <w:highlight w:val="none"/>
        </w:rPr>
      </w:pPr>
      <w:r>
        <w:rPr>
          <w:rFonts w:hint="eastAsia" w:ascii="宋体" w:hAnsi="宋体" w:eastAsia="宋体" w:cs="宋体"/>
          <w:highlight w:val="none"/>
        </w:rPr>
        <w:t>6.本项目所有采购标的对应的中小企业划分标准所属行业：详见采购需求一览表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5"/>
        <w:gridCol w:w="600"/>
        <w:gridCol w:w="804"/>
        <w:gridCol w:w="5911"/>
        <w:gridCol w:w="791"/>
      </w:tblGrid>
      <w:tr w14:paraId="1922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706AEE6">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855" w:type="dxa"/>
            <w:noWrap w:val="0"/>
            <w:vAlign w:val="center"/>
          </w:tcPr>
          <w:p w14:paraId="4349B34A">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标的名称</w:t>
            </w:r>
          </w:p>
        </w:tc>
        <w:tc>
          <w:tcPr>
            <w:tcW w:w="600" w:type="dxa"/>
            <w:noWrap w:val="0"/>
            <w:vAlign w:val="center"/>
          </w:tcPr>
          <w:p w14:paraId="38267262">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数量</w:t>
            </w:r>
          </w:p>
        </w:tc>
        <w:tc>
          <w:tcPr>
            <w:tcW w:w="804" w:type="dxa"/>
            <w:noWrap w:val="0"/>
            <w:vAlign w:val="center"/>
          </w:tcPr>
          <w:p w14:paraId="1D5234E5">
            <w:pPr>
              <w:spacing w:line="36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单位</w:t>
            </w:r>
          </w:p>
        </w:tc>
        <w:tc>
          <w:tcPr>
            <w:tcW w:w="5911" w:type="dxa"/>
            <w:noWrap w:val="0"/>
            <w:vAlign w:val="center"/>
          </w:tcPr>
          <w:p w14:paraId="6530BA11">
            <w:pPr>
              <w:spacing w:line="360" w:lineRule="exact"/>
              <w:jc w:val="center"/>
              <w:rPr>
                <w:rFonts w:ascii="宋体" w:hAnsi="宋体" w:eastAsia="宋体" w:cs="Times New Roman"/>
                <w:b/>
                <w:szCs w:val="21"/>
                <w:highlight w:val="none"/>
              </w:rPr>
            </w:pPr>
            <w:bookmarkStart w:id="2" w:name="OLE_LINK43"/>
            <w:r>
              <w:rPr>
                <w:rFonts w:hint="eastAsia" w:ascii="宋体" w:hAnsi="宋体" w:eastAsia="宋体" w:cs="Times New Roman"/>
                <w:b/>
                <w:szCs w:val="21"/>
                <w:highlight w:val="none"/>
              </w:rPr>
              <w:t>技术参数及配置</w:t>
            </w:r>
            <w:bookmarkEnd w:id="2"/>
          </w:p>
        </w:tc>
        <w:tc>
          <w:tcPr>
            <w:tcW w:w="791" w:type="dxa"/>
            <w:noWrap w:val="0"/>
            <w:vAlign w:val="center"/>
          </w:tcPr>
          <w:p w14:paraId="4BB53D5C">
            <w:pPr>
              <w:spacing w:line="360" w:lineRule="exact"/>
              <w:jc w:val="center"/>
              <w:rPr>
                <w:rFonts w:hint="eastAsia" w:ascii="宋体" w:hAnsi="宋体" w:eastAsia="宋体" w:cs="Times New Roman"/>
                <w:b/>
                <w:szCs w:val="21"/>
                <w:highlight w:val="none"/>
              </w:rPr>
            </w:pPr>
            <w:r>
              <w:rPr>
                <w:rFonts w:hint="eastAsia" w:ascii="宋体" w:hAnsi="宋体" w:eastAsia="宋体" w:cs="Times New Roman"/>
                <w:b/>
                <w:szCs w:val="21"/>
                <w:highlight w:val="none"/>
              </w:rPr>
              <w:t>中小企业划分标准所属行业名称</w:t>
            </w:r>
          </w:p>
        </w:tc>
      </w:tr>
      <w:tr w14:paraId="0977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6126F5B6">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855" w:type="dxa"/>
            <w:noWrap w:val="0"/>
            <w:vAlign w:val="center"/>
          </w:tcPr>
          <w:p w14:paraId="0B0DF073">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多场景导航仿真与抗干扰测试装置</w:t>
            </w:r>
          </w:p>
        </w:tc>
        <w:tc>
          <w:tcPr>
            <w:tcW w:w="600" w:type="dxa"/>
            <w:noWrap w:val="0"/>
            <w:vAlign w:val="center"/>
          </w:tcPr>
          <w:p w14:paraId="78E66BDA">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804" w:type="dxa"/>
            <w:noWrap w:val="0"/>
            <w:vAlign w:val="center"/>
          </w:tcPr>
          <w:p w14:paraId="75EB247D">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台</w:t>
            </w:r>
          </w:p>
        </w:tc>
        <w:tc>
          <w:tcPr>
            <w:tcW w:w="5911" w:type="dxa"/>
            <w:noWrap w:val="0"/>
            <w:vAlign w:val="center"/>
          </w:tcPr>
          <w:p w14:paraId="5AEFA67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一、技术要求：</w:t>
            </w:r>
          </w:p>
          <w:p w14:paraId="1748FE8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1.频点：包含但不限于GPS L1C/A，BDS B1I/B1C，GLONASS G1，Galileo E1等；</w:t>
            </w:r>
          </w:p>
          <w:p w14:paraId="625C081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2.功率范围：（-165~-20）dBm，误差：±0.5dB；</w:t>
            </w:r>
          </w:p>
          <w:p w14:paraId="5E99D1CB">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3.伪距误差：≤0.01m；伪距率误差：≤0.001m/s；</w:t>
            </w:r>
          </w:p>
          <w:p w14:paraId="0D7E5F3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4.通道一致性：≤0.3ns；</w:t>
            </w:r>
          </w:p>
          <w:p w14:paraId="7B5EE1A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5.动态范围：高程≥8000Km；速度≥120000m/s；加速度≥8000m/s</w:t>
            </w:r>
            <w:r>
              <w:rPr>
                <w:rFonts w:hint="eastAsia" w:ascii="宋体" w:hAnsi="宋体" w:eastAsia="宋体" w:cs="Times New Roman"/>
                <w:szCs w:val="21"/>
                <w:highlight w:val="none"/>
                <w:vertAlign w:val="superscript"/>
              </w:rPr>
              <w:t>2</w:t>
            </w:r>
            <w:r>
              <w:rPr>
                <w:rFonts w:hint="eastAsia" w:ascii="宋体" w:hAnsi="宋体" w:eastAsia="宋体" w:cs="Times New Roman"/>
                <w:szCs w:val="21"/>
                <w:highlight w:val="none"/>
              </w:rPr>
              <w:t>；加加速度≥10000m/s</w:t>
            </w:r>
            <w:r>
              <w:rPr>
                <w:rFonts w:hint="eastAsia" w:ascii="宋体" w:hAnsi="宋体" w:eastAsia="宋体" w:cs="Times New Roman"/>
                <w:szCs w:val="21"/>
                <w:highlight w:val="none"/>
                <w:vertAlign w:val="superscript"/>
              </w:rPr>
              <w:t>3</w:t>
            </w:r>
            <w:r>
              <w:rPr>
                <w:rFonts w:hint="eastAsia" w:ascii="宋体" w:hAnsi="宋体" w:eastAsia="宋体" w:cs="Times New Roman"/>
                <w:szCs w:val="21"/>
                <w:highlight w:val="none"/>
              </w:rPr>
              <w:t>；</w:t>
            </w:r>
          </w:p>
          <w:p w14:paraId="302F2A7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6.标准1PPS脉冲信号和10 MHz时钟信号输出；</w:t>
            </w:r>
          </w:p>
          <w:p w14:paraId="6FDD937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7.干扰源（或模块）：</w:t>
            </w:r>
          </w:p>
          <w:p w14:paraId="74077D2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 射频信号</w:t>
            </w:r>
          </w:p>
          <w:p w14:paraId="340C69D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射频信号载波频率最大允许误差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士100Hz</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信号带宽:&gt;2.046 MHz；</w:t>
            </w:r>
          </w:p>
          <w:p w14:paraId="32EC5C8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 发射功率</w:t>
            </w:r>
          </w:p>
          <w:p w14:paraId="73C7D68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功率范围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(-70~0)dBm</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功率分辨力</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优于0.5 dB</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功率最大允许误差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士2dB；</w:t>
            </w:r>
          </w:p>
          <w:p w14:paraId="40BE85C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（3）频谱纯度</w:t>
            </w:r>
          </w:p>
          <w:p w14:paraId="44ACDE01">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谐波抑制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(-60~-20)dBc</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非谐波抑制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(-60~-30)dBc;</w:t>
            </w:r>
          </w:p>
          <w:p w14:paraId="52536F3B">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相位噪声</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(-90~-60)dBc/Hz(频偏 10 Hz);</w:t>
            </w:r>
          </w:p>
          <w:p w14:paraId="42EAFF66">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(-100~-65)dBc/Hz(频偏100Hz);</w:t>
            </w:r>
          </w:p>
          <w:p w14:paraId="6376EC07">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(-110~-70)dBc/Hz(频偏1kHz);</w:t>
            </w:r>
          </w:p>
          <w:p w14:paraId="25DEB9B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(-120~-80)dBc/Hz(频偏10 kHz);</w:t>
            </w:r>
          </w:p>
          <w:p w14:paraId="5E70109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(-130~-85)dBc/Hz(频偏100 kHz)；</w:t>
            </w:r>
          </w:p>
          <w:p w14:paraId="736756C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（4）误差矢量幅度</w:t>
            </w:r>
          </w:p>
          <w:p w14:paraId="584C80C7">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误差矢量幅度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&lt;20%；</w:t>
            </w:r>
          </w:p>
          <w:p w14:paraId="2D46C73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（5）干扰特性</w:t>
            </w:r>
          </w:p>
          <w:p w14:paraId="661CFC9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干扰初始化时间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&lt;300s;</w:t>
            </w:r>
          </w:p>
          <w:p w14:paraId="0E2CA44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干扰生效时间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&lt;75 s;</w:t>
            </w:r>
          </w:p>
          <w:p w14:paraId="572DDC3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时间干扰误差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&lt;2 μs；</w:t>
            </w:r>
          </w:p>
          <w:p w14:paraId="5638EB5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（6）1PPS 定时误差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&lt;300 ns。</w:t>
            </w:r>
          </w:p>
          <w:p w14:paraId="5AF847A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二、功能要求：</w:t>
            </w:r>
          </w:p>
          <w:p w14:paraId="255172E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1.支持GPS、BDS、GLONASS、GALILEO星座仿真；</w:t>
            </w:r>
          </w:p>
          <w:p w14:paraId="035F2B9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2.支持速度、加速度、时间、位置、距离（里程）等测试场景仿真；</w:t>
            </w:r>
          </w:p>
          <w:p w14:paraId="2D266C0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3.支持轨迹仿真，包括加减速、转弯、高程变化等高精度2D/3D运动轨迹等；</w:t>
            </w:r>
          </w:p>
          <w:p w14:paraId="4D23681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4.具有差分模拟功能，支持RTK仿真，包括及RTK初始化时间、RTK定位偏差和精密度等测试；</w:t>
            </w:r>
          </w:p>
          <w:p w14:paraId="03F5CFD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5.支持干扰仿真，包括压制干扰和欺骗干扰，如城市、隧道、高架桥、强电磁干扰区以及位置、速度、时间拉偏等场景；</w:t>
            </w:r>
          </w:p>
          <w:p w14:paraId="29B02A1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6.支持环境效应仿真，如电离层、对流层、多路径等</w:t>
            </w:r>
          </w:p>
          <w:p w14:paraId="46E4BEC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7.支持仿真参数设置，如时间、功率、轨道、环境效应、轨迹等参数设置；</w:t>
            </w:r>
          </w:p>
          <w:p w14:paraId="4004A7D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8.支持仿真数据导出功能，包括广播星历、导航电文、卫星运行状态信息、载体运动状态信息等；</w:t>
            </w:r>
          </w:p>
          <w:p w14:paraId="39F7B25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9.支持仿真实时状态显示，如卫星星座、编号、俯仰角、方位角、伪距、伪距率、电离层误差对流层误差等信息显示，以及天空视图、运动轨迹显示等；</w:t>
            </w:r>
          </w:p>
          <w:p w14:paraId="244A736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10.支持远程控制、有线、无线测试等；</w:t>
            </w:r>
          </w:p>
          <w:p w14:paraId="35F334F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11.系统采用模块化设计，便携式模块含内置电池，支持现场使用，星座（频点包括但不限于GPS L1C/A，L2;BDS B1I,B1C,B2A）、速度、加速度、时间、位置、距离（里程）等符合技术参数要求，支持运动轨迹模拟等功能。</w:t>
            </w:r>
          </w:p>
          <w:p w14:paraId="7CCC487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12.主机尺寸：宽x高x深≤500mmx230mmx550mm，重量≤30kg;</w:t>
            </w:r>
          </w:p>
          <w:p w14:paraId="788929C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便携式模块尺寸：长x宽x高≤320mmx200mmx100mm，重量&lt;5Kg。</w:t>
            </w:r>
          </w:p>
        </w:tc>
        <w:tc>
          <w:tcPr>
            <w:tcW w:w="791" w:type="dxa"/>
            <w:noWrap w:val="0"/>
            <w:vAlign w:val="center"/>
          </w:tcPr>
          <w:p w14:paraId="2352E305">
            <w:pPr>
              <w:spacing w:line="3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工业</w:t>
            </w:r>
          </w:p>
        </w:tc>
      </w:tr>
      <w:tr w14:paraId="4F06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71899E04">
            <w:pPr>
              <w:spacing w:line="36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2</w:t>
            </w:r>
          </w:p>
        </w:tc>
        <w:tc>
          <w:tcPr>
            <w:tcW w:w="855" w:type="dxa"/>
            <w:noWrap w:val="0"/>
            <w:vAlign w:val="center"/>
          </w:tcPr>
          <w:p w14:paraId="7684A132">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2kN多分量力传感器校准装置</w:t>
            </w:r>
          </w:p>
        </w:tc>
        <w:tc>
          <w:tcPr>
            <w:tcW w:w="600" w:type="dxa"/>
            <w:noWrap w:val="0"/>
            <w:vAlign w:val="center"/>
          </w:tcPr>
          <w:p w14:paraId="7FDD61CA">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804" w:type="dxa"/>
            <w:noWrap w:val="0"/>
            <w:vAlign w:val="center"/>
          </w:tcPr>
          <w:p w14:paraId="59B583EE">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台</w:t>
            </w:r>
          </w:p>
        </w:tc>
        <w:tc>
          <w:tcPr>
            <w:tcW w:w="5911" w:type="dxa"/>
            <w:noWrap w:val="0"/>
            <w:vAlign w:val="center"/>
          </w:tcPr>
          <w:p w14:paraId="4D0BE076">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1.功能要求</w:t>
            </w:r>
          </w:p>
          <w:p w14:paraId="4C2F097B">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1.1具备x、y、z三个方向的力值校准能力；</w:t>
            </w:r>
          </w:p>
          <w:p w14:paraId="19F0128F">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1.2具备x、y、z三个方向顺时针和逆时针的纯力矩校准能力；</w:t>
            </w:r>
          </w:p>
          <w:p w14:paraId="28EAFA7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1.3具备x、y、z三个方向力和力矩中任意组合的加载能力，即任意一个力/力矩加载在被校传感器上后，剩余五个力/力矩仍能被校准装置加载至被校传感器上。</w:t>
            </w:r>
          </w:p>
          <w:p w14:paraId="1D6985F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2.技术要求</w:t>
            </w:r>
          </w:p>
          <w:p w14:paraId="5FAA8A6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2.1 z向力(Fz)</w:t>
            </w:r>
          </w:p>
          <w:p w14:paraId="73D663D8">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2.1.1 测量范围：±(20～2000)N</w:t>
            </w:r>
          </w:p>
          <w:p w14:paraId="5A0AFF41">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2.1.2 最大允许误差：±0.05%</w:t>
            </w:r>
          </w:p>
          <w:p w14:paraId="29A0CF0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2.1.3 重复性：≤0.05%</w:t>
            </w:r>
          </w:p>
          <w:p w14:paraId="4FA2390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2.1.4 测量不确定度：Urel≤0.05%(k=2）</w:t>
            </w:r>
          </w:p>
          <w:p w14:paraId="50523C06">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2.2 x、y向力 (Fx、Fy)</w:t>
            </w:r>
          </w:p>
          <w:p w14:paraId="139A5028">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2.2.1 测量范围：±(10～1000)N</w:t>
            </w:r>
          </w:p>
          <w:p w14:paraId="564EC238">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2.2.2 最大允许误差：±0.05%</w:t>
            </w:r>
          </w:p>
          <w:p w14:paraId="45FAD9A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2.2.3 重复性：≤0.05%</w:t>
            </w:r>
          </w:p>
          <w:p w14:paraId="257B8EF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2.2.4 测量不确定度：Urel≤0.05%(k=2）</w:t>
            </w:r>
          </w:p>
          <w:p w14:paraId="693AE03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2.3 x、y、z向力矩 (Mx、My、Mz)</w:t>
            </w:r>
          </w:p>
          <w:p w14:paraId="02B14206">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2.3.1 测量范围：±(1～100)Nm</w:t>
            </w:r>
          </w:p>
          <w:p w14:paraId="74CE2374">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2.3.2 最大允许误差：±0.1%</w:t>
            </w:r>
          </w:p>
          <w:p w14:paraId="084021D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2.3.3 测量不确定度：Urel≤0.1%(k=2）</w:t>
            </w:r>
          </w:p>
          <w:p w14:paraId="083C410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2.4有效工作空间：不小于240mm×240mm×500mm（长×宽×高）</w:t>
            </w:r>
          </w:p>
          <w:p w14:paraId="7EE5F15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2.5砝码质量最大允许误差：±0.005%</w:t>
            </w:r>
          </w:p>
          <w:p w14:paraId="705D3FD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2.6力值/力矩加卸载时间：≤30s；</w:t>
            </w:r>
          </w:p>
          <w:p w14:paraId="5C27EAD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3.分项技术要求</w:t>
            </w:r>
          </w:p>
          <w:p w14:paraId="397B5DF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3.1 机架</w:t>
            </w:r>
          </w:p>
          <w:p w14:paraId="2B5DBAA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机架主要由基座、丝杠/立柱、中梁、上梁等组成一个刚性的框架，整体机架需保证足够的强度与刚度，设计安全系数大于等于3，设备有效工作空间不小于240mm×240 mm×500 mm（长×宽×高）。</w:t>
            </w:r>
          </w:p>
          <w:p w14:paraId="645B0F6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3.2 移动横梁</w:t>
            </w:r>
          </w:p>
          <w:p w14:paraId="253F6F7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采用合金钢（性能不低于40Cr）制造，用于安装多分量传感器，在导向机构的约束下可沿立柱上垂直移动，移动横梁的移动采用伺服电机位移控制，根据工作需要可动态控制，移动速度范围为(0～300)mm/min，位置控制精度优于±0.02 mm。</w:t>
            </w:r>
          </w:p>
          <w:p w14:paraId="4A5FF4E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3.3  z向施力机构组</w:t>
            </w:r>
          </w:p>
          <w:p w14:paraId="7C7D633F">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3.3.1施力机构组由反向器及其平衡机构、力转向机构、砝码及力加载机构组成，用于Fz、Mx、My三个分量的加载；</w:t>
            </w:r>
          </w:p>
          <w:p w14:paraId="7612F0F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3.3.2砝码采用304不锈钢材料，表面粗糙度小于1.6µm；</w:t>
            </w:r>
          </w:p>
          <w:p w14:paraId="7D461F73">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3.3.3施力机构组满足Fz、Mx、My校准要求。具体来说，至少应当满足z向为测量范围为±(20～2000)N及Mx/My力矩测量范围为±(1～100)Nm的多分量力传感器的校准，同时满足被校传感器满量程的0%、±20%、±40%、±60%、±80%、±100%力值的加载；</w:t>
            </w:r>
          </w:p>
          <w:p w14:paraId="7FC3832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3.3.4砝码加/卸采用电动位移控制方式，位置控制精度优于±0.02 mm。</w:t>
            </w:r>
          </w:p>
          <w:p w14:paraId="7283A16F">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3.4  x /y向施力机构组</w:t>
            </w:r>
          </w:p>
          <w:p w14:paraId="0498C76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3.4.1施力机构组由多组力转向机构、砝码及力加载机构组成，用于Fx、Fy、Mz三个分量的加载；</w:t>
            </w:r>
          </w:p>
          <w:p w14:paraId="26C727B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3.4.2砝码采用304不锈钢材料，表面粗糙度小于1.6µm；</w:t>
            </w:r>
          </w:p>
          <w:p w14:paraId="752638D9">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3.4.3施力机构组满足Fx、Fy、Mz校准要求。具体来说，至少应当满足x/y向力测量范围为±(10～1000)N及Mz力矩测量范围为±(1～100)Nm的多分量力传感器的校准，同时满足被校传感器满量程的0%、±20%、±40%、±60%、±80%、±100%力值的加载；</w:t>
            </w:r>
          </w:p>
          <w:p w14:paraId="03511E2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3.4.4砝码加/卸采用电动位移控制方式，位置控制精度优于±0.02 mm。</w:t>
            </w:r>
          </w:p>
          <w:p w14:paraId="25E22FC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3.5控制系统</w:t>
            </w:r>
          </w:p>
          <w:p w14:paraId="12051F9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3.5.1伺服控制系统包括数据采集处理系统、电器控制系统等组成，能独立或同步控制6个分量的加载；</w:t>
            </w:r>
          </w:p>
          <w:p w14:paraId="5D460047">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3.5.2具有用于控制和数据采集功能，配备相应设备</w:t>
            </w:r>
            <w:r>
              <w:rPr>
                <w:rFonts w:hint="eastAsia" w:ascii="宋体" w:hAnsi="宋体" w:eastAsia="宋体" w:cs="Times New Roman"/>
                <w:szCs w:val="21"/>
                <w:highlight w:val="none"/>
                <w:lang w:eastAsia="zh-CN"/>
              </w:rPr>
              <w:t>；</w:t>
            </w:r>
          </w:p>
          <w:p w14:paraId="5D5D00C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3.5.3应用软件能按自动、半自动和手动方式进行操作；</w:t>
            </w:r>
          </w:p>
          <w:p w14:paraId="7483460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3.5.4应用软件能自动采集、计算、处理、保存和输出数据；</w:t>
            </w:r>
          </w:p>
          <w:p w14:paraId="24C5EE8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3.5.5应用软件能提供数据接口，与使用方的信息管理系统兼容，校准数据可按照使用方要求生成固定格式的原始记录和校准证书。</w:t>
            </w:r>
          </w:p>
          <w:p w14:paraId="6FF04F2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4.其它要求</w:t>
            </w:r>
          </w:p>
          <w:p w14:paraId="684541B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4.1安全保护：设置多重安全保护功能，包括被检传感器防过载的软件保护、限位装置的机械保护、伺服驱动器的扭矩过载保护和急停开关的手动应急保护；</w:t>
            </w:r>
          </w:p>
          <w:p w14:paraId="6800BCD6">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4.2噪声与振动：当校准装置处于工作状态时，在任意时刻执行任意动作时产生的噪声不大于60分贝，任意部件不能产生明显振动；</w:t>
            </w:r>
          </w:p>
          <w:p w14:paraId="155338A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4.3 至少配置校准多分量力传感器的6通道数据采集仪表1套，最大允许误差：±0.01%；</w:t>
            </w:r>
          </w:p>
          <w:p w14:paraId="28B74DF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4.4夹具：至少提供被校传感器的夹具1套，并详细描述夹具的结构原理；</w:t>
            </w:r>
          </w:p>
          <w:p w14:paraId="14E2833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4.5校准方案：详细描述对一个多分量力传感器校准的过程，包括单分量及至少二个分量组合加载的实施方式；</w:t>
            </w:r>
          </w:p>
          <w:p w14:paraId="0BF5D1A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4.6 装置测量不确定度：需分别提供校准装置力值测量和力矩测量的不确定度分析报告。</w:t>
            </w:r>
          </w:p>
        </w:tc>
        <w:tc>
          <w:tcPr>
            <w:tcW w:w="791" w:type="dxa"/>
            <w:noWrap w:val="0"/>
            <w:vAlign w:val="center"/>
          </w:tcPr>
          <w:p w14:paraId="7818338C">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工业</w:t>
            </w:r>
          </w:p>
        </w:tc>
      </w:tr>
      <w:tr w14:paraId="58E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349CD2EF">
            <w:pPr>
              <w:spacing w:line="36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3</w:t>
            </w:r>
          </w:p>
        </w:tc>
        <w:tc>
          <w:tcPr>
            <w:tcW w:w="855" w:type="dxa"/>
            <w:noWrap w:val="0"/>
            <w:vAlign w:val="center"/>
          </w:tcPr>
          <w:p w14:paraId="16F888BB">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荧光及吸收光谱仪</w:t>
            </w:r>
          </w:p>
        </w:tc>
        <w:tc>
          <w:tcPr>
            <w:tcW w:w="600" w:type="dxa"/>
            <w:noWrap w:val="0"/>
            <w:vAlign w:val="center"/>
          </w:tcPr>
          <w:p w14:paraId="54AB2A6E">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804" w:type="dxa"/>
            <w:noWrap w:val="0"/>
            <w:vAlign w:val="center"/>
          </w:tcPr>
          <w:p w14:paraId="28A51EC1">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台</w:t>
            </w:r>
          </w:p>
        </w:tc>
        <w:tc>
          <w:tcPr>
            <w:tcW w:w="5911" w:type="dxa"/>
            <w:noWrap w:val="0"/>
            <w:vAlign w:val="center"/>
          </w:tcPr>
          <w:p w14:paraId="2253A4C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技术要求：</w:t>
            </w:r>
          </w:p>
          <w:p w14:paraId="0F2D81E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1.水拉曼灵敏度：6000:1；</w:t>
            </w:r>
          </w:p>
          <w:p w14:paraId="50C7D25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2.荧光光谱范围：250-1100nm；</w:t>
            </w:r>
          </w:p>
          <w:p w14:paraId="695DF51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3.吸收光谱范围：250-1000nm；</w:t>
            </w:r>
          </w:p>
          <w:p w14:paraId="5CCE1ED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4.积分时间：≤100ms</w:t>
            </w:r>
          </w:p>
          <w:p w14:paraId="6234A0C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5.狭缝宽度：1, 2, 3, 5, 10, 20nm，6挡可调；</w:t>
            </w:r>
          </w:p>
          <w:p w14:paraId="40B45D0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6.荧光光谱采集速度：≥500000nm/min；</w:t>
            </w:r>
          </w:p>
          <w:p w14:paraId="4154141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7.三维光谱采集速率：≤5s；</w:t>
            </w:r>
          </w:p>
          <w:p w14:paraId="248A82A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8.吸光度准确性：≤ ±0.02A；</w:t>
            </w:r>
          </w:p>
          <w:p w14:paraId="391FDA3E">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9.波长准确性：≤±1nm；</w:t>
            </w:r>
          </w:p>
          <w:p w14:paraId="2BB10506">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10.吸光度范围：0-2A。</w:t>
            </w:r>
          </w:p>
        </w:tc>
        <w:tc>
          <w:tcPr>
            <w:tcW w:w="791" w:type="dxa"/>
            <w:noWrap w:val="0"/>
            <w:vAlign w:val="center"/>
          </w:tcPr>
          <w:p w14:paraId="598DAB43">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工业</w:t>
            </w:r>
          </w:p>
        </w:tc>
      </w:tr>
      <w:tr w14:paraId="672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A728433">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4</w:t>
            </w:r>
          </w:p>
        </w:tc>
        <w:tc>
          <w:tcPr>
            <w:tcW w:w="855" w:type="dxa"/>
            <w:noWrap w:val="0"/>
            <w:vAlign w:val="center"/>
          </w:tcPr>
          <w:p w14:paraId="0BDA1072">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电子定量包装秤智能检定装置</w:t>
            </w:r>
          </w:p>
        </w:tc>
        <w:tc>
          <w:tcPr>
            <w:tcW w:w="600" w:type="dxa"/>
            <w:noWrap w:val="0"/>
            <w:vAlign w:val="center"/>
          </w:tcPr>
          <w:p w14:paraId="2ECBF85F">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tc>
        <w:tc>
          <w:tcPr>
            <w:tcW w:w="804" w:type="dxa"/>
            <w:noWrap w:val="0"/>
            <w:vAlign w:val="center"/>
          </w:tcPr>
          <w:p w14:paraId="30296A95">
            <w:pPr>
              <w:spacing w:line="36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台</w:t>
            </w:r>
          </w:p>
        </w:tc>
        <w:tc>
          <w:tcPr>
            <w:tcW w:w="5911" w:type="dxa"/>
            <w:noWrap w:val="0"/>
            <w:vAlign w:val="center"/>
          </w:tcPr>
          <w:p w14:paraId="4B40289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技术要求：</w:t>
            </w:r>
          </w:p>
          <w:p w14:paraId="44F23C1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ascii="Times New Roman" w:hAnsi="Times New Roman" w:eastAsia="宋体" w:cs="Times New Roman"/>
                <w:szCs w:val="21"/>
                <w:highlight w:val="none"/>
              </w:rPr>
              <w:t xml:space="preserve"> 整套检定装置符合JJG 564-2019 《重力式自动装料衡器检定规程》要求</w:t>
            </w:r>
            <w:r>
              <w:rPr>
                <w:rFonts w:hint="eastAsia" w:ascii="Times New Roman" w:hAnsi="Times New Roman" w:eastAsia="宋体" w:cs="Times New Roman"/>
                <w:szCs w:val="21"/>
                <w:highlight w:val="none"/>
              </w:rPr>
              <w:t>；</w:t>
            </w:r>
          </w:p>
          <w:p w14:paraId="38048060">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1.1 准确度等级：不低于</w:t>
            </w:r>
            <w:r>
              <w:rPr>
                <w:rFonts w:ascii="Times New Roman" w:hAnsi="Times New Roman" w:eastAsia="宋体" w:cs="Times New Roman"/>
                <w:color w:val="FF0000"/>
                <w:szCs w:val="21"/>
                <w:highlight w:val="none"/>
              </w:rPr>
              <w:drawing>
                <wp:inline distT="0" distB="0" distL="114300" distR="114300">
                  <wp:extent cx="228600" cy="16192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8600" cy="161925"/>
                          </a:xfrm>
                          <a:prstGeom prst="rect">
                            <a:avLst/>
                          </a:prstGeom>
                          <a:noFill/>
                          <a:ln>
                            <a:noFill/>
                          </a:ln>
                        </pic:spPr>
                      </pic:pic>
                    </a:graphicData>
                  </a:graphic>
                </wp:inline>
              </w:drawing>
            </w:r>
            <w:r>
              <w:rPr>
                <w:rFonts w:hint="eastAsia" w:ascii="宋体" w:hAnsi="宋体" w:eastAsia="宋体" w:cs="Times New Roman"/>
                <w:szCs w:val="21"/>
                <w:highlight w:val="none"/>
              </w:rPr>
              <w:t>级；</w:t>
            </w:r>
          </w:p>
          <w:p w14:paraId="0129C707">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1.2 检定分度值：≤10g；</w:t>
            </w:r>
          </w:p>
          <w:p w14:paraId="5B3855AD">
            <w:pPr>
              <w:spacing w:line="360" w:lineRule="auto"/>
              <w:rPr>
                <w:rFonts w:hint="eastAsia" w:ascii="宋体" w:hAnsi="宋体" w:eastAsia="宋体" w:cs="Times New Roman"/>
                <w:szCs w:val="21"/>
                <w:highlight w:val="none"/>
              </w:rPr>
            </w:pPr>
            <w:r>
              <w:rPr>
                <w:rFonts w:hint="eastAsia" w:ascii="宋体" w:hAnsi="宋体" w:eastAsia="宋体" w:cs="宋体"/>
                <w:szCs w:val="21"/>
                <w:highlight w:val="none"/>
              </w:rPr>
              <w:t>▲</w:t>
            </w:r>
            <w:r>
              <w:rPr>
                <w:rFonts w:hint="eastAsia" w:ascii="宋体" w:hAnsi="宋体" w:eastAsia="宋体" w:cs="Times New Roman"/>
                <w:szCs w:val="21"/>
                <w:highlight w:val="none"/>
              </w:rPr>
              <w:t>1.3 最大秤量：≥60kg。</w:t>
            </w:r>
          </w:p>
          <w:p w14:paraId="03624CB4">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 具有用于控制和数据采集功能，配备相应设备；</w:t>
            </w:r>
          </w:p>
          <w:p w14:paraId="10A87D7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 电子定量包装秤检定数据处理软件1套，具体包含：</w:t>
            </w:r>
          </w:p>
          <w:p w14:paraId="00F045A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3.1 数据采集模块；</w:t>
            </w:r>
          </w:p>
          <w:p w14:paraId="2358039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3.2 每次装料的最大偏差mdmax、预设值误差se、准确度等级自动判定等计算模块；</w:t>
            </w:r>
          </w:p>
          <w:p w14:paraId="65274420">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3.3原始记录和证书生成模块。</w:t>
            </w:r>
          </w:p>
        </w:tc>
        <w:tc>
          <w:tcPr>
            <w:tcW w:w="791" w:type="dxa"/>
            <w:noWrap w:val="0"/>
            <w:vAlign w:val="center"/>
          </w:tcPr>
          <w:p w14:paraId="025EDFDB">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工业</w:t>
            </w:r>
          </w:p>
        </w:tc>
      </w:tr>
      <w:tr w14:paraId="2AE1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55314B55">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商务条款</w:t>
            </w:r>
          </w:p>
        </w:tc>
        <w:tc>
          <w:tcPr>
            <w:tcW w:w="8961" w:type="dxa"/>
            <w:gridSpan w:val="5"/>
            <w:noWrap w:val="0"/>
            <w:vAlign w:val="center"/>
          </w:tcPr>
          <w:p w14:paraId="3F05C2CC">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1.合同签订期：自</w:t>
            </w:r>
            <w:bookmarkStart w:id="3" w:name="OLE_LINK47"/>
            <w:r>
              <w:rPr>
                <w:rFonts w:hint="eastAsia" w:ascii="宋体" w:hAnsi="宋体" w:eastAsia="宋体" w:cs="Times New Roman"/>
                <w:szCs w:val="21"/>
                <w:highlight w:val="none"/>
              </w:rPr>
              <w:t>中标</w:t>
            </w:r>
            <w:bookmarkEnd w:id="3"/>
            <w:r>
              <w:rPr>
                <w:rFonts w:hint="eastAsia" w:ascii="宋体" w:hAnsi="宋体" w:eastAsia="宋体" w:cs="Times New Roman"/>
                <w:szCs w:val="21"/>
                <w:highlight w:val="none"/>
              </w:rPr>
              <w:t>通知书发出之日起25日内。</w:t>
            </w:r>
          </w:p>
          <w:p w14:paraId="38F2517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2.交付时间：合同签订后90天内验收合格并交付使用。</w:t>
            </w:r>
          </w:p>
          <w:p w14:paraId="7A26438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3.交付地点：采购人指定地点。</w:t>
            </w:r>
          </w:p>
          <w:p w14:paraId="47EDE10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4.付款方式：</w:t>
            </w:r>
          </w:p>
          <w:p w14:paraId="6D61981B">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hint="eastAsia" w:ascii="宋体" w:hAnsi="宋体" w:eastAsia="宋体" w:cs="仿宋"/>
                <w:kern w:val="0"/>
                <w:highlight w:val="none"/>
              </w:rPr>
              <w:t>合同签订后10个工作日内，采购人向中标供应商首次支付合同金额的50%；每单件独立设备到货后，中标供应商出具请款材料，采购人支付该单项设备合同金额的40%；验收合格后，采购人支付合同金额的10%。</w:t>
            </w:r>
            <w:r>
              <w:rPr>
                <w:rFonts w:hint="eastAsia" w:ascii="宋体" w:hAnsi="宋体" w:eastAsia="宋体" w:cs="仿宋"/>
                <w:kern w:val="0"/>
                <w:highlight w:val="none"/>
                <w:lang w:val="en-US" w:eastAsia="zh-CN"/>
              </w:rPr>
              <w:t>按每单件独立设备完成验收合格即支付该件对应尾款。</w:t>
            </w:r>
            <w:r>
              <w:rPr>
                <w:rFonts w:hint="eastAsia" w:ascii="宋体" w:hAnsi="宋体" w:eastAsia="宋体" w:cs="仿宋"/>
                <w:kern w:val="0"/>
                <w:highlight w:val="none"/>
              </w:rPr>
              <w:t>采购人每次付款前，中标供应商应将同等金额的合法、有效的增值税专用发票直接开具给采购人，否则，采购人可以顺延付款</w:t>
            </w:r>
            <w:r>
              <w:rPr>
                <w:rFonts w:hint="eastAsia" w:ascii="宋体" w:hAnsi="宋体" w:eastAsia="宋体" w:cs="Times New Roman"/>
                <w:szCs w:val="21"/>
                <w:highlight w:val="none"/>
              </w:rPr>
              <w:t>。</w:t>
            </w:r>
          </w:p>
          <w:p w14:paraId="09F8C21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（2）若</w:t>
            </w:r>
            <w:r>
              <w:rPr>
                <w:rFonts w:hint="eastAsia" w:ascii="宋体" w:hAnsi="宋体" w:eastAsia="宋体" w:cs="Times New Roman"/>
                <w:szCs w:val="21"/>
                <w:highlight w:val="none"/>
                <w:lang w:eastAsia="zh-CN"/>
              </w:rPr>
              <w:t>中标供应商</w:t>
            </w:r>
            <w:r>
              <w:rPr>
                <w:rFonts w:hint="eastAsia" w:ascii="宋体" w:hAnsi="宋体" w:eastAsia="宋体" w:cs="Times New Roman"/>
                <w:szCs w:val="21"/>
                <w:highlight w:val="none"/>
              </w:rPr>
              <w:t>供货产品为进口产品，付款前</w:t>
            </w:r>
            <w:r>
              <w:rPr>
                <w:rFonts w:hint="eastAsia" w:ascii="宋体" w:hAnsi="宋体" w:eastAsia="宋体" w:cs="Times New Roman"/>
                <w:szCs w:val="21"/>
                <w:highlight w:val="none"/>
                <w:lang w:eastAsia="zh-CN"/>
              </w:rPr>
              <w:t>中标供应商</w:t>
            </w:r>
            <w:r>
              <w:rPr>
                <w:rFonts w:hint="eastAsia" w:ascii="宋体" w:hAnsi="宋体" w:eastAsia="宋体" w:cs="Times New Roman"/>
                <w:szCs w:val="21"/>
                <w:highlight w:val="none"/>
              </w:rPr>
              <w:t>应将同等金额的合法、有效的</w:t>
            </w:r>
            <w:r>
              <w:rPr>
                <w:rFonts w:hint="eastAsia" w:ascii="宋体" w:hAnsi="宋体" w:eastAsia="宋体" w:cs="仿宋"/>
                <w:kern w:val="0"/>
                <w:highlight w:val="none"/>
              </w:rPr>
              <w:t>增值税专用</w:t>
            </w:r>
            <w:r>
              <w:rPr>
                <w:rFonts w:hint="eastAsia" w:ascii="宋体" w:hAnsi="宋体" w:eastAsia="宋体" w:cs="Times New Roman"/>
                <w:szCs w:val="21"/>
                <w:highlight w:val="none"/>
              </w:rPr>
              <w:t>发票直接开具给采购人，否则，</w:t>
            </w:r>
            <w:r>
              <w:rPr>
                <w:rFonts w:hint="eastAsia" w:ascii="宋体" w:hAnsi="宋体" w:eastAsia="宋体" w:cs="Times New Roman"/>
                <w:szCs w:val="21"/>
                <w:highlight w:val="none"/>
                <w:lang w:val="en-US" w:eastAsia="zh-CN"/>
              </w:rPr>
              <w:t>采购人可以拒绝付款</w:t>
            </w:r>
            <w:r>
              <w:rPr>
                <w:rFonts w:hint="eastAsia" w:ascii="宋体" w:hAnsi="宋体" w:eastAsia="宋体" w:cs="Times New Roman"/>
                <w:szCs w:val="21"/>
                <w:highlight w:val="none"/>
              </w:rPr>
              <w:t>。</w:t>
            </w:r>
          </w:p>
          <w:p w14:paraId="6E342F1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5.质保期：</w:t>
            </w:r>
          </w:p>
          <w:p w14:paraId="78F53341">
            <w:pPr>
              <w:spacing w:line="360" w:lineRule="auto"/>
              <w:rPr>
                <w:rFonts w:ascii="宋体" w:hAnsi="宋体" w:eastAsia="宋体" w:cs="Times New Roman"/>
                <w:szCs w:val="21"/>
                <w:highlight w:val="none"/>
              </w:rPr>
            </w:pPr>
            <w:r>
              <w:rPr>
                <w:rFonts w:ascii="宋体" w:hAnsi="宋体" w:eastAsia="宋体" w:cs="Times New Roman"/>
                <w:szCs w:val="21"/>
                <w:highlight w:val="none"/>
              </w:rPr>
              <w:t>按国家有关规定实行产品“三包”，货物（易耗品除外）质保期不少于一年，分项设备有质保期要求的按其要求。保修期自安装调试验收合格，并以双方最终验收报告签字日开始计算。保修期内，中标供应商将负责处理并解决故障，并更换有故障的零、部件，一切费用由中标供应商负责。</w:t>
            </w:r>
          </w:p>
          <w:p w14:paraId="5194212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6.售后服务要求：</w:t>
            </w:r>
          </w:p>
          <w:p w14:paraId="67006E8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售后技术服务包括送货上门、安装调试、现场培训2～3名相关人员至掌握设备操作及日常维护等，投标报价应包含为实施项目所必须的售后技术服务。分项设备要求产品生产厂家提供技术人员培训的，按其要求执行。</w:t>
            </w:r>
          </w:p>
          <w:p w14:paraId="58807533">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设备出现故障后，中标供应商负责需要2小时内做出响应，24小时内派工程师到现场进行故障排除，48小时内故障无法修复的，需要立即提供与原设备技术参数要求相同或高于原设备技术参数要求的备用产品，以保证采购人的正常工作</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中标供应商需进行定期维护</w:t>
            </w:r>
            <w:r>
              <w:rPr>
                <w:rFonts w:hint="eastAsia" w:ascii="宋体" w:hAnsi="宋体" w:eastAsia="宋体" w:cs="Times New Roman"/>
                <w:szCs w:val="21"/>
                <w:highlight w:val="none"/>
              </w:rPr>
              <w:t>。</w:t>
            </w:r>
          </w:p>
          <w:p w14:paraId="2C928F37">
            <w:pPr>
              <w:spacing w:line="36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（3）软件在维保期内维修及完善性升级</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费用由中标供应商承担。</w:t>
            </w:r>
          </w:p>
          <w:p w14:paraId="69280C58">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（4）投标文件提供培训方案，培训内容、培训措施符合项目实施的实际情况。</w:t>
            </w:r>
          </w:p>
          <w:p w14:paraId="39B83A1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7.报价要求：</w:t>
            </w:r>
            <w:bookmarkStart w:id="4" w:name="OLE_LINK32"/>
            <w:r>
              <w:rPr>
                <w:rFonts w:hint="eastAsia" w:ascii="宋体" w:hAnsi="宋体" w:eastAsia="宋体" w:cs="Times New Roman"/>
                <w:szCs w:val="21"/>
                <w:highlight w:val="none"/>
              </w:rPr>
              <w:t>投标报价为采购人指定地点的现场交货价，包括：</w:t>
            </w:r>
          </w:p>
          <w:p w14:paraId="01F2A537">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（1）货物的价格：包括货款、安装调试费、验收费（含检定、校准费，如有）；</w:t>
            </w:r>
          </w:p>
          <w:p w14:paraId="1ABAC9B7">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（2）货物的标准附件、备品备件、专用工具的价格。</w:t>
            </w:r>
          </w:p>
          <w:p w14:paraId="18EDB855">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（3）运输、装卸、调试、培训、技术支持、售后服务费。</w:t>
            </w:r>
          </w:p>
          <w:bookmarkEnd w:id="4"/>
          <w:p w14:paraId="0073CF99">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8.验收标准：</w:t>
            </w:r>
          </w:p>
          <w:p w14:paraId="68D6C5CC">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（1）检查供货范围或服务范围</w:t>
            </w:r>
          </w:p>
          <w:p w14:paraId="20EB9DD7">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货物类：产品到达现场后，中标供应商应在采购人单位人员在场情况下当面开箱，共同清点、检查外观，作出开箱记录，双方签字确认。中标供应商应保证货物到达采购人所在地完好无损，如有缺漏、损坏，由中标供应商负责调换、补齐或赔偿。</w:t>
            </w:r>
          </w:p>
          <w:p w14:paraId="7395BEE4">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（2）中标供应商应提供完备的技术或服务资料、装箱单和合格证等，并派遣专业人员进行现场安装调试。验收合格条件如下：</w:t>
            </w:r>
          </w:p>
          <w:p w14:paraId="5A0BB1EB">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（3）货物或服务技术参数与投标文件中技术需求偏离表或证明材料一致，性能或指标达到规定的标准，否则，以实际货物或服务技术参数与投标文件技术需求偏离表参数或证明材料比较，按如下情况处理：</w:t>
            </w:r>
          </w:p>
          <w:p w14:paraId="162FBD00">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1）中标供应商投标文件技术需求偏离表或证明材料中满足或优于的技术参数，在验收时实际不满足技术参数要求的，视为供货商违约，采购人有权终止合同拒收货物，并追究中标供应商责任，同时报财政部门备案。</w:t>
            </w:r>
          </w:p>
          <w:p w14:paraId="3AAB5A05">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2）中标供应商投标文件技术需求偏离表或证明材料中优于的技术参数，在验收时实际仅满足并未优于技术参数要求的，视为供货商违约，采购人有权终止合同拒收货物，并追究中标供应商责任，同时报财政部门备案。</w:t>
            </w:r>
          </w:p>
          <w:p w14:paraId="6ECF1822">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3）中标供应商投标文件技术需求偏离表或证明材料中满足的技术参数，在验收时实际优于技术参数的要求，以满足技术参数的要求验收。</w:t>
            </w:r>
          </w:p>
          <w:p w14:paraId="103E57BF">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4）中标供应商投标文件技术需求偏离表或证明材料中优于的技术参数，在验收时实际也优于技术参数的要求，但没有达到技术需求偏离表或证明材料中优于的程度，由采购人与中标供应商协商按是否满足要求验收。</w:t>
            </w:r>
          </w:p>
          <w:p w14:paraId="2C06D6CA">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5）实际货物与投标货物型号不一致的，验收时不论实际是优于还是满足技术参数的要求，采购人均有权终止合同拒收货物。如影响货物或服务的使用、质量、档次及采购人需求的，还可视为供货商违约，追究中标供应商责任，同时报财政部门备案。</w:t>
            </w:r>
          </w:p>
          <w:p w14:paraId="2BADAE2D">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（4）技术资料、装箱单、合格证等资料齐全。</w:t>
            </w:r>
          </w:p>
          <w:p w14:paraId="6A50C248">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（5）在测试或试运行期间所出现的问题得到解决，并运行或工作正常。</w:t>
            </w:r>
          </w:p>
          <w:p w14:paraId="045064AC">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（6）在规定时间内完成交货及验收，并经采购人确认。</w:t>
            </w:r>
          </w:p>
          <w:p w14:paraId="3F68ED7E">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（7）产品或服务在安装调试并试运行符合要求后，还必须负责完成原有所有旧的货架及物流设备及软件系统的重新部署安装、集成、调试并能整体通过测试顺利运行，运行顺畅才作为最终验收。</w:t>
            </w:r>
          </w:p>
          <w:p w14:paraId="50F064E2">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（8）中标供应商提供的货物或服务未达到招标文件规定要求，且对采购人造成损失的，由中标供应商承担一切责任，并赔偿所造成的损失。</w:t>
            </w:r>
          </w:p>
          <w:p w14:paraId="3286D398">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（9）采购人需要制造商对中标供应商交付的产品或服务（包括质量、参数等）进行确认的，制造商应予以配合并出具书面意见，相关配合事项由中标供应商与制造商协调。</w:t>
            </w:r>
          </w:p>
          <w:p w14:paraId="31E2CFF5">
            <w:pPr>
              <w:spacing w:line="360" w:lineRule="auto"/>
              <w:rPr>
                <w:rFonts w:hint="eastAsia" w:ascii="宋体" w:hAnsi="宋体" w:eastAsia="宋体" w:cs="Arial"/>
                <w:szCs w:val="21"/>
                <w:highlight w:val="none"/>
              </w:rPr>
            </w:pPr>
            <w:r>
              <w:rPr>
                <w:rFonts w:hint="eastAsia" w:ascii="宋体" w:hAnsi="宋体" w:eastAsia="宋体" w:cs="Arial"/>
                <w:szCs w:val="21"/>
                <w:highlight w:val="none"/>
              </w:rPr>
              <w:t>（10）产品包装材料归采购人所有。</w:t>
            </w:r>
          </w:p>
          <w:p w14:paraId="4735F61A">
            <w:pPr>
              <w:spacing w:line="360" w:lineRule="auto"/>
              <w:rPr>
                <w:rFonts w:hint="default" w:ascii="宋体" w:hAnsi="宋体" w:eastAsia="宋体" w:cs="Arial"/>
                <w:szCs w:val="21"/>
                <w:highlight w:val="none"/>
                <w:lang w:val="en-US" w:eastAsia="zh-CN"/>
              </w:rPr>
            </w:pPr>
            <w:r>
              <w:rPr>
                <w:rFonts w:hint="eastAsia" w:ascii="宋体" w:hAnsi="宋体" w:eastAsia="宋体" w:cs="Arial"/>
                <w:szCs w:val="21"/>
                <w:highlight w:val="none"/>
              </w:rPr>
              <w:t>（11）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tc>
      </w:tr>
      <w:tr w14:paraId="25EE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1" w:type="dxa"/>
            <w:noWrap w:val="0"/>
            <w:vAlign w:val="center"/>
          </w:tcPr>
          <w:p w14:paraId="4B218D20">
            <w:pPr>
              <w:spacing w:line="360" w:lineRule="exact"/>
              <w:rPr>
                <w:rFonts w:ascii="宋体" w:hAnsi="宋体" w:eastAsia="宋体" w:cs="Times New Roman"/>
                <w:szCs w:val="21"/>
                <w:highlight w:val="none"/>
              </w:rPr>
            </w:pPr>
            <w:r>
              <w:rPr>
                <w:rFonts w:hint="eastAsia" w:ascii="宋体" w:hAnsi="宋体" w:eastAsia="宋体" w:cs="宋体"/>
                <w:szCs w:val="21"/>
                <w:highlight w:val="none"/>
              </w:rPr>
              <w:t>其他说明</w:t>
            </w:r>
          </w:p>
        </w:tc>
        <w:tc>
          <w:tcPr>
            <w:tcW w:w="8961" w:type="dxa"/>
            <w:gridSpan w:val="5"/>
            <w:noWrap w:val="0"/>
            <w:vAlign w:val="center"/>
          </w:tcPr>
          <w:p w14:paraId="67CD1F78">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一、进口产品说明：</w:t>
            </w:r>
          </w:p>
          <w:p w14:paraId="50ADDB9B">
            <w:pPr>
              <w:spacing w:line="360" w:lineRule="auto"/>
              <w:rPr>
                <w:rFonts w:hint="eastAsia" w:ascii="Times New Roman" w:hAnsi="Times New Roman" w:eastAsia="宋体" w:cs="Times New Roman"/>
                <w:highlight w:val="none"/>
              </w:rPr>
            </w:pPr>
            <w:r>
              <w:rPr>
                <w:rFonts w:hint="eastAsia" w:ascii="宋体" w:hAnsi="宋体" w:eastAsia="宋体" w:cs="宋体"/>
                <w:szCs w:val="21"/>
                <w:highlight w:val="none"/>
              </w:rPr>
              <w:t>▲</w:t>
            </w:r>
            <w:r>
              <w:rPr>
                <w:rFonts w:hint="eastAsia" w:ascii="Times New Roman" w:hAnsi="Times New Roman" w:eastAsia="宋体" w:cs="Times New Roman"/>
                <w:highlight w:val="none"/>
              </w:rPr>
              <w:t>本项目“需求一览表”中的第3项货物“荧光及吸收光谱仪”已按规定办妥进口产品采购审核手续，投标产品可选用进口产品；但如选用进口产品时必须为全套原装进口产品（即通过中国海关报关验放进入中国境内且产自关境外的产品）并提供原厂商或中国大陆有效代理商出具有效授权书原件和有效的售后服务承诺书原件，同时投标人必须负责办理进口产品所有相关手续并承担所有费用。优先采购向我国企业转让技术、与我国企业签订消化吸收再创新方案的投标人的进口产品。其他货物不接受进口产品参与投标，否则作无效投标处理。</w:t>
            </w:r>
          </w:p>
          <w:p w14:paraId="37D5F9AC">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二、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评标方法和评标标准”。产品在中国境内生产的组件成本，按照《中国境内生产的组件成本核算基本规则》（见附件3）计算。</w:t>
            </w:r>
          </w:p>
          <w:p w14:paraId="621404A9">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三、与本项目有关的设计图纸、技术规范、文件等附件资料及其获取方式：</w:t>
            </w:r>
          </w:p>
          <w:p w14:paraId="4EA0625D">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文件或者资料名称： 无                                </w:t>
            </w:r>
          </w:p>
          <w:p w14:paraId="493A6BB4">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公布渠道或者获取方式：无                             </w:t>
            </w:r>
          </w:p>
          <w:p w14:paraId="323495CE">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四、核心产品：</w:t>
            </w:r>
          </w:p>
          <w:p w14:paraId="4FE04152">
            <w:pPr>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rPr>
              <w:t>本项目的核心产品为“需求一览表”中第1项产品：“</w:t>
            </w:r>
            <w:r>
              <w:rPr>
                <w:rFonts w:hint="eastAsia" w:ascii="宋体" w:hAnsi="宋体" w:eastAsia="宋体" w:cs="Times New Roman"/>
                <w:szCs w:val="21"/>
                <w:highlight w:val="none"/>
              </w:rPr>
              <w:t>多场景导航仿真与抗干扰测试装置</w:t>
            </w:r>
            <w:r>
              <w:rPr>
                <w:rFonts w:hint="eastAsia" w:ascii="Times New Roman" w:hAnsi="Times New Roman" w:eastAsia="宋体" w:cs="Times New Roman"/>
                <w:highlight w:val="none"/>
              </w:rPr>
              <w:t>”。</w:t>
            </w:r>
          </w:p>
          <w:p w14:paraId="5936FA1A">
            <w:pPr>
              <w:spacing w:line="360" w:lineRule="auto"/>
              <w:rPr>
                <w:rFonts w:ascii="Times New Roman" w:hAnsi="Times New Roman" w:eastAsia="宋体" w:cs="Times New Roman"/>
                <w:highlight w:val="none"/>
              </w:rPr>
            </w:pPr>
            <w:r>
              <w:rPr>
                <w:rFonts w:ascii="Times New Roman" w:hAnsi="Times New Roman" w:eastAsia="宋体" w:cs="Times New Roman"/>
                <w:highlight w:val="none"/>
              </w:rPr>
              <w:t>▲五、允许负偏离项：</w:t>
            </w:r>
          </w:p>
          <w:p w14:paraId="2EDC2E70">
            <w:pPr>
              <w:spacing w:line="360" w:lineRule="auto"/>
              <w:rPr>
                <w:rFonts w:ascii="Times New Roman" w:hAnsi="Times New Roman" w:eastAsia="宋体" w:cs="Times New Roman"/>
                <w:highlight w:val="none"/>
              </w:rPr>
            </w:pPr>
            <w:r>
              <w:rPr>
                <w:rFonts w:ascii="Times New Roman" w:hAnsi="Times New Roman" w:eastAsia="宋体" w:cs="Times New Roman"/>
                <w:highlight w:val="none"/>
              </w:rPr>
              <w:t>商务条款评审中允许负偏离的条款数为0项。</w:t>
            </w:r>
          </w:p>
          <w:p w14:paraId="2E338D45">
            <w:pPr>
              <w:spacing w:line="360" w:lineRule="auto"/>
              <w:rPr>
                <w:rFonts w:ascii="Times New Roman" w:hAnsi="Times New Roman" w:eastAsia="宋体" w:cs="Times New Roman"/>
                <w:highlight w:val="none"/>
              </w:rPr>
            </w:pPr>
            <w:r>
              <w:rPr>
                <w:rFonts w:ascii="Times New Roman" w:hAnsi="Times New Roman" w:eastAsia="宋体" w:cs="Times New Roman"/>
                <w:highlight w:val="none"/>
              </w:rPr>
              <w:t>技术需求评审中允许负偏离的条款数为0项。</w:t>
            </w:r>
          </w:p>
        </w:tc>
      </w:tr>
      <w:bookmarkEnd w:id="0"/>
    </w:tbl>
    <w:p w14:paraId="75CAD35E">
      <w:bookmarkStart w:id="5" w:name="_GoBack"/>
      <w:bookmarkEnd w:id="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40A5"/>
    <w:rsid w:val="7A14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next w:val="2"/>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2026-03-17T03:41:00Z</dcterms:created>
  <dc:creator>欧明聪</dc:creator>
  <cp:lastModifiedBy>欧明聪</cp:lastModifiedBy>
  <dcterms:modified xsi:type="dcterms:W3CDTF">2026-03-17T03:41:37Z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B367EAC292F6409EA0737B6FF6D05FC1_11</vt:lpwstr>
  </property>
  <property fmtid="{D5CDD505-2E9C-101B-9397-08002B2CF9AE}" pid="4" name="KSOTemplateDocerSaveRecord">
    <vt:lpwstr>eyJoZGlkIjoiZjU5NTE4Y2EwNGUwNTA5ZTk0ODVmYmYwNWU3YjQyYWUiLCJ1c2VySWQiOiIxNTkyNDk1NTU5In0=</vt:lpwstr>
  </property>
</Properties>
</file>