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50E4A">
      <w:pPr>
        <w:pStyle w:val="3"/>
        <w:jc w:val="center"/>
        <w:outlineLvl w:val="0"/>
        <w:rPr>
          <w:rFonts w:hint="eastAsia" w:hAnsi="宋体" w:cs="宋体"/>
          <w:b/>
          <w:sz w:val="36"/>
        </w:rPr>
      </w:pPr>
      <w:bookmarkStart w:id="0" w:name="OLE_LINK36"/>
      <w:r>
        <w:rPr>
          <w:rFonts w:hint="eastAsia" w:hAnsi="宋体" w:cs="宋体"/>
          <w:b/>
          <w:sz w:val="36"/>
        </w:rPr>
        <w:t>采购需求</w:t>
      </w:r>
    </w:p>
    <w:p w14:paraId="01CA2F9D">
      <w:pPr>
        <w:adjustRightInd w:val="0"/>
        <w:spacing w:line="340" w:lineRule="exact"/>
        <w:rPr>
          <w:rFonts w:hint="eastAsia" w:ascii="宋体" w:hAnsi="宋体" w:eastAsia="宋体" w:cs="宋体"/>
          <w:b/>
          <w:szCs w:val="21"/>
        </w:rPr>
      </w:pPr>
      <w:r>
        <w:rPr>
          <w:rFonts w:hint="eastAsia" w:ascii="宋体" w:hAnsi="宋体" w:eastAsia="宋体" w:cs="宋体"/>
          <w:b/>
          <w:szCs w:val="21"/>
        </w:rPr>
        <w:t>说明：</w:t>
      </w:r>
    </w:p>
    <w:p w14:paraId="69711A38">
      <w:pPr>
        <w:spacing w:line="360" w:lineRule="auto"/>
        <w:ind w:firstLine="420" w:firstLineChars="200"/>
        <w:jc w:val="left"/>
        <w:rPr>
          <w:rFonts w:ascii="宋体" w:hAnsi="宋体" w:eastAsia="宋体" w:cs="宋体"/>
          <w:i/>
          <w:iCs/>
          <w:szCs w:val="21"/>
        </w:rPr>
      </w:pPr>
      <w:r>
        <w:rPr>
          <w:rFonts w:hint="eastAsia" w:ascii="宋体" w:hAnsi="宋体" w:eastAsia="宋体" w:cs="宋体"/>
        </w:rPr>
        <w:t>1. 为落实政府采购政策需满足的要求</w:t>
      </w:r>
    </w:p>
    <w:p w14:paraId="201D207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（1）本招标文件所称中小企业必须符合《政府采购促进中小企业发展管理办法》（财库〔2020〕46号）的规定。</w:t>
      </w:r>
    </w:p>
    <w:p w14:paraId="4CDD9917">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eastAsia="宋体" w:cs="宋体"/>
          <w:szCs w:val="21"/>
        </w:rPr>
        <w:t>。如本项目包含的货物属于品目清单内非标注“★”的产品时，应优先采购，具体详见“第四章 评标方法和评标标准”。</w:t>
      </w:r>
    </w:p>
    <w:p w14:paraId="3D2D7401">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2.采购需求中带“</w:t>
      </w:r>
      <w:bookmarkStart w:id="1" w:name="OLE_LINK21"/>
      <w:r>
        <w:rPr>
          <w:rFonts w:hint="eastAsia" w:ascii="宋体" w:hAnsi="宋体" w:eastAsia="宋体" w:cs="宋体"/>
          <w:szCs w:val="21"/>
        </w:rPr>
        <w:t>▲</w:t>
      </w:r>
      <w:bookmarkEnd w:id="1"/>
      <w:r>
        <w:rPr>
          <w:rFonts w:hint="eastAsia" w:ascii="宋体" w:hAnsi="宋体" w:eastAsia="宋体" w:cs="宋体"/>
          <w:szCs w:val="21"/>
        </w:rPr>
        <w:t>”的条款为实质性条款，不满足作无效响应处理。</w:t>
      </w:r>
    </w:p>
    <w:p w14:paraId="347BC2DE">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3.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14:paraId="3D818CD0">
      <w:pPr>
        <w:spacing w:line="360" w:lineRule="auto"/>
        <w:ind w:firstLine="424" w:firstLineChars="202"/>
        <w:jc w:val="left"/>
        <w:rPr>
          <w:rFonts w:hint="eastAsia" w:ascii="宋体" w:hAnsi="宋体" w:eastAsia="宋体" w:cs="宋体"/>
        </w:rPr>
      </w:pPr>
      <w:r>
        <w:rPr>
          <w:rFonts w:hint="eastAsia" w:ascii="宋体" w:hAnsi="宋体" w:eastAsia="宋体" w:cs="宋体"/>
          <w:szCs w:val="21"/>
        </w:rPr>
        <w:t>4.投标人必须对投标文件中提供的证明材料和资质文件真实性负责，如出现虚假应标情况，投标人除了应接受有关部门的处罚外，还应依据《中华人民共和国民法典》的相关条款来进行赔偿。</w:t>
      </w:r>
    </w:p>
    <w:p w14:paraId="5E57D0BA">
      <w:pPr>
        <w:tabs>
          <w:tab w:val="left" w:pos="180"/>
          <w:tab w:val="left" w:pos="1620"/>
        </w:tabs>
        <w:spacing w:line="460" w:lineRule="exact"/>
        <w:ind w:firstLine="420" w:firstLineChars="200"/>
        <w:jc w:val="left"/>
        <w:rPr>
          <w:rFonts w:hint="eastAsia" w:ascii="宋体" w:hAnsi="宋体" w:eastAsia="宋体" w:cs="宋体"/>
        </w:rPr>
      </w:pPr>
      <w:r>
        <w:rPr>
          <w:rFonts w:hint="eastAsia" w:ascii="宋体" w:hAnsi="宋体" w:eastAsia="宋体" w:cs="宋体"/>
        </w:rPr>
        <w:t>5.投标人应对投标内容所涉及的专利承担法律责任，并负责保护采购人的利益不受任何损害。一切由于文字、商标、技术和软件专利授权引起的法律裁决、诉讼和赔偿费用均由中标供应商负责。</w:t>
      </w:r>
    </w:p>
    <w:p w14:paraId="33B53D0F">
      <w:pPr>
        <w:tabs>
          <w:tab w:val="left" w:pos="180"/>
          <w:tab w:val="left" w:pos="1620"/>
        </w:tabs>
        <w:spacing w:line="460" w:lineRule="exact"/>
        <w:ind w:firstLine="420" w:firstLineChars="200"/>
        <w:jc w:val="left"/>
        <w:rPr>
          <w:rFonts w:ascii="宋体" w:hAnsi="宋体" w:eastAsia="宋体" w:cs="宋体"/>
          <w:u w:val="single"/>
        </w:rPr>
      </w:pPr>
      <w:r>
        <w:rPr>
          <w:rFonts w:hint="eastAsia" w:ascii="宋体" w:hAnsi="宋体" w:eastAsia="宋体" w:cs="宋体"/>
        </w:rPr>
        <w:t>6.本项目所有采购标的对应的中小企业划分标准所属行业：</w:t>
      </w:r>
      <w:r>
        <w:rPr>
          <w:rFonts w:hint="eastAsia" w:ascii="宋体" w:hAnsi="宋体" w:eastAsia="宋体" w:cs="宋体"/>
          <w:u w:val="single"/>
        </w:rPr>
        <w:t>工业</w:t>
      </w:r>
    </w:p>
    <w:bookmarkEnd w:id="0"/>
    <w:tbl>
      <w:tblPr>
        <w:tblStyle w:val="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090"/>
        <w:gridCol w:w="780"/>
        <w:gridCol w:w="7277"/>
      </w:tblGrid>
      <w:tr w14:paraId="128C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3" w:type="dxa"/>
            <w:gridSpan w:val="4"/>
            <w:tcBorders>
              <w:top w:val="single" w:color="auto" w:sz="4" w:space="0"/>
              <w:left w:val="single" w:color="auto" w:sz="4" w:space="0"/>
              <w:right w:val="single" w:color="auto" w:sz="4" w:space="0"/>
            </w:tcBorders>
            <w:noWrap/>
            <w:vAlign w:val="center"/>
          </w:tcPr>
          <w:p w14:paraId="15C7A00E">
            <w:pPr>
              <w:snapToGrid w:val="0"/>
              <w:spacing w:line="360" w:lineRule="exact"/>
              <w:ind w:left="-107" w:leftChars="-51" w:right="-107" w:rightChars="-51"/>
              <w:jc w:val="center"/>
              <w:rPr>
                <w:rFonts w:ascii="宋体" w:hAnsi="宋体" w:eastAsia="宋体" w:cs="宋体"/>
                <w:b/>
                <w:szCs w:val="21"/>
              </w:rPr>
            </w:pPr>
            <w:r>
              <w:rPr>
                <w:rFonts w:hint="eastAsia" w:ascii="宋体" w:hAnsi="宋体" w:eastAsia="宋体" w:cs="宋体"/>
                <w:b/>
                <w:szCs w:val="21"/>
              </w:rPr>
              <w:t>需求一览表</w:t>
            </w:r>
          </w:p>
        </w:tc>
      </w:tr>
      <w:tr w14:paraId="428E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right w:val="single" w:color="auto" w:sz="4" w:space="0"/>
            </w:tcBorders>
            <w:noWrap/>
            <w:vAlign w:val="center"/>
          </w:tcPr>
          <w:p w14:paraId="7760DFCF">
            <w:pPr>
              <w:snapToGrid w:val="0"/>
              <w:spacing w:line="360" w:lineRule="exact"/>
              <w:jc w:val="center"/>
              <w:rPr>
                <w:rFonts w:ascii="宋体" w:hAnsi="宋体" w:eastAsia="宋体" w:cs="宋体"/>
                <w:b/>
                <w:szCs w:val="21"/>
              </w:rPr>
            </w:pPr>
            <w:r>
              <w:rPr>
                <w:rFonts w:hint="eastAsia" w:ascii="宋体" w:hAnsi="宋体" w:eastAsia="宋体" w:cs="宋体"/>
                <w:b/>
                <w:szCs w:val="21"/>
              </w:rPr>
              <w:t>序号</w:t>
            </w:r>
          </w:p>
        </w:tc>
        <w:tc>
          <w:tcPr>
            <w:tcW w:w="1090" w:type="dxa"/>
            <w:tcBorders>
              <w:top w:val="single" w:color="auto" w:sz="4" w:space="0"/>
              <w:left w:val="nil"/>
              <w:bottom w:val="single" w:color="auto" w:sz="4" w:space="0"/>
              <w:right w:val="single" w:color="auto" w:sz="4" w:space="0"/>
            </w:tcBorders>
            <w:noWrap/>
            <w:vAlign w:val="center"/>
          </w:tcPr>
          <w:p w14:paraId="1FE3DD8F">
            <w:pPr>
              <w:snapToGrid w:val="0"/>
              <w:spacing w:line="360" w:lineRule="exact"/>
              <w:jc w:val="center"/>
              <w:rPr>
                <w:rFonts w:ascii="宋体" w:hAnsi="宋体" w:eastAsia="宋体" w:cs="宋体"/>
                <w:b/>
                <w:szCs w:val="21"/>
              </w:rPr>
            </w:pPr>
            <w:r>
              <w:rPr>
                <w:rFonts w:hint="eastAsia" w:ascii="宋体" w:hAnsi="宋体" w:eastAsia="宋体" w:cs="宋体"/>
                <w:b/>
                <w:szCs w:val="21"/>
              </w:rPr>
              <w:t>标的名称</w:t>
            </w:r>
          </w:p>
        </w:tc>
        <w:tc>
          <w:tcPr>
            <w:tcW w:w="780" w:type="dxa"/>
            <w:tcBorders>
              <w:top w:val="single" w:color="auto" w:sz="4" w:space="0"/>
              <w:left w:val="nil"/>
              <w:bottom w:val="single" w:color="auto" w:sz="4" w:space="0"/>
              <w:right w:val="single" w:color="auto" w:sz="4" w:space="0"/>
            </w:tcBorders>
            <w:noWrap/>
            <w:vAlign w:val="center"/>
          </w:tcPr>
          <w:p w14:paraId="0A3531BF">
            <w:pPr>
              <w:snapToGrid w:val="0"/>
              <w:spacing w:line="360" w:lineRule="exact"/>
              <w:ind w:left="-107" w:leftChars="-51" w:right="-107" w:rightChars="-51"/>
              <w:jc w:val="center"/>
              <w:rPr>
                <w:rFonts w:ascii="宋体" w:hAnsi="宋体" w:eastAsia="宋体" w:cs="宋体"/>
                <w:b/>
                <w:szCs w:val="21"/>
              </w:rPr>
            </w:pPr>
            <w:r>
              <w:rPr>
                <w:rFonts w:hint="eastAsia" w:ascii="宋体" w:hAnsi="宋体" w:eastAsia="宋体" w:cs="宋体"/>
                <w:b/>
                <w:szCs w:val="21"/>
              </w:rPr>
              <w:t>数量及单位</w:t>
            </w:r>
          </w:p>
        </w:tc>
        <w:tc>
          <w:tcPr>
            <w:tcW w:w="7277" w:type="dxa"/>
            <w:tcBorders>
              <w:top w:val="single" w:color="auto" w:sz="4" w:space="0"/>
              <w:left w:val="nil"/>
              <w:bottom w:val="single" w:color="auto" w:sz="4" w:space="0"/>
              <w:right w:val="single" w:color="auto" w:sz="4" w:space="0"/>
            </w:tcBorders>
            <w:noWrap/>
            <w:vAlign w:val="center"/>
          </w:tcPr>
          <w:p w14:paraId="5BE6847B">
            <w:pPr>
              <w:snapToGrid w:val="0"/>
              <w:spacing w:line="360" w:lineRule="exact"/>
              <w:ind w:left="-107" w:leftChars="-51" w:right="-107" w:rightChars="-51"/>
              <w:jc w:val="center"/>
              <w:rPr>
                <w:rFonts w:ascii="宋体" w:hAnsi="宋体" w:eastAsia="宋体" w:cs="宋体"/>
                <w:b/>
                <w:szCs w:val="21"/>
              </w:rPr>
            </w:pPr>
            <w:r>
              <w:rPr>
                <w:rFonts w:hint="eastAsia" w:ascii="宋体" w:hAnsi="宋体" w:eastAsia="宋体" w:cs="宋体"/>
                <w:b/>
                <w:szCs w:val="21"/>
              </w:rPr>
              <w:t>技术参数及配置</w:t>
            </w:r>
          </w:p>
        </w:tc>
      </w:tr>
      <w:tr w14:paraId="4545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1141E530">
            <w:pPr>
              <w:spacing w:line="360" w:lineRule="auto"/>
              <w:jc w:val="center"/>
              <w:rPr>
                <w:rFonts w:ascii="Times New Roman" w:hAnsi="Times New Roman" w:eastAsia="宋体" w:cs="Times New Roman"/>
                <w:szCs w:val="21"/>
              </w:rPr>
            </w:pPr>
            <w:r>
              <w:rPr>
                <w:rFonts w:hint="eastAsia" w:ascii="宋体" w:hAnsi="宋体" w:eastAsia="宋体" w:cs="Times New Roman"/>
                <w:szCs w:val="21"/>
              </w:rPr>
              <w:t>1</w:t>
            </w:r>
          </w:p>
        </w:tc>
        <w:tc>
          <w:tcPr>
            <w:tcW w:w="1090" w:type="dxa"/>
            <w:tcBorders>
              <w:top w:val="single" w:color="auto" w:sz="4" w:space="0"/>
              <w:left w:val="nil"/>
              <w:bottom w:val="single" w:color="auto" w:sz="4" w:space="0"/>
              <w:right w:val="single" w:color="auto" w:sz="4" w:space="0"/>
            </w:tcBorders>
            <w:noWrap/>
            <w:vAlign w:val="center"/>
          </w:tcPr>
          <w:p w14:paraId="4519CBFD">
            <w:pPr>
              <w:widowControl/>
              <w:jc w:val="center"/>
              <w:textAlignment w:val="center"/>
              <w:rPr>
                <w:rFonts w:ascii="Times New Roman" w:hAnsi="Times New Roman" w:eastAsia="宋体" w:cs="Times New Roman"/>
                <w:szCs w:val="21"/>
              </w:rPr>
            </w:pPr>
            <w:r>
              <w:rPr>
                <w:rFonts w:hint="eastAsia" w:ascii="宋体" w:hAnsi="宋体" w:eastAsia="宋体" w:cs="宋体"/>
                <w:color w:val="000000"/>
                <w:kern w:val="0"/>
                <w:sz w:val="20"/>
                <w:szCs w:val="20"/>
                <w:lang w:bidi="ar"/>
              </w:rPr>
              <w:t>三重四极杆液相色谱质谱联用仪</w:t>
            </w:r>
          </w:p>
        </w:tc>
        <w:tc>
          <w:tcPr>
            <w:tcW w:w="780" w:type="dxa"/>
            <w:tcBorders>
              <w:top w:val="single" w:color="auto" w:sz="4" w:space="0"/>
              <w:left w:val="nil"/>
              <w:bottom w:val="single" w:color="auto" w:sz="4" w:space="0"/>
              <w:right w:val="single" w:color="auto" w:sz="4" w:space="0"/>
            </w:tcBorders>
            <w:noWrap/>
            <w:vAlign w:val="center"/>
          </w:tcPr>
          <w:p w14:paraId="27E8F709">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4FFA3148">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1.用途：用于有机化学污染物的分析，如食品安全，农药残留分析，非法添加物和违禁添加药物分析，环境中有毒有害物质等样品的定性、定量及确证分析；符合国际、国内相关标准和法规的要求</w:t>
            </w:r>
          </w:p>
          <w:p w14:paraId="641421D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2.工作条件：电源：220V（交流)，温度：18℃～30℃，湿度：40%～70%</w:t>
            </w:r>
          </w:p>
          <w:p w14:paraId="1F39D8E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3.一般规格和要求：</w:t>
            </w:r>
          </w:p>
          <w:p w14:paraId="59A5B83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 仪器由计算机控制、配有ESI离子源</w:t>
            </w:r>
          </w:p>
          <w:p w14:paraId="1422A24E">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 Q1和Q3四极杆质量分析器必须均带有预过滤器</w:t>
            </w:r>
          </w:p>
          <w:p w14:paraId="7C8C89B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3.3 根据数据自动进行MS 和MS/MS切换</w:t>
            </w:r>
          </w:p>
          <w:p w14:paraId="3FD06488">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3.4 液相色谱与串联四极杆质谱仪均为同一厂家生产，保证联机技术的稳定性</w:t>
            </w:r>
          </w:p>
          <w:p w14:paraId="0055832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3.5 带有智能化操作模式，仪器可以自动进行系统调谐优化，确保用户系统准备就绪，系统状态检测，具备自动生成 MRM 方法的功能</w:t>
            </w:r>
          </w:p>
          <w:p w14:paraId="10AB3CA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4.液相色谱部分</w:t>
            </w:r>
          </w:p>
          <w:p w14:paraId="162D4B1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4.1输液单元（二元高压梯度泵）</w:t>
            </w:r>
          </w:p>
          <w:p w14:paraId="4E828C5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▲4.1.1流速范围：0.0001-5.000mL/min，递增率0.0001mL/min（投标文件中提供操作界面或软件截图证明）</w:t>
            </w:r>
          </w:p>
          <w:p w14:paraId="4F5B77D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4.1.2流速准确度：≤1%</w:t>
            </w:r>
          </w:p>
          <w:p w14:paraId="7871BD0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4.1.3流速精密度：≤0.07%</w:t>
            </w:r>
          </w:p>
          <w:p w14:paraId="6A15B3A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4.1.4梯度洗脱：0～100%，最小递增率为0.1%</w:t>
            </w:r>
          </w:p>
          <w:p w14:paraId="6ED2EBD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4.1.5输液压力：≥15000psi</w:t>
            </w:r>
          </w:p>
          <w:p w14:paraId="6447643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4.1.6混合准确度：±0.5%绝对值（满量程）</w:t>
            </w:r>
          </w:p>
          <w:p w14:paraId="1E3792B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4.1.7混合精度：≤0.15% RSD或±0.02 min SD（取较大者），基于6次重复进样的结果</w:t>
            </w:r>
          </w:p>
          <w:p w14:paraId="7BBB19F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4.1.8自我诊断/自我恢复：自动检测分析过程中意外混入的气泡，自动执行排气，快速恢复至正常分析状态</w:t>
            </w:r>
          </w:p>
          <w:p w14:paraId="488CB21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4.1.9流量智能控制功能：流速可随着柱温缓慢升高到设定值，防止瞬间高压损害色谱柱</w:t>
            </w:r>
          </w:p>
          <w:p w14:paraId="47A74A4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4.1.10流动相监测器瓶架：搭载重量感应器，自动计算批处理分析所需流动相总量，监控流动相余量，提示流动相不足，并可推送提醒信息至智能终端</w:t>
            </w:r>
          </w:p>
          <w:p w14:paraId="73D861F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4.1.11自动缓冲盐配置功能：可实现自动配置缓冲盐浓度和pH值梯度</w:t>
            </w:r>
          </w:p>
          <w:p w14:paraId="0E9D216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 自动进样器管理系统</w:t>
            </w:r>
          </w:p>
          <w:p w14:paraId="6FF2CBD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4.2.1样品容量：可以使用2mL样品瓶架容纳150个样品</w:t>
            </w:r>
          </w:p>
          <w:p w14:paraId="7B6C44C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4.2.2自动进样循环时间：≦6.7秒，进样速度：4秒</w:t>
            </w:r>
          </w:p>
          <w:p w14:paraId="3C6369DE">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4.2.3进样体积：0.1～20μL，增量：≤0.1μL；可使用扩展定量环最大扩到2000.0μL</w:t>
            </w:r>
          </w:p>
          <w:p w14:paraId="172C4AD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4.2.4容许使用压力：15000psi</w:t>
            </w:r>
          </w:p>
          <w:p w14:paraId="52AE556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4.2.5样品交叉污染度（样品残留）：对于咖啡因&lt;0.0003%</w:t>
            </w:r>
          </w:p>
          <w:p w14:paraId="59AE699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4.2.6配备针外润洗和进样口冲洗，针外壁送液清洗</w:t>
            </w:r>
          </w:p>
          <w:p w14:paraId="26C2E23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4.2.7样品管理器高级功能：样品稀释、添加、混合、直接混合进样、自动衍生</w:t>
            </w:r>
          </w:p>
          <w:p w14:paraId="7E16A8D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4.2.8样品室控温范围：4~45℃</w:t>
            </w:r>
          </w:p>
          <w:p w14:paraId="4D4BA0B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4.2.9进样次数：每个样品1～99次进样</w:t>
            </w:r>
          </w:p>
          <w:p w14:paraId="554D890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4.2.10进样方式：全量进样，进样量可变式</w:t>
            </w:r>
          </w:p>
          <w:p w14:paraId="517CB81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4.3柱温箱</w:t>
            </w:r>
          </w:p>
          <w:p w14:paraId="0DFAD77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4.3.1温度控制类型：强制空气循环为优，柱温箱内各点的温度恒定、均一</w:t>
            </w:r>
          </w:p>
          <w:p w14:paraId="11C880F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4.3.2控温范围：室温-10℃~80℃，温度稳定性：0.05℃；温度准确度：0.5℃</w:t>
            </w:r>
          </w:p>
          <w:p w14:paraId="35D2E108">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4.3.3双重漏液传感器：含气体和液体双重传感器</w:t>
            </w:r>
          </w:p>
          <w:p w14:paraId="71CE0A6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4.3.4色谱柱容量：同时容纳25cm柱5根或30cm柱3根，内置切换阀、保护柱，可利用色谱柱信息管理功能追踪并存档色谱柱的使用历史</w:t>
            </w:r>
          </w:p>
          <w:p w14:paraId="2F0A0ED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5.质谱部分</w:t>
            </w:r>
          </w:p>
          <w:p w14:paraId="234B2E3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 四级杆有预四级，能消除质量歧视，质量范围（m/z）：5-2000amu</w:t>
            </w:r>
          </w:p>
          <w:p w14:paraId="6EE4F93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5.2 灵敏度：</w:t>
            </w:r>
          </w:p>
          <w:p w14:paraId="71BD584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▲5.2.1 ESI源正离子方式：要求1pg利血平色谱柱进样，MRM离子对（609-&gt;195），信噪比S/N≥2000000:1（RMS）</w:t>
            </w:r>
          </w:p>
          <w:p w14:paraId="2501923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5.2.2 ESI源正离子方式：要求1pg利血平色谱柱进样，离子对MRM（609-&gt;195），峰峰比≥75000:1</w:t>
            </w:r>
          </w:p>
          <w:p w14:paraId="27BCD0D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5.2.3 ESI源正离子方式：要求5fg利血平色谱柱进样，离子对（609-&gt;195），IDL≤0.5fg</w:t>
            </w:r>
          </w:p>
          <w:p w14:paraId="12C0B11E">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5.2.4 ESI负离子方式：要求1pg色谱柱进样，氯霉素信噪比≥2000000:1(RMS)</w:t>
            </w:r>
          </w:p>
          <w:p w14:paraId="3EF8A8A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5.2.5 ESI负离子方式：要求5fg氯霉素色谱柱进样，离子对（321-&gt;125），IDL≤0.5fg</w:t>
            </w:r>
          </w:p>
          <w:p w14:paraId="62711EE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5.3 MRM驻留时间 (dwell time) ≦1ms，能自动按照离子对数目自动优化驻留时间</w:t>
            </w:r>
          </w:p>
          <w:p w14:paraId="0DD4DDB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5.4分辨率：≥2.5M(半峰宽≤0.4Da)</w:t>
            </w:r>
          </w:p>
          <w:p w14:paraId="67FA997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▲5.5质谱扫描速度：≥20000u/sec，最小步径为0.1u；（投标文件中提供软件设置界面截图证明）</w:t>
            </w:r>
          </w:p>
          <w:p w14:paraId="5E35AD7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▲5.6正负模式切换速率：≤10ms，实现正、负离子同时采集（投标文件中提供软件设置界面或操作屏幕截图证明）</w:t>
            </w:r>
          </w:p>
          <w:p w14:paraId="6540096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5.7 质量稳定性：平均标准偏差≤0.1Da /24hrs，全质量范围偏差≤0.01%</w:t>
            </w:r>
          </w:p>
          <w:p w14:paraId="37167F9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5.8 MRM通道数量：一次进样完成≥30000个MRM离子对同时分析，且保证灵敏度和重现性不受损失</w:t>
            </w:r>
          </w:p>
          <w:p w14:paraId="6FFC9FE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 xml:space="preserve">5.9 MRM通道速度：≥500MRM/s </w:t>
            </w:r>
          </w:p>
          <w:p w14:paraId="5A7BCCD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5.10离子源和进样系统（前端配流路切换阀）</w:t>
            </w:r>
          </w:p>
          <w:p w14:paraId="27B72C4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▲5.10.1离子源接口：离子源为独立电喷雾离子源，非锥孔结构，离子源的清洁、维护无需卸除质谱真空系统</w:t>
            </w:r>
          </w:p>
          <w:p w14:paraId="34BECC1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5.10.2离子源流速范围：在确保灵敏度不损失的前提下，实现高流速，1μL/min～2000μL/min</w:t>
            </w:r>
          </w:p>
          <w:p w14:paraId="75595B5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▲5.10.3 ESI离子源加热气设计：独立的离子源加热辅助气设计，为提高脱溶剂化效果，脱溶剂温度必须≥650℃，该温度可以在控制软件上进行设定（投标文件中提供软件设置界面截图证明）</w:t>
            </w:r>
          </w:p>
          <w:p w14:paraId="6A7F4BD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5.10.4待机过程时，不消耗氮气</w:t>
            </w:r>
          </w:p>
          <w:p w14:paraId="753F0B1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5.11质量分析器：串联四极杆型质量分析器，双曲面全金属钼四极杆，不需要控温即可保持四极杆的抗污染能力及保证质量数稳定（≤0.1Da/24Hr）；不接受控温型四极杆，防止控温不准造成质量数漂移</w:t>
            </w:r>
          </w:p>
          <w:p w14:paraId="74C7F76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5.11.1 Q1四极杆设计：Q1带有预四极杆和后四极杆用作离子聚焦和抗污染功能，具备Q1扫描或Q1选择离子监测SIM功能</w:t>
            </w:r>
          </w:p>
          <w:p w14:paraId="3591DE1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5.11.2 Q2碰撞室设计：碰撞室采用多极杆超快速碰撞室，实现快速MRM性能，采用曲线型加速电势场加碰撞气压控制，同时进行线性高压加速</w:t>
            </w:r>
          </w:p>
          <w:p w14:paraId="7119D45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5.11.3 Q2碰撞室能对离子进行高压加速，提高离子利用率</w:t>
            </w:r>
          </w:p>
          <w:p w14:paraId="0858F0C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5.11.4 Q3四极杆设计：Q3前端带有预四极杆用作离子聚焦和抗污染功能</w:t>
            </w:r>
          </w:p>
          <w:p w14:paraId="25244A7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5.11.5具有全扫描、选择离子扫描、子离子扫描、母离子扫描、中性丢失扫描、多反应监测扫描</w:t>
            </w:r>
          </w:p>
          <w:p w14:paraId="3B674A3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5.12 检测器：离轴连续打拿电子倍增器，动态范围：8×106，检测器前端采用具备离子聚焦及中性噪音过滤功能的电子透镜设计</w:t>
            </w:r>
          </w:p>
          <w:p w14:paraId="34E9C08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5.13自动调谐参数（质谱分辨率、质谱校准、离子源优化）</w:t>
            </w:r>
          </w:p>
          <w:p w14:paraId="7E25195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5.14方法优化系统：自动优化每个目标化合物的质谱参数，包括最佳碰撞电压，MS/MS的碰撞能量等，自动存储方法参数，直接调用</w:t>
            </w:r>
          </w:p>
          <w:p w14:paraId="38ECD8B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5.15质谱软件可以自动MRM参数生成优化功能，不需要手动逐条输入MRM参数；可以不需要注射泵，直接液相联机柱上进样即可MRM自动优化；一键式触发全自动定量数据处理和报告功能；同时如需要，也可以采用手动模式修改MRM参数及其它定量批处理方法</w:t>
            </w:r>
          </w:p>
          <w:p w14:paraId="05E6EC1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5.16质谱软件报告可中文显示，可自由添加、修改、提取化合物的信息，分析和处理方法</w:t>
            </w:r>
          </w:p>
          <w:p w14:paraId="713B9288">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5.17质谱系统软件能对整套系统进行控制,进行数据采集、数据处理、定性分析和定量分析、建立数据库功能，谱库检索功能，GLP认证、自动校正和全自动分析功能，符合FDA 21 CFR Part 11要求</w:t>
            </w:r>
          </w:p>
          <w:p w14:paraId="01DA42A3">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5.18独立定量优化和处理软件：能够处理由大量MRM通道和样本组成的大批量数据，提高了分析效率</w:t>
            </w:r>
          </w:p>
          <w:p w14:paraId="10A2F5A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6主机配置要求（以下仪器构成只涉及主要仪器设备，中标供应商应确保设备安装调试后能正常开展检测工作，出具检验报告）</w:t>
            </w:r>
          </w:p>
          <w:p w14:paraId="1D467BA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6.1 超高压输液泵2套</w:t>
            </w:r>
          </w:p>
          <w:p w14:paraId="4533C2A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6.2三路在线脱气机1套</w:t>
            </w:r>
          </w:p>
          <w:p w14:paraId="134C4B3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6.3带制冷的自动进样器1套</w:t>
            </w:r>
          </w:p>
          <w:p w14:paraId="2DCC25D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6.4智能柱温箱1套</w:t>
            </w:r>
          </w:p>
          <w:p w14:paraId="57E9D7F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6.5色谱柱C18(2.1mmI.D.×100mm,1.9um)1根</w:t>
            </w:r>
          </w:p>
          <w:p w14:paraId="19106E4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6.6高效混合器1套</w:t>
            </w:r>
          </w:p>
          <w:p w14:paraId="73A06B13">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6.7 串接四极杆液质主机1台</w:t>
            </w:r>
          </w:p>
          <w:p w14:paraId="7081D1C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6.8 氮气发生器1台（输出氮气流量：0-25L/min，输出干燥空气流量：0-25L/min，氮气纯度：99.5%）</w:t>
            </w:r>
          </w:p>
          <w:p w14:paraId="742A4DA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6.9 超高压色谱方法与常规色谱方法转换软件1套</w:t>
            </w:r>
          </w:p>
          <w:p w14:paraId="19A4735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6.10耐高压流路切换阀1个</w:t>
            </w:r>
          </w:p>
          <w:p w14:paraId="478D95F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6.11液质接口离子源ESI源1套；</w:t>
            </w:r>
          </w:p>
          <w:p w14:paraId="0F6BF96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6.12原厂质谱中文工作站软件1套；</w:t>
            </w:r>
          </w:p>
          <w:p w14:paraId="7B1DFAAE">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6.13包含两年消耗品包1套</w:t>
            </w:r>
          </w:p>
          <w:p w14:paraId="3D62738C">
            <w:pPr>
              <w:widowControl/>
              <w:spacing w:line="360" w:lineRule="auto"/>
              <w:jc w:val="left"/>
              <w:textAlignment w:val="center"/>
              <w:rPr>
                <w:rFonts w:ascii="宋体" w:hAnsi="宋体" w:eastAsia="宋体" w:cs="宋体"/>
                <w:szCs w:val="21"/>
              </w:rPr>
            </w:pPr>
            <w:r>
              <w:rPr>
                <w:rFonts w:hint="eastAsia" w:ascii="宋体" w:hAnsi="宋体" w:eastAsia="宋体" w:cs="宋体"/>
                <w:szCs w:val="21"/>
              </w:rPr>
              <w:t>6.14中文串联质谱农残、兽残数据库1套，药品及个人护理品数据库1套，真菌毒素、海洋毒素数据库1套，化妆品风险物质分析数据库1套</w:t>
            </w:r>
          </w:p>
        </w:tc>
      </w:tr>
      <w:tr w14:paraId="133D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6323EE85">
            <w:pPr>
              <w:spacing w:line="360" w:lineRule="auto"/>
              <w:jc w:val="center"/>
              <w:rPr>
                <w:rFonts w:hint="eastAsia" w:ascii="宋体" w:hAnsi="宋体" w:eastAsia="宋体" w:cs="Times New Roman"/>
                <w:szCs w:val="21"/>
              </w:rPr>
            </w:pPr>
            <w:r>
              <w:rPr>
                <w:rFonts w:hint="eastAsia" w:ascii="宋体" w:hAnsi="宋体" w:eastAsia="宋体" w:cs="Times New Roman"/>
                <w:szCs w:val="21"/>
              </w:rPr>
              <w:t>2</w:t>
            </w:r>
          </w:p>
        </w:tc>
        <w:tc>
          <w:tcPr>
            <w:tcW w:w="1090" w:type="dxa"/>
            <w:tcBorders>
              <w:top w:val="single" w:color="auto" w:sz="4" w:space="0"/>
              <w:left w:val="nil"/>
              <w:bottom w:val="single" w:color="auto" w:sz="4" w:space="0"/>
              <w:right w:val="single" w:color="auto" w:sz="4" w:space="0"/>
            </w:tcBorders>
            <w:noWrap/>
            <w:vAlign w:val="center"/>
          </w:tcPr>
          <w:p w14:paraId="30F86BBA">
            <w:pPr>
              <w:widowControl/>
              <w:jc w:val="center"/>
              <w:textAlignment w:val="center"/>
              <w:rPr>
                <w:rFonts w:ascii="Times New Roman" w:hAnsi="Times New Roman" w:eastAsia="宋体" w:cs="Times New Roman"/>
                <w:szCs w:val="21"/>
              </w:rPr>
            </w:pPr>
            <w:r>
              <w:rPr>
                <w:rFonts w:hint="eastAsia" w:ascii="宋体" w:hAnsi="宋体" w:eastAsia="宋体" w:cs="宋体"/>
                <w:color w:val="000000"/>
                <w:kern w:val="0"/>
                <w:sz w:val="20"/>
                <w:szCs w:val="20"/>
                <w:lang w:bidi="ar"/>
              </w:rPr>
              <w:t>384高通量荧光定量PCR仪</w:t>
            </w:r>
          </w:p>
        </w:tc>
        <w:tc>
          <w:tcPr>
            <w:tcW w:w="780" w:type="dxa"/>
            <w:tcBorders>
              <w:top w:val="single" w:color="auto" w:sz="4" w:space="0"/>
              <w:left w:val="nil"/>
              <w:bottom w:val="single" w:color="auto" w:sz="4" w:space="0"/>
              <w:right w:val="single" w:color="auto" w:sz="4" w:space="0"/>
            </w:tcBorders>
            <w:noWrap/>
            <w:vAlign w:val="center"/>
          </w:tcPr>
          <w:p w14:paraId="3CF36D6D">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5A4B5EC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1.工作环境</w:t>
            </w:r>
          </w:p>
          <w:p w14:paraId="7060592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1.1工作温度：5-32℃</w:t>
            </w:r>
          </w:p>
          <w:p w14:paraId="3CFE521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1.2工作湿度：20-80%</w:t>
            </w:r>
          </w:p>
          <w:p w14:paraId="7447609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1.3工作电压：100-240VAC,50-60Hz</w:t>
            </w:r>
          </w:p>
          <w:p w14:paraId="02B52BD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2.设备用途</w:t>
            </w:r>
          </w:p>
          <w:p w14:paraId="55F882E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可用于病原体检测、基因表达分析、遗传基因检测、突变检测、拷贝数变异分析、高分辨率熔解曲线分析、基因分型分析等多种研究领域</w:t>
            </w:r>
          </w:p>
          <w:p w14:paraId="65C96173">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3.主要性能</w:t>
            </w:r>
          </w:p>
          <w:p w14:paraId="348FBAD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3.1主要功能</w:t>
            </w:r>
          </w:p>
          <w:p w14:paraId="49B0CCD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3.1.1在PCR过程中实时监测、实时在线显示反应过程</w:t>
            </w:r>
          </w:p>
          <w:p w14:paraId="6F7F2073">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3.1.2具备出色的温控系统，保证整个反应过程中的温控精确、均匀一致、升降温快速</w:t>
            </w:r>
          </w:p>
          <w:p w14:paraId="53D696D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3.1.3可同时检测6色荧光</w:t>
            </w:r>
          </w:p>
          <w:p w14:paraId="2452719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3.1.4完全试剂开放，各种科研和临床试剂适用</w:t>
            </w:r>
          </w:p>
          <w:p w14:paraId="5E82AB6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3.1.5适用于染料法及探针法荧光标记</w:t>
            </w:r>
          </w:p>
          <w:p w14:paraId="748677A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3.1.6采用普通的384孔板，消耗品成本低</w:t>
            </w:r>
          </w:p>
          <w:p w14:paraId="018D71F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3.2主要技术指标</w:t>
            </w:r>
          </w:p>
          <w:p w14:paraId="16CB5F5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3.2.1光源：长寿命免维护高效LED</w:t>
            </w:r>
          </w:p>
          <w:p w14:paraId="0AE90DC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3.2.2▲检测器：高效MPPC。</w:t>
            </w:r>
          </w:p>
          <w:p w14:paraId="26E97F3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3.2.3▲发射光透镜：菲涅尔透镜</w:t>
            </w:r>
          </w:p>
          <w:p w14:paraId="3A2FB278">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3.2.4激发/检测范围：415-685nm/455-745nm</w:t>
            </w:r>
          </w:p>
          <w:p w14:paraId="058FAA0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3.2.5▲荧光检测通道：6个，可同时检测5个目标基因</w:t>
            </w:r>
          </w:p>
          <w:p w14:paraId="724311A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3.2.6检测灵敏度：能检测1拷贝人基因组DNA基因</w:t>
            </w:r>
          </w:p>
          <w:p w14:paraId="7D7CCDC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3.2.7▲分辨率：在单重反应中可区分1.33倍浓度差异</w:t>
            </w:r>
          </w:p>
          <w:p w14:paraId="3D91F50E">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3.2.8动态范围：10个数量级</w:t>
            </w:r>
          </w:p>
          <w:p w14:paraId="33BBBC5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3.2.9▲扫描模式：具备双FAM通道及时间分辨多色快速逐孔（384孔）扫描，减少非目标光路光强及相差差异，扫描≤17秒</w:t>
            </w:r>
          </w:p>
          <w:p w14:paraId="1C59429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3.2.10最大样品容量：384个</w:t>
            </w:r>
          </w:p>
          <w:p w14:paraId="4E6B895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3.2.11反应体系：1-30µl</w:t>
            </w:r>
          </w:p>
          <w:p w14:paraId="0EACFBA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3.2.12升降温方式：半导体Peltier加热/制冷</w:t>
            </w:r>
          </w:p>
          <w:p w14:paraId="79488B9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3.2.13▲温控模块采用镂空式设计，并结合边缘温度补偿技术，实现极佳的温度均一性及稳定性</w:t>
            </w:r>
          </w:p>
          <w:p w14:paraId="147AAB7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3.2.14最大升降温速率≥6°C/秒</w:t>
            </w:r>
          </w:p>
          <w:p w14:paraId="49CB987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3.2.15温度均一性：±0.1°C</w:t>
            </w:r>
          </w:p>
          <w:p w14:paraId="0517FFB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3.2.16温度准确性：±0.1°C</w:t>
            </w:r>
          </w:p>
          <w:p w14:paraId="264557F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3.2.17温度范围：4-100°C</w:t>
            </w:r>
          </w:p>
          <w:p w14:paraId="6C803BA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3.2.18▲数据分析模式：绝对定量、相对定量（△△Cq）、相对定量（双标准曲线）、核酸熔解曲线、高分辨率熔解曲线（HRM）、蛋白热稳定性、基因分型分析功、终点荧光（阴阳性鉴定）分析等（投标文件中提供相应功能软件截图）</w:t>
            </w:r>
          </w:p>
          <w:p w14:paraId="6C4B0C0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3.2.19</w:t>
            </w:r>
            <w:r>
              <w:rPr>
                <w:rFonts w:hint="eastAsia" w:ascii="Times New Roman" w:hAnsi="Times New Roman" w:eastAsia="宋体" w:cs="Times New Roman"/>
              </w:rPr>
              <w:t>▲软件具有</w:t>
            </w:r>
            <w:r>
              <w:rPr>
                <w:rFonts w:ascii="Times New Roman" w:hAnsi="Times New Roman" w:eastAsia="宋体" w:cs="Times New Roman"/>
              </w:rPr>
              <w:t>暂停功能</w:t>
            </w:r>
            <w:r>
              <w:rPr>
                <w:rFonts w:ascii="宋体" w:hAnsi="宋体" w:eastAsia="宋体" w:cs="宋体"/>
                <w:szCs w:val="21"/>
              </w:rPr>
              <w:t>，可设置10个梯度温</w:t>
            </w:r>
            <w:r>
              <w:rPr>
                <w:rFonts w:ascii="Times New Roman" w:hAnsi="Times New Roman" w:eastAsia="宋体" w:cs="Times New Roman"/>
              </w:rPr>
              <w:t>度，</w:t>
            </w:r>
            <w:r>
              <w:rPr>
                <w:rFonts w:hint="eastAsia" w:ascii="宋体" w:hAnsi="宋体" w:eastAsia="宋体" w:cs="宋体"/>
                <w:szCs w:val="21"/>
              </w:rPr>
              <w:t>软件具有实验报告功能，可通过规则设置预设判定条件，自动完成结果判定（投标文件中提供相应功能软件截图）。</w:t>
            </w:r>
          </w:p>
          <w:p w14:paraId="05DB3F5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3.2.20▲适配LIMS系统及自动进样机械臂，可实现全自动化运行。</w:t>
            </w:r>
          </w:p>
          <w:p w14:paraId="2D993D4D">
            <w:pPr>
              <w:widowControl/>
              <w:spacing w:line="360" w:lineRule="auto"/>
              <w:jc w:val="left"/>
              <w:textAlignment w:val="center"/>
              <w:rPr>
                <w:rFonts w:ascii="宋体" w:hAnsi="宋体" w:eastAsia="宋体" w:cs="宋体"/>
                <w:szCs w:val="21"/>
              </w:rPr>
            </w:pPr>
            <w:r>
              <w:rPr>
                <w:rFonts w:hint="eastAsia" w:ascii="宋体" w:hAnsi="宋体" w:eastAsia="宋体" w:cs="宋体"/>
                <w:szCs w:val="21"/>
              </w:rPr>
              <w:t>3.2.21数据导出：Excel或txt、用户报告包含运行设置，图形和表格数据结果，可直接打印或保存为PDF。</w:t>
            </w:r>
          </w:p>
        </w:tc>
      </w:tr>
      <w:tr w14:paraId="63B1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732D6BC1">
            <w:pPr>
              <w:spacing w:line="360" w:lineRule="auto"/>
              <w:jc w:val="center"/>
              <w:rPr>
                <w:rFonts w:hint="eastAsia" w:ascii="宋体" w:hAnsi="宋体" w:eastAsia="宋体" w:cs="Times New Roman"/>
                <w:szCs w:val="21"/>
              </w:rPr>
            </w:pPr>
            <w:r>
              <w:rPr>
                <w:rFonts w:hint="eastAsia" w:ascii="宋体" w:hAnsi="宋体" w:eastAsia="宋体" w:cs="Times New Roman"/>
                <w:szCs w:val="21"/>
              </w:rPr>
              <w:t>3</w:t>
            </w:r>
          </w:p>
        </w:tc>
        <w:tc>
          <w:tcPr>
            <w:tcW w:w="1090" w:type="dxa"/>
            <w:tcBorders>
              <w:top w:val="single" w:color="auto" w:sz="4" w:space="0"/>
              <w:left w:val="nil"/>
              <w:bottom w:val="single" w:color="auto" w:sz="4" w:space="0"/>
              <w:right w:val="single" w:color="auto" w:sz="4" w:space="0"/>
            </w:tcBorders>
            <w:noWrap/>
            <w:vAlign w:val="center"/>
          </w:tcPr>
          <w:p w14:paraId="498381FF">
            <w:pPr>
              <w:widowControl/>
              <w:spacing w:line="360" w:lineRule="auto"/>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电感耦合等离子体质谱仪</w:t>
            </w:r>
          </w:p>
        </w:tc>
        <w:tc>
          <w:tcPr>
            <w:tcW w:w="780" w:type="dxa"/>
            <w:tcBorders>
              <w:top w:val="single" w:color="auto" w:sz="4" w:space="0"/>
              <w:left w:val="nil"/>
              <w:bottom w:val="single" w:color="auto" w:sz="4" w:space="0"/>
              <w:right w:val="single" w:color="auto" w:sz="4" w:space="0"/>
            </w:tcBorders>
            <w:noWrap/>
            <w:vAlign w:val="center"/>
          </w:tcPr>
          <w:p w14:paraId="260BA1F5">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42AA72C9">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1.仪器基本要求</w:t>
            </w:r>
          </w:p>
          <w:p w14:paraId="2240F5F2">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1.1 基本结构：由进样系统、电感耦合等离子体（离子源）、接口和离子透镜、碰撞/反应池、质量过滤器、检测器等部分构成。由专业软件对仪器进行控制，并对数据进行获取、压缩、处理显示和存储。质谱仪还应包括维持高真空的必要设备。</w:t>
            </w:r>
          </w:p>
          <w:p w14:paraId="2C4C1147">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1.2 应用范围：适用于食品、环境、医药、地质、金属材料、生物样品、化工材料、消费品等多领域、不同类型样品分析要求。能进行样品定性、半定量、定量、同位素比、元素形态分析。</w:t>
            </w:r>
          </w:p>
          <w:p w14:paraId="3154E9C8">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 仪器基本参数</w:t>
            </w:r>
          </w:p>
          <w:p w14:paraId="5C11B54F">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2.1 进样系统</w:t>
            </w:r>
          </w:p>
          <w:p w14:paraId="186BB67D">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2.1.1 雾化器：高效同心雾化器，提供最佳雾化效率。</w:t>
            </w:r>
          </w:p>
          <w:p w14:paraId="5E9B6F8C">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2.1.2 雾化室：双通道石英雾室，必须配置高效半导体控温装置，控温连续可调，低温提升去溶剂效果。</w:t>
            </w:r>
          </w:p>
          <w:p w14:paraId="2FF512A6">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2.1.3 ▲高基体进样系统：仪器配置全自动气溶胶稀释装置，实现对高盐样品的在线气溶胶稀释，最大稀释倍数不低于90倍，可直接分析不小于25%总溶解固体量（TDS）样品，独立高精度质量流量计（MFC）控制氩气自动稀释高盐样品，稀释气流速0~2.00L/min，0.01L/min连续可调，软件内置4倍、8倍、25倍、50倍、100倍的稀释条件供用户自由切换。（投标文件中提供软件截图证明）</w:t>
            </w:r>
          </w:p>
          <w:p w14:paraId="4685E7D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2.2 等离子体</w:t>
            </w:r>
          </w:p>
          <w:p w14:paraId="63B30AA9">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2.2.1 ▲数控式、固态射频发生器，最高功率不低于1600W，射频频率≤27.12MHz。</w:t>
            </w:r>
          </w:p>
          <w:p w14:paraId="54FED71B">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2.2.2 射频线圈必须采用主动式循环水冷却，确保散热充分。</w:t>
            </w:r>
          </w:p>
          <w:p w14:paraId="1B338FED">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2.2.3 等离子体气路控制：至少配备4个高精度气体质量流量计(MFC)，分别控制包含等离子体气、辅助气、载气、补偿气等气体流量。</w:t>
            </w:r>
          </w:p>
          <w:p w14:paraId="38E34434">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2.2.4 可以纯有机溶剂直接点火，具有有机溶剂专用点火模式，有效支持有机溶剂为样品载体的应用及测试工作。</w:t>
            </w:r>
          </w:p>
          <w:p w14:paraId="3E045619">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2.2.5 炬管为一体式全石英材质。无O型圈设计，拆卸和安装方便。炬管位置可进行沿中心轴方向的采样深度自动调节，范围不小于5-28mm。</w:t>
            </w:r>
          </w:p>
          <w:p w14:paraId="5BF0E6DD">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2.2.6 ▲具有消除二次放电系统，配备铂质屏蔽矩，真实接地彻底杜绝二次放电，同时精确控制离子能量1eV以内（投标文件中提供屏蔽矩实物图证明）。若无法提供屏蔽矩实物图，须另配10套射频线圈以备更换。</w:t>
            </w:r>
          </w:p>
          <w:p w14:paraId="6FB7C45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2.3 接口和离子透镜</w:t>
            </w:r>
          </w:p>
          <w:p w14:paraId="5CC4D6B4">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2.3.1 接口：镍质采样锥和截取锥组成主流双锥接口设计，锥数量≤2个。具有≤1.0mm的采样锥孔、≤0.50mm的截取锥孔，减少高基体样品进入仪器真空腔，保证质谱系统得长期稳定性，减少真空腔内的维护。锥上不得施加任何电压，采样锥和截取锥之间不得通入任何气体。若截取锥配有嵌片，须另配10套稳健嵌片以备更换。</w:t>
            </w:r>
          </w:p>
          <w:p w14:paraId="69ACB8BA">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2.3.2 ▲离子透镜：由离子提取和偏转透镜组成，配备不少于2个提取透镜，可通过电压调节来控制粒子提取效果，提升全质量范围粒子传输效率。透镜维护时无须关闭高真空系统。（投标文件中提供软件界面截图证明）</w:t>
            </w:r>
          </w:p>
          <w:p w14:paraId="35EAD647">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2.4 碰撞/反应池</w:t>
            </w:r>
          </w:p>
          <w:p w14:paraId="6EA7831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2.4.1 配备碰撞反应池，八极杆设计，碰撞反应池具有温控功能，保证运行稳定性并能有效耐污染，池内温度范围55~95℃，0.1℃连续可调。（投标文件中提供池温控软件截图证明）</w:t>
            </w:r>
          </w:p>
          <w:p w14:paraId="3DA10F74">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2.4.2 配置高精度质量流量计控制通入池中高纯氦气，流速0~12mL/min连续可调。（投标文件中提供He气流速软件截图证明）</w:t>
            </w:r>
          </w:p>
          <w:p w14:paraId="78368655">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2.4.3 碰撞/反应池至少拥有三种工作模式，标准模式、氦气碰撞模式、高能干扰消除模式，除干扰以碰撞模式为优先，不同模式切换时间≤5秒。</w:t>
            </w:r>
          </w:p>
          <w:p w14:paraId="3BBE5EF5">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2.4.4 碰撞/反应池干扰消除能力：由于ArAr</w:t>
            </w:r>
            <w:r>
              <w:rPr>
                <w:rFonts w:hint="eastAsia" w:ascii="Times New Roman" w:hAnsi="Times New Roman" w:eastAsia="宋体" w:cs="Times New Roman"/>
                <w:vertAlign w:val="superscript"/>
              </w:rPr>
              <w:t>+</w:t>
            </w:r>
            <w:r>
              <w:rPr>
                <w:rFonts w:hint="eastAsia" w:ascii="Times New Roman" w:hAnsi="Times New Roman" w:eastAsia="宋体" w:cs="Times New Roman"/>
              </w:rPr>
              <w:t>多原子离子对Se元素的严重干扰使之成为判断除干扰模式有效与否的关键指标，在无须使用CH</w:t>
            </w:r>
            <w:r>
              <w:rPr>
                <w:rFonts w:hint="eastAsia" w:ascii="Times New Roman" w:hAnsi="Times New Roman" w:eastAsia="宋体" w:cs="Times New Roman"/>
                <w:vertAlign w:val="subscript"/>
              </w:rPr>
              <w:t>4</w:t>
            </w:r>
            <w:r>
              <w:rPr>
                <w:rFonts w:hint="eastAsia" w:ascii="Times New Roman" w:hAnsi="Times New Roman" w:eastAsia="宋体" w:cs="Times New Roman"/>
              </w:rPr>
              <w:t>、H</w:t>
            </w:r>
            <w:r>
              <w:rPr>
                <w:rFonts w:hint="eastAsia" w:ascii="Times New Roman" w:hAnsi="Times New Roman" w:eastAsia="宋体" w:cs="Times New Roman"/>
                <w:vertAlign w:val="subscript"/>
              </w:rPr>
              <w:t>2</w:t>
            </w:r>
            <w:r>
              <w:rPr>
                <w:rFonts w:hint="eastAsia" w:ascii="Times New Roman" w:hAnsi="Times New Roman" w:eastAsia="宋体" w:cs="Times New Roman"/>
              </w:rPr>
              <w:t>、O</w:t>
            </w:r>
            <w:r>
              <w:rPr>
                <w:rFonts w:hint="eastAsia" w:ascii="Times New Roman" w:hAnsi="Times New Roman" w:eastAsia="宋体" w:cs="Times New Roman"/>
                <w:vertAlign w:val="subscript"/>
              </w:rPr>
              <w:t>2</w:t>
            </w:r>
            <w:r>
              <w:rPr>
                <w:rFonts w:hint="eastAsia" w:ascii="Times New Roman" w:hAnsi="Times New Roman" w:eastAsia="宋体" w:cs="Times New Roman"/>
              </w:rPr>
              <w:t>、NH</w:t>
            </w:r>
            <w:r>
              <w:rPr>
                <w:rFonts w:hint="eastAsia" w:ascii="Times New Roman" w:hAnsi="Times New Roman" w:eastAsia="宋体" w:cs="Times New Roman"/>
                <w:vertAlign w:val="subscript"/>
              </w:rPr>
              <w:t>3</w:t>
            </w:r>
            <w:r>
              <w:rPr>
                <w:rFonts w:hint="eastAsia" w:ascii="Times New Roman" w:hAnsi="Times New Roman" w:eastAsia="宋体" w:cs="Times New Roman"/>
              </w:rPr>
              <w:t>气等反应气体模式下，可通过He碰撞模式获得78Se的DL≤5.0ppt，BEC≤5.0ppt，同时在7mL/min氦气流速下，78Se的BEC达到2.0ppt（提供官方文献证明）。如果必须在反应模式下实现以上DL和BEC要求，碰撞/反应池在标配氦气基础上额外配置由两个独立质量流量计分别控制的两路反应气路（其中一路可以通入氨气），实现在同一方法中的在线自动切换。</w:t>
            </w:r>
          </w:p>
          <w:p w14:paraId="56058E68">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2.5 ▲质量过滤器</w:t>
            </w:r>
          </w:p>
          <w:p w14:paraId="0D88B785">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2.5.1物理双曲面四极杆设计，质量范围不小于5-258amu，驱动频率不小于3MHz。（投标文件中提供物理双曲面四极杆实物图证明）</w:t>
            </w:r>
          </w:p>
          <w:p w14:paraId="242C79C0">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2.5.2 丰度灵敏度：低质量端小于等于5×10</w:t>
            </w:r>
            <w:r>
              <w:rPr>
                <w:rFonts w:hint="eastAsia" w:ascii="Times New Roman" w:hAnsi="Times New Roman" w:eastAsia="宋体" w:cs="Times New Roman"/>
                <w:vertAlign w:val="superscript"/>
              </w:rPr>
              <w:t>-7</w:t>
            </w:r>
            <w:r>
              <w:rPr>
                <w:rFonts w:hint="eastAsia" w:ascii="Times New Roman" w:hAnsi="Times New Roman" w:eastAsia="宋体" w:cs="Times New Roman"/>
              </w:rPr>
              <w:t>，高质量端小于等于1×10</w:t>
            </w:r>
            <w:r>
              <w:rPr>
                <w:rFonts w:hint="eastAsia" w:ascii="Times New Roman" w:hAnsi="Times New Roman" w:eastAsia="宋体" w:cs="Times New Roman"/>
                <w:vertAlign w:val="superscript"/>
              </w:rPr>
              <w:t>-7</w:t>
            </w:r>
            <w:r>
              <w:rPr>
                <w:rFonts w:hint="eastAsia" w:ascii="Times New Roman" w:hAnsi="Times New Roman" w:eastAsia="宋体" w:cs="Times New Roman"/>
              </w:rPr>
              <w:t>。</w:t>
            </w:r>
          </w:p>
          <w:p w14:paraId="2A9F2DA6">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2.6 检测器</w:t>
            </w:r>
          </w:p>
          <w:p w14:paraId="14D252D1">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2.6.1 脉冲模拟双模式电子倍增器，且为正交设计即待测离子通过四极杆质滤器后，偏转90度再进入检测器。（投标文件中提供检测器实物图证明）</w:t>
            </w:r>
          </w:p>
          <w:p w14:paraId="08DB4DC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2.6.2 不低于10个数量级的动态线性范围，满足从ppt到百分含量级浓度的测定，能在同一次运行中同时测量痕量与常量元素。</w:t>
            </w:r>
          </w:p>
          <w:p w14:paraId="05F0E059">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2.6.3 提供检测器寿命官方材料证明：ICP-MS检测器在每天200个饮用水样品以上的高频使用中寿命在10年以上，如果无法提供官方证明文件，需额外配置5个检测器备用。</w:t>
            </w:r>
          </w:p>
          <w:p w14:paraId="541DDB4A">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2.7 软件</w:t>
            </w:r>
          </w:p>
          <w:p w14:paraId="07BEA526">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2.7.1 提供中文版的ICP-MS控制软件，支持多国语言切换，内置法规方法、用户帮助和学习中心。（投标文件中提供用户帮助中心界面截图）</w:t>
            </w:r>
          </w:p>
          <w:p w14:paraId="5608E0B0">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2.7.2 全自动分析功能（启动关闭仪器，炬位调整，等离子体参数，离子透镜，标准等离子体条件与冷等离子体条件切换，标准模式与碰撞反应模式切换等）。</w:t>
            </w:r>
          </w:p>
          <w:p w14:paraId="773E4AB2">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2.7.3 提供智能半定量功能，并能以元素热力图形式展示样品结果，方便快速审阅结果。（投标文件中提供热力图截图）</w:t>
            </w:r>
          </w:p>
          <w:p w14:paraId="0CAA0A44">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2.7.4 提供全自动工作条件调谐和自定义调谐2种调谐方式。自动调谐要求可实现一键式多参数联调，并自动出具调谐报告。自定义调谐时，调谐界面可实时监控元素的信号值。（投标文件中提供实时信号监测软件截图）</w:t>
            </w:r>
          </w:p>
          <w:p w14:paraId="0FF7E584">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2.7.5 实时数据显示和实时报告显示。样品分析数据可以使用ICP-MS软件进行离线数据处理，并生成报告。</w:t>
            </w:r>
          </w:p>
          <w:p w14:paraId="3F27F76E">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2.8 自动进样器</w:t>
            </w:r>
          </w:p>
          <w:p w14:paraId="1CF465B5">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2.8.1 原厂高速自动进样器，不少于200个样品位的样品架，配置三通道冲洗蠕动泵。</w:t>
            </w:r>
          </w:p>
          <w:p w14:paraId="3694E4DB">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2.8.2 具有快速移动功能，样品针从左下样品位移动到右上样品位耗时不超过3秒，以应对样品高通量需求。</w:t>
            </w:r>
          </w:p>
          <w:p w14:paraId="6B43440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2.8.3 同时具备四面透明防尘罩，侧面拥有独立排风装置设计，可实现自动进样器内部自洁净并实现正压小环境。（投标文件中提供自动进样器实物图证明）</w:t>
            </w:r>
          </w:p>
          <w:p w14:paraId="53B8316F">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2.9 快速切换阀系统：</w:t>
            </w:r>
          </w:p>
          <w:p w14:paraId="37E54257">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2.9.1包含一个七通或更高配置的电子切换阀，可实现定量环与不连续进样功能，以增加样品通量及减少质谱区域的基质负荷。</w:t>
            </w:r>
          </w:p>
          <w:p w14:paraId="5D84E5F9">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2.9.2包含一个三通电子切换阀，用于自动切换调谐溶液和内标溶液，无需手动调节；</w:t>
            </w:r>
          </w:p>
          <w:p w14:paraId="07F6190E">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2.9.3可通过定量环进样把单个样品进样量控制在1mL以下，减少样品消耗量，可方便的通过样品采集时间精计算所需进样量及定量环长度。</w:t>
            </w:r>
          </w:p>
          <w:p w14:paraId="5647F715">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2.9.4包含一个用于快速样品提升的活塞泵，实现定量环快速充样，充样时间≤15秒且作为现场验收标准，提高样品分析速度与分析效率。</w:t>
            </w:r>
          </w:p>
          <w:p w14:paraId="37E2D79A">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 仪器性能参数</w:t>
            </w:r>
          </w:p>
          <w:p w14:paraId="3A143CF1">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3.1 ▲灵敏度（在氧化物产率（CeO</w:t>
            </w:r>
            <w:r>
              <w:rPr>
                <w:rFonts w:hint="eastAsia" w:ascii="Times New Roman" w:hAnsi="Times New Roman" w:eastAsia="宋体" w:cs="Times New Roman"/>
                <w:vertAlign w:val="superscript"/>
              </w:rPr>
              <w:t>+</w:t>
            </w:r>
            <w:r>
              <w:rPr>
                <w:rFonts w:hint="eastAsia" w:ascii="Times New Roman" w:hAnsi="Times New Roman" w:eastAsia="宋体" w:cs="Times New Roman"/>
              </w:rPr>
              <w:t>/Ce</w:t>
            </w:r>
            <w:r>
              <w:rPr>
                <w:rFonts w:hint="eastAsia" w:ascii="Times New Roman" w:hAnsi="Times New Roman" w:eastAsia="宋体" w:cs="Times New Roman"/>
                <w:vertAlign w:val="superscript"/>
              </w:rPr>
              <w:t>+</w:t>
            </w:r>
            <w:r>
              <w:rPr>
                <w:rFonts w:hint="eastAsia" w:ascii="Times New Roman" w:hAnsi="Times New Roman" w:eastAsia="宋体" w:cs="Times New Roman"/>
              </w:rPr>
              <w:t>）≤1.8%情况下实现）：7Li≥55Mcps/ppm，115In≥300Mcps/ppm，238U≥500Mcps/ppm。</w:t>
            </w:r>
          </w:p>
          <w:p w14:paraId="17943A68">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3.2 检出限：9Be≤0.2ppt，115In≤0.1ppt，209Bi≤0.1ppt。</w:t>
            </w:r>
          </w:p>
          <w:p w14:paraId="58FA8914">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3.3 背景信号＜1cps。</w:t>
            </w:r>
          </w:p>
          <w:p w14:paraId="4D617C1E">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3.4 氧化物产率（CeO</w:t>
            </w:r>
            <w:r>
              <w:rPr>
                <w:rFonts w:hint="eastAsia" w:ascii="Times New Roman" w:hAnsi="Times New Roman" w:eastAsia="宋体" w:cs="Times New Roman"/>
                <w:vertAlign w:val="superscript"/>
              </w:rPr>
              <w:t>+</w:t>
            </w:r>
            <w:r>
              <w:rPr>
                <w:rFonts w:hint="eastAsia" w:ascii="Times New Roman" w:hAnsi="Times New Roman" w:eastAsia="宋体" w:cs="Times New Roman"/>
              </w:rPr>
              <w:t>/Ce</w:t>
            </w:r>
            <w:r>
              <w:rPr>
                <w:rFonts w:hint="eastAsia" w:ascii="Times New Roman" w:hAnsi="Times New Roman" w:eastAsia="宋体" w:cs="Times New Roman"/>
                <w:vertAlign w:val="superscript"/>
              </w:rPr>
              <w:t>+</w:t>
            </w:r>
            <w:r>
              <w:rPr>
                <w:rFonts w:hint="eastAsia" w:ascii="Times New Roman" w:hAnsi="Times New Roman" w:eastAsia="宋体" w:cs="Times New Roman"/>
              </w:rPr>
              <w:t>）≤1.8%。</w:t>
            </w:r>
          </w:p>
          <w:p w14:paraId="11DFB53D">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3.5 双电荷产率（Ce2</w:t>
            </w:r>
            <w:r>
              <w:rPr>
                <w:rFonts w:hint="eastAsia" w:ascii="Times New Roman" w:hAnsi="Times New Roman" w:eastAsia="宋体" w:cs="Times New Roman"/>
                <w:vertAlign w:val="superscript"/>
              </w:rPr>
              <w:t>+</w:t>
            </w:r>
            <w:r>
              <w:rPr>
                <w:rFonts w:hint="eastAsia" w:ascii="Times New Roman" w:hAnsi="Times New Roman" w:eastAsia="宋体" w:cs="Times New Roman"/>
              </w:rPr>
              <w:t>/Ce</w:t>
            </w:r>
            <w:r>
              <w:rPr>
                <w:rFonts w:hint="eastAsia" w:ascii="Times New Roman" w:hAnsi="Times New Roman" w:eastAsia="宋体" w:cs="Times New Roman"/>
                <w:vertAlign w:val="superscript"/>
              </w:rPr>
              <w:t>+</w:t>
            </w:r>
            <w:r>
              <w:rPr>
                <w:rFonts w:hint="eastAsia" w:ascii="Times New Roman" w:hAnsi="Times New Roman" w:eastAsia="宋体" w:cs="Times New Roman"/>
              </w:rPr>
              <w:t>）≤3%。</w:t>
            </w:r>
          </w:p>
          <w:p w14:paraId="003FFA3E">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3.6 短期稳定性（RSD）≤2%（20min）（须在1ppb标准溶液中测定）。</w:t>
            </w:r>
          </w:p>
          <w:p w14:paraId="67F46230">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3.7 长期稳定性（RSD）≤3%（2h）（须在1ppb标准溶液中测定）。</w:t>
            </w:r>
          </w:p>
          <w:p w14:paraId="6C1C7CB5">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 ICP-MS仪器配置</w:t>
            </w:r>
            <w:r>
              <w:rPr>
                <w:rFonts w:hint="eastAsia" w:ascii="宋体" w:hAnsi="宋体" w:eastAsia="宋体" w:cs="宋体"/>
                <w:szCs w:val="21"/>
              </w:rPr>
              <w:t>（以下仪器构成只涉及主要仪器设备，中标供应商应确保设备安装调试后能正常开展检测工作）</w:t>
            </w:r>
          </w:p>
          <w:p w14:paraId="0706FA6B">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 ICP-MS主机1台，包含高盐进样系统、半导体控温装置、等离子体系统（至少配置4个高精度气体质量流量计分别控制等离子体气、辅助气、载气、补偿气等四路气体流量）、离子透镜、碰撞/反应池、四极杆质量分析器及检测器，同时具备高基体自动稀释装置。</w:t>
            </w:r>
          </w:p>
          <w:p w14:paraId="75C1270E">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4.2 中文版操作软件1套。</w:t>
            </w:r>
          </w:p>
          <w:p w14:paraId="26EE3E7C">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4.3 冷却循环水机1台。</w:t>
            </w:r>
          </w:p>
          <w:p w14:paraId="116BD4BB">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4.4 ICP-MS装机验收溶液包，1套；</w:t>
            </w:r>
          </w:p>
          <w:p w14:paraId="20024B6A">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4.5 ICP-MS调谐液母液，1套；</w:t>
            </w:r>
          </w:p>
          <w:p w14:paraId="0706FDBD">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4.6 ICP-MS多元素标准溶液，1套；</w:t>
            </w:r>
          </w:p>
          <w:p w14:paraId="3BB8ACC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4.7 ICP-MS内标元素混合溶液，1套；</w:t>
            </w:r>
          </w:p>
          <w:p w14:paraId="0390F4C8">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4.8 200位以上自动进样器1套，包含原厂耐腐蚀聚碳酸酯树脂密闭罩。</w:t>
            </w:r>
          </w:p>
          <w:p w14:paraId="44748DC7">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4.9 快速切换阀系统1套</w:t>
            </w:r>
          </w:p>
          <w:p w14:paraId="463E126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 配件（主机标配外）</w:t>
            </w:r>
          </w:p>
          <w:p w14:paraId="18112936">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4.10.1 镍采样锥（长寿命）、截取锥各2套。</w:t>
            </w:r>
          </w:p>
          <w:p w14:paraId="04804031">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4.10.2 石英炬管2套。</w:t>
            </w:r>
          </w:p>
          <w:p w14:paraId="745F49AA">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4.10.3 土壤检测专用雾化器1套。</w:t>
            </w:r>
          </w:p>
          <w:p w14:paraId="4C446B99">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4.10.4 蠕动泵进样管5包（12根/包）。</w:t>
            </w:r>
          </w:p>
          <w:p w14:paraId="4F13B8AC">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4.10.5 蠕动泵废液管5包（12根/包）。</w:t>
            </w:r>
          </w:p>
          <w:p w14:paraId="293960DB">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4.10.6 蠕动泵内标管5包（12根/包）。</w:t>
            </w:r>
          </w:p>
          <w:p w14:paraId="24535169">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4.10.7 采样锥O圈3个。</w:t>
            </w:r>
          </w:p>
          <w:p w14:paraId="09E10414">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4.10.8 内径0.5mmPFA材质进样管5米。</w:t>
            </w:r>
          </w:p>
          <w:p w14:paraId="65CFBCC3">
            <w:pPr>
              <w:widowControl/>
              <w:spacing w:line="360" w:lineRule="auto"/>
              <w:jc w:val="left"/>
              <w:textAlignment w:val="center"/>
              <w:rPr>
                <w:rFonts w:hint="eastAsia" w:ascii="Times New Roman" w:hAnsi="Times New Roman" w:eastAsia="宋体" w:cs="Times New Roman"/>
              </w:rPr>
            </w:pPr>
            <w:r>
              <w:rPr>
                <w:rFonts w:hint="eastAsia" w:ascii="Times New Roman" w:hAnsi="Times New Roman" w:eastAsia="宋体" w:cs="Times New Roman"/>
              </w:rPr>
              <w:t>4.10.9 超纯机械泵油5瓶。</w:t>
            </w:r>
          </w:p>
          <w:p w14:paraId="4BDD1D4F">
            <w:pPr>
              <w:widowControl/>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5.原厂质保三年</w:t>
            </w:r>
          </w:p>
        </w:tc>
      </w:tr>
      <w:tr w14:paraId="3E91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4985BC50">
            <w:pPr>
              <w:spacing w:line="360" w:lineRule="auto"/>
              <w:jc w:val="center"/>
              <w:rPr>
                <w:rFonts w:hint="eastAsia" w:ascii="宋体" w:hAnsi="宋体" w:eastAsia="宋体" w:cs="Times New Roman"/>
                <w:szCs w:val="21"/>
              </w:rPr>
            </w:pPr>
            <w:r>
              <w:rPr>
                <w:rFonts w:hint="eastAsia" w:ascii="宋体" w:hAnsi="宋体" w:eastAsia="宋体" w:cs="Times New Roman"/>
                <w:szCs w:val="21"/>
              </w:rPr>
              <w:t>4</w:t>
            </w:r>
          </w:p>
        </w:tc>
        <w:tc>
          <w:tcPr>
            <w:tcW w:w="1090" w:type="dxa"/>
            <w:tcBorders>
              <w:top w:val="single" w:color="auto" w:sz="4" w:space="0"/>
              <w:left w:val="nil"/>
              <w:bottom w:val="single" w:color="auto" w:sz="4" w:space="0"/>
              <w:right w:val="single" w:color="auto" w:sz="4" w:space="0"/>
            </w:tcBorders>
            <w:noWrap/>
            <w:vAlign w:val="center"/>
          </w:tcPr>
          <w:p w14:paraId="52AA9DCE">
            <w:pPr>
              <w:widowControl/>
              <w:jc w:val="center"/>
              <w:textAlignment w:val="center"/>
              <w:rPr>
                <w:rFonts w:ascii="Times New Roman" w:hAnsi="Times New Roman" w:eastAsia="宋体" w:cs="Times New Roman"/>
                <w:szCs w:val="21"/>
              </w:rPr>
            </w:pPr>
            <w:r>
              <w:rPr>
                <w:rFonts w:hint="eastAsia" w:ascii="宋体" w:hAnsi="宋体" w:eastAsia="宋体" w:cs="宋体"/>
                <w:color w:val="000000"/>
                <w:kern w:val="0"/>
                <w:sz w:val="20"/>
                <w:szCs w:val="20"/>
                <w:lang w:bidi="ar"/>
              </w:rPr>
              <w:t>电线电缆热释放速率试验装置</w:t>
            </w:r>
          </w:p>
        </w:tc>
        <w:tc>
          <w:tcPr>
            <w:tcW w:w="780" w:type="dxa"/>
            <w:tcBorders>
              <w:top w:val="single" w:color="auto" w:sz="4" w:space="0"/>
              <w:left w:val="nil"/>
              <w:bottom w:val="single" w:color="auto" w:sz="4" w:space="0"/>
              <w:right w:val="single" w:color="auto" w:sz="4" w:space="0"/>
            </w:tcBorders>
            <w:noWrap/>
            <w:vAlign w:val="center"/>
          </w:tcPr>
          <w:p w14:paraId="14EFA32C">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1BCE4F0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1.用于在特定试验条件下，对垂直安装的成束电线电缆或光缆的火焰蔓延、热释放和产烟特性进行评价的试验装置。</w:t>
            </w:r>
          </w:p>
          <w:p w14:paraId="5E723F6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2.电源：380V、50Hz 15KW</w:t>
            </w:r>
          </w:p>
          <w:p w14:paraId="337E116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3.燃烧箱内部尺寸：约1000×2000×4000（mm）</w:t>
            </w:r>
          </w:p>
          <w:p w14:paraId="2357852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4.钢梯尺寸：标准钢梯：宽×高=500mm×3500mm；宽形钢梯：宽×高=800mm×3500mm。</w:t>
            </w:r>
          </w:p>
          <w:p w14:paraId="4360612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5.温度测量采用直径约为1.5mm的K型热电偶。</w:t>
            </w:r>
          </w:p>
          <w:p w14:paraId="2198E4F8">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▲6.引燃源由一个带型丙烷燃气喷灯及和文丘里混合器组成，其供火表面应为钻有242个直径约为1.32mm孔径的扁平金属板。引燃源定位：高600±5mm，水平距离任意可调。</w:t>
            </w:r>
          </w:p>
          <w:p w14:paraId="711FBBC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▲7.丙烷/空气气体流量采用质量流量控制测量及控制。</w:t>
            </w:r>
          </w:p>
          <w:p w14:paraId="3A2440F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▲8.采用可调焦的冷光源光源系统和硅光放大器的光接收系统组成；数据稳定，精确。</w:t>
            </w:r>
          </w:p>
          <w:p w14:paraId="27DD887F">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▲9.氧气分析，测量范围：0-20%，测量精度：＜±0.1%，重复性：＜1%，零点漂移：≤0.5%/月，量程漂移：≤0.5%/月，线性偏差：＜1%，T90响应时间：≤3秒，RS232通讯接口。</w:t>
            </w:r>
          </w:p>
          <w:p w14:paraId="64E9A3B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红外分析：CO</w:t>
            </w:r>
            <w:r>
              <w:rPr>
                <w:rFonts w:hint="eastAsia" w:ascii="宋体" w:hAnsi="宋体" w:eastAsia="宋体" w:cs="宋体"/>
                <w:szCs w:val="21"/>
                <w:vertAlign w:val="subscript"/>
              </w:rPr>
              <w:t>2</w:t>
            </w:r>
            <w:r>
              <w:rPr>
                <w:rFonts w:hint="eastAsia" w:ascii="宋体" w:hAnsi="宋体" w:eastAsia="宋体" w:cs="宋体"/>
                <w:szCs w:val="21"/>
              </w:rPr>
              <w:t>测量范围0-8%，测量精度：＜±0.1%，重复性：＜1%，零点漂移：≤0.5%/月，量程漂移：≤0.5%/月，线性偏差：＜1%，响应时间：T90≤2秒，RS232通讯接口。含除尘装置，烟雾收集塔。满足国标GB/T31248-2014《电缆或光缆在受火条件下火焰蔓延、热释放和产烟特性的试验方法》、GB/T31247-2014《电缆及光缆燃烧性能分级》的电缆或光缆的试验。</w:t>
            </w:r>
          </w:p>
          <w:p w14:paraId="4FA74E2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10.采集塔全身采用优质304不锈钢制作，循环泵将塔内下方的水倒入两层填充层上方的喷头，将水均匀的洒到填充层，使填充层形成均匀的水膜；燃烧设备产生的黑烟经进风口进入到塔内向上流动，分别穿过两道填充层与水膜接触，水膜将黑烟吸附流到塔的下方；过滤后的烟气继续向上流动至活性炭，通过活性炭的吸附作用过滤烟气。</w:t>
            </w:r>
          </w:p>
          <w:p w14:paraId="21F670F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11.空气层：在试验过程中排放的需要处理的废气，空气层与进气口相连接，以便于废气进入空气层。</w:t>
            </w:r>
          </w:p>
          <w:p w14:paraId="5565E72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12.填充层：洗涤塔的填充材料采用PP材料的海胆中空小球，形状为多齿的TELLERTT形，填充层表面有视窗，便于清洗填充层小球。填充层主要功能是打散空气层中的废气，使其形成为分散的废气，以便于使废气在喷水层内得到充分的洁净。</w:t>
            </w:r>
          </w:p>
          <w:p w14:paraId="61410D9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13.喷水层：喷水层中的洒水喷头采用PP120°螺旋无堵塞喷头，覆盖面积≥95%，喷水层有一个独立的视窗，便于检查洒水喷头的工作状况。</w:t>
            </w:r>
          </w:p>
          <w:p w14:paraId="7A2D3D20">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14.防雾层：能有效的过滤空气中的杂质，同时可填充活性炭以过滤烟气中的有害气体。</w:t>
            </w:r>
          </w:p>
          <w:p w14:paraId="003F2CD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15.循环泵：循环泵使循环液体层中的液体经过洒水喷头循环使用，节约用水。</w:t>
            </w:r>
          </w:p>
          <w:p w14:paraId="10E09CE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16.室内集烟系统外形美观，噪音小，耐用。</w:t>
            </w:r>
          </w:p>
          <w:p w14:paraId="24E5D60D">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17.电压：380V、600w。</w:t>
            </w:r>
          </w:p>
          <w:p w14:paraId="65986BB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18.处理风量：3000m³。</w:t>
            </w:r>
          </w:p>
          <w:p w14:paraId="7ACF53F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19.入口含尘浓度：≤30g/Nm³。</w:t>
            </w:r>
          </w:p>
          <w:p w14:paraId="463F1030">
            <w:pPr>
              <w:widowControl/>
              <w:spacing w:line="360" w:lineRule="auto"/>
              <w:jc w:val="left"/>
              <w:textAlignment w:val="center"/>
              <w:rPr>
                <w:rFonts w:ascii="宋体" w:hAnsi="宋体" w:eastAsia="宋体" w:cs="宋体"/>
                <w:szCs w:val="21"/>
              </w:rPr>
            </w:pPr>
            <w:r>
              <w:rPr>
                <w:rFonts w:hint="eastAsia" w:ascii="宋体" w:hAnsi="宋体" w:eastAsia="宋体" w:cs="宋体"/>
                <w:szCs w:val="21"/>
              </w:rPr>
              <w:t>20.出口含尘浓度：≤300mg/Nm³</w:t>
            </w:r>
          </w:p>
        </w:tc>
      </w:tr>
      <w:tr w14:paraId="35CF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4EA5B350">
            <w:pPr>
              <w:spacing w:line="360" w:lineRule="auto"/>
              <w:jc w:val="center"/>
              <w:rPr>
                <w:rFonts w:hint="eastAsia" w:ascii="宋体" w:hAnsi="宋体" w:eastAsia="宋体" w:cs="Times New Roman"/>
                <w:szCs w:val="21"/>
              </w:rPr>
            </w:pPr>
            <w:r>
              <w:rPr>
                <w:rFonts w:hint="eastAsia" w:ascii="宋体" w:hAnsi="宋体" w:eastAsia="宋体" w:cs="Times New Roman"/>
                <w:szCs w:val="21"/>
              </w:rPr>
              <w:t>5</w:t>
            </w:r>
          </w:p>
        </w:tc>
        <w:tc>
          <w:tcPr>
            <w:tcW w:w="1090" w:type="dxa"/>
            <w:tcBorders>
              <w:top w:val="single" w:color="auto" w:sz="4" w:space="0"/>
              <w:left w:val="nil"/>
              <w:bottom w:val="single" w:color="auto" w:sz="4" w:space="0"/>
              <w:right w:val="single" w:color="auto" w:sz="4" w:space="0"/>
            </w:tcBorders>
            <w:noWrap/>
            <w:vAlign w:val="center"/>
          </w:tcPr>
          <w:p w14:paraId="52865A70">
            <w:pPr>
              <w:widowControl/>
              <w:jc w:val="center"/>
              <w:textAlignment w:val="center"/>
              <w:rPr>
                <w:rFonts w:ascii="Times New Roman" w:hAnsi="Times New Roman" w:eastAsia="宋体" w:cs="Times New Roman"/>
                <w:szCs w:val="21"/>
              </w:rPr>
            </w:pPr>
            <w:r>
              <w:rPr>
                <w:rFonts w:hint="eastAsia" w:ascii="宋体" w:hAnsi="宋体" w:eastAsia="宋体" w:cs="宋体"/>
                <w:color w:val="000000"/>
                <w:kern w:val="0"/>
                <w:sz w:val="20"/>
                <w:szCs w:val="20"/>
                <w:lang w:bidi="ar"/>
              </w:rPr>
              <w:t>气浮台式光谱透射比测量系统</w:t>
            </w:r>
          </w:p>
        </w:tc>
        <w:tc>
          <w:tcPr>
            <w:tcW w:w="780" w:type="dxa"/>
            <w:tcBorders>
              <w:top w:val="single" w:color="auto" w:sz="4" w:space="0"/>
              <w:left w:val="nil"/>
              <w:bottom w:val="single" w:color="auto" w:sz="4" w:space="0"/>
              <w:right w:val="single" w:color="auto" w:sz="4" w:space="0"/>
            </w:tcBorders>
            <w:noWrap/>
            <w:vAlign w:val="center"/>
          </w:tcPr>
          <w:p w14:paraId="03D90BB3">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10C607F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1.整机技术参数</w:t>
            </w:r>
          </w:p>
          <w:p w14:paraId="028A160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 测量对象：各类钢化及非钢化光伏压花玻璃、钢化及非钢化镀膜压花玻璃等；</w:t>
            </w:r>
          </w:p>
          <w:p w14:paraId="103C4A2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1.2 光谱测量范围：380nm~1100nm；</w:t>
            </w:r>
          </w:p>
          <w:p w14:paraId="3EA8F1A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1.3 光谱半宽度：3nm；</w:t>
            </w:r>
          </w:p>
          <w:p w14:paraId="40C7F341">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1.4 波长准确度：＜0.3nm；</w:t>
            </w:r>
          </w:p>
          <w:p w14:paraId="791F263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1.5 光谱测量间隔：1nm，数据存储间隔5nm；</w:t>
            </w:r>
          </w:p>
          <w:p w14:paraId="77FAB6EE">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1.6 测量时间：每点每次测量速度≤1000ms(与积分时间有关)；</w:t>
            </w:r>
          </w:p>
          <w:p w14:paraId="1325C0A2">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1.7 测量精度：0.01%；</w:t>
            </w:r>
          </w:p>
          <w:p w14:paraId="1CAB86F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1.8 测量稳定性：＜0.10%；</w:t>
            </w:r>
          </w:p>
          <w:p w14:paraId="0A0458C3">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1.9 测量重复性：＜0.10%；</w:t>
            </w:r>
          </w:p>
          <w:p w14:paraId="78494D76">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1.10 测量尺寸：最大2700mm×1400mm，最小300mm×300mm；</w:t>
            </w:r>
          </w:p>
          <w:p w14:paraId="7066F54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1.11积分球直径：100mm；</w:t>
            </w:r>
          </w:p>
          <w:p w14:paraId="775C6BA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1.12 测量几何条件：垂直照明，积分球接收；</w:t>
            </w:r>
          </w:p>
          <w:p w14:paraId="5377825B">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1.13 光源寿命：2000小时，可连续工作两个月以上；</w:t>
            </w:r>
          </w:p>
          <w:p w14:paraId="0108B09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1.14 测量光束直径：10±2mm；</w:t>
            </w:r>
          </w:p>
          <w:p w14:paraId="5950C10C">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▲1.15 双灯光源规格：12V 50W（专用增强红外光源，具有红外性能良好，探测器灵敏度补偿的独特光谱设计）</w:t>
            </w:r>
          </w:p>
          <w:p w14:paraId="163ED7E9">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1.16 输出结果：380nm~1100nm连续光谱透射比、太阳光(AM1.5)/光伏电池有效积分透射比、可见光光谱透射比、L*a*b*色坐标。</w:t>
            </w:r>
          </w:p>
          <w:p w14:paraId="69356EC4">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1.17 光源类型：AM1.5标准数据，可以根据情况选择其他光源曲线。</w:t>
            </w:r>
          </w:p>
          <w:p w14:paraId="39B1A34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2.设备基本尺寸</w:t>
            </w:r>
          </w:p>
          <w:p w14:paraId="7572411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2.1 设备外形尺寸：约L×W×H=2480㎜×1650㎜×1900㎜</w:t>
            </w:r>
          </w:p>
          <w:p w14:paraId="63BD84F5">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2.2 台面尺寸：约L×W=2400㎜×1200㎜</w:t>
            </w:r>
          </w:p>
          <w:p w14:paraId="0A98B357">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 设备使用环境</w:t>
            </w:r>
          </w:p>
          <w:p w14:paraId="6B91E30A">
            <w:pPr>
              <w:widowControl/>
              <w:spacing w:line="360" w:lineRule="auto"/>
              <w:jc w:val="left"/>
              <w:textAlignment w:val="center"/>
              <w:rPr>
                <w:rFonts w:hint="eastAsia" w:ascii="宋体" w:hAnsi="宋体" w:eastAsia="宋体" w:cs="宋体"/>
                <w:szCs w:val="21"/>
              </w:rPr>
            </w:pPr>
            <w:r>
              <w:rPr>
                <w:rFonts w:hint="eastAsia" w:ascii="宋体" w:hAnsi="宋体" w:eastAsia="宋体" w:cs="宋体"/>
                <w:szCs w:val="21"/>
              </w:rPr>
              <w:t>3.1 环境温度：0℃~40℃</w:t>
            </w:r>
          </w:p>
          <w:p w14:paraId="7D6EAA85">
            <w:pPr>
              <w:widowControl/>
              <w:spacing w:line="360" w:lineRule="auto"/>
              <w:jc w:val="left"/>
              <w:textAlignment w:val="center"/>
              <w:rPr>
                <w:rFonts w:ascii="宋体" w:hAnsi="宋体" w:eastAsia="宋体" w:cs="宋体"/>
                <w:szCs w:val="21"/>
              </w:rPr>
            </w:pPr>
            <w:r>
              <w:rPr>
                <w:rFonts w:hint="eastAsia" w:ascii="宋体" w:hAnsi="宋体" w:eastAsia="宋体" w:cs="宋体"/>
                <w:szCs w:val="21"/>
              </w:rPr>
              <w:t>3.2 环境湿度：＜98%(40℃)</w:t>
            </w:r>
          </w:p>
        </w:tc>
      </w:tr>
      <w:tr w14:paraId="56D1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45399AE2">
            <w:pPr>
              <w:spacing w:line="360" w:lineRule="auto"/>
              <w:jc w:val="center"/>
              <w:rPr>
                <w:rFonts w:hint="eastAsia" w:ascii="宋体" w:hAnsi="宋体" w:eastAsia="宋体" w:cs="Times New Roman"/>
                <w:szCs w:val="21"/>
              </w:rPr>
            </w:pPr>
            <w:r>
              <w:rPr>
                <w:rFonts w:hint="eastAsia" w:ascii="宋体" w:hAnsi="宋体" w:eastAsia="宋体" w:cs="Times New Roman"/>
                <w:szCs w:val="21"/>
              </w:rPr>
              <w:t>6</w:t>
            </w:r>
          </w:p>
        </w:tc>
        <w:tc>
          <w:tcPr>
            <w:tcW w:w="1090" w:type="dxa"/>
            <w:tcBorders>
              <w:top w:val="single" w:color="auto" w:sz="4" w:space="0"/>
              <w:left w:val="nil"/>
              <w:bottom w:val="single" w:color="auto" w:sz="4" w:space="0"/>
              <w:right w:val="single" w:color="auto" w:sz="4" w:space="0"/>
            </w:tcBorders>
            <w:noWrap/>
            <w:vAlign w:val="center"/>
          </w:tcPr>
          <w:p w14:paraId="371C50C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 w:val="20"/>
                <w:szCs w:val="20"/>
                <w:lang w:bidi="ar"/>
              </w:rPr>
              <w:t>稳态热传递性质测定系统</w:t>
            </w:r>
          </w:p>
        </w:tc>
        <w:tc>
          <w:tcPr>
            <w:tcW w:w="780" w:type="dxa"/>
            <w:tcBorders>
              <w:top w:val="single" w:color="auto" w:sz="4" w:space="0"/>
              <w:left w:val="nil"/>
              <w:bottom w:val="single" w:color="auto" w:sz="4" w:space="0"/>
              <w:right w:val="single" w:color="auto" w:sz="4" w:space="0"/>
            </w:tcBorders>
            <w:noWrap/>
            <w:vAlign w:val="center"/>
          </w:tcPr>
          <w:p w14:paraId="022D3D71">
            <w:pPr>
              <w:widowControl/>
              <w:spacing w:line="360" w:lineRule="auto"/>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73502B2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1.计量箱控温范围：室温～50℃</w:t>
            </w:r>
          </w:p>
          <w:p w14:paraId="1D3EA01C">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测量精度：0.25℃</w:t>
            </w:r>
          </w:p>
          <w:p w14:paraId="6B4D6194">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控温波动范围：0.01～0.1℃</w:t>
            </w:r>
          </w:p>
          <w:p w14:paraId="7BFFCF39">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2.冷室控温范围：-10～－21℃</w:t>
            </w:r>
          </w:p>
          <w:p w14:paraId="61F2E995">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测量精度：0.25℃</w:t>
            </w:r>
          </w:p>
          <w:p w14:paraId="0D12D822">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控温波动范围：0.01～0.2℃</w:t>
            </w:r>
          </w:p>
          <w:p w14:paraId="4C7E602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3.防护箱控温范围：10～50℃</w:t>
            </w:r>
          </w:p>
          <w:p w14:paraId="3F45B87C">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测量精度：0.25℃</w:t>
            </w:r>
          </w:p>
          <w:p w14:paraId="4E56617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控温波动范围：0.01～0.1℃</w:t>
            </w:r>
          </w:p>
          <w:p w14:paraId="2D9F6A36">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4.计量箱功率测控范围：10～400W，精度：0.5级</w:t>
            </w:r>
          </w:p>
          <w:p w14:paraId="5F0D6AC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5.计量箱稳态功率波动范围：0.1～1W</w:t>
            </w:r>
          </w:p>
          <w:p w14:paraId="3836C302">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6.试件外形尺寸：长×宽×高≤1270×330×1270（mm）</w:t>
            </w:r>
          </w:p>
          <w:p w14:paraId="307131E5">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7.计量单元尺寸：长×宽＝约1000×1000（mm）</w:t>
            </w:r>
          </w:p>
          <w:p w14:paraId="1AA29F42">
            <w:pPr>
              <w:widowControl/>
              <w:spacing w:line="360"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8.配带动力：交流380V，功率6kW，三相五线制</w:t>
            </w:r>
          </w:p>
        </w:tc>
      </w:tr>
      <w:tr w14:paraId="3347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2C719BF9">
            <w:pPr>
              <w:spacing w:line="360" w:lineRule="auto"/>
              <w:jc w:val="center"/>
              <w:rPr>
                <w:rFonts w:hint="eastAsia" w:ascii="宋体" w:hAnsi="宋体" w:eastAsia="宋体" w:cs="Times New Roman"/>
                <w:szCs w:val="21"/>
              </w:rPr>
            </w:pPr>
            <w:r>
              <w:rPr>
                <w:rFonts w:hint="eastAsia" w:ascii="宋体" w:hAnsi="宋体" w:eastAsia="宋体" w:cs="Times New Roman"/>
                <w:szCs w:val="21"/>
              </w:rPr>
              <w:t>7</w:t>
            </w:r>
          </w:p>
        </w:tc>
        <w:tc>
          <w:tcPr>
            <w:tcW w:w="1090" w:type="dxa"/>
            <w:tcBorders>
              <w:top w:val="single" w:color="auto" w:sz="4" w:space="0"/>
              <w:left w:val="nil"/>
              <w:bottom w:val="single" w:color="auto" w:sz="4" w:space="0"/>
              <w:right w:val="single" w:color="auto" w:sz="4" w:space="0"/>
            </w:tcBorders>
            <w:noWrap/>
            <w:vAlign w:val="center"/>
          </w:tcPr>
          <w:p w14:paraId="3AD7BB0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 w:val="20"/>
                <w:szCs w:val="20"/>
                <w:lang w:bidi="ar"/>
              </w:rPr>
              <w:t>导热系数测定仪</w:t>
            </w:r>
          </w:p>
        </w:tc>
        <w:tc>
          <w:tcPr>
            <w:tcW w:w="780" w:type="dxa"/>
            <w:tcBorders>
              <w:top w:val="single" w:color="auto" w:sz="4" w:space="0"/>
              <w:left w:val="nil"/>
              <w:bottom w:val="single" w:color="auto" w:sz="4" w:space="0"/>
              <w:right w:val="single" w:color="auto" w:sz="4" w:space="0"/>
            </w:tcBorders>
            <w:noWrap/>
            <w:vAlign w:val="center"/>
          </w:tcPr>
          <w:p w14:paraId="1C80E192">
            <w:pPr>
              <w:widowControl/>
              <w:spacing w:line="360" w:lineRule="auto"/>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3C4C4C9D">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1.外型尺寸(长x宽x高)：不大于600mm*510mm*800(mm)</w:t>
            </w:r>
          </w:p>
          <w:p w14:paraId="0C8F25A7">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2.总重量：约85（kg）</w:t>
            </w:r>
          </w:p>
          <w:p w14:paraId="7EA7EE3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3.试件规格（外形尺寸）：单试样 300mm×300（mm）</w:t>
            </w:r>
          </w:p>
          <w:p w14:paraId="7509FA73">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4.试件厚度：10～37.5(mm)</w:t>
            </w:r>
          </w:p>
          <w:p w14:paraId="1CA30832">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5.导热系数测定范围：0.01～1W/(m.K)</w:t>
            </w:r>
          </w:p>
          <w:p w14:paraId="767CAEE0">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6.冷板温度：5℃～60℃</w:t>
            </w:r>
          </w:p>
          <w:p w14:paraId="295150ED">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7.热板温度：室温+5℃～80℃</w:t>
            </w:r>
          </w:p>
          <w:p w14:paraId="62B22EB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8.冷板温度控制稳定度：0.01℃</w:t>
            </w:r>
          </w:p>
          <w:p w14:paraId="37E3FBC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9.热板温度控制稳定度：0.002℃</w:t>
            </w:r>
          </w:p>
          <w:p w14:paraId="48EF270A">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10.热板计量单元加热功率控制稳定度：0.001W</w:t>
            </w:r>
          </w:p>
          <w:p w14:paraId="11DBB7E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11.测试重复性：≤1%</w:t>
            </w:r>
          </w:p>
          <w:p w14:paraId="52C081ED">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12.配带动力1kW 220V</w:t>
            </w:r>
          </w:p>
          <w:p w14:paraId="4AD9D4A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13.使用环境：恒温环境23±2℃</w:t>
            </w:r>
          </w:p>
          <w:p w14:paraId="7A98EB75">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14.试验时间：约1.5小时</w:t>
            </w:r>
          </w:p>
          <w:p w14:paraId="44B42A40">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15.采用半导体片制冷方式</w:t>
            </w:r>
          </w:p>
          <w:p w14:paraId="18D8B09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16.采用触摸屏一体机操作</w:t>
            </w:r>
          </w:p>
          <w:p w14:paraId="0F2ED1D9">
            <w:pPr>
              <w:widowControl/>
              <w:spacing w:line="360"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▲17.热板升降采用电动推杆升降机构，试件水平放置，恒定夹紧力由热板部件的自重供给</w:t>
            </w:r>
          </w:p>
        </w:tc>
      </w:tr>
      <w:tr w14:paraId="17EA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40F699B6">
            <w:pPr>
              <w:spacing w:line="360" w:lineRule="auto"/>
              <w:jc w:val="center"/>
              <w:rPr>
                <w:rFonts w:hint="eastAsia" w:ascii="宋体" w:hAnsi="宋体" w:eastAsia="宋体" w:cs="Times New Roman"/>
                <w:szCs w:val="21"/>
              </w:rPr>
            </w:pPr>
            <w:r>
              <w:rPr>
                <w:rFonts w:hint="eastAsia" w:ascii="宋体" w:hAnsi="宋体" w:eastAsia="宋体" w:cs="Times New Roman"/>
                <w:szCs w:val="21"/>
              </w:rPr>
              <w:t>8</w:t>
            </w:r>
          </w:p>
        </w:tc>
        <w:tc>
          <w:tcPr>
            <w:tcW w:w="1090" w:type="dxa"/>
            <w:tcBorders>
              <w:top w:val="single" w:color="auto" w:sz="4" w:space="0"/>
              <w:left w:val="nil"/>
              <w:bottom w:val="single" w:color="auto" w:sz="4" w:space="0"/>
              <w:right w:val="single" w:color="auto" w:sz="4" w:space="0"/>
            </w:tcBorders>
            <w:noWrap/>
            <w:vAlign w:val="center"/>
          </w:tcPr>
          <w:p w14:paraId="3D4200F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 w:val="20"/>
                <w:szCs w:val="20"/>
                <w:lang w:bidi="ar"/>
              </w:rPr>
              <w:t>架空导线蠕变应力应变测试装置</w:t>
            </w:r>
          </w:p>
        </w:tc>
        <w:tc>
          <w:tcPr>
            <w:tcW w:w="780" w:type="dxa"/>
            <w:tcBorders>
              <w:top w:val="single" w:color="auto" w:sz="4" w:space="0"/>
              <w:left w:val="nil"/>
              <w:bottom w:val="single" w:color="auto" w:sz="4" w:space="0"/>
              <w:right w:val="single" w:color="auto" w:sz="4" w:space="0"/>
            </w:tcBorders>
            <w:noWrap/>
            <w:vAlign w:val="center"/>
          </w:tcPr>
          <w:p w14:paraId="7A16D574">
            <w:pPr>
              <w:widowControl/>
              <w:spacing w:line="360" w:lineRule="auto"/>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775FA833">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一、满足标准</w:t>
            </w:r>
          </w:p>
          <w:p w14:paraId="28886C20">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GB/T16826-2023《电液式万能试验机》</w:t>
            </w:r>
          </w:p>
          <w:p w14:paraId="67A87A1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GB/T16491-2022《电子式万能试验机》</w:t>
            </w:r>
          </w:p>
          <w:p w14:paraId="31AB7F1D">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GB/T2611-2022《试验机通用技术要求》</w:t>
            </w:r>
          </w:p>
          <w:p w14:paraId="76C9BC3A">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JJF1103-2018《万能试验机计算机数据采集系统评定》</w:t>
            </w:r>
          </w:p>
          <w:p w14:paraId="09E6E22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GB/T228.1-2021《金属材料拉伸试验第1部分：室温试验方法》</w:t>
            </w:r>
          </w:p>
          <w:p w14:paraId="449B4132">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GB/T1179-2017《圆线同心绞架空导线》</w:t>
            </w:r>
          </w:p>
          <w:p w14:paraId="5A0DF477">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GB/T12527-2008《额定电压1kV及以下架空绝缘电缆》</w:t>
            </w:r>
          </w:p>
          <w:p w14:paraId="1B39AD3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GB/T22077-2008《架空导线蠕变试验方法》</w:t>
            </w:r>
          </w:p>
          <w:p w14:paraId="6ED586E6">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二、技术指标</w:t>
            </w:r>
          </w:p>
          <w:p w14:paraId="589C33B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1.最大负荷：600kN</w:t>
            </w:r>
          </w:p>
          <w:p w14:paraId="3E3B2C56">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2.精度等级：0.5级</w:t>
            </w:r>
          </w:p>
          <w:p w14:paraId="3807F466">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3.试验力测量精度：±0.5%</w:t>
            </w:r>
          </w:p>
          <w:p w14:paraId="46369B1E">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4.试验力分辨力：1/500000</w:t>
            </w:r>
          </w:p>
          <w:p w14:paraId="55086F69">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5.负荷示值准确度：优于示值的±0.5%（全程不分档）</w:t>
            </w:r>
          </w:p>
          <w:p w14:paraId="7D7BAD3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6.力值测力范围：1%～100%FS</w:t>
            </w:r>
          </w:p>
          <w:p w14:paraId="2F3B76A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7.位移分辨率：0.01mm</w:t>
            </w:r>
          </w:p>
          <w:p w14:paraId="2519C96E">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8.位移控制精度：±0.5%</w:t>
            </w:r>
          </w:p>
          <w:p w14:paraId="15B8A068">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9.活塞移动速度范围：0-80mm/min</w:t>
            </w:r>
          </w:p>
          <w:p w14:paraId="5635E78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10.活塞空载最大移动速度：100mm/min,</w:t>
            </w:r>
          </w:p>
          <w:p w14:paraId="5AF942F2">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11.活塞行程：约1500mm</w:t>
            </w:r>
          </w:p>
          <w:p w14:paraId="52AF5332">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12.有效拉伸空间：约15000mm</w:t>
            </w:r>
          </w:p>
          <w:p w14:paraId="69428432">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13.试验宽度：约600mm</w:t>
            </w:r>
          </w:p>
          <w:p w14:paraId="7A72F667">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14.框架结构：自带校准装置</w:t>
            </w:r>
          </w:p>
          <w:p w14:paraId="7322A93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15.控制方式：微机控制方式；</w:t>
            </w:r>
          </w:p>
          <w:p w14:paraId="5BCD06C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16.主机电源：AC220V/380V±10%</w:t>
            </w:r>
          </w:p>
          <w:p w14:paraId="46320B90">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17.工作环境：室温10℃～35℃,湿度20%～80%</w:t>
            </w:r>
          </w:p>
          <w:p w14:paraId="71689AFC">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18.油源噪音：≤65dB</w:t>
            </w:r>
          </w:p>
          <w:p w14:paraId="1B31FD6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19.伺服泵负荷保持，低噪音，低发热，节能环保，进行力的多级控制</w:t>
            </w:r>
          </w:p>
          <w:p w14:paraId="6A455A20">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20.计算机伺服控制系统及数据（试验力、位移）图形采集处理等</w:t>
            </w:r>
          </w:p>
          <w:p w14:paraId="5886C5E3">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21.液压加载，电液伺服闭环控制，可实现力控和位移控，屏幕实时显示</w:t>
            </w:r>
          </w:p>
          <w:p w14:paraId="643935E8">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22.需配套室内恒温室</w:t>
            </w:r>
          </w:p>
          <w:p w14:paraId="77658E14">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23.主机尺寸长宽高：约19970mm*1300mm*850mm</w:t>
            </w:r>
          </w:p>
          <w:p w14:paraId="0A6F22F7">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控制柜尺寸：约1140mm*785mm*9400mm</w:t>
            </w:r>
          </w:p>
          <w:p w14:paraId="3FAD7B70">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三、主要配置</w:t>
            </w:r>
            <w:r>
              <w:rPr>
                <w:rFonts w:hint="eastAsia" w:ascii="宋体" w:hAnsi="宋体" w:eastAsia="宋体" w:cs="宋体"/>
                <w:szCs w:val="21"/>
              </w:rPr>
              <w:t>（以下仪器构成只涉及主要仪器设备，中标供应商应确保设备安装调试后能正常开展检测工作，出具检验报告）</w:t>
            </w:r>
          </w:p>
          <w:p w14:paraId="1E2C5339">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1.卧式主机600kN 1套</w:t>
            </w:r>
          </w:p>
          <w:p w14:paraId="4A75050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2.超静音伺服油源600kN 1套</w:t>
            </w:r>
          </w:p>
          <w:p w14:paraId="3A9809B6">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3.交流伺服电机 1套</w:t>
            </w:r>
          </w:p>
          <w:p w14:paraId="75B1F6C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4.高压齿轮泵 1台</w:t>
            </w:r>
          </w:p>
          <w:p w14:paraId="614CC6A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5.传感器 600kN 1只</w:t>
            </w:r>
          </w:p>
          <w:p w14:paraId="6103212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 测控软件全数字闭环电气系统1套</w:t>
            </w:r>
          </w:p>
          <w:p w14:paraId="41BE1033">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7. 夹具满足架空导线、电力金具工装（满足适用于电力金具、辅具之尼龙绳、吊装带、钢丝绳、麻绳、纤维绳、白棕绳、尼龙绳、吊装带、卡线器、紧线器、紧线器、双钩、手拉葫芦）等   </w:t>
            </w:r>
          </w:p>
          <w:p w14:paraId="25812A0A">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8.变形测量装置1套</w:t>
            </w:r>
          </w:p>
          <w:p w14:paraId="77A85584">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9.全封闭安全防护罩金属 1套</w:t>
            </w:r>
          </w:p>
          <w:p w14:paraId="0E5F374D">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10.位移传感器1套</w:t>
            </w:r>
          </w:p>
          <w:p w14:paraId="569571B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11.控制台 1个</w:t>
            </w:r>
          </w:p>
          <w:p w14:paraId="02C63237">
            <w:pPr>
              <w:widowControl/>
              <w:spacing w:line="360"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12.标定装置 1套</w:t>
            </w:r>
          </w:p>
        </w:tc>
      </w:tr>
      <w:tr w14:paraId="07AE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left w:val="single" w:color="auto" w:sz="4" w:space="0"/>
              <w:right w:val="single" w:color="auto" w:sz="4" w:space="0"/>
            </w:tcBorders>
            <w:noWrap/>
            <w:vAlign w:val="center"/>
          </w:tcPr>
          <w:p w14:paraId="09FAB715">
            <w:pPr>
              <w:spacing w:line="360" w:lineRule="auto"/>
              <w:jc w:val="center"/>
              <w:rPr>
                <w:rFonts w:hint="eastAsia" w:ascii="宋体" w:hAnsi="宋体" w:eastAsia="宋体" w:cs="Times New Roman"/>
                <w:szCs w:val="21"/>
              </w:rPr>
            </w:pPr>
            <w:r>
              <w:rPr>
                <w:rFonts w:hint="eastAsia" w:ascii="宋体" w:hAnsi="宋体" w:eastAsia="宋体" w:cs="Times New Roman"/>
                <w:szCs w:val="21"/>
              </w:rPr>
              <w:t>9</w:t>
            </w:r>
          </w:p>
        </w:tc>
        <w:tc>
          <w:tcPr>
            <w:tcW w:w="1090" w:type="dxa"/>
            <w:tcBorders>
              <w:top w:val="single" w:color="auto" w:sz="4" w:space="0"/>
              <w:left w:val="nil"/>
              <w:bottom w:val="single" w:color="auto" w:sz="4" w:space="0"/>
              <w:right w:val="single" w:color="auto" w:sz="4" w:space="0"/>
            </w:tcBorders>
            <w:noWrap/>
            <w:vAlign w:val="center"/>
          </w:tcPr>
          <w:p w14:paraId="70EE93B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 w:val="20"/>
                <w:szCs w:val="20"/>
                <w:lang w:bidi="ar"/>
              </w:rPr>
              <w:t>卤酸气体释出测定仪器</w:t>
            </w:r>
          </w:p>
        </w:tc>
        <w:tc>
          <w:tcPr>
            <w:tcW w:w="780" w:type="dxa"/>
            <w:tcBorders>
              <w:top w:val="single" w:color="auto" w:sz="4" w:space="0"/>
              <w:left w:val="nil"/>
              <w:bottom w:val="single" w:color="auto" w:sz="4" w:space="0"/>
              <w:right w:val="single" w:color="auto" w:sz="4" w:space="0"/>
            </w:tcBorders>
            <w:noWrap/>
            <w:vAlign w:val="center"/>
          </w:tcPr>
          <w:p w14:paraId="6849B8B4">
            <w:pPr>
              <w:widowControl/>
              <w:spacing w:line="360" w:lineRule="auto"/>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1台</w:t>
            </w:r>
          </w:p>
        </w:tc>
        <w:tc>
          <w:tcPr>
            <w:tcW w:w="7277" w:type="dxa"/>
            <w:tcBorders>
              <w:top w:val="single" w:color="auto" w:sz="4" w:space="0"/>
              <w:left w:val="nil"/>
              <w:bottom w:val="single" w:color="auto" w:sz="4" w:space="0"/>
              <w:right w:val="single" w:color="auto" w:sz="4" w:space="0"/>
            </w:tcBorders>
            <w:noWrap/>
            <w:vAlign w:val="center"/>
          </w:tcPr>
          <w:p w14:paraId="5F9C9BC9">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一、相关标准</w:t>
            </w:r>
          </w:p>
          <w:p w14:paraId="05BFA997">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GB/T 17650-2021。</w:t>
            </w:r>
          </w:p>
          <w:p w14:paraId="5872E2D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二、技术参数：</w:t>
            </w:r>
          </w:p>
          <w:p w14:paraId="665CC45D">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1.活性炭(空气过滤)：通过过滤器过滤气源；</w:t>
            </w:r>
          </w:p>
          <w:p w14:paraId="6601CB88">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2.硅胶(空气干燥)：干燥气源的装置；</w:t>
            </w:r>
          </w:p>
          <w:p w14:paraId="524E5DB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3.流量计：0.1～1L/min可调，控制气源流量的装置；</w:t>
            </w:r>
          </w:p>
          <w:p w14:paraId="3847ED98">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4.热电偶：K型耐高温不锈钢热电偶0～1300℃;</w:t>
            </w:r>
          </w:p>
          <w:p w14:paraId="6950FC1C">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5.石英管：约φ40mm×800mm；</w:t>
            </w:r>
          </w:p>
          <w:p w14:paraId="0CAB0114">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6.磁力搅拌器：在蒸馏水中搅拌混合燃烧气体的搅拌器；</w:t>
            </w:r>
          </w:p>
          <w:p w14:paraId="55C7369E">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7.pH计：用来测量pH酸度的装置；</w:t>
            </w:r>
          </w:p>
          <w:p w14:paraId="2E2DE677">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8.电导计：用来测量燃烧气体的电导率的仪器；</w:t>
            </w:r>
          </w:p>
          <w:p w14:paraId="297AF62F">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9.7〃彩色触摸屏及PLC和PID自动演算模块控制加热炉温度；</w:t>
            </w:r>
          </w:p>
          <w:p w14:paraId="005B2590">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10.模式转换可满足两种测试方法；</w:t>
            </w:r>
          </w:p>
          <w:p w14:paraId="56813BB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11.加热炉：约φ220mm×600mm，加热有效空间约φ43×550mm，功率约4KW；</w:t>
            </w:r>
          </w:p>
          <w:p w14:paraId="2C92A0F9">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三、主要配置：</w:t>
            </w:r>
          </w:p>
          <w:p w14:paraId="28EB35D1">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1.主控柜：1个</w:t>
            </w:r>
          </w:p>
          <w:p w14:paraId="1551EE06">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2.加热器4KW：1个</w:t>
            </w:r>
          </w:p>
          <w:p w14:paraId="40C3AD5B">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3.温度传感器：1个</w:t>
            </w:r>
          </w:p>
          <w:p w14:paraId="3CD46CA3">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4.触摸屏：1块</w:t>
            </w:r>
          </w:p>
          <w:p w14:paraId="3EDBDA64">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5.PHS-25PH计：1个</w:t>
            </w:r>
          </w:p>
          <w:p w14:paraId="4F19B725">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6.DDS-307电导率仪：1个</w:t>
            </w:r>
          </w:p>
          <w:p w14:paraId="08E1DA63">
            <w:pPr>
              <w:widowControl/>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7.电磁搅拌器：1个</w:t>
            </w:r>
          </w:p>
          <w:p w14:paraId="510BCF4B">
            <w:pPr>
              <w:widowControl/>
              <w:spacing w:line="360"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8.石英管一套、气体洗瓶两只：1套</w:t>
            </w:r>
          </w:p>
        </w:tc>
      </w:tr>
      <w:tr w14:paraId="7F58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3" w:type="dxa"/>
            <w:gridSpan w:val="4"/>
            <w:tcBorders>
              <w:left w:val="single" w:color="auto" w:sz="4" w:space="0"/>
              <w:right w:val="single" w:color="auto" w:sz="4" w:space="0"/>
            </w:tcBorders>
            <w:noWrap/>
            <w:vAlign w:val="center"/>
          </w:tcPr>
          <w:p w14:paraId="46413609">
            <w:pPr>
              <w:widowControl/>
              <w:spacing w:line="360" w:lineRule="auto"/>
              <w:jc w:val="left"/>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商务要求</w:t>
            </w:r>
          </w:p>
        </w:tc>
      </w:tr>
      <w:tr w14:paraId="340E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3ED207F2">
            <w:pPr>
              <w:snapToGrid w:val="0"/>
              <w:spacing w:line="360" w:lineRule="auto"/>
              <w:jc w:val="center"/>
              <w:rPr>
                <w:rFonts w:ascii="宋体" w:hAnsi="宋体" w:eastAsia="宋体" w:cs="宋体"/>
                <w:szCs w:val="21"/>
              </w:rPr>
            </w:pPr>
            <w:r>
              <w:rPr>
                <w:rFonts w:hint="eastAsia" w:ascii="宋体" w:hAnsi="宋体" w:eastAsia="宋体" w:cs="宋体"/>
                <w:szCs w:val="21"/>
              </w:rPr>
              <w:t>投标报价</w:t>
            </w:r>
          </w:p>
        </w:tc>
        <w:tc>
          <w:tcPr>
            <w:tcW w:w="8057" w:type="dxa"/>
            <w:gridSpan w:val="2"/>
            <w:tcBorders>
              <w:top w:val="single" w:color="auto" w:sz="4" w:space="0"/>
              <w:left w:val="nil"/>
              <w:bottom w:val="single" w:color="auto" w:sz="4" w:space="0"/>
              <w:right w:val="single" w:color="auto" w:sz="4" w:space="0"/>
            </w:tcBorders>
            <w:noWrap/>
            <w:vAlign w:val="center"/>
          </w:tcPr>
          <w:p w14:paraId="4DDD78B1">
            <w:pPr>
              <w:snapToGrid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投标报价为采购人指定地点的现场交货价，包括：</w:t>
            </w:r>
          </w:p>
          <w:p w14:paraId="694A9DB4">
            <w:pPr>
              <w:snapToGrid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（1）货物的价格：包括货款、安装调试费、验收费（含检定、校准费，如有）；</w:t>
            </w:r>
          </w:p>
          <w:p w14:paraId="545454A0">
            <w:pPr>
              <w:snapToGrid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（2）货物的标准附件、备品备件、专用工具的价格。</w:t>
            </w:r>
          </w:p>
          <w:p w14:paraId="3F47A60E">
            <w:pPr>
              <w:snapToGrid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（3）运输、装卸、调试、培训、技术支持、售后服务费。</w:t>
            </w:r>
          </w:p>
        </w:tc>
      </w:tr>
      <w:tr w14:paraId="33A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5ED62805">
            <w:pPr>
              <w:spacing w:line="360" w:lineRule="auto"/>
              <w:ind w:leftChars="-51" w:right="-107" w:rightChars="-51" w:hanging="107" w:hangingChars="51"/>
              <w:jc w:val="center"/>
              <w:rPr>
                <w:rFonts w:ascii="宋体" w:hAnsi="宋体" w:eastAsia="宋体" w:cs="宋体"/>
                <w:szCs w:val="21"/>
              </w:rPr>
            </w:pPr>
            <w:r>
              <w:rPr>
                <w:rFonts w:hint="eastAsia" w:ascii="宋体" w:hAnsi="宋体" w:eastAsia="宋体" w:cs="宋体"/>
                <w:szCs w:val="21"/>
              </w:rPr>
              <w:t>合同签订时间</w:t>
            </w:r>
          </w:p>
        </w:tc>
        <w:tc>
          <w:tcPr>
            <w:tcW w:w="8057" w:type="dxa"/>
            <w:gridSpan w:val="2"/>
            <w:tcBorders>
              <w:top w:val="single" w:color="auto" w:sz="4" w:space="0"/>
              <w:left w:val="nil"/>
              <w:bottom w:val="single" w:color="auto" w:sz="4" w:space="0"/>
              <w:right w:val="single" w:color="auto" w:sz="4" w:space="0"/>
            </w:tcBorders>
            <w:noWrap/>
            <w:vAlign w:val="center"/>
          </w:tcPr>
          <w:p w14:paraId="31BE6FEF">
            <w:pPr>
              <w:spacing w:line="360" w:lineRule="auto"/>
              <w:rPr>
                <w:rFonts w:ascii="Times New Roman" w:hAnsi="Times New Roman" w:eastAsia="宋体" w:cs="Times New Roman"/>
                <w:szCs w:val="21"/>
              </w:rPr>
            </w:pPr>
            <w:r>
              <w:rPr>
                <w:rFonts w:hint="eastAsia" w:ascii="Times New Roman" w:hAnsi="Times New Roman" w:eastAsia="宋体" w:cs="Times New Roman"/>
              </w:rPr>
              <w:t>中标通知书发出后25日内</w:t>
            </w:r>
          </w:p>
        </w:tc>
      </w:tr>
      <w:tr w14:paraId="59EC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2D5F1A13">
            <w:pPr>
              <w:spacing w:line="360" w:lineRule="auto"/>
              <w:ind w:leftChars="-51" w:right="-107" w:rightChars="-51" w:hanging="107" w:hangingChars="51"/>
              <w:jc w:val="center"/>
              <w:rPr>
                <w:rFonts w:ascii="宋体" w:hAnsi="宋体" w:eastAsia="宋体" w:cs="宋体"/>
                <w:szCs w:val="21"/>
              </w:rPr>
            </w:pPr>
            <w:r>
              <w:rPr>
                <w:rFonts w:hint="eastAsia" w:ascii="宋体" w:hAnsi="宋体" w:eastAsia="宋体" w:cs="宋体"/>
                <w:szCs w:val="21"/>
              </w:rPr>
              <w:t>质保期</w:t>
            </w:r>
          </w:p>
        </w:tc>
        <w:tc>
          <w:tcPr>
            <w:tcW w:w="8057" w:type="dxa"/>
            <w:gridSpan w:val="2"/>
            <w:tcBorders>
              <w:top w:val="single" w:color="auto" w:sz="4" w:space="0"/>
              <w:left w:val="nil"/>
              <w:bottom w:val="single" w:color="auto" w:sz="4" w:space="0"/>
              <w:right w:val="single" w:color="auto" w:sz="4" w:space="0"/>
            </w:tcBorders>
            <w:noWrap/>
            <w:vAlign w:val="center"/>
          </w:tcPr>
          <w:p w14:paraId="5F83E62A">
            <w:pPr>
              <w:spacing w:line="360" w:lineRule="auto"/>
              <w:rPr>
                <w:rFonts w:ascii="Times New Roman" w:hAnsi="Times New Roman" w:eastAsia="宋体" w:cs="Times New Roman"/>
              </w:rPr>
            </w:pPr>
            <w:r>
              <w:rPr>
                <w:rFonts w:hint="eastAsia" w:ascii="宋体" w:hAnsi="宋体" w:eastAsia="宋体" w:cs="宋体"/>
                <w:szCs w:val="21"/>
              </w:rPr>
              <w:t>按国家有关规定实行产品“三包”，货物（易耗品除外）质保期不少于一年，分项设备有质保期要求的按其要求。保修期自安装调试验收合格，并以双方最终验收报告签字日开始计算。保修期内，中标供应商将负责处理并解决故障，并免费更换有故障的零、部件，一切费用由中标供应商负责。</w:t>
            </w:r>
          </w:p>
        </w:tc>
      </w:tr>
      <w:tr w14:paraId="5688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216BD075">
            <w:pPr>
              <w:spacing w:line="360" w:lineRule="auto"/>
              <w:jc w:val="center"/>
              <w:rPr>
                <w:rFonts w:ascii="宋体" w:hAnsi="宋体" w:eastAsia="宋体" w:cs="宋体"/>
                <w:szCs w:val="21"/>
              </w:rPr>
            </w:pPr>
            <w:r>
              <w:rPr>
                <w:rFonts w:hint="eastAsia" w:ascii="宋体" w:hAnsi="宋体" w:eastAsia="宋体" w:cs="宋体"/>
                <w:szCs w:val="21"/>
              </w:rPr>
              <w:t>售后技术服务要求</w:t>
            </w:r>
          </w:p>
        </w:tc>
        <w:tc>
          <w:tcPr>
            <w:tcW w:w="8057" w:type="dxa"/>
            <w:gridSpan w:val="2"/>
            <w:tcBorders>
              <w:top w:val="single" w:color="auto" w:sz="4" w:space="0"/>
              <w:left w:val="nil"/>
              <w:bottom w:val="single" w:color="auto" w:sz="4" w:space="0"/>
              <w:right w:val="single" w:color="auto" w:sz="4" w:space="0"/>
            </w:tcBorders>
            <w:noWrap/>
            <w:vAlign w:val="center"/>
          </w:tcPr>
          <w:p w14:paraId="79BA00A0">
            <w:pPr>
              <w:spacing w:line="360" w:lineRule="auto"/>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1.</w:t>
            </w:r>
            <w:r>
              <w:rPr>
                <w:rFonts w:hint="eastAsia" w:ascii="宋体" w:hAnsi="宋体" w:eastAsia="宋体" w:cs="宋体"/>
                <w:szCs w:val="21"/>
              </w:rPr>
              <w:t>售后技术服务包括</w:t>
            </w:r>
            <w:r>
              <w:rPr>
                <w:rFonts w:hint="eastAsia" w:ascii="宋体" w:hAnsi="宋体" w:eastAsia="宋体" w:cs="宋体"/>
                <w:kern w:val="0"/>
                <w:szCs w:val="21"/>
                <w:shd w:val="clear" w:color="auto" w:fill="FFFFFF"/>
              </w:rPr>
              <w:t>送货上门、安装调试、现场培训2～3名相关人员至掌握设备操作及日常维护等，投标报价应包含为实施项目所必须的售后技术服务。分项设备要求产品生产厂家提供技术人员培训的，按其要求执行。</w:t>
            </w:r>
          </w:p>
          <w:p w14:paraId="2CE80C1F">
            <w:pPr>
              <w:spacing w:line="360" w:lineRule="auto"/>
              <w:rPr>
                <w:rFonts w:ascii="宋体" w:hAnsi="宋体" w:eastAsia="宋体" w:cs="宋体"/>
                <w:kern w:val="0"/>
                <w:szCs w:val="21"/>
                <w:shd w:val="clear" w:color="auto" w:fill="FFFFFF"/>
              </w:rPr>
            </w:pPr>
            <w:r>
              <w:rPr>
                <w:rFonts w:hint="eastAsia" w:ascii="宋体" w:hAnsi="宋体" w:eastAsia="宋体" w:cs="宋体"/>
                <w:szCs w:val="21"/>
                <w:shd w:val="clear" w:color="auto" w:fill="FFFFFF"/>
              </w:rPr>
              <w:t>2.设备出现故障后，中标供应商负责需要2小时内做出响应，24小时内派工程师到现场进行故障排除，48小时内故障无法修复的，需要立即提供与原设备技术参数要求相同或高于原设备技术参数要求的备用产品，以保证采购人的正常工作。</w:t>
            </w:r>
          </w:p>
          <w:p w14:paraId="417B7A20">
            <w:pPr>
              <w:spacing w:line="360" w:lineRule="auto"/>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3.软件在维保期内免费维修及完善性升级</w:t>
            </w:r>
          </w:p>
          <w:p w14:paraId="2A1BCE00">
            <w:pPr>
              <w:spacing w:line="360" w:lineRule="auto"/>
              <w:rPr>
                <w:rFonts w:ascii="宋体" w:hAnsi="宋体" w:eastAsia="宋体" w:cs="宋体"/>
                <w:szCs w:val="21"/>
              </w:rPr>
            </w:pPr>
            <w:r>
              <w:rPr>
                <w:rFonts w:hint="eastAsia" w:ascii="宋体" w:hAnsi="宋体" w:eastAsia="宋体" w:cs="宋体"/>
                <w:szCs w:val="21"/>
                <w:shd w:val="clear" w:color="auto" w:fill="FFFFFF"/>
              </w:rPr>
              <w:t>4.投标文件提供培训方案，培训内容、培训措施符合项目实施的实际情况。</w:t>
            </w:r>
          </w:p>
        </w:tc>
      </w:tr>
      <w:tr w14:paraId="5676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11022C7A">
            <w:pPr>
              <w:spacing w:line="360" w:lineRule="auto"/>
              <w:jc w:val="center"/>
              <w:rPr>
                <w:rFonts w:ascii="宋体" w:hAnsi="宋体" w:eastAsia="宋体" w:cs="宋体"/>
                <w:szCs w:val="21"/>
              </w:rPr>
            </w:pPr>
            <w:r>
              <w:rPr>
                <w:rFonts w:hint="eastAsia" w:ascii="宋体" w:hAnsi="宋体" w:eastAsia="宋体" w:cs="宋体"/>
                <w:szCs w:val="21"/>
              </w:rPr>
              <w:t>交货时间及地点</w:t>
            </w:r>
          </w:p>
        </w:tc>
        <w:tc>
          <w:tcPr>
            <w:tcW w:w="8057" w:type="dxa"/>
            <w:gridSpan w:val="2"/>
            <w:tcBorders>
              <w:top w:val="single" w:color="auto" w:sz="4" w:space="0"/>
              <w:left w:val="nil"/>
              <w:bottom w:val="single" w:color="auto" w:sz="4" w:space="0"/>
              <w:right w:val="single" w:color="auto" w:sz="4" w:space="0"/>
            </w:tcBorders>
            <w:noWrap/>
            <w:vAlign w:val="center"/>
          </w:tcPr>
          <w:p w14:paraId="59D4BB9E">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交付使用期：合同签订后90天内验收合格并交付使用。</w:t>
            </w:r>
          </w:p>
          <w:p w14:paraId="3DED55E9">
            <w:pPr>
              <w:spacing w:line="360" w:lineRule="auto"/>
              <w:rPr>
                <w:rFonts w:ascii="宋体" w:hAnsi="宋体" w:eastAsia="宋体" w:cs="宋体"/>
                <w:kern w:val="0"/>
                <w:szCs w:val="21"/>
                <w:shd w:val="clear" w:color="auto" w:fill="FFFFFF"/>
              </w:rPr>
            </w:pPr>
            <w:r>
              <w:rPr>
                <w:rFonts w:hint="eastAsia" w:ascii="宋体" w:hAnsi="宋体" w:eastAsia="宋体" w:cs="宋体"/>
                <w:szCs w:val="21"/>
                <w:shd w:val="clear" w:color="auto" w:fill="FFFFFF"/>
              </w:rPr>
              <w:t>交货地点：南宁市采购人指定地点。</w:t>
            </w:r>
          </w:p>
        </w:tc>
      </w:tr>
      <w:tr w14:paraId="35E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40053B87">
            <w:pPr>
              <w:spacing w:line="360" w:lineRule="auto"/>
              <w:jc w:val="center"/>
              <w:rPr>
                <w:rFonts w:ascii="宋体" w:hAnsi="宋体" w:eastAsia="宋体" w:cs="宋体"/>
                <w:szCs w:val="21"/>
              </w:rPr>
            </w:pPr>
            <w:r>
              <w:rPr>
                <w:rFonts w:hint="eastAsia" w:ascii="宋体" w:hAnsi="宋体" w:eastAsia="宋体" w:cs="宋体"/>
                <w:szCs w:val="21"/>
              </w:rPr>
              <w:t>其它要求</w:t>
            </w:r>
          </w:p>
        </w:tc>
        <w:tc>
          <w:tcPr>
            <w:tcW w:w="8057" w:type="dxa"/>
            <w:gridSpan w:val="2"/>
            <w:tcBorders>
              <w:top w:val="single" w:color="auto" w:sz="4" w:space="0"/>
              <w:left w:val="nil"/>
              <w:bottom w:val="single" w:color="auto" w:sz="4" w:space="0"/>
              <w:right w:val="single" w:color="auto" w:sz="4" w:space="0"/>
            </w:tcBorders>
            <w:noWrap/>
            <w:vAlign w:val="center"/>
          </w:tcPr>
          <w:p w14:paraId="335FE2B1">
            <w:pPr>
              <w:spacing w:line="360" w:lineRule="auto"/>
              <w:rPr>
                <w:rFonts w:ascii="宋体" w:hAnsi="宋体" w:eastAsia="宋体" w:cs="宋体"/>
                <w:szCs w:val="21"/>
                <w:shd w:val="clear" w:color="auto" w:fill="FFFFFF"/>
              </w:rPr>
            </w:pPr>
            <w:r>
              <w:rPr>
                <w:rFonts w:hint="eastAsia" w:ascii="宋体" w:hAnsi="宋体" w:eastAsia="宋体" w:cs="宋体"/>
                <w:szCs w:val="21"/>
              </w:rPr>
              <w:t>1.投标人必须根据招标要求的技术参数及配置中的每项指标要求，如实逐项填写技术规格偏离表。</w:t>
            </w:r>
          </w:p>
        </w:tc>
      </w:tr>
      <w:tr w14:paraId="7CE7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5E328B30">
            <w:pPr>
              <w:spacing w:line="360" w:lineRule="auto"/>
              <w:jc w:val="center"/>
              <w:rPr>
                <w:rFonts w:ascii="宋体" w:hAnsi="宋体" w:eastAsia="宋体" w:cs="宋体"/>
                <w:szCs w:val="21"/>
              </w:rPr>
            </w:pPr>
            <w:r>
              <w:rPr>
                <w:rFonts w:hint="eastAsia" w:ascii="宋体" w:hAnsi="宋体" w:eastAsia="宋体" w:cs="宋体"/>
                <w:szCs w:val="21"/>
              </w:rPr>
              <w:t>付款方式</w:t>
            </w:r>
          </w:p>
        </w:tc>
        <w:tc>
          <w:tcPr>
            <w:tcW w:w="8057" w:type="dxa"/>
            <w:gridSpan w:val="2"/>
            <w:tcBorders>
              <w:top w:val="single" w:color="auto" w:sz="4" w:space="0"/>
              <w:left w:val="nil"/>
              <w:bottom w:val="single" w:color="auto" w:sz="4" w:space="0"/>
              <w:right w:val="single" w:color="auto" w:sz="4" w:space="0"/>
            </w:tcBorders>
            <w:noWrap/>
            <w:vAlign w:val="center"/>
          </w:tcPr>
          <w:p w14:paraId="13965B19">
            <w:pPr>
              <w:spacing w:line="360" w:lineRule="auto"/>
              <w:rPr>
                <w:rFonts w:ascii="宋体" w:hAnsi="宋体" w:eastAsia="宋体" w:cs="宋体"/>
                <w:szCs w:val="21"/>
              </w:rPr>
            </w:pPr>
            <w:r>
              <w:rPr>
                <w:rFonts w:hint="eastAsia" w:ascii="宋体" w:hAnsi="宋体" w:eastAsia="宋体" w:cs="宋体"/>
                <w:szCs w:val="21"/>
              </w:rPr>
              <w:t>签订合同后支付预付款（合同金额50%），已到货设备金额超过合同总金额的80%时支付合同进度款（合同金额30%），验收合格后支付尾款（合同金额20%），付款前，中标供应商应将付款金额的合法、有效增值税专用发票开具给采购人，否则，采购人可以顺延付款。</w:t>
            </w:r>
          </w:p>
        </w:tc>
      </w:tr>
      <w:tr w14:paraId="789B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0A5BCFF1">
            <w:pPr>
              <w:spacing w:line="360" w:lineRule="auto"/>
              <w:jc w:val="center"/>
              <w:rPr>
                <w:rFonts w:ascii="宋体" w:hAnsi="宋体" w:eastAsia="宋体" w:cs="宋体"/>
                <w:szCs w:val="21"/>
              </w:rPr>
            </w:pPr>
            <w:r>
              <w:rPr>
                <w:rFonts w:hint="eastAsia" w:ascii="宋体" w:hAnsi="宋体" w:eastAsia="宋体" w:cs="宋体"/>
                <w:szCs w:val="21"/>
              </w:rPr>
              <w:t>履约保证金</w:t>
            </w:r>
          </w:p>
        </w:tc>
        <w:tc>
          <w:tcPr>
            <w:tcW w:w="8057" w:type="dxa"/>
            <w:gridSpan w:val="2"/>
            <w:tcBorders>
              <w:top w:val="single" w:color="auto" w:sz="4" w:space="0"/>
              <w:left w:val="nil"/>
              <w:bottom w:val="single" w:color="auto" w:sz="4" w:space="0"/>
              <w:right w:val="single" w:color="auto" w:sz="4" w:space="0"/>
            </w:tcBorders>
            <w:noWrap/>
            <w:vAlign w:val="center"/>
          </w:tcPr>
          <w:p w14:paraId="42D6C975">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1.履约保证金金额：按中标总金额的2%。</w:t>
            </w:r>
          </w:p>
          <w:p w14:paraId="10F3DC0F">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2.履约保证金递交方式：中标人在收到中标通知后5个工作日内以银行转账、支票、汇票、本票或者金融机构、担保机构出具的保函等非现金方式向采购人提交。</w:t>
            </w:r>
          </w:p>
          <w:p w14:paraId="4556DE06">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3.履约保证金退付方式、时间及条件：供应商提供的售后服务能够满足采购人需求且未发生严重质量问题，</w:t>
            </w:r>
            <w:r>
              <w:rPr>
                <w:rFonts w:hint="eastAsia" w:ascii="宋体" w:hAnsi="宋体" w:eastAsia="宋体" w:cs="宋体"/>
                <w:szCs w:val="21"/>
                <w:u w:val="single"/>
              </w:rPr>
              <w:t>经中标人提出申请后5个工作日内无息退还或办理退保函手续</w:t>
            </w:r>
            <w:r>
              <w:rPr>
                <w:rFonts w:hint="eastAsia" w:ascii="宋体" w:hAnsi="宋体" w:eastAsia="宋体" w:cs="宋体"/>
                <w:szCs w:val="21"/>
                <w:shd w:val="clear" w:color="auto" w:fill="FFFFFF"/>
              </w:rPr>
              <w:t>。签订合同后，如中标人不按双方签订的合同规定履约，则其全部履约保证金不予退还，履约保证金不足以赔偿损失的，按实际损失赔偿。</w:t>
            </w:r>
          </w:p>
          <w:p w14:paraId="2BC2A201">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4.缴纳履约保证金的指定账户：</w:t>
            </w:r>
          </w:p>
          <w:p w14:paraId="364151B9">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开户名称：广西壮族自治区产品质量检验研究院</w:t>
            </w:r>
          </w:p>
          <w:p w14:paraId="262B351B">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开户银行：工行南宁市民族支行</w:t>
            </w:r>
          </w:p>
          <w:p w14:paraId="2FACA0BE">
            <w:pPr>
              <w:spacing w:line="360" w:lineRule="auto"/>
              <w:rPr>
                <w:rFonts w:ascii="宋体" w:hAnsi="宋体" w:eastAsia="宋体" w:cs="宋体"/>
                <w:szCs w:val="21"/>
              </w:rPr>
            </w:pPr>
            <w:r>
              <w:rPr>
                <w:rFonts w:hint="eastAsia" w:ascii="宋体" w:hAnsi="宋体" w:eastAsia="宋体" w:cs="宋体"/>
                <w:szCs w:val="21"/>
                <w:shd w:val="clear" w:color="auto" w:fill="FFFFFF"/>
              </w:rPr>
              <w:t>银行账号：2102109209249002028</w:t>
            </w:r>
          </w:p>
        </w:tc>
      </w:tr>
      <w:tr w14:paraId="4E4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172DEB8B">
            <w:pPr>
              <w:spacing w:line="360" w:lineRule="auto"/>
              <w:jc w:val="center"/>
              <w:rPr>
                <w:rFonts w:ascii="宋体" w:hAnsi="宋体" w:eastAsia="宋体" w:cs="宋体"/>
                <w:szCs w:val="21"/>
              </w:rPr>
            </w:pPr>
            <w:r>
              <w:rPr>
                <w:rFonts w:hint="eastAsia" w:ascii="宋体" w:hAnsi="宋体" w:eastAsia="宋体" w:cs="宋体"/>
                <w:szCs w:val="21"/>
              </w:rPr>
              <w:t>验收标准</w:t>
            </w:r>
          </w:p>
        </w:tc>
        <w:tc>
          <w:tcPr>
            <w:tcW w:w="8057" w:type="dxa"/>
            <w:gridSpan w:val="2"/>
            <w:tcBorders>
              <w:top w:val="single" w:color="auto" w:sz="4" w:space="0"/>
              <w:left w:val="nil"/>
              <w:bottom w:val="single" w:color="auto" w:sz="4" w:space="0"/>
              <w:right w:val="single" w:color="auto" w:sz="4" w:space="0"/>
            </w:tcBorders>
            <w:noWrap/>
            <w:vAlign w:val="center"/>
          </w:tcPr>
          <w:p w14:paraId="39E4597C">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1.检查供货范围或服务范围</w:t>
            </w:r>
          </w:p>
          <w:p w14:paraId="4E9DCEDA">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货物类：产品到达现场后，中标供应商应在采购人单位人员在场情况下当面开箱，共同清点、检查外观，作出开箱记录，双方签字确认。中标供应商应保证货物到达采购人所在地完好无损，如有缺漏、损坏，由中标人负责调换、补齐或赔偿。</w:t>
            </w:r>
          </w:p>
          <w:p w14:paraId="7179A90B">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服务类：根据招标文件检查服务内容是否满足要求。</w:t>
            </w:r>
          </w:p>
          <w:p w14:paraId="6AD01374">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2.中标供应商应提供完备的技术或服务资料、装箱单和合格证等，并派遣专业人员进行现场安装调试。验收合格条件如下：</w:t>
            </w:r>
          </w:p>
          <w:p w14:paraId="46682087">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2.1货物或服务技术参数与投标文件中技术需求偏离表或证明材料一致，性能或指标达到规定的标准，否则，以实际货物或服务技术参数与投标文件技术需求偏离表参数或证明材料比较，按如下情况处理：</w:t>
            </w:r>
          </w:p>
          <w:p w14:paraId="006512ED">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1）中标供应商投标文件技术需求偏离表或证明材料中满足或优于的技术参数，在验收时实际不满足技术参数要求的，视为供货商违约，采购人有权终止合同拒收货物，并追究中标供应商责任，同时报财政部门备案。</w:t>
            </w:r>
          </w:p>
          <w:p w14:paraId="16DF3EE5">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2）中标供应商投标文件技术需求偏离表或证明材料中优于的技术参数，在验收时实际仅满足并未优于技术参数要求的，视为供货商违约，采购人有权终止合同拒收货物，并追究中标供应商责任，同时报财政部门备案。</w:t>
            </w:r>
          </w:p>
          <w:p w14:paraId="38ECC534">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（3）中标供应商投标文件技术需求偏离表或证明材料中满足的技术参数，在验收时实际优于技术参数的要求，以满足技术参数的要求验收。</w:t>
            </w:r>
          </w:p>
          <w:p w14:paraId="108DD1C3">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4）中标供应商投标文件技术需求偏离表或证明材料中优于的技术参数，在验收时实际也优于技术参数的要求，但没有达到技术需求偏离表或证明材料中优于的程度，由采购人与中标供应商协商按是否满足要求验收。</w:t>
            </w:r>
          </w:p>
          <w:p w14:paraId="26C08FA3">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5）实际货物与投标货物型号不一致的，验收时不论实际是优于还是满足技术参数的要求，采购人均有权终止合同拒收货物。如影响货物或服务的使用、质量、档次及采购人需求的，还可视为供货商违约，追究中标供应商责任，同时报财政部门备案。</w:t>
            </w:r>
          </w:p>
          <w:p w14:paraId="2B51FFA1">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2.2技术资料、装箱单、合格证等资料齐全。</w:t>
            </w:r>
          </w:p>
          <w:p w14:paraId="663D992C">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2.3在测试或试运行期间所出现的问题得到解决，并运行或工作正常。</w:t>
            </w:r>
          </w:p>
          <w:p w14:paraId="49233AA6">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2.4在规定时间内完成交货及验收，并经采购人确认。</w:t>
            </w:r>
          </w:p>
          <w:p w14:paraId="03CA6BB8">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3.产品或服务在安装调试并试运行符合要求后，还必须负责完成原有所有旧的货架及物流设备及软件系统的重新部署安装、集成、调试并能整体通过测试顺利运行，运行顺畅才作为最终验收。</w:t>
            </w:r>
          </w:p>
          <w:p w14:paraId="09E724A1">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4.中标供应商提供的货物或服务未达到招标文件规定要求，且对采购人造成损失的，由中标供应商承担一切责任，并赔偿所造成的损失。</w:t>
            </w:r>
          </w:p>
          <w:p w14:paraId="4C3DBEF2">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5.采购人需要制造商对中标供应商交付的产品或服务（包括质量、参数等）进行确认的，制造商应予以配合并出具书面意见，相关配合事项由中标供应商与制造商协调。</w:t>
            </w:r>
          </w:p>
          <w:p w14:paraId="2F2B83F7">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6.产品包装材料归采购人所有。</w:t>
            </w:r>
          </w:p>
          <w:p w14:paraId="77CC160F">
            <w:pPr>
              <w:spacing w:line="360" w:lineRule="auto"/>
              <w:rPr>
                <w:rFonts w:ascii="宋体" w:hAnsi="宋体" w:eastAsia="宋体" w:cs="宋体"/>
                <w:szCs w:val="21"/>
                <w:shd w:val="clear" w:color="auto" w:fill="FFFFFF"/>
              </w:rPr>
            </w:pPr>
            <w:r>
              <w:rPr>
                <w:rFonts w:hint="eastAsia" w:ascii="宋体" w:hAnsi="宋体" w:eastAsia="宋体" w:cs="宋体"/>
                <w:szCs w:val="21"/>
                <w:shd w:val="clear" w:color="auto" w:fill="FFFFFF"/>
              </w:rPr>
              <w:t>7.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tc>
      </w:tr>
      <w:tr w14:paraId="7C1C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gridSpan w:val="2"/>
            <w:tcBorders>
              <w:top w:val="single" w:color="auto" w:sz="4" w:space="0"/>
              <w:left w:val="single" w:color="auto" w:sz="4" w:space="0"/>
              <w:bottom w:val="single" w:color="auto" w:sz="4" w:space="0"/>
              <w:right w:val="single" w:color="auto" w:sz="4" w:space="0"/>
            </w:tcBorders>
            <w:noWrap/>
            <w:vAlign w:val="center"/>
          </w:tcPr>
          <w:p w14:paraId="5E628CCD">
            <w:pPr>
              <w:snapToGrid w:val="0"/>
              <w:spacing w:line="360" w:lineRule="auto"/>
              <w:jc w:val="center"/>
              <w:rPr>
                <w:rFonts w:ascii="宋体" w:hAnsi="宋体" w:eastAsia="宋体" w:cs="宋体"/>
                <w:b/>
                <w:bCs/>
                <w:szCs w:val="21"/>
              </w:rPr>
            </w:pPr>
            <w:r>
              <w:rPr>
                <w:rFonts w:hint="eastAsia" w:ascii="宋体" w:hAnsi="宋体" w:eastAsia="宋体" w:cs="宋体"/>
                <w:b/>
                <w:bCs/>
                <w:szCs w:val="21"/>
              </w:rPr>
              <w:t>其他说明</w:t>
            </w:r>
          </w:p>
        </w:tc>
        <w:tc>
          <w:tcPr>
            <w:tcW w:w="8057" w:type="dxa"/>
            <w:gridSpan w:val="2"/>
            <w:tcBorders>
              <w:top w:val="single" w:color="auto" w:sz="4" w:space="0"/>
              <w:left w:val="nil"/>
              <w:bottom w:val="single" w:color="auto" w:sz="4" w:space="0"/>
              <w:right w:val="single" w:color="auto" w:sz="4" w:space="0"/>
            </w:tcBorders>
            <w:noWrap/>
            <w:vAlign w:val="center"/>
          </w:tcPr>
          <w:p w14:paraId="65F68ECE">
            <w:pPr>
              <w:snapToGrid w:val="0"/>
              <w:spacing w:line="360" w:lineRule="auto"/>
              <w:jc w:val="left"/>
              <w:rPr>
                <w:rFonts w:hint="eastAsia" w:ascii="宋体" w:hAnsi="宋体" w:eastAsia="宋体" w:cs="宋体"/>
                <w:szCs w:val="21"/>
              </w:rPr>
            </w:pPr>
            <w:r>
              <w:rPr>
                <w:rFonts w:hint="eastAsia" w:ascii="宋体" w:hAnsi="宋体" w:eastAsia="宋体" w:cs="宋体"/>
                <w:szCs w:val="21"/>
              </w:rPr>
              <w:t>一、进口产品说明：</w:t>
            </w:r>
          </w:p>
          <w:p w14:paraId="3A8051C4">
            <w:pPr>
              <w:snapToGrid w:val="0"/>
              <w:spacing w:line="360" w:lineRule="auto"/>
              <w:jc w:val="left"/>
              <w:rPr>
                <w:rFonts w:hint="eastAsia" w:ascii="宋体" w:hAnsi="宋体" w:eastAsia="宋体" w:cs="宋体"/>
                <w:szCs w:val="21"/>
              </w:rPr>
            </w:pPr>
            <w:r>
              <w:rPr>
                <w:rFonts w:hint="eastAsia" w:ascii="宋体" w:hAnsi="宋体" w:eastAsia="宋体" w:cs="宋体"/>
                <w:szCs w:val="21"/>
              </w:rPr>
              <w:t>☑本项目“需求一览表”中的第1、3项货物“三重四极杆液相色谱质谱联用仪”、“电感耦合等离子体质谱仪”已按规定办妥进口产品采购审核手续，投标产品可选用进口产品；但如选用进口产品时必须为全套原装进口产品（即通过中国海关报关验放进入中国境内且产自关境外的产品）并</w:t>
            </w:r>
            <w:r>
              <w:rPr>
                <w:rFonts w:hint="eastAsia" w:ascii="宋体" w:hAnsi="宋体" w:eastAsia="宋体" w:cs="宋体"/>
                <w:color w:val="000000"/>
                <w:kern w:val="0"/>
                <w:szCs w:val="21"/>
                <w:lang w:bidi="ar"/>
              </w:rPr>
              <w:t>提供原厂商或中国大陆有效代理商出具有效授权书原件和有效的售后服务承诺书原件</w:t>
            </w:r>
            <w:r>
              <w:rPr>
                <w:rFonts w:hint="eastAsia" w:ascii="宋体" w:hAnsi="宋体" w:eastAsia="宋体" w:cs="宋体"/>
                <w:szCs w:val="21"/>
              </w:rPr>
              <w:t>，同时投标人必须负责办理进口产品所有相关手续并承担所有费用。优先采购向我国企业转让技术、与我国企业签订消化吸收再创新方案的投标人的进口产品。其他货物不接受进口产品参与投标，否则作无效投标处理。</w:t>
            </w:r>
          </w:p>
          <w:p w14:paraId="08C6B419">
            <w:pPr>
              <w:snapToGrid w:val="0"/>
              <w:spacing w:line="360" w:lineRule="auto"/>
              <w:jc w:val="left"/>
              <w:rPr>
                <w:rFonts w:hint="eastAsia" w:ascii="宋体" w:hAnsi="宋体" w:eastAsia="宋体" w:cs="宋体"/>
                <w:szCs w:val="21"/>
              </w:rPr>
            </w:pPr>
            <w:r>
              <w:rPr>
                <w:rFonts w:hint="eastAsia" w:ascii="宋体" w:hAnsi="宋体" w:eastAsia="宋体" w:cs="宋体"/>
                <w:szCs w:val="21"/>
              </w:rPr>
              <w:t>□本项目货物所涉及的货物不接受进口产品（即通过中国海关报关验放进入中国境内且产自关境外的产品）参与投标，如有进口产品参与投标的作无效投标处理。</w:t>
            </w:r>
          </w:p>
          <w:p w14:paraId="246F9A5E">
            <w:p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二、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p w14:paraId="35D157D2">
            <w:p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三、与本项目有关的设计图纸、技术规范、文件等附件资料及其获取方式：</w:t>
            </w:r>
          </w:p>
          <w:p w14:paraId="37812576">
            <w:p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文件或者资料名称：无</w:t>
            </w:r>
          </w:p>
          <w:p w14:paraId="1EFE3AC3">
            <w:pPr>
              <w:snapToGrid w:val="0"/>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公布渠道或者获取方式：无        </w:t>
            </w:r>
          </w:p>
          <w:p w14:paraId="4C6B7B1A">
            <w:pPr>
              <w:snapToGrid w:val="0"/>
              <w:spacing w:line="360" w:lineRule="auto"/>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四、核心产品：</w:t>
            </w:r>
          </w:p>
          <w:p w14:paraId="78C9CADB">
            <w:pPr>
              <w:snapToGrid w:val="0"/>
              <w:spacing w:line="360" w:lineRule="auto"/>
              <w:jc w:val="left"/>
              <w:rPr>
                <w:rFonts w:hint="eastAsia" w:ascii="宋体" w:hAnsi="宋体" w:eastAsia="宋体" w:cs="宋体"/>
                <w:szCs w:val="21"/>
              </w:rPr>
            </w:pPr>
            <w:r>
              <w:rPr>
                <w:rFonts w:hint="eastAsia" w:ascii="宋体" w:hAnsi="宋体" w:eastAsia="宋体" w:cs="宋体"/>
                <w:szCs w:val="21"/>
              </w:rPr>
              <w:t>本项目的核心产品为“需求一览表”中第</w:t>
            </w:r>
            <w:r>
              <w:rPr>
                <w:rFonts w:hint="eastAsia" w:ascii="宋体" w:hAnsi="宋体" w:eastAsia="宋体" w:cs="宋体"/>
                <w:szCs w:val="21"/>
                <w:u w:val="single"/>
              </w:rPr>
              <w:t xml:space="preserve"> 1 </w:t>
            </w:r>
            <w:r>
              <w:rPr>
                <w:rFonts w:hint="eastAsia" w:ascii="宋体" w:hAnsi="宋体" w:eastAsia="宋体" w:cs="宋体"/>
                <w:szCs w:val="21"/>
              </w:rPr>
              <w:t>项产品：</w:t>
            </w:r>
            <w:r>
              <w:rPr>
                <w:rFonts w:hint="eastAsia" w:ascii="宋体" w:hAnsi="宋体" w:eastAsia="宋体" w:cs="宋体"/>
                <w:szCs w:val="21"/>
                <w:u w:val="single"/>
              </w:rPr>
              <w:t>三重四极杆液相色谱质谱联用仪</w:t>
            </w:r>
            <w:r>
              <w:rPr>
                <w:rFonts w:hint="eastAsia" w:ascii="宋体" w:hAnsi="宋体" w:eastAsia="宋体" w:cs="宋体"/>
                <w:szCs w:val="21"/>
              </w:rPr>
              <w:t>。</w:t>
            </w:r>
          </w:p>
        </w:tc>
      </w:tr>
    </w:tbl>
    <w:p w14:paraId="6D33F8C9">
      <w:bookmarkStart w:id="2" w:name="_GoBack"/>
      <w:bookmarkEnd w:id="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D5A54"/>
    <w:rsid w:val="1B8D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Plain Text"/>
    <w:next w:val="2"/>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2026-04-03T07:04:00Z</dcterms:created>
  <dc:creator>欧明聪</dc:creator>
  <cp:lastModifiedBy>欧明聪</cp:lastModifiedBy>
  <dcterms:modified xsi:type="dcterms:W3CDTF">2026-04-03T07:05:05Z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44D731A85EF54DCB805A1DDAA9FB7E23_11</vt:lpwstr>
  </property>
  <property fmtid="{D5CDD505-2E9C-101B-9397-08002B2CF9AE}" pid="4" name="KSOTemplateDocerSaveRecord">
    <vt:lpwstr>eyJoZGlkIjoiZjU5NTE4Y2EwNGUwNTA5ZTk0ODVmYmYwNWU3YjQyYWUiLCJ1c2VySWQiOiIxNTkyNDk1NTU5In0=</vt:lpwstr>
  </property>
</Properties>
</file>